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2D8DA4">
      <w:pPr>
        <w:pageBreakBefore w:val="0"/>
        <w:wordWrap/>
        <w:bidi w:val="0"/>
        <w:adjustRightInd/>
        <w:snapToGrid/>
        <w:spacing w:line="420" w:lineRule="exact"/>
        <w:ind w:firstLine="480"/>
        <w:jc w:val="right"/>
        <w:rPr>
          <w:rFonts w:hint="eastAsia"/>
          <w:color w:val="auto"/>
        </w:rPr>
      </w:pPr>
    </w:p>
    <w:p w14:paraId="4DCAF5B4">
      <w:pPr>
        <w:pageBreakBefore w:val="0"/>
        <w:wordWrap/>
        <w:bidi w:val="0"/>
        <w:adjustRightInd/>
        <w:snapToGrid/>
        <w:spacing w:line="420" w:lineRule="exact"/>
        <w:ind w:firstLine="960"/>
        <w:jc w:val="center"/>
        <w:rPr>
          <w:color w:val="auto"/>
          <w:sz w:val="48"/>
        </w:rPr>
      </w:pPr>
    </w:p>
    <w:p w14:paraId="532572F4">
      <w:pPr>
        <w:pageBreakBefore w:val="0"/>
        <w:wordWrap/>
        <w:bidi w:val="0"/>
        <w:adjustRightInd/>
        <w:snapToGrid/>
        <w:spacing w:line="420" w:lineRule="exact"/>
        <w:ind w:firstLine="960"/>
        <w:jc w:val="center"/>
        <w:rPr>
          <w:color w:val="auto"/>
          <w:sz w:val="48"/>
        </w:rPr>
      </w:pPr>
    </w:p>
    <w:p w14:paraId="53580D98">
      <w:pPr>
        <w:pageBreakBefore w:val="0"/>
        <w:wordWrap/>
        <w:bidi w:val="0"/>
        <w:adjustRightInd/>
        <w:snapToGrid/>
        <w:ind w:firstLine="960"/>
        <w:jc w:val="center"/>
        <w:rPr>
          <w:color w:val="auto"/>
          <w:sz w:val="48"/>
        </w:rPr>
      </w:pPr>
    </w:p>
    <w:p w14:paraId="43AB83DF">
      <w:pPr>
        <w:pageBreakBefore w:val="0"/>
        <w:wordWrap/>
        <w:bidi w:val="0"/>
        <w:adjustRightInd/>
        <w:snapToGrid/>
        <w:spacing w:line="312" w:lineRule="auto"/>
        <w:ind w:firstLine="0" w:firstLineChars="0"/>
        <w:jc w:val="center"/>
        <w:rPr>
          <w:rFonts w:hint="eastAsia"/>
          <w:color w:val="auto"/>
          <w:sz w:val="52"/>
          <w:szCs w:val="52"/>
          <w:lang w:eastAsia="zh-CN"/>
        </w:rPr>
      </w:pPr>
      <w:r>
        <w:rPr>
          <w:color w:val="auto"/>
          <w:sz w:val="52"/>
          <w:szCs w:val="52"/>
        </w:rPr>
        <mc:AlternateContent>
          <mc:Choice Requires="wps">
            <w:drawing>
              <wp:anchor distT="0" distB="0" distL="114300" distR="114300" simplePos="0" relativeHeight="251662336" behindDoc="0" locked="0" layoutInCell="1" allowOverlap="1">
                <wp:simplePos x="0" y="0"/>
                <wp:positionH relativeFrom="column">
                  <wp:posOffset>-62865</wp:posOffset>
                </wp:positionH>
                <wp:positionV relativeFrom="paragraph">
                  <wp:posOffset>378460</wp:posOffset>
                </wp:positionV>
                <wp:extent cx="5469255" cy="0"/>
                <wp:effectExtent l="0" t="4445" r="0" b="5080"/>
                <wp:wrapNone/>
                <wp:docPr id="3" name="自选图形 109"/>
                <wp:cNvGraphicFramePr/>
                <a:graphic xmlns:a="http://schemas.openxmlformats.org/drawingml/2006/main">
                  <a:graphicData uri="http://schemas.microsoft.com/office/word/2010/wordprocessingShape">
                    <wps:wsp>
                      <wps:cNvCnPr/>
                      <wps:spPr>
                        <a:xfrm>
                          <a:off x="0" y="0"/>
                          <a:ext cx="5469255" cy="0"/>
                        </a:xfrm>
                        <a:prstGeom prst="straightConnector1">
                          <a:avLst/>
                        </a:prstGeom>
                        <a:ln w="3175" cap="flat" cmpd="sng">
                          <a:solidFill>
                            <a:srgbClr val="000000"/>
                          </a:solidFill>
                          <a:prstDash val="solid"/>
                          <a:headEnd type="none" w="med" len="med"/>
                          <a:tailEnd type="none" w="med" len="med"/>
                        </a:ln>
                      </wps:spPr>
                      <wps:bodyPr/>
                    </wps:wsp>
                  </a:graphicData>
                </a:graphic>
              </wp:anchor>
            </w:drawing>
          </mc:Choice>
          <mc:Fallback>
            <w:pict>
              <v:shape id="自选图形 109" o:spid="_x0000_s1026" o:spt="32" type="#_x0000_t32" style="position:absolute;left:0pt;margin-left:-4.95pt;margin-top:29.8pt;height:0pt;width:430.65pt;z-index:251662336;mso-width-relative:page;mso-height-relative:page;" filled="f" stroked="t" coordsize="21600,21600" o:gfxdata="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UoYR61gAAAAgBAAAPAAAAAAAAAAEAIAAAACIAAABkcnMvZG93bnJldi54bWxQSwEC&#10;FAAUAAAACACHTuJAVpNLnfYBAADlAwAADgAAAAAAAAABACAAAAAlAQAAZHJzL2Uyb0RvYy54bWxQ&#10;SwUGAAAAAAYABgBZAQAAjQUAAAAA&#10;">
                <v:fill on="f" focussize="0,0"/>
                <v:stroke weight="0.25pt" color="#000000" joinstyle="round"/>
                <v:imagedata o:title=""/>
                <o:lock v:ext="edit" aspectratio="f"/>
              </v:shape>
            </w:pict>
          </mc:Fallback>
        </mc:AlternateContent>
      </w:r>
      <w:r>
        <w:rPr>
          <w:color w:val="auto"/>
          <w:sz w:val="52"/>
          <w:szCs w:val="52"/>
        </w:rPr>
        <mc:AlternateContent>
          <mc:Choice Requires="wps">
            <w:drawing>
              <wp:anchor distT="0" distB="0" distL="114300" distR="114300" simplePos="0" relativeHeight="251660288" behindDoc="0" locked="0" layoutInCell="1" allowOverlap="1">
                <wp:simplePos x="0" y="0"/>
                <wp:positionH relativeFrom="column">
                  <wp:posOffset>-62865</wp:posOffset>
                </wp:positionH>
                <wp:positionV relativeFrom="paragraph">
                  <wp:posOffset>421005</wp:posOffset>
                </wp:positionV>
                <wp:extent cx="5469255" cy="0"/>
                <wp:effectExtent l="0" t="19050" r="17145" b="19050"/>
                <wp:wrapNone/>
                <wp:docPr id="1" name="自选图形 108"/>
                <wp:cNvGraphicFramePr/>
                <a:graphic xmlns:a="http://schemas.openxmlformats.org/drawingml/2006/main">
                  <a:graphicData uri="http://schemas.microsoft.com/office/word/2010/wordprocessingShape">
                    <wps:wsp>
                      <wps:cNvCnPr/>
                      <wps:spPr>
                        <a:xfrm>
                          <a:off x="0" y="0"/>
                          <a:ext cx="5469255" cy="0"/>
                        </a:xfrm>
                        <a:prstGeom prst="straightConnector1">
                          <a:avLst/>
                        </a:prstGeom>
                        <a:ln w="38100" cap="flat" cmpd="sng">
                          <a:solidFill>
                            <a:srgbClr val="000000"/>
                          </a:solidFill>
                          <a:prstDash val="solid"/>
                          <a:headEnd type="none" w="med" len="med"/>
                          <a:tailEnd type="none" w="med" len="med"/>
                        </a:ln>
                      </wps:spPr>
                      <wps:bodyPr/>
                    </wps:wsp>
                  </a:graphicData>
                </a:graphic>
              </wp:anchor>
            </w:drawing>
          </mc:Choice>
          <mc:Fallback>
            <w:pict>
              <v:shape id="自选图形 108" o:spid="_x0000_s1026" o:spt="32" type="#_x0000_t32" style="position:absolute;left:0pt;margin-left:-4.95pt;margin-top:33.15pt;height:0pt;width:430.65pt;z-index:251660288;mso-width-relative:page;mso-height-relative:page;" filled="f" stroked="t" coordsize="21600,21600" o:gfxdata="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3khjudUAAAAIAQAADwAAAAAAAAABACAAAAAiAAAAZHJzL2Rvd25yZXYueG1sUEsB&#10;AhQAFAAAAAgAh07iQGuXher4AQAA5gMAAA4AAAAAAAAAAQAgAAAAJAEAAGRycy9lMm9Eb2MueG1s&#10;UEsFBgAAAAAGAAYAWQEAAI4FAAAAAA==&#10;">
                <v:fill on="f" focussize="0,0"/>
                <v:stroke weight="3pt" color="#000000" joinstyle="round"/>
                <v:imagedata o:title=""/>
                <o:lock v:ext="edit" aspectratio="f"/>
              </v:shape>
            </w:pict>
          </mc:Fallback>
        </mc:AlternateContent>
      </w:r>
      <w:r>
        <w:rPr>
          <w:rFonts w:hint="eastAsia"/>
          <w:color w:val="auto"/>
          <w:sz w:val="52"/>
          <w:szCs w:val="52"/>
          <w:lang w:eastAsia="zh-CN"/>
        </w:rPr>
        <w:t>巴中市巴州区曾口片区污水处理厂、</w:t>
      </w:r>
    </w:p>
    <w:p w14:paraId="72219CC0">
      <w:pPr>
        <w:pageBreakBefore w:val="0"/>
        <w:wordWrap/>
        <w:bidi w:val="0"/>
        <w:adjustRightInd/>
        <w:snapToGrid/>
        <w:spacing w:line="312" w:lineRule="auto"/>
        <w:ind w:firstLine="0" w:firstLineChars="0"/>
        <w:jc w:val="center"/>
        <w:rPr>
          <w:rFonts w:hint="eastAsia" w:eastAsia="宋体"/>
          <w:color w:val="auto"/>
          <w:sz w:val="52"/>
          <w:szCs w:val="52"/>
          <w:lang w:eastAsia="zh-CN"/>
        </w:rPr>
      </w:pPr>
      <w:r>
        <w:rPr>
          <w:color w:val="auto"/>
          <w:sz w:val="52"/>
          <w:szCs w:val="52"/>
        </w:rPr>
        <mc:AlternateContent>
          <mc:Choice Requires="wps">
            <w:drawing>
              <wp:anchor distT="0" distB="0" distL="114300" distR="114300" simplePos="0" relativeHeight="251668480" behindDoc="0" locked="0" layoutInCell="1" allowOverlap="1">
                <wp:simplePos x="0" y="0"/>
                <wp:positionH relativeFrom="column">
                  <wp:posOffset>-77470</wp:posOffset>
                </wp:positionH>
                <wp:positionV relativeFrom="paragraph">
                  <wp:posOffset>447040</wp:posOffset>
                </wp:positionV>
                <wp:extent cx="5469255" cy="0"/>
                <wp:effectExtent l="0" t="19050" r="17145" b="19050"/>
                <wp:wrapNone/>
                <wp:docPr id="77" name="自选图形 108"/>
                <wp:cNvGraphicFramePr/>
                <a:graphic xmlns:a="http://schemas.openxmlformats.org/drawingml/2006/main">
                  <a:graphicData uri="http://schemas.microsoft.com/office/word/2010/wordprocessingShape">
                    <wps:wsp>
                      <wps:cNvCnPr/>
                      <wps:spPr>
                        <a:xfrm>
                          <a:off x="0" y="0"/>
                          <a:ext cx="5469255" cy="0"/>
                        </a:xfrm>
                        <a:prstGeom prst="straightConnector1">
                          <a:avLst/>
                        </a:prstGeom>
                        <a:ln w="38100" cap="flat" cmpd="sng">
                          <a:solidFill>
                            <a:srgbClr val="000000"/>
                          </a:solidFill>
                          <a:prstDash val="solid"/>
                          <a:headEnd type="none" w="med" len="med"/>
                          <a:tailEnd type="none" w="med" len="med"/>
                        </a:ln>
                      </wps:spPr>
                      <wps:bodyPr/>
                    </wps:wsp>
                  </a:graphicData>
                </a:graphic>
              </wp:anchor>
            </w:drawing>
          </mc:Choice>
          <mc:Fallback>
            <w:pict>
              <v:shape id="自选图形 108" o:spid="_x0000_s1026" o:spt="32" type="#_x0000_t32" style="position:absolute;left:0pt;margin-left:-6.1pt;margin-top:35.2pt;height:0pt;width:430.65pt;z-index:251668480;mso-width-relative:page;mso-height-relative:page;" filled="f" stroked="t" coordsize="21600,21600" o:gfxdata="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6K5Fx1QAAAAkBAAAPAAAAAAAAAAEAIAAAACIAAABkcnMvZG93bnJldi54bWxQ&#10;SwECFAAUAAAACACHTuJAAMzN+PoBAADnAwAADgAAAAAAAAABACAAAAAkAQAAZHJzL2Uyb0RvYy54&#10;bWxQSwUGAAAAAAYABgBZAQAAkAUAAAAA&#10;">
                <v:fill on="f" focussize="0,0"/>
                <v:stroke weight="3pt" color="#000000" joinstyle="round"/>
                <v:imagedata o:title=""/>
                <o:lock v:ext="edit" aspectratio="f"/>
              </v:shape>
            </w:pict>
          </mc:Fallback>
        </mc:AlternateContent>
      </w:r>
      <w:r>
        <w:rPr>
          <w:color w:val="auto"/>
          <w:sz w:val="52"/>
          <w:szCs w:val="52"/>
        </w:rPr>
        <mc:AlternateContent>
          <mc:Choice Requires="wps">
            <w:drawing>
              <wp:anchor distT="0" distB="0" distL="114300" distR="114300" simplePos="0" relativeHeight="251669504" behindDoc="0" locked="0" layoutInCell="1" allowOverlap="1">
                <wp:simplePos x="0" y="0"/>
                <wp:positionH relativeFrom="column">
                  <wp:posOffset>-75565</wp:posOffset>
                </wp:positionH>
                <wp:positionV relativeFrom="paragraph">
                  <wp:posOffset>405765</wp:posOffset>
                </wp:positionV>
                <wp:extent cx="5469255" cy="0"/>
                <wp:effectExtent l="0" t="4445" r="0" b="5080"/>
                <wp:wrapNone/>
                <wp:docPr id="78" name="自选图形 109"/>
                <wp:cNvGraphicFramePr/>
                <a:graphic xmlns:a="http://schemas.openxmlformats.org/drawingml/2006/main">
                  <a:graphicData uri="http://schemas.microsoft.com/office/word/2010/wordprocessingShape">
                    <wps:wsp>
                      <wps:cNvCnPr/>
                      <wps:spPr>
                        <a:xfrm>
                          <a:off x="0" y="0"/>
                          <a:ext cx="5469255" cy="0"/>
                        </a:xfrm>
                        <a:prstGeom prst="straightConnector1">
                          <a:avLst/>
                        </a:prstGeom>
                        <a:ln w="3175" cap="flat" cmpd="sng">
                          <a:solidFill>
                            <a:srgbClr val="000000"/>
                          </a:solidFill>
                          <a:prstDash val="solid"/>
                          <a:headEnd type="none" w="med" len="med"/>
                          <a:tailEnd type="none" w="med" len="med"/>
                        </a:ln>
                      </wps:spPr>
                      <wps:bodyPr/>
                    </wps:wsp>
                  </a:graphicData>
                </a:graphic>
              </wp:anchor>
            </w:drawing>
          </mc:Choice>
          <mc:Fallback>
            <w:pict>
              <v:shape id="自选图形 109" o:spid="_x0000_s1026" o:spt="32" type="#_x0000_t32" style="position:absolute;left:0pt;margin-left:-5.95pt;margin-top:31.95pt;height:0pt;width:430.65pt;z-index:251669504;mso-width-relative:page;mso-height-relative:page;" filled="f" stroked="t" coordsize="21600,21600" o:gfxdata="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u7sLs1wAAAAkBAAAPAAAAAAAAAAEAIAAAACIAAABkcnMvZG93bnJldi54bWxQ&#10;SwECFAAUAAAACACHTuJAvxLOIfgBAADmAwAADgAAAAAAAAABACAAAAAmAQAAZHJzL2Uyb0RvYy54&#10;bWxQSwUGAAAAAAYABgBZAQAAkAUAAAAA&#10;">
                <v:fill on="f" focussize="0,0"/>
                <v:stroke weight="0.25pt" color="#000000" joinstyle="round"/>
                <v:imagedata o:title=""/>
                <o:lock v:ext="edit" aspectratio="f"/>
              </v:shape>
            </w:pict>
          </mc:Fallback>
        </mc:AlternateContent>
      </w:r>
      <w:r>
        <w:rPr>
          <w:rFonts w:hint="eastAsia"/>
          <w:color w:val="auto"/>
          <w:sz w:val="52"/>
          <w:szCs w:val="52"/>
          <w:lang w:eastAsia="zh-CN"/>
        </w:rPr>
        <w:t>环境监测站建设项目</w:t>
      </w:r>
    </w:p>
    <w:p w14:paraId="15576166">
      <w:pPr>
        <w:pStyle w:val="19"/>
        <w:pageBreakBefore w:val="0"/>
        <w:wordWrap/>
        <w:bidi w:val="0"/>
        <w:adjustRightInd/>
        <w:snapToGrid/>
        <w:ind w:firstLine="0" w:firstLineChars="0"/>
        <w:jc w:val="center"/>
        <w:rPr>
          <w:color w:val="auto"/>
          <w:sz w:val="88"/>
          <w:szCs w:val="88"/>
        </w:rPr>
      </w:pPr>
      <w:r>
        <w:rPr>
          <w:color w:val="auto"/>
          <w:sz w:val="88"/>
          <w:szCs w:val="88"/>
        </w:rPr>
        <w:t>环境影响报告书</w:t>
      </w:r>
    </w:p>
    <w:p w14:paraId="35A36F8B">
      <w:pPr>
        <w:pageBreakBefore w:val="0"/>
        <w:wordWrap/>
        <w:bidi w:val="0"/>
        <w:adjustRightInd/>
        <w:snapToGrid/>
        <w:ind w:firstLine="0" w:firstLineChars="0"/>
        <w:jc w:val="center"/>
        <w:textAlignment w:val="baseline"/>
        <w:rPr>
          <w:color w:val="auto"/>
          <w:sz w:val="36"/>
          <w:szCs w:val="36"/>
        </w:rPr>
      </w:pPr>
      <w:bookmarkStart w:id="0" w:name="_Toc354588247"/>
      <w:bookmarkStart w:id="1" w:name="_Toc365983323"/>
      <w:bookmarkStart w:id="2" w:name="_Toc354588321"/>
      <w:bookmarkStart w:id="3" w:name="_Toc402347062"/>
      <w:bookmarkStart w:id="4" w:name="_Toc401566255"/>
      <w:bookmarkStart w:id="5" w:name="_Toc402345163"/>
      <w:bookmarkStart w:id="6" w:name="_Toc407348116"/>
      <w:r>
        <w:rPr>
          <w:color w:val="auto"/>
          <w:sz w:val="36"/>
          <w:szCs w:val="36"/>
        </w:rPr>
        <w:t>（</w:t>
      </w:r>
      <w:r>
        <w:rPr>
          <w:rFonts w:hint="eastAsia"/>
          <w:color w:val="auto"/>
          <w:sz w:val="36"/>
          <w:szCs w:val="36"/>
          <w:lang w:val="en-US" w:eastAsia="zh-CN"/>
        </w:rPr>
        <w:t>征求意见稿</w:t>
      </w:r>
      <w:r>
        <w:rPr>
          <w:color w:val="auto"/>
          <w:sz w:val="36"/>
          <w:szCs w:val="36"/>
        </w:rPr>
        <w:t>）</w:t>
      </w:r>
      <w:bookmarkEnd w:id="0"/>
      <w:bookmarkEnd w:id="1"/>
      <w:bookmarkEnd w:id="2"/>
      <w:bookmarkEnd w:id="3"/>
      <w:bookmarkEnd w:id="4"/>
      <w:bookmarkEnd w:id="5"/>
      <w:bookmarkEnd w:id="6"/>
    </w:p>
    <w:p w14:paraId="409B6027">
      <w:pPr>
        <w:pageBreakBefore w:val="0"/>
        <w:wordWrap/>
        <w:bidi w:val="0"/>
        <w:adjustRightInd/>
        <w:snapToGrid/>
        <w:spacing w:line="420" w:lineRule="exact"/>
        <w:ind w:firstLine="480"/>
        <w:jc w:val="center"/>
        <w:rPr>
          <w:color w:val="auto"/>
        </w:rPr>
      </w:pPr>
    </w:p>
    <w:p w14:paraId="431DD4CD">
      <w:pPr>
        <w:pageBreakBefore w:val="0"/>
        <w:wordWrap/>
        <w:bidi w:val="0"/>
        <w:adjustRightInd/>
        <w:snapToGrid/>
        <w:spacing w:line="480" w:lineRule="auto"/>
        <w:ind w:firstLine="480"/>
        <w:jc w:val="center"/>
        <w:rPr>
          <w:color w:val="auto"/>
        </w:rPr>
      </w:pPr>
    </w:p>
    <w:p w14:paraId="3B0A23FF">
      <w:pPr>
        <w:pageBreakBefore w:val="0"/>
        <w:wordWrap/>
        <w:bidi w:val="0"/>
        <w:adjustRightInd/>
        <w:snapToGrid/>
        <w:spacing w:line="480" w:lineRule="auto"/>
        <w:ind w:firstLine="480"/>
        <w:jc w:val="center"/>
        <w:rPr>
          <w:color w:val="auto"/>
        </w:rPr>
      </w:pPr>
    </w:p>
    <w:p w14:paraId="719F721B">
      <w:pPr>
        <w:pageBreakBefore w:val="0"/>
        <w:widowControl/>
        <w:wordWrap/>
        <w:bidi w:val="0"/>
        <w:adjustRightInd/>
        <w:snapToGrid/>
        <w:ind w:firstLine="480"/>
        <w:jc w:val="left"/>
        <w:rPr>
          <w:color w:val="auto"/>
          <w:kern w:val="0"/>
        </w:rPr>
      </w:pPr>
    </w:p>
    <w:p w14:paraId="44024965">
      <w:pPr>
        <w:pageBreakBefore w:val="0"/>
        <w:wordWrap/>
        <w:bidi w:val="0"/>
        <w:adjustRightInd/>
        <w:snapToGrid/>
        <w:spacing w:line="480" w:lineRule="auto"/>
        <w:ind w:firstLine="480"/>
        <w:jc w:val="center"/>
        <w:rPr>
          <w:color w:val="auto"/>
        </w:rPr>
      </w:pPr>
    </w:p>
    <w:p w14:paraId="6A55BC45">
      <w:pPr>
        <w:pageBreakBefore w:val="0"/>
        <w:wordWrap/>
        <w:bidi w:val="0"/>
        <w:adjustRightInd/>
        <w:snapToGrid/>
        <w:spacing w:line="480" w:lineRule="auto"/>
        <w:ind w:firstLine="480"/>
        <w:jc w:val="center"/>
        <w:rPr>
          <w:color w:val="auto"/>
        </w:rPr>
      </w:pPr>
    </w:p>
    <w:p w14:paraId="5FDF257B">
      <w:pPr>
        <w:pageBreakBefore w:val="0"/>
        <w:wordWrap/>
        <w:bidi w:val="0"/>
        <w:adjustRightInd/>
        <w:snapToGrid/>
        <w:spacing w:line="480" w:lineRule="auto"/>
        <w:ind w:firstLine="480"/>
        <w:jc w:val="center"/>
        <w:rPr>
          <w:color w:val="auto"/>
        </w:rPr>
      </w:pPr>
    </w:p>
    <w:p w14:paraId="00DE73D2">
      <w:pPr>
        <w:pStyle w:val="19"/>
        <w:pageBreakBefore w:val="0"/>
        <w:wordWrap/>
        <w:bidi w:val="0"/>
        <w:adjustRightInd/>
        <w:snapToGrid/>
        <w:spacing w:before="240" w:beforeLines="100"/>
        <w:ind w:firstLine="720"/>
        <w:rPr>
          <w:rFonts w:hint="eastAsia" w:eastAsia="宋体"/>
          <w:color w:val="auto"/>
          <w:sz w:val="36"/>
          <w:szCs w:val="36"/>
          <w:lang w:eastAsia="zh-CN"/>
        </w:rPr>
      </w:pPr>
      <w:r>
        <w:rPr>
          <w:color w:val="auto"/>
          <w:sz w:val="36"/>
          <w:szCs w:val="36"/>
        </w:rPr>
        <w:t>建设单位：</w:t>
      </w:r>
      <w:r>
        <w:rPr>
          <w:rFonts w:hint="eastAsia"/>
          <w:color w:val="auto"/>
          <w:sz w:val="36"/>
          <w:szCs w:val="36"/>
          <w:lang w:eastAsia="zh-CN"/>
        </w:rPr>
        <w:t>巴中汇鑫发展有限公司</w:t>
      </w:r>
    </w:p>
    <w:p w14:paraId="5299870A">
      <w:pPr>
        <w:pStyle w:val="19"/>
        <w:pageBreakBefore w:val="0"/>
        <w:wordWrap/>
        <w:bidi w:val="0"/>
        <w:adjustRightInd/>
        <w:snapToGrid/>
        <w:spacing w:before="240" w:beforeLines="100"/>
        <w:ind w:firstLine="720"/>
        <w:rPr>
          <w:rFonts w:hint="eastAsia" w:eastAsia="宋体"/>
          <w:color w:val="auto"/>
          <w:sz w:val="36"/>
          <w:szCs w:val="36"/>
          <w:lang w:eastAsia="zh-CN"/>
        </w:rPr>
      </w:pPr>
      <w:r>
        <w:rPr>
          <w:color w:val="auto"/>
          <w:sz w:val="36"/>
          <w:szCs w:val="36"/>
        </w:rPr>
        <w:t>编制单位：</w:t>
      </w:r>
      <w:r>
        <w:rPr>
          <w:rFonts w:hint="eastAsia"/>
          <w:color w:val="auto"/>
          <w:sz w:val="36"/>
          <w:szCs w:val="36"/>
          <w:lang w:eastAsia="zh-CN"/>
        </w:rPr>
        <w:t>四川全过程安全环保技术服务有限公司</w:t>
      </w:r>
    </w:p>
    <w:p w14:paraId="4E868860">
      <w:pPr>
        <w:pageBreakBefore w:val="0"/>
        <w:wordWrap/>
        <w:bidi w:val="0"/>
        <w:adjustRightInd/>
        <w:snapToGrid/>
        <w:spacing w:before="240" w:beforeLines="100"/>
        <w:ind w:firstLine="0" w:firstLineChars="0"/>
        <w:jc w:val="center"/>
        <w:rPr>
          <w:color w:val="auto"/>
          <w:sz w:val="36"/>
          <w:szCs w:val="36"/>
        </w:rPr>
      </w:pPr>
    </w:p>
    <w:p w14:paraId="7E96633D">
      <w:pPr>
        <w:pageBreakBefore w:val="0"/>
        <w:wordWrap/>
        <w:bidi w:val="0"/>
        <w:adjustRightInd/>
        <w:snapToGrid/>
        <w:spacing w:before="240" w:beforeLines="100"/>
        <w:ind w:firstLine="0" w:firstLineChars="0"/>
        <w:jc w:val="center"/>
        <w:rPr>
          <w:color w:val="auto"/>
          <w:sz w:val="32"/>
          <w:szCs w:val="32"/>
        </w:rPr>
      </w:pPr>
      <w:r>
        <w:rPr>
          <w:color w:val="auto"/>
          <w:sz w:val="36"/>
          <w:szCs w:val="36"/>
        </w:rPr>
        <w:t>二〇二</w:t>
      </w:r>
      <w:r>
        <w:rPr>
          <w:rFonts w:hint="eastAsia"/>
          <w:color w:val="auto"/>
          <w:sz w:val="36"/>
          <w:szCs w:val="36"/>
          <w:lang w:val="en-US" w:eastAsia="zh-CN"/>
        </w:rPr>
        <w:t>四</w:t>
      </w:r>
      <w:r>
        <w:rPr>
          <w:color w:val="auto"/>
          <w:sz w:val="36"/>
          <w:szCs w:val="36"/>
        </w:rPr>
        <w:t>年</w:t>
      </w:r>
      <w:r>
        <w:rPr>
          <w:rFonts w:hint="eastAsia"/>
          <w:color w:val="auto"/>
          <w:sz w:val="36"/>
          <w:szCs w:val="36"/>
          <w:lang w:val="en-US" w:eastAsia="zh-CN"/>
        </w:rPr>
        <w:t>八</w:t>
      </w:r>
      <w:r>
        <w:rPr>
          <w:color w:val="auto"/>
          <w:sz w:val="36"/>
          <w:szCs w:val="36"/>
        </w:rPr>
        <w:t>月</w:t>
      </w:r>
    </w:p>
    <w:p w14:paraId="73B76462">
      <w:pPr>
        <w:pageBreakBefore w:val="0"/>
        <w:wordWrap/>
        <w:bidi w:val="0"/>
        <w:adjustRightInd/>
        <w:snapToGrid/>
        <w:spacing w:before="240" w:beforeLines="100"/>
        <w:ind w:firstLine="600"/>
        <w:rPr>
          <w:color w:val="auto"/>
          <w:sz w:val="30"/>
          <w:szCs w:val="30"/>
        </w:rPr>
        <w:sectPr>
          <w:headerReference r:id="rId7" w:type="first"/>
          <w:footerReference r:id="rId10" w:type="first"/>
          <w:headerReference r:id="rId5" w:type="default"/>
          <w:footerReference r:id="rId8" w:type="default"/>
          <w:headerReference r:id="rId6" w:type="even"/>
          <w:footerReference r:id="rId9" w:type="even"/>
          <w:type w:val="nextColumn"/>
          <w:pgSz w:w="11906" w:h="16838"/>
          <w:pgMar w:top="1440" w:right="1588" w:bottom="1440" w:left="1588" w:header="1020" w:footer="992" w:gutter="0"/>
          <w:pgBorders>
            <w:top w:val="none" w:sz="0" w:space="0"/>
            <w:left w:val="none" w:sz="0" w:space="0"/>
            <w:bottom w:val="none" w:sz="0" w:space="0"/>
            <w:right w:val="none" w:sz="0" w:space="0"/>
          </w:pgBorders>
          <w:pgNumType w:fmt="decimal" w:start="1"/>
          <w:cols w:space="720" w:num="1"/>
          <w:titlePg/>
          <w:docGrid w:linePitch="312" w:charSpace="0"/>
        </w:sectPr>
      </w:pPr>
    </w:p>
    <w:p w14:paraId="1EA7DC92">
      <w:pPr>
        <w:pageBreakBefore w:val="0"/>
        <w:wordWrap/>
        <w:bidi w:val="0"/>
        <w:adjustRightInd/>
        <w:snapToGrid/>
        <w:spacing w:before="240" w:beforeLines="100"/>
        <w:ind w:firstLine="600"/>
        <w:rPr>
          <w:color w:val="auto"/>
          <w:sz w:val="30"/>
          <w:szCs w:val="30"/>
        </w:rPr>
        <w:sectPr>
          <w:footerReference r:id="rId12" w:type="first"/>
          <w:footerReference r:id="rId11" w:type="default"/>
          <w:pgSz w:w="11906" w:h="16838"/>
          <w:pgMar w:top="1440" w:right="1588" w:bottom="1440" w:left="1588" w:header="1134" w:footer="992" w:gutter="0"/>
          <w:pgBorders>
            <w:top w:val="none" w:sz="0" w:space="0"/>
            <w:left w:val="none" w:sz="0" w:space="0"/>
            <w:bottom w:val="none" w:sz="0" w:space="0"/>
            <w:right w:val="none" w:sz="0" w:space="0"/>
          </w:pgBorders>
          <w:pgNumType w:fmt="decimal" w:start="1"/>
          <w:cols w:space="720" w:num="1"/>
          <w:titlePg/>
          <w:docGrid w:linePitch="312" w:charSpace="0"/>
        </w:sectPr>
      </w:pPr>
    </w:p>
    <w:p w14:paraId="0CAE2868">
      <w:pPr>
        <w:pageBreakBefore w:val="0"/>
        <w:wordWrap/>
        <w:bidi w:val="0"/>
        <w:adjustRightInd/>
        <w:snapToGrid/>
        <w:ind w:firstLine="640"/>
        <w:jc w:val="center"/>
        <w:rPr>
          <w:color w:val="auto"/>
          <w:sz w:val="32"/>
          <w:szCs w:val="32"/>
        </w:rPr>
      </w:pPr>
      <w:bookmarkStart w:id="7" w:name="_Toc156101818"/>
      <w:bookmarkStart w:id="8" w:name="_Toc153875286"/>
      <w:bookmarkStart w:id="9" w:name="_Toc153852471"/>
      <w:r>
        <w:rPr>
          <w:color w:val="auto"/>
          <w:sz w:val="32"/>
          <w:szCs w:val="32"/>
        </w:rPr>
        <w:t>目  录</w:t>
      </w:r>
      <w:bookmarkEnd w:id="7"/>
      <w:bookmarkEnd w:id="8"/>
      <w:bookmarkEnd w:id="9"/>
    </w:p>
    <w:p w14:paraId="04BF734E">
      <w:pPr>
        <w:pStyle w:val="35"/>
        <w:tabs>
          <w:tab w:val="right" w:leader="dot" w:pos="8730"/>
        </w:tabs>
        <w:rPr>
          <w:color w:val="auto"/>
        </w:rPr>
      </w:pPr>
      <w:r>
        <w:rPr>
          <w:color w:val="auto"/>
          <w:szCs w:val="21"/>
        </w:rPr>
        <w:fldChar w:fldCharType="begin"/>
      </w:r>
      <w:r>
        <w:rPr>
          <w:color w:val="auto"/>
          <w:szCs w:val="21"/>
        </w:rPr>
        <w:instrText xml:space="preserve">TOC \o "1-2" \h \u </w:instrText>
      </w:r>
      <w:r>
        <w:rPr>
          <w:color w:val="auto"/>
          <w:szCs w:val="21"/>
        </w:rPr>
        <w:fldChar w:fldCharType="separate"/>
      </w:r>
      <w:r>
        <w:rPr>
          <w:color w:val="auto"/>
          <w:szCs w:val="21"/>
        </w:rPr>
        <w:fldChar w:fldCharType="begin"/>
      </w:r>
      <w:r>
        <w:rPr>
          <w:color w:val="auto"/>
          <w:szCs w:val="21"/>
        </w:rPr>
        <w:instrText xml:space="preserve"> HYPERLINK \l _Toc18812 </w:instrText>
      </w:r>
      <w:r>
        <w:rPr>
          <w:color w:val="auto"/>
          <w:szCs w:val="21"/>
        </w:rPr>
        <w:fldChar w:fldCharType="separate"/>
      </w:r>
      <w:r>
        <w:rPr>
          <w:rFonts w:eastAsia="宋体"/>
          <w:color w:val="auto"/>
        </w:rPr>
        <w:t>概述</w:t>
      </w:r>
      <w:r>
        <w:rPr>
          <w:color w:val="auto"/>
        </w:rPr>
        <w:tab/>
      </w:r>
      <w:r>
        <w:rPr>
          <w:color w:val="auto"/>
        </w:rPr>
        <w:fldChar w:fldCharType="begin"/>
      </w:r>
      <w:r>
        <w:rPr>
          <w:color w:val="auto"/>
        </w:rPr>
        <w:instrText xml:space="preserve"> PAGEREF _Toc18812 \h </w:instrText>
      </w:r>
      <w:r>
        <w:rPr>
          <w:color w:val="auto"/>
        </w:rPr>
        <w:fldChar w:fldCharType="separate"/>
      </w:r>
      <w:r>
        <w:rPr>
          <w:color w:val="auto"/>
        </w:rPr>
        <w:t>1</w:t>
      </w:r>
      <w:r>
        <w:rPr>
          <w:color w:val="auto"/>
        </w:rPr>
        <w:fldChar w:fldCharType="end"/>
      </w:r>
      <w:r>
        <w:rPr>
          <w:color w:val="auto"/>
          <w:szCs w:val="21"/>
        </w:rPr>
        <w:fldChar w:fldCharType="end"/>
      </w:r>
    </w:p>
    <w:p w14:paraId="5876A729">
      <w:pPr>
        <w:pStyle w:val="35"/>
        <w:tabs>
          <w:tab w:val="right" w:leader="dot" w:pos="8730"/>
        </w:tabs>
        <w:rPr>
          <w:color w:val="auto"/>
        </w:rPr>
      </w:pPr>
      <w:r>
        <w:rPr>
          <w:color w:val="auto"/>
        </w:rPr>
        <w:fldChar w:fldCharType="begin"/>
      </w:r>
      <w:r>
        <w:rPr>
          <w:color w:val="auto"/>
        </w:rPr>
        <w:instrText xml:space="preserve"> HYPERLINK \l _Toc16997 </w:instrText>
      </w:r>
      <w:r>
        <w:rPr>
          <w:color w:val="auto"/>
        </w:rPr>
        <w:fldChar w:fldCharType="separate"/>
      </w:r>
      <w:r>
        <w:rPr>
          <w:rFonts w:hint="default" w:ascii="Times New Roman" w:hAnsi="Times New Roman" w:eastAsia="宋体" w:cs="宋体"/>
          <w:i w:val="0"/>
          <w:color w:val="auto"/>
        </w:rPr>
        <w:t xml:space="preserve">1 </w:t>
      </w:r>
      <w:r>
        <w:rPr>
          <w:rFonts w:eastAsia="宋体"/>
          <w:color w:val="auto"/>
        </w:rPr>
        <w:t>总则</w:t>
      </w:r>
      <w:r>
        <w:rPr>
          <w:color w:val="auto"/>
        </w:rPr>
        <w:tab/>
      </w:r>
      <w:r>
        <w:rPr>
          <w:color w:val="auto"/>
        </w:rPr>
        <w:fldChar w:fldCharType="begin"/>
      </w:r>
      <w:r>
        <w:rPr>
          <w:color w:val="auto"/>
        </w:rPr>
        <w:instrText xml:space="preserve"> PAGEREF _Toc16997 \h </w:instrText>
      </w:r>
      <w:r>
        <w:rPr>
          <w:color w:val="auto"/>
        </w:rPr>
        <w:fldChar w:fldCharType="separate"/>
      </w:r>
      <w:r>
        <w:rPr>
          <w:color w:val="auto"/>
        </w:rPr>
        <w:t>6</w:t>
      </w:r>
      <w:r>
        <w:rPr>
          <w:color w:val="auto"/>
        </w:rPr>
        <w:fldChar w:fldCharType="end"/>
      </w:r>
      <w:r>
        <w:rPr>
          <w:color w:val="auto"/>
        </w:rPr>
        <w:fldChar w:fldCharType="end"/>
      </w:r>
    </w:p>
    <w:p w14:paraId="534D9CFB">
      <w:pPr>
        <w:pStyle w:val="42"/>
        <w:tabs>
          <w:tab w:val="right" w:leader="dot" w:pos="8730"/>
        </w:tabs>
        <w:rPr>
          <w:color w:val="auto"/>
        </w:rPr>
      </w:pPr>
      <w:r>
        <w:rPr>
          <w:color w:val="auto"/>
        </w:rPr>
        <w:fldChar w:fldCharType="begin"/>
      </w:r>
      <w:r>
        <w:rPr>
          <w:color w:val="auto"/>
        </w:rPr>
        <w:instrText xml:space="preserve"> HYPERLINK \l _Toc543 </w:instrText>
      </w:r>
      <w:r>
        <w:rPr>
          <w:color w:val="auto"/>
        </w:rPr>
        <w:fldChar w:fldCharType="separate"/>
      </w:r>
      <w:r>
        <w:rPr>
          <w:rFonts w:hint="default" w:ascii="Times New Roman" w:hAnsi="Times New Roman" w:eastAsia="宋体" w:cs="宋体"/>
          <w:i w:val="0"/>
          <w:color w:val="auto"/>
        </w:rPr>
        <w:t xml:space="preserve">1.1 </w:t>
      </w:r>
      <w:r>
        <w:rPr>
          <w:rFonts w:ascii="Times New Roman" w:hAnsi="Times New Roman" w:eastAsia="宋体"/>
          <w:color w:val="auto"/>
        </w:rPr>
        <w:t>编制依据</w:t>
      </w:r>
      <w:r>
        <w:rPr>
          <w:color w:val="auto"/>
        </w:rPr>
        <w:tab/>
      </w:r>
      <w:r>
        <w:rPr>
          <w:color w:val="auto"/>
        </w:rPr>
        <w:fldChar w:fldCharType="begin"/>
      </w:r>
      <w:r>
        <w:rPr>
          <w:color w:val="auto"/>
        </w:rPr>
        <w:instrText xml:space="preserve"> PAGEREF _Toc543 \h </w:instrText>
      </w:r>
      <w:r>
        <w:rPr>
          <w:color w:val="auto"/>
        </w:rPr>
        <w:fldChar w:fldCharType="separate"/>
      </w:r>
      <w:r>
        <w:rPr>
          <w:color w:val="auto"/>
        </w:rPr>
        <w:t>6</w:t>
      </w:r>
      <w:r>
        <w:rPr>
          <w:color w:val="auto"/>
        </w:rPr>
        <w:fldChar w:fldCharType="end"/>
      </w:r>
      <w:r>
        <w:rPr>
          <w:color w:val="auto"/>
        </w:rPr>
        <w:fldChar w:fldCharType="end"/>
      </w:r>
    </w:p>
    <w:p w14:paraId="3537396B">
      <w:pPr>
        <w:pStyle w:val="42"/>
        <w:tabs>
          <w:tab w:val="right" w:leader="dot" w:pos="8730"/>
        </w:tabs>
        <w:rPr>
          <w:color w:val="auto"/>
        </w:rPr>
      </w:pPr>
      <w:r>
        <w:rPr>
          <w:color w:val="auto"/>
        </w:rPr>
        <w:fldChar w:fldCharType="begin"/>
      </w:r>
      <w:r>
        <w:rPr>
          <w:color w:val="auto"/>
        </w:rPr>
        <w:instrText xml:space="preserve"> HYPERLINK \l _Toc21118 </w:instrText>
      </w:r>
      <w:r>
        <w:rPr>
          <w:color w:val="auto"/>
        </w:rPr>
        <w:fldChar w:fldCharType="separate"/>
      </w:r>
      <w:r>
        <w:rPr>
          <w:rFonts w:hint="default" w:ascii="Times New Roman" w:hAnsi="Times New Roman" w:eastAsia="宋体" w:cs="宋体"/>
          <w:i w:val="0"/>
          <w:color w:val="auto"/>
        </w:rPr>
        <w:t xml:space="preserve">1.2 </w:t>
      </w:r>
      <w:r>
        <w:rPr>
          <w:rFonts w:hint="eastAsia"/>
          <w:color w:val="auto"/>
          <w:lang w:val="en-US" w:eastAsia="zh-CN"/>
        </w:rPr>
        <w:t>评价因子与评价标准</w:t>
      </w:r>
      <w:r>
        <w:rPr>
          <w:color w:val="auto"/>
        </w:rPr>
        <w:tab/>
      </w:r>
      <w:r>
        <w:rPr>
          <w:color w:val="auto"/>
        </w:rPr>
        <w:fldChar w:fldCharType="begin"/>
      </w:r>
      <w:r>
        <w:rPr>
          <w:color w:val="auto"/>
        </w:rPr>
        <w:instrText xml:space="preserve"> PAGEREF _Toc21118 \h </w:instrText>
      </w:r>
      <w:r>
        <w:rPr>
          <w:color w:val="auto"/>
        </w:rPr>
        <w:fldChar w:fldCharType="separate"/>
      </w:r>
      <w:r>
        <w:rPr>
          <w:color w:val="auto"/>
        </w:rPr>
        <w:t>9</w:t>
      </w:r>
      <w:r>
        <w:rPr>
          <w:color w:val="auto"/>
        </w:rPr>
        <w:fldChar w:fldCharType="end"/>
      </w:r>
      <w:r>
        <w:rPr>
          <w:color w:val="auto"/>
        </w:rPr>
        <w:fldChar w:fldCharType="end"/>
      </w:r>
    </w:p>
    <w:p w14:paraId="11D66334">
      <w:pPr>
        <w:pStyle w:val="42"/>
        <w:tabs>
          <w:tab w:val="right" w:leader="dot" w:pos="8730"/>
        </w:tabs>
        <w:rPr>
          <w:color w:val="auto"/>
        </w:rPr>
      </w:pPr>
      <w:r>
        <w:rPr>
          <w:color w:val="auto"/>
        </w:rPr>
        <w:fldChar w:fldCharType="begin"/>
      </w:r>
      <w:r>
        <w:rPr>
          <w:color w:val="auto"/>
        </w:rPr>
        <w:instrText xml:space="preserve"> HYPERLINK \l _Toc17904 </w:instrText>
      </w:r>
      <w:r>
        <w:rPr>
          <w:color w:val="auto"/>
        </w:rPr>
        <w:fldChar w:fldCharType="separate"/>
      </w:r>
      <w:r>
        <w:rPr>
          <w:rFonts w:hint="default" w:ascii="Times New Roman" w:hAnsi="Times New Roman" w:eastAsia="宋体" w:cs="宋体"/>
          <w:i w:val="0"/>
          <w:color w:val="auto"/>
        </w:rPr>
        <w:t xml:space="preserve">1.3 </w:t>
      </w:r>
      <w:r>
        <w:rPr>
          <w:rFonts w:ascii="Times New Roman" w:hAnsi="Times New Roman" w:eastAsia="宋体"/>
          <w:color w:val="auto"/>
        </w:rPr>
        <w:t>评价工作等级</w:t>
      </w:r>
      <w:r>
        <w:rPr>
          <w:rFonts w:hint="eastAsia"/>
          <w:color w:val="auto"/>
          <w:lang w:val="en-US" w:eastAsia="zh-CN"/>
        </w:rPr>
        <w:t>和评价重点</w:t>
      </w:r>
      <w:r>
        <w:rPr>
          <w:color w:val="auto"/>
        </w:rPr>
        <w:tab/>
      </w:r>
      <w:r>
        <w:rPr>
          <w:color w:val="auto"/>
        </w:rPr>
        <w:fldChar w:fldCharType="begin"/>
      </w:r>
      <w:r>
        <w:rPr>
          <w:color w:val="auto"/>
        </w:rPr>
        <w:instrText xml:space="preserve"> PAGEREF _Toc17904 \h </w:instrText>
      </w:r>
      <w:r>
        <w:rPr>
          <w:color w:val="auto"/>
        </w:rPr>
        <w:fldChar w:fldCharType="separate"/>
      </w:r>
      <w:r>
        <w:rPr>
          <w:color w:val="auto"/>
        </w:rPr>
        <w:t>18</w:t>
      </w:r>
      <w:r>
        <w:rPr>
          <w:color w:val="auto"/>
        </w:rPr>
        <w:fldChar w:fldCharType="end"/>
      </w:r>
      <w:r>
        <w:rPr>
          <w:color w:val="auto"/>
        </w:rPr>
        <w:fldChar w:fldCharType="end"/>
      </w:r>
    </w:p>
    <w:p w14:paraId="697955B2">
      <w:pPr>
        <w:pStyle w:val="42"/>
        <w:tabs>
          <w:tab w:val="right" w:leader="dot" w:pos="8730"/>
        </w:tabs>
        <w:rPr>
          <w:color w:val="auto"/>
        </w:rPr>
      </w:pPr>
      <w:r>
        <w:rPr>
          <w:color w:val="auto"/>
        </w:rPr>
        <w:fldChar w:fldCharType="begin"/>
      </w:r>
      <w:r>
        <w:rPr>
          <w:color w:val="auto"/>
        </w:rPr>
        <w:instrText xml:space="preserve"> HYPERLINK \l _Toc17500 </w:instrText>
      </w:r>
      <w:r>
        <w:rPr>
          <w:color w:val="auto"/>
        </w:rPr>
        <w:fldChar w:fldCharType="separate"/>
      </w:r>
      <w:r>
        <w:rPr>
          <w:rFonts w:hint="default" w:ascii="Times New Roman" w:hAnsi="Times New Roman" w:eastAsia="宋体" w:cs="宋体"/>
          <w:i w:val="0"/>
          <w:color w:val="auto"/>
        </w:rPr>
        <w:t xml:space="preserve">1.4 </w:t>
      </w:r>
      <w:r>
        <w:rPr>
          <w:rFonts w:ascii="Times New Roman" w:hAnsi="Times New Roman" w:eastAsia="宋体"/>
          <w:color w:val="auto"/>
        </w:rPr>
        <w:t>评价范围</w:t>
      </w:r>
      <w:r>
        <w:rPr>
          <w:rFonts w:hint="eastAsia"/>
          <w:color w:val="auto"/>
          <w:lang w:val="en-US" w:eastAsia="zh-CN"/>
        </w:rPr>
        <w:t>及环境敏感区</w:t>
      </w:r>
      <w:r>
        <w:rPr>
          <w:color w:val="auto"/>
        </w:rPr>
        <w:tab/>
      </w:r>
      <w:r>
        <w:rPr>
          <w:color w:val="auto"/>
        </w:rPr>
        <w:fldChar w:fldCharType="begin"/>
      </w:r>
      <w:r>
        <w:rPr>
          <w:color w:val="auto"/>
        </w:rPr>
        <w:instrText xml:space="preserve"> PAGEREF _Toc17500 \h </w:instrText>
      </w:r>
      <w:r>
        <w:rPr>
          <w:color w:val="auto"/>
        </w:rPr>
        <w:fldChar w:fldCharType="separate"/>
      </w:r>
      <w:r>
        <w:rPr>
          <w:color w:val="auto"/>
        </w:rPr>
        <w:t>25</w:t>
      </w:r>
      <w:r>
        <w:rPr>
          <w:color w:val="auto"/>
        </w:rPr>
        <w:fldChar w:fldCharType="end"/>
      </w:r>
      <w:r>
        <w:rPr>
          <w:color w:val="auto"/>
        </w:rPr>
        <w:fldChar w:fldCharType="end"/>
      </w:r>
    </w:p>
    <w:p w14:paraId="2C9974AF">
      <w:pPr>
        <w:pStyle w:val="42"/>
        <w:tabs>
          <w:tab w:val="right" w:leader="dot" w:pos="8730"/>
        </w:tabs>
        <w:rPr>
          <w:color w:val="auto"/>
        </w:rPr>
      </w:pPr>
      <w:r>
        <w:rPr>
          <w:color w:val="auto"/>
        </w:rPr>
        <w:fldChar w:fldCharType="begin"/>
      </w:r>
      <w:r>
        <w:rPr>
          <w:color w:val="auto"/>
        </w:rPr>
        <w:instrText xml:space="preserve"> HYPERLINK \l _Toc27519 </w:instrText>
      </w:r>
      <w:r>
        <w:rPr>
          <w:color w:val="auto"/>
        </w:rPr>
        <w:fldChar w:fldCharType="separate"/>
      </w:r>
      <w:r>
        <w:rPr>
          <w:rFonts w:hint="default" w:ascii="Times New Roman" w:hAnsi="Times New Roman" w:eastAsia="宋体" w:cs="宋体"/>
          <w:i w:val="0"/>
          <w:color w:val="auto"/>
        </w:rPr>
        <w:t xml:space="preserve">1.5 </w:t>
      </w:r>
      <w:r>
        <w:rPr>
          <w:rFonts w:ascii="Times New Roman" w:hAnsi="Times New Roman" w:eastAsia="宋体"/>
          <w:color w:val="auto"/>
        </w:rPr>
        <w:t>相关规划及环境功能区划</w:t>
      </w:r>
      <w:r>
        <w:rPr>
          <w:color w:val="auto"/>
        </w:rPr>
        <w:tab/>
      </w:r>
      <w:r>
        <w:rPr>
          <w:color w:val="auto"/>
        </w:rPr>
        <w:fldChar w:fldCharType="begin"/>
      </w:r>
      <w:r>
        <w:rPr>
          <w:color w:val="auto"/>
        </w:rPr>
        <w:instrText xml:space="preserve"> PAGEREF _Toc27519 \h </w:instrText>
      </w:r>
      <w:r>
        <w:rPr>
          <w:color w:val="auto"/>
        </w:rPr>
        <w:fldChar w:fldCharType="separate"/>
      </w:r>
      <w:r>
        <w:rPr>
          <w:color w:val="auto"/>
        </w:rPr>
        <w:t>28</w:t>
      </w:r>
      <w:r>
        <w:rPr>
          <w:color w:val="auto"/>
        </w:rPr>
        <w:fldChar w:fldCharType="end"/>
      </w:r>
      <w:r>
        <w:rPr>
          <w:color w:val="auto"/>
        </w:rPr>
        <w:fldChar w:fldCharType="end"/>
      </w:r>
    </w:p>
    <w:p w14:paraId="407D4722">
      <w:pPr>
        <w:pStyle w:val="42"/>
        <w:tabs>
          <w:tab w:val="right" w:leader="dot" w:pos="8730"/>
        </w:tabs>
        <w:rPr>
          <w:color w:val="auto"/>
        </w:rPr>
      </w:pPr>
      <w:r>
        <w:rPr>
          <w:color w:val="auto"/>
        </w:rPr>
        <w:fldChar w:fldCharType="begin"/>
      </w:r>
      <w:r>
        <w:rPr>
          <w:color w:val="auto"/>
        </w:rPr>
        <w:instrText xml:space="preserve"> HYPERLINK \l _Toc18644 </w:instrText>
      </w:r>
      <w:r>
        <w:rPr>
          <w:color w:val="auto"/>
        </w:rPr>
        <w:fldChar w:fldCharType="separate"/>
      </w:r>
      <w:r>
        <w:rPr>
          <w:rFonts w:hint="default" w:ascii="Times New Roman" w:hAnsi="Times New Roman" w:eastAsia="宋体" w:cs="宋体"/>
          <w:i w:val="0"/>
          <w:color w:val="auto"/>
        </w:rPr>
        <w:t xml:space="preserve">1.6 </w:t>
      </w:r>
      <w:r>
        <w:rPr>
          <w:rFonts w:ascii="Times New Roman" w:hAnsi="Times New Roman" w:eastAsia="宋体"/>
          <w:color w:val="auto"/>
        </w:rPr>
        <w:t>项目外环境关系及选址合理性分析</w:t>
      </w:r>
      <w:r>
        <w:rPr>
          <w:color w:val="auto"/>
        </w:rPr>
        <w:tab/>
      </w:r>
      <w:r>
        <w:rPr>
          <w:color w:val="auto"/>
        </w:rPr>
        <w:fldChar w:fldCharType="begin"/>
      </w:r>
      <w:r>
        <w:rPr>
          <w:color w:val="auto"/>
        </w:rPr>
        <w:instrText xml:space="preserve"> PAGEREF _Toc18644 \h </w:instrText>
      </w:r>
      <w:r>
        <w:rPr>
          <w:color w:val="auto"/>
        </w:rPr>
        <w:fldChar w:fldCharType="separate"/>
      </w:r>
      <w:r>
        <w:rPr>
          <w:color w:val="auto"/>
        </w:rPr>
        <w:t>52</w:t>
      </w:r>
      <w:r>
        <w:rPr>
          <w:color w:val="auto"/>
        </w:rPr>
        <w:fldChar w:fldCharType="end"/>
      </w:r>
      <w:r>
        <w:rPr>
          <w:color w:val="auto"/>
        </w:rPr>
        <w:fldChar w:fldCharType="end"/>
      </w:r>
    </w:p>
    <w:p w14:paraId="52BBFF4D">
      <w:pPr>
        <w:pStyle w:val="35"/>
        <w:tabs>
          <w:tab w:val="right" w:leader="dot" w:pos="8730"/>
        </w:tabs>
        <w:rPr>
          <w:color w:val="auto"/>
        </w:rPr>
      </w:pPr>
      <w:r>
        <w:rPr>
          <w:color w:val="auto"/>
        </w:rPr>
        <w:fldChar w:fldCharType="begin"/>
      </w:r>
      <w:r>
        <w:rPr>
          <w:color w:val="auto"/>
        </w:rPr>
        <w:instrText xml:space="preserve"> HYPERLINK \l _Toc19144 </w:instrText>
      </w:r>
      <w:r>
        <w:rPr>
          <w:color w:val="auto"/>
        </w:rPr>
        <w:fldChar w:fldCharType="separate"/>
      </w:r>
      <w:r>
        <w:rPr>
          <w:rFonts w:hint="default" w:ascii="Times New Roman" w:hAnsi="Times New Roman" w:eastAsia="宋体" w:cs="宋体"/>
          <w:i w:val="0"/>
          <w:color w:val="auto"/>
        </w:rPr>
        <w:t xml:space="preserve">2 </w:t>
      </w:r>
      <w:r>
        <w:rPr>
          <w:rFonts w:eastAsia="宋体"/>
          <w:color w:val="auto"/>
        </w:rPr>
        <w:t>建设项目</w:t>
      </w:r>
      <w:r>
        <w:rPr>
          <w:rFonts w:hint="eastAsia" w:eastAsia="宋体"/>
          <w:color w:val="auto"/>
          <w:lang w:val="en-US" w:eastAsia="zh-CN"/>
        </w:rPr>
        <w:t>概况与</w:t>
      </w:r>
      <w:r>
        <w:rPr>
          <w:rFonts w:eastAsia="宋体"/>
          <w:color w:val="auto"/>
        </w:rPr>
        <w:t>工程分析</w:t>
      </w:r>
      <w:r>
        <w:rPr>
          <w:color w:val="auto"/>
        </w:rPr>
        <w:tab/>
      </w:r>
      <w:r>
        <w:rPr>
          <w:color w:val="auto"/>
        </w:rPr>
        <w:fldChar w:fldCharType="begin"/>
      </w:r>
      <w:r>
        <w:rPr>
          <w:color w:val="auto"/>
        </w:rPr>
        <w:instrText xml:space="preserve"> PAGEREF _Toc19144 \h </w:instrText>
      </w:r>
      <w:r>
        <w:rPr>
          <w:color w:val="auto"/>
        </w:rPr>
        <w:fldChar w:fldCharType="separate"/>
      </w:r>
      <w:r>
        <w:rPr>
          <w:color w:val="auto"/>
        </w:rPr>
        <w:t>56</w:t>
      </w:r>
      <w:r>
        <w:rPr>
          <w:color w:val="auto"/>
        </w:rPr>
        <w:fldChar w:fldCharType="end"/>
      </w:r>
      <w:r>
        <w:rPr>
          <w:color w:val="auto"/>
        </w:rPr>
        <w:fldChar w:fldCharType="end"/>
      </w:r>
    </w:p>
    <w:p w14:paraId="376B46A5">
      <w:pPr>
        <w:pStyle w:val="42"/>
        <w:tabs>
          <w:tab w:val="right" w:leader="dot" w:pos="8730"/>
        </w:tabs>
        <w:rPr>
          <w:color w:val="auto"/>
        </w:rPr>
      </w:pPr>
      <w:r>
        <w:rPr>
          <w:color w:val="auto"/>
        </w:rPr>
        <w:fldChar w:fldCharType="begin"/>
      </w:r>
      <w:r>
        <w:rPr>
          <w:color w:val="auto"/>
        </w:rPr>
        <w:instrText xml:space="preserve"> HYPERLINK \l _Toc130 </w:instrText>
      </w:r>
      <w:r>
        <w:rPr>
          <w:color w:val="auto"/>
        </w:rPr>
        <w:fldChar w:fldCharType="separate"/>
      </w:r>
      <w:r>
        <w:rPr>
          <w:rFonts w:hint="default" w:ascii="Times New Roman" w:hAnsi="Times New Roman" w:eastAsia="宋体" w:cs="宋体"/>
          <w:i w:val="0"/>
          <w:color w:val="auto"/>
        </w:rPr>
        <w:t xml:space="preserve">2.1 </w:t>
      </w:r>
      <w:r>
        <w:rPr>
          <w:rFonts w:ascii="Times New Roman" w:hAnsi="Times New Roman" w:eastAsia="宋体"/>
          <w:color w:val="auto"/>
        </w:rPr>
        <w:t>项目概况</w:t>
      </w:r>
      <w:r>
        <w:rPr>
          <w:color w:val="auto"/>
        </w:rPr>
        <w:tab/>
      </w:r>
      <w:r>
        <w:rPr>
          <w:color w:val="auto"/>
        </w:rPr>
        <w:fldChar w:fldCharType="begin"/>
      </w:r>
      <w:r>
        <w:rPr>
          <w:color w:val="auto"/>
        </w:rPr>
        <w:instrText xml:space="preserve"> PAGEREF _Toc130 \h </w:instrText>
      </w:r>
      <w:r>
        <w:rPr>
          <w:color w:val="auto"/>
        </w:rPr>
        <w:fldChar w:fldCharType="separate"/>
      </w:r>
      <w:r>
        <w:rPr>
          <w:color w:val="auto"/>
        </w:rPr>
        <w:t>56</w:t>
      </w:r>
      <w:r>
        <w:rPr>
          <w:color w:val="auto"/>
        </w:rPr>
        <w:fldChar w:fldCharType="end"/>
      </w:r>
      <w:r>
        <w:rPr>
          <w:color w:val="auto"/>
        </w:rPr>
        <w:fldChar w:fldCharType="end"/>
      </w:r>
    </w:p>
    <w:p w14:paraId="7616D1A4">
      <w:pPr>
        <w:pStyle w:val="42"/>
        <w:tabs>
          <w:tab w:val="right" w:leader="dot" w:pos="8730"/>
        </w:tabs>
        <w:rPr>
          <w:color w:val="auto"/>
        </w:rPr>
      </w:pPr>
      <w:r>
        <w:rPr>
          <w:color w:val="auto"/>
        </w:rPr>
        <w:fldChar w:fldCharType="begin"/>
      </w:r>
      <w:r>
        <w:rPr>
          <w:color w:val="auto"/>
        </w:rPr>
        <w:instrText xml:space="preserve"> HYPERLINK \l _Toc20548 </w:instrText>
      </w:r>
      <w:r>
        <w:rPr>
          <w:color w:val="auto"/>
        </w:rPr>
        <w:fldChar w:fldCharType="separate"/>
      </w:r>
      <w:r>
        <w:rPr>
          <w:rFonts w:hint="default" w:ascii="Times New Roman" w:hAnsi="Times New Roman" w:eastAsia="宋体" w:cs="宋体"/>
          <w:i w:val="0"/>
          <w:color w:val="auto"/>
        </w:rPr>
        <w:t xml:space="preserve">2.2 </w:t>
      </w:r>
      <w:r>
        <w:rPr>
          <w:rFonts w:hint="eastAsia"/>
          <w:color w:val="auto"/>
          <w:lang w:val="en-US" w:eastAsia="zh-CN"/>
        </w:rPr>
        <w:t>相关合理性分析</w:t>
      </w:r>
      <w:r>
        <w:rPr>
          <w:color w:val="auto"/>
        </w:rPr>
        <w:tab/>
      </w:r>
      <w:r>
        <w:rPr>
          <w:color w:val="auto"/>
        </w:rPr>
        <w:fldChar w:fldCharType="begin"/>
      </w:r>
      <w:r>
        <w:rPr>
          <w:color w:val="auto"/>
        </w:rPr>
        <w:instrText xml:space="preserve"> PAGEREF _Toc20548 \h </w:instrText>
      </w:r>
      <w:r>
        <w:rPr>
          <w:color w:val="auto"/>
        </w:rPr>
        <w:fldChar w:fldCharType="separate"/>
      </w:r>
      <w:r>
        <w:rPr>
          <w:color w:val="auto"/>
        </w:rPr>
        <w:t>87</w:t>
      </w:r>
      <w:r>
        <w:rPr>
          <w:color w:val="auto"/>
        </w:rPr>
        <w:fldChar w:fldCharType="end"/>
      </w:r>
      <w:r>
        <w:rPr>
          <w:color w:val="auto"/>
        </w:rPr>
        <w:fldChar w:fldCharType="end"/>
      </w:r>
    </w:p>
    <w:p w14:paraId="4E333BEE">
      <w:pPr>
        <w:pStyle w:val="42"/>
        <w:tabs>
          <w:tab w:val="right" w:leader="dot" w:pos="8730"/>
        </w:tabs>
        <w:rPr>
          <w:color w:val="auto"/>
        </w:rPr>
      </w:pPr>
      <w:r>
        <w:rPr>
          <w:color w:val="auto"/>
        </w:rPr>
        <w:fldChar w:fldCharType="begin"/>
      </w:r>
      <w:r>
        <w:rPr>
          <w:color w:val="auto"/>
        </w:rPr>
        <w:instrText xml:space="preserve"> HYPERLINK \l _Toc25373 </w:instrText>
      </w:r>
      <w:r>
        <w:rPr>
          <w:color w:val="auto"/>
        </w:rPr>
        <w:fldChar w:fldCharType="separate"/>
      </w:r>
      <w:r>
        <w:rPr>
          <w:rFonts w:hint="default" w:ascii="Times New Roman" w:hAnsi="Times New Roman" w:eastAsia="宋体" w:cs="宋体"/>
          <w:i w:val="0"/>
          <w:color w:val="auto"/>
        </w:rPr>
        <w:t xml:space="preserve">2.3 </w:t>
      </w:r>
      <w:r>
        <w:rPr>
          <w:rFonts w:ascii="Times New Roman" w:hAnsi="Times New Roman" w:eastAsia="宋体"/>
          <w:color w:val="auto"/>
        </w:rPr>
        <w:t>项目工程分析</w:t>
      </w:r>
      <w:r>
        <w:rPr>
          <w:color w:val="auto"/>
        </w:rPr>
        <w:tab/>
      </w:r>
      <w:r>
        <w:rPr>
          <w:color w:val="auto"/>
        </w:rPr>
        <w:fldChar w:fldCharType="begin"/>
      </w:r>
      <w:r>
        <w:rPr>
          <w:color w:val="auto"/>
        </w:rPr>
        <w:instrText xml:space="preserve"> PAGEREF _Toc25373 \h </w:instrText>
      </w:r>
      <w:r>
        <w:rPr>
          <w:color w:val="auto"/>
        </w:rPr>
        <w:fldChar w:fldCharType="separate"/>
      </w:r>
      <w:r>
        <w:rPr>
          <w:color w:val="auto"/>
        </w:rPr>
        <w:t>138</w:t>
      </w:r>
      <w:r>
        <w:rPr>
          <w:color w:val="auto"/>
        </w:rPr>
        <w:fldChar w:fldCharType="end"/>
      </w:r>
      <w:r>
        <w:rPr>
          <w:color w:val="auto"/>
        </w:rPr>
        <w:fldChar w:fldCharType="end"/>
      </w:r>
    </w:p>
    <w:p w14:paraId="27E9E700">
      <w:pPr>
        <w:pStyle w:val="42"/>
        <w:tabs>
          <w:tab w:val="right" w:leader="dot" w:pos="8730"/>
        </w:tabs>
        <w:rPr>
          <w:color w:val="auto"/>
        </w:rPr>
      </w:pPr>
      <w:r>
        <w:rPr>
          <w:color w:val="auto"/>
        </w:rPr>
        <w:fldChar w:fldCharType="begin"/>
      </w:r>
      <w:r>
        <w:rPr>
          <w:color w:val="auto"/>
        </w:rPr>
        <w:instrText xml:space="preserve"> HYPERLINK \l _Toc25959 </w:instrText>
      </w:r>
      <w:r>
        <w:rPr>
          <w:color w:val="auto"/>
        </w:rPr>
        <w:fldChar w:fldCharType="separate"/>
      </w:r>
      <w:r>
        <w:rPr>
          <w:rFonts w:hint="default" w:ascii="Times New Roman" w:hAnsi="Times New Roman" w:eastAsia="宋体" w:cs="宋体"/>
          <w:i w:val="0"/>
          <w:color w:val="auto"/>
        </w:rPr>
        <w:t xml:space="preserve">2.4 </w:t>
      </w:r>
      <w:r>
        <w:rPr>
          <w:rFonts w:ascii="Times New Roman" w:hAnsi="Times New Roman" w:eastAsia="宋体"/>
          <w:color w:val="auto"/>
        </w:rPr>
        <w:t>施工期污染物排放及治理措施</w:t>
      </w:r>
      <w:r>
        <w:rPr>
          <w:color w:val="auto"/>
        </w:rPr>
        <w:tab/>
      </w:r>
      <w:r>
        <w:rPr>
          <w:color w:val="auto"/>
        </w:rPr>
        <w:fldChar w:fldCharType="begin"/>
      </w:r>
      <w:r>
        <w:rPr>
          <w:color w:val="auto"/>
        </w:rPr>
        <w:instrText xml:space="preserve"> PAGEREF _Toc25959 \h </w:instrText>
      </w:r>
      <w:r>
        <w:rPr>
          <w:color w:val="auto"/>
        </w:rPr>
        <w:fldChar w:fldCharType="separate"/>
      </w:r>
      <w:r>
        <w:rPr>
          <w:color w:val="auto"/>
        </w:rPr>
        <w:t>147</w:t>
      </w:r>
      <w:r>
        <w:rPr>
          <w:color w:val="auto"/>
        </w:rPr>
        <w:fldChar w:fldCharType="end"/>
      </w:r>
      <w:r>
        <w:rPr>
          <w:color w:val="auto"/>
        </w:rPr>
        <w:fldChar w:fldCharType="end"/>
      </w:r>
    </w:p>
    <w:p w14:paraId="6B63C870">
      <w:pPr>
        <w:pStyle w:val="42"/>
        <w:tabs>
          <w:tab w:val="right" w:leader="dot" w:pos="8730"/>
        </w:tabs>
        <w:rPr>
          <w:color w:val="auto"/>
        </w:rPr>
      </w:pPr>
      <w:r>
        <w:rPr>
          <w:color w:val="auto"/>
        </w:rPr>
        <w:fldChar w:fldCharType="begin"/>
      </w:r>
      <w:r>
        <w:rPr>
          <w:color w:val="auto"/>
        </w:rPr>
        <w:instrText xml:space="preserve"> HYPERLINK \l _Toc16921 </w:instrText>
      </w:r>
      <w:r>
        <w:rPr>
          <w:color w:val="auto"/>
        </w:rPr>
        <w:fldChar w:fldCharType="separate"/>
      </w:r>
      <w:r>
        <w:rPr>
          <w:rFonts w:hint="default" w:ascii="Times New Roman" w:hAnsi="Times New Roman" w:eastAsia="宋体" w:cs="宋体"/>
          <w:i w:val="0"/>
          <w:color w:val="auto"/>
        </w:rPr>
        <w:t xml:space="preserve">2.5 </w:t>
      </w:r>
      <w:r>
        <w:rPr>
          <w:rFonts w:ascii="Times New Roman" w:hAnsi="Times New Roman" w:eastAsia="宋体"/>
          <w:color w:val="auto"/>
        </w:rPr>
        <w:t>营运期污染物产生及治理措施</w:t>
      </w:r>
      <w:r>
        <w:rPr>
          <w:color w:val="auto"/>
        </w:rPr>
        <w:tab/>
      </w:r>
      <w:r>
        <w:rPr>
          <w:color w:val="auto"/>
        </w:rPr>
        <w:fldChar w:fldCharType="begin"/>
      </w:r>
      <w:r>
        <w:rPr>
          <w:color w:val="auto"/>
        </w:rPr>
        <w:instrText xml:space="preserve"> PAGEREF _Toc16921 \h </w:instrText>
      </w:r>
      <w:r>
        <w:rPr>
          <w:color w:val="auto"/>
        </w:rPr>
        <w:fldChar w:fldCharType="separate"/>
      </w:r>
      <w:r>
        <w:rPr>
          <w:color w:val="auto"/>
        </w:rPr>
        <w:t>157</w:t>
      </w:r>
      <w:r>
        <w:rPr>
          <w:color w:val="auto"/>
        </w:rPr>
        <w:fldChar w:fldCharType="end"/>
      </w:r>
      <w:r>
        <w:rPr>
          <w:color w:val="auto"/>
        </w:rPr>
        <w:fldChar w:fldCharType="end"/>
      </w:r>
    </w:p>
    <w:p w14:paraId="42E330A0">
      <w:pPr>
        <w:pStyle w:val="42"/>
        <w:tabs>
          <w:tab w:val="right" w:leader="dot" w:pos="8730"/>
        </w:tabs>
        <w:rPr>
          <w:color w:val="auto"/>
        </w:rPr>
      </w:pPr>
      <w:r>
        <w:rPr>
          <w:color w:val="auto"/>
        </w:rPr>
        <w:fldChar w:fldCharType="begin"/>
      </w:r>
      <w:r>
        <w:rPr>
          <w:color w:val="auto"/>
        </w:rPr>
        <w:instrText xml:space="preserve"> HYPERLINK \l _Toc9896 </w:instrText>
      </w:r>
      <w:r>
        <w:rPr>
          <w:color w:val="auto"/>
        </w:rPr>
        <w:fldChar w:fldCharType="separate"/>
      </w:r>
      <w:r>
        <w:rPr>
          <w:rFonts w:hint="default" w:ascii="Times New Roman" w:hAnsi="Times New Roman" w:eastAsia="宋体" w:cs="宋体"/>
          <w:i w:val="0"/>
          <w:color w:val="auto"/>
        </w:rPr>
        <w:t xml:space="preserve">2.6 </w:t>
      </w:r>
      <w:r>
        <w:rPr>
          <w:rFonts w:ascii="Times New Roman" w:hAnsi="Times New Roman" w:eastAsia="宋体"/>
          <w:color w:val="auto"/>
        </w:rPr>
        <w:t>污染源源强核算结果及相关参数</w:t>
      </w:r>
      <w:r>
        <w:rPr>
          <w:color w:val="auto"/>
        </w:rPr>
        <w:tab/>
      </w:r>
      <w:r>
        <w:rPr>
          <w:color w:val="auto"/>
        </w:rPr>
        <w:fldChar w:fldCharType="begin"/>
      </w:r>
      <w:r>
        <w:rPr>
          <w:color w:val="auto"/>
        </w:rPr>
        <w:instrText xml:space="preserve"> PAGEREF _Toc9896 \h </w:instrText>
      </w:r>
      <w:r>
        <w:rPr>
          <w:color w:val="auto"/>
        </w:rPr>
        <w:fldChar w:fldCharType="separate"/>
      </w:r>
      <w:r>
        <w:rPr>
          <w:color w:val="auto"/>
        </w:rPr>
        <w:t>177</w:t>
      </w:r>
      <w:r>
        <w:rPr>
          <w:color w:val="auto"/>
        </w:rPr>
        <w:fldChar w:fldCharType="end"/>
      </w:r>
      <w:r>
        <w:rPr>
          <w:color w:val="auto"/>
        </w:rPr>
        <w:fldChar w:fldCharType="end"/>
      </w:r>
    </w:p>
    <w:p w14:paraId="35014E7B">
      <w:pPr>
        <w:pStyle w:val="42"/>
        <w:tabs>
          <w:tab w:val="right" w:leader="dot" w:pos="8730"/>
        </w:tabs>
        <w:rPr>
          <w:color w:val="auto"/>
        </w:rPr>
      </w:pPr>
      <w:r>
        <w:rPr>
          <w:color w:val="auto"/>
        </w:rPr>
        <w:fldChar w:fldCharType="begin"/>
      </w:r>
      <w:r>
        <w:rPr>
          <w:color w:val="auto"/>
        </w:rPr>
        <w:instrText xml:space="preserve"> HYPERLINK \l _Toc5867 </w:instrText>
      </w:r>
      <w:r>
        <w:rPr>
          <w:color w:val="auto"/>
        </w:rPr>
        <w:fldChar w:fldCharType="separate"/>
      </w:r>
      <w:r>
        <w:rPr>
          <w:rFonts w:hint="default" w:ascii="Times New Roman" w:hAnsi="Times New Roman" w:eastAsia="宋体" w:cs="宋体"/>
          <w:i w:val="0"/>
          <w:color w:val="auto"/>
        </w:rPr>
        <w:t xml:space="preserve">2.7 </w:t>
      </w:r>
      <w:r>
        <w:rPr>
          <w:color w:val="auto"/>
        </w:rPr>
        <w:t>营运期</w:t>
      </w:r>
      <w:r>
        <w:rPr>
          <w:rFonts w:hint="eastAsia"/>
          <w:color w:val="auto"/>
          <w:lang w:eastAsia="zh-CN"/>
        </w:rPr>
        <w:t>“</w:t>
      </w:r>
      <w:r>
        <w:rPr>
          <w:color w:val="auto"/>
        </w:rPr>
        <w:t>三废</w:t>
      </w:r>
      <w:r>
        <w:rPr>
          <w:rFonts w:hint="eastAsia"/>
          <w:color w:val="auto"/>
          <w:lang w:eastAsia="zh-CN"/>
        </w:rPr>
        <w:t>”</w:t>
      </w:r>
      <w:r>
        <w:rPr>
          <w:color w:val="auto"/>
        </w:rPr>
        <w:t>产生及排放情况统计</w:t>
      </w:r>
      <w:r>
        <w:rPr>
          <w:color w:val="auto"/>
        </w:rPr>
        <w:tab/>
      </w:r>
      <w:r>
        <w:rPr>
          <w:color w:val="auto"/>
        </w:rPr>
        <w:fldChar w:fldCharType="begin"/>
      </w:r>
      <w:r>
        <w:rPr>
          <w:color w:val="auto"/>
        </w:rPr>
        <w:instrText xml:space="preserve"> PAGEREF _Toc5867 \h </w:instrText>
      </w:r>
      <w:r>
        <w:rPr>
          <w:color w:val="auto"/>
        </w:rPr>
        <w:fldChar w:fldCharType="separate"/>
      </w:r>
      <w:r>
        <w:rPr>
          <w:color w:val="auto"/>
        </w:rPr>
        <w:t>180</w:t>
      </w:r>
      <w:r>
        <w:rPr>
          <w:color w:val="auto"/>
        </w:rPr>
        <w:fldChar w:fldCharType="end"/>
      </w:r>
      <w:r>
        <w:rPr>
          <w:color w:val="auto"/>
        </w:rPr>
        <w:fldChar w:fldCharType="end"/>
      </w:r>
    </w:p>
    <w:p w14:paraId="1DFA778A">
      <w:pPr>
        <w:pStyle w:val="42"/>
        <w:tabs>
          <w:tab w:val="right" w:leader="dot" w:pos="8730"/>
        </w:tabs>
        <w:rPr>
          <w:color w:val="auto"/>
        </w:rPr>
      </w:pPr>
      <w:r>
        <w:rPr>
          <w:color w:val="auto"/>
        </w:rPr>
        <w:fldChar w:fldCharType="begin"/>
      </w:r>
      <w:r>
        <w:rPr>
          <w:color w:val="auto"/>
        </w:rPr>
        <w:instrText xml:space="preserve"> HYPERLINK \l _Toc15905 </w:instrText>
      </w:r>
      <w:r>
        <w:rPr>
          <w:color w:val="auto"/>
        </w:rPr>
        <w:fldChar w:fldCharType="separate"/>
      </w:r>
      <w:r>
        <w:rPr>
          <w:rFonts w:hint="default" w:ascii="Times New Roman" w:hAnsi="Times New Roman" w:eastAsia="宋体" w:cs="宋体"/>
          <w:i w:val="0"/>
          <w:color w:val="auto"/>
        </w:rPr>
        <w:t xml:space="preserve">2.8 </w:t>
      </w:r>
      <w:r>
        <w:rPr>
          <w:rFonts w:ascii="Times New Roman" w:hAnsi="Times New Roman" w:eastAsia="宋体"/>
          <w:color w:val="auto"/>
        </w:rPr>
        <w:t>清洁生产</w:t>
      </w:r>
      <w:r>
        <w:rPr>
          <w:color w:val="auto"/>
        </w:rPr>
        <w:tab/>
      </w:r>
      <w:r>
        <w:rPr>
          <w:color w:val="auto"/>
        </w:rPr>
        <w:fldChar w:fldCharType="begin"/>
      </w:r>
      <w:r>
        <w:rPr>
          <w:color w:val="auto"/>
        </w:rPr>
        <w:instrText xml:space="preserve"> PAGEREF _Toc15905 \h </w:instrText>
      </w:r>
      <w:r>
        <w:rPr>
          <w:color w:val="auto"/>
        </w:rPr>
        <w:fldChar w:fldCharType="separate"/>
      </w:r>
      <w:r>
        <w:rPr>
          <w:color w:val="auto"/>
        </w:rPr>
        <w:t>183</w:t>
      </w:r>
      <w:r>
        <w:rPr>
          <w:color w:val="auto"/>
        </w:rPr>
        <w:fldChar w:fldCharType="end"/>
      </w:r>
      <w:r>
        <w:rPr>
          <w:color w:val="auto"/>
        </w:rPr>
        <w:fldChar w:fldCharType="end"/>
      </w:r>
    </w:p>
    <w:p w14:paraId="493E5600">
      <w:pPr>
        <w:pStyle w:val="42"/>
        <w:tabs>
          <w:tab w:val="right" w:leader="dot" w:pos="8730"/>
        </w:tabs>
        <w:rPr>
          <w:color w:val="auto"/>
        </w:rPr>
      </w:pPr>
      <w:r>
        <w:rPr>
          <w:color w:val="auto"/>
        </w:rPr>
        <w:fldChar w:fldCharType="begin"/>
      </w:r>
      <w:r>
        <w:rPr>
          <w:color w:val="auto"/>
        </w:rPr>
        <w:instrText xml:space="preserve"> HYPERLINK \l _Toc3928 </w:instrText>
      </w:r>
      <w:r>
        <w:rPr>
          <w:color w:val="auto"/>
        </w:rPr>
        <w:fldChar w:fldCharType="separate"/>
      </w:r>
      <w:r>
        <w:rPr>
          <w:rFonts w:hint="default" w:ascii="Times New Roman" w:hAnsi="Times New Roman" w:eastAsia="宋体" w:cs="宋体"/>
          <w:i w:val="0"/>
          <w:color w:val="auto"/>
        </w:rPr>
        <w:t xml:space="preserve">2.9 </w:t>
      </w:r>
      <w:r>
        <w:rPr>
          <w:rFonts w:ascii="Times New Roman" w:hAnsi="Times New Roman" w:eastAsia="宋体"/>
          <w:color w:val="auto"/>
        </w:rPr>
        <w:t>总量控制指标</w:t>
      </w:r>
      <w:r>
        <w:rPr>
          <w:color w:val="auto"/>
        </w:rPr>
        <w:tab/>
      </w:r>
      <w:r>
        <w:rPr>
          <w:color w:val="auto"/>
        </w:rPr>
        <w:fldChar w:fldCharType="begin"/>
      </w:r>
      <w:r>
        <w:rPr>
          <w:color w:val="auto"/>
        </w:rPr>
        <w:instrText xml:space="preserve"> PAGEREF _Toc3928 \h </w:instrText>
      </w:r>
      <w:r>
        <w:rPr>
          <w:color w:val="auto"/>
        </w:rPr>
        <w:fldChar w:fldCharType="separate"/>
      </w:r>
      <w:r>
        <w:rPr>
          <w:color w:val="auto"/>
        </w:rPr>
        <w:t>186</w:t>
      </w:r>
      <w:r>
        <w:rPr>
          <w:color w:val="auto"/>
        </w:rPr>
        <w:fldChar w:fldCharType="end"/>
      </w:r>
      <w:r>
        <w:rPr>
          <w:color w:val="auto"/>
        </w:rPr>
        <w:fldChar w:fldCharType="end"/>
      </w:r>
    </w:p>
    <w:p w14:paraId="52C38692">
      <w:pPr>
        <w:pStyle w:val="35"/>
        <w:tabs>
          <w:tab w:val="right" w:leader="dot" w:pos="8730"/>
        </w:tabs>
        <w:rPr>
          <w:color w:val="auto"/>
        </w:rPr>
      </w:pPr>
      <w:r>
        <w:rPr>
          <w:color w:val="auto"/>
        </w:rPr>
        <w:fldChar w:fldCharType="begin"/>
      </w:r>
      <w:r>
        <w:rPr>
          <w:color w:val="auto"/>
        </w:rPr>
        <w:instrText xml:space="preserve"> HYPERLINK \l _Toc20925 </w:instrText>
      </w:r>
      <w:r>
        <w:rPr>
          <w:color w:val="auto"/>
        </w:rPr>
        <w:fldChar w:fldCharType="separate"/>
      </w:r>
      <w:r>
        <w:rPr>
          <w:rFonts w:hint="default" w:ascii="Times New Roman" w:hAnsi="Times New Roman" w:eastAsia="宋体" w:cs="宋体"/>
          <w:i w:val="0"/>
          <w:color w:val="auto"/>
        </w:rPr>
        <w:t xml:space="preserve">3 </w:t>
      </w:r>
      <w:r>
        <w:rPr>
          <w:rFonts w:eastAsia="宋体"/>
          <w:color w:val="auto"/>
        </w:rPr>
        <w:t>环境现状调查与评价</w:t>
      </w:r>
      <w:r>
        <w:rPr>
          <w:color w:val="auto"/>
        </w:rPr>
        <w:tab/>
      </w:r>
      <w:r>
        <w:rPr>
          <w:color w:val="auto"/>
        </w:rPr>
        <w:fldChar w:fldCharType="begin"/>
      </w:r>
      <w:r>
        <w:rPr>
          <w:color w:val="auto"/>
        </w:rPr>
        <w:instrText xml:space="preserve"> PAGEREF _Toc20925 \h </w:instrText>
      </w:r>
      <w:r>
        <w:rPr>
          <w:color w:val="auto"/>
        </w:rPr>
        <w:fldChar w:fldCharType="separate"/>
      </w:r>
      <w:r>
        <w:rPr>
          <w:color w:val="auto"/>
        </w:rPr>
        <w:t>188</w:t>
      </w:r>
      <w:r>
        <w:rPr>
          <w:color w:val="auto"/>
        </w:rPr>
        <w:fldChar w:fldCharType="end"/>
      </w:r>
      <w:r>
        <w:rPr>
          <w:color w:val="auto"/>
        </w:rPr>
        <w:fldChar w:fldCharType="end"/>
      </w:r>
    </w:p>
    <w:p w14:paraId="45D4DF83">
      <w:pPr>
        <w:pStyle w:val="42"/>
        <w:tabs>
          <w:tab w:val="right" w:leader="dot" w:pos="8730"/>
        </w:tabs>
        <w:rPr>
          <w:color w:val="auto"/>
        </w:rPr>
      </w:pPr>
      <w:r>
        <w:rPr>
          <w:color w:val="auto"/>
        </w:rPr>
        <w:fldChar w:fldCharType="begin"/>
      </w:r>
      <w:r>
        <w:rPr>
          <w:color w:val="auto"/>
        </w:rPr>
        <w:instrText xml:space="preserve"> HYPERLINK \l _Toc6880 </w:instrText>
      </w:r>
      <w:r>
        <w:rPr>
          <w:color w:val="auto"/>
        </w:rPr>
        <w:fldChar w:fldCharType="separate"/>
      </w:r>
      <w:r>
        <w:rPr>
          <w:rFonts w:hint="default" w:ascii="Times New Roman" w:hAnsi="Times New Roman" w:eastAsia="宋体" w:cs="宋体"/>
          <w:i w:val="0"/>
          <w:color w:val="auto"/>
        </w:rPr>
        <w:t xml:space="preserve">3.1 </w:t>
      </w:r>
      <w:r>
        <w:rPr>
          <w:color w:val="auto"/>
        </w:rPr>
        <w:t>自然环境现状调查与评价</w:t>
      </w:r>
      <w:r>
        <w:rPr>
          <w:color w:val="auto"/>
        </w:rPr>
        <w:tab/>
      </w:r>
      <w:r>
        <w:rPr>
          <w:color w:val="auto"/>
        </w:rPr>
        <w:fldChar w:fldCharType="begin"/>
      </w:r>
      <w:r>
        <w:rPr>
          <w:color w:val="auto"/>
        </w:rPr>
        <w:instrText xml:space="preserve"> PAGEREF _Toc6880 \h </w:instrText>
      </w:r>
      <w:r>
        <w:rPr>
          <w:color w:val="auto"/>
        </w:rPr>
        <w:fldChar w:fldCharType="separate"/>
      </w:r>
      <w:r>
        <w:rPr>
          <w:color w:val="auto"/>
        </w:rPr>
        <w:t>188</w:t>
      </w:r>
      <w:r>
        <w:rPr>
          <w:color w:val="auto"/>
        </w:rPr>
        <w:fldChar w:fldCharType="end"/>
      </w:r>
      <w:r>
        <w:rPr>
          <w:color w:val="auto"/>
        </w:rPr>
        <w:fldChar w:fldCharType="end"/>
      </w:r>
    </w:p>
    <w:p w14:paraId="6D32B910">
      <w:pPr>
        <w:pStyle w:val="42"/>
        <w:tabs>
          <w:tab w:val="right" w:leader="dot" w:pos="8730"/>
        </w:tabs>
        <w:rPr>
          <w:color w:val="auto"/>
        </w:rPr>
      </w:pPr>
      <w:r>
        <w:rPr>
          <w:color w:val="auto"/>
        </w:rPr>
        <w:fldChar w:fldCharType="begin"/>
      </w:r>
      <w:r>
        <w:rPr>
          <w:color w:val="auto"/>
        </w:rPr>
        <w:instrText xml:space="preserve"> HYPERLINK \l _Toc14128 </w:instrText>
      </w:r>
      <w:r>
        <w:rPr>
          <w:color w:val="auto"/>
        </w:rPr>
        <w:fldChar w:fldCharType="separate"/>
      </w:r>
      <w:r>
        <w:rPr>
          <w:rFonts w:hint="default" w:ascii="Times New Roman" w:hAnsi="Times New Roman" w:eastAsia="宋体" w:cs="宋体"/>
          <w:i w:val="0"/>
          <w:color w:val="auto"/>
        </w:rPr>
        <w:t xml:space="preserve">3.2 </w:t>
      </w:r>
      <w:r>
        <w:rPr>
          <w:color w:val="auto"/>
        </w:rPr>
        <w:t>环境质量现状调查与评价</w:t>
      </w:r>
      <w:r>
        <w:rPr>
          <w:color w:val="auto"/>
        </w:rPr>
        <w:tab/>
      </w:r>
      <w:r>
        <w:rPr>
          <w:color w:val="auto"/>
        </w:rPr>
        <w:fldChar w:fldCharType="begin"/>
      </w:r>
      <w:r>
        <w:rPr>
          <w:color w:val="auto"/>
        </w:rPr>
        <w:instrText xml:space="preserve"> PAGEREF _Toc14128 \h </w:instrText>
      </w:r>
      <w:r>
        <w:rPr>
          <w:color w:val="auto"/>
        </w:rPr>
        <w:fldChar w:fldCharType="separate"/>
      </w:r>
      <w:r>
        <w:rPr>
          <w:color w:val="auto"/>
        </w:rPr>
        <w:t>199</w:t>
      </w:r>
      <w:r>
        <w:rPr>
          <w:color w:val="auto"/>
        </w:rPr>
        <w:fldChar w:fldCharType="end"/>
      </w:r>
      <w:r>
        <w:rPr>
          <w:color w:val="auto"/>
        </w:rPr>
        <w:fldChar w:fldCharType="end"/>
      </w:r>
    </w:p>
    <w:p w14:paraId="4F0C80B2">
      <w:pPr>
        <w:pStyle w:val="35"/>
        <w:tabs>
          <w:tab w:val="right" w:leader="dot" w:pos="8730"/>
        </w:tabs>
        <w:rPr>
          <w:color w:val="auto"/>
        </w:rPr>
      </w:pPr>
      <w:r>
        <w:rPr>
          <w:color w:val="auto"/>
        </w:rPr>
        <w:fldChar w:fldCharType="begin"/>
      </w:r>
      <w:r>
        <w:rPr>
          <w:color w:val="auto"/>
        </w:rPr>
        <w:instrText xml:space="preserve"> HYPERLINK \l _Toc30054 </w:instrText>
      </w:r>
      <w:r>
        <w:rPr>
          <w:color w:val="auto"/>
        </w:rPr>
        <w:fldChar w:fldCharType="separate"/>
      </w:r>
      <w:r>
        <w:rPr>
          <w:rFonts w:hint="default" w:ascii="Times New Roman" w:hAnsi="Times New Roman" w:eastAsia="宋体" w:cs="宋体"/>
          <w:i w:val="0"/>
          <w:color w:val="auto"/>
        </w:rPr>
        <w:t xml:space="preserve">4 </w:t>
      </w:r>
      <w:r>
        <w:rPr>
          <w:rFonts w:eastAsia="宋体"/>
          <w:color w:val="auto"/>
        </w:rPr>
        <w:t>环境影响预测与评价</w:t>
      </w:r>
      <w:r>
        <w:rPr>
          <w:color w:val="auto"/>
        </w:rPr>
        <w:tab/>
      </w:r>
      <w:r>
        <w:rPr>
          <w:color w:val="auto"/>
        </w:rPr>
        <w:fldChar w:fldCharType="begin"/>
      </w:r>
      <w:r>
        <w:rPr>
          <w:color w:val="auto"/>
        </w:rPr>
        <w:instrText xml:space="preserve"> PAGEREF _Toc30054 \h </w:instrText>
      </w:r>
      <w:r>
        <w:rPr>
          <w:color w:val="auto"/>
        </w:rPr>
        <w:fldChar w:fldCharType="separate"/>
      </w:r>
      <w:r>
        <w:rPr>
          <w:color w:val="auto"/>
        </w:rPr>
        <w:t>229</w:t>
      </w:r>
      <w:r>
        <w:rPr>
          <w:color w:val="auto"/>
        </w:rPr>
        <w:fldChar w:fldCharType="end"/>
      </w:r>
      <w:r>
        <w:rPr>
          <w:color w:val="auto"/>
        </w:rPr>
        <w:fldChar w:fldCharType="end"/>
      </w:r>
    </w:p>
    <w:p w14:paraId="1B31B19A">
      <w:pPr>
        <w:pStyle w:val="42"/>
        <w:tabs>
          <w:tab w:val="right" w:leader="dot" w:pos="8730"/>
        </w:tabs>
        <w:rPr>
          <w:color w:val="auto"/>
        </w:rPr>
      </w:pPr>
      <w:r>
        <w:rPr>
          <w:color w:val="auto"/>
        </w:rPr>
        <w:fldChar w:fldCharType="begin"/>
      </w:r>
      <w:r>
        <w:rPr>
          <w:color w:val="auto"/>
        </w:rPr>
        <w:instrText xml:space="preserve"> HYPERLINK \l _Toc22550 </w:instrText>
      </w:r>
      <w:r>
        <w:rPr>
          <w:color w:val="auto"/>
        </w:rPr>
        <w:fldChar w:fldCharType="separate"/>
      </w:r>
      <w:r>
        <w:rPr>
          <w:rFonts w:hint="default" w:ascii="Times New Roman" w:hAnsi="Times New Roman" w:eastAsia="宋体" w:cs="宋体"/>
          <w:i w:val="0"/>
          <w:color w:val="auto"/>
        </w:rPr>
        <w:t xml:space="preserve">4.1 </w:t>
      </w:r>
      <w:r>
        <w:rPr>
          <w:rFonts w:ascii="Times New Roman" w:hAnsi="Times New Roman" w:eastAsia="宋体"/>
          <w:color w:val="auto"/>
        </w:rPr>
        <w:t>施工期环境影响预测与评价</w:t>
      </w:r>
      <w:r>
        <w:rPr>
          <w:color w:val="auto"/>
        </w:rPr>
        <w:tab/>
      </w:r>
      <w:r>
        <w:rPr>
          <w:color w:val="auto"/>
        </w:rPr>
        <w:fldChar w:fldCharType="begin"/>
      </w:r>
      <w:r>
        <w:rPr>
          <w:color w:val="auto"/>
        </w:rPr>
        <w:instrText xml:space="preserve"> PAGEREF _Toc22550 \h </w:instrText>
      </w:r>
      <w:r>
        <w:rPr>
          <w:color w:val="auto"/>
        </w:rPr>
        <w:fldChar w:fldCharType="separate"/>
      </w:r>
      <w:r>
        <w:rPr>
          <w:color w:val="auto"/>
        </w:rPr>
        <w:t>229</w:t>
      </w:r>
      <w:r>
        <w:rPr>
          <w:color w:val="auto"/>
        </w:rPr>
        <w:fldChar w:fldCharType="end"/>
      </w:r>
      <w:r>
        <w:rPr>
          <w:color w:val="auto"/>
        </w:rPr>
        <w:fldChar w:fldCharType="end"/>
      </w:r>
    </w:p>
    <w:p w14:paraId="357E183D">
      <w:pPr>
        <w:pStyle w:val="42"/>
        <w:tabs>
          <w:tab w:val="right" w:leader="dot" w:pos="8730"/>
        </w:tabs>
        <w:rPr>
          <w:color w:val="auto"/>
        </w:rPr>
      </w:pPr>
      <w:r>
        <w:rPr>
          <w:color w:val="auto"/>
        </w:rPr>
        <w:fldChar w:fldCharType="begin"/>
      </w:r>
      <w:r>
        <w:rPr>
          <w:color w:val="auto"/>
        </w:rPr>
        <w:instrText xml:space="preserve"> HYPERLINK \l _Toc4156 </w:instrText>
      </w:r>
      <w:r>
        <w:rPr>
          <w:color w:val="auto"/>
        </w:rPr>
        <w:fldChar w:fldCharType="separate"/>
      </w:r>
      <w:r>
        <w:rPr>
          <w:rFonts w:hint="default" w:ascii="Times New Roman" w:hAnsi="Times New Roman" w:eastAsia="宋体" w:cs="宋体"/>
          <w:i w:val="0"/>
          <w:color w:val="auto"/>
        </w:rPr>
        <w:t xml:space="preserve">4.2 </w:t>
      </w:r>
      <w:r>
        <w:rPr>
          <w:rFonts w:ascii="Times New Roman" w:hAnsi="Times New Roman" w:eastAsia="宋体"/>
          <w:color w:val="auto"/>
        </w:rPr>
        <w:t>营运期环境影响预测与评价</w:t>
      </w:r>
      <w:r>
        <w:rPr>
          <w:color w:val="auto"/>
        </w:rPr>
        <w:tab/>
      </w:r>
      <w:r>
        <w:rPr>
          <w:color w:val="auto"/>
        </w:rPr>
        <w:fldChar w:fldCharType="begin"/>
      </w:r>
      <w:r>
        <w:rPr>
          <w:color w:val="auto"/>
        </w:rPr>
        <w:instrText xml:space="preserve"> PAGEREF _Toc4156 \h </w:instrText>
      </w:r>
      <w:r>
        <w:rPr>
          <w:color w:val="auto"/>
        </w:rPr>
        <w:fldChar w:fldCharType="separate"/>
      </w:r>
      <w:r>
        <w:rPr>
          <w:color w:val="auto"/>
        </w:rPr>
        <w:t>244</w:t>
      </w:r>
      <w:r>
        <w:rPr>
          <w:color w:val="auto"/>
        </w:rPr>
        <w:fldChar w:fldCharType="end"/>
      </w:r>
      <w:r>
        <w:rPr>
          <w:color w:val="auto"/>
        </w:rPr>
        <w:fldChar w:fldCharType="end"/>
      </w:r>
    </w:p>
    <w:p w14:paraId="34883059">
      <w:pPr>
        <w:pStyle w:val="35"/>
        <w:tabs>
          <w:tab w:val="right" w:leader="dot" w:pos="8730"/>
        </w:tabs>
        <w:rPr>
          <w:color w:val="auto"/>
        </w:rPr>
      </w:pPr>
      <w:r>
        <w:rPr>
          <w:color w:val="auto"/>
        </w:rPr>
        <w:fldChar w:fldCharType="begin"/>
      </w:r>
      <w:r>
        <w:rPr>
          <w:color w:val="auto"/>
        </w:rPr>
        <w:instrText xml:space="preserve"> HYPERLINK \l _Toc26655 </w:instrText>
      </w:r>
      <w:r>
        <w:rPr>
          <w:color w:val="auto"/>
        </w:rPr>
        <w:fldChar w:fldCharType="separate"/>
      </w:r>
      <w:r>
        <w:rPr>
          <w:rFonts w:hint="default" w:ascii="Times New Roman" w:hAnsi="Times New Roman" w:eastAsia="宋体" w:cs="宋体"/>
          <w:i w:val="0"/>
          <w:color w:val="auto"/>
        </w:rPr>
        <w:t xml:space="preserve">5 </w:t>
      </w:r>
      <w:r>
        <w:rPr>
          <w:color w:val="auto"/>
        </w:rPr>
        <w:t>环境风险</w:t>
      </w:r>
      <w:r>
        <w:rPr>
          <w:rFonts w:hint="eastAsia"/>
          <w:color w:val="auto"/>
          <w:lang w:val="en-US" w:eastAsia="zh-CN"/>
        </w:rPr>
        <w:t>评价</w:t>
      </w:r>
      <w:r>
        <w:rPr>
          <w:color w:val="auto"/>
        </w:rPr>
        <w:tab/>
      </w:r>
      <w:r>
        <w:rPr>
          <w:color w:val="auto"/>
        </w:rPr>
        <w:fldChar w:fldCharType="begin"/>
      </w:r>
      <w:r>
        <w:rPr>
          <w:color w:val="auto"/>
        </w:rPr>
        <w:instrText xml:space="preserve"> PAGEREF _Toc26655 \h </w:instrText>
      </w:r>
      <w:r>
        <w:rPr>
          <w:color w:val="auto"/>
        </w:rPr>
        <w:fldChar w:fldCharType="separate"/>
      </w:r>
      <w:r>
        <w:rPr>
          <w:color w:val="auto"/>
        </w:rPr>
        <w:t>307</w:t>
      </w:r>
      <w:r>
        <w:rPr>
          <w:color w:val="auto"/>
        </w:rPr>
        <w:fldChar w:fldCharType="end"/>
      </w:r>
      <w:r>
        <w:rPr>
          <w:color w:val="auto"/>
        </w:rPr>
        <w:fldChar w:fldCharType="end"/>
      </w:r>
    </w:p>
    <w:p w14:paraId="67A20185">
      <w:pPr>
        <w:pStyle w:val="42"/>
        <w:tabs>
          <w:tab w:val="right" w:leader="dot" w:pos="8730"/>
        </w:tabs>
        <w:rPr>
          <w:color w:val="auto"/>
        </w:rPr>
      </w:pPr>
      <w:r>
        <w:rPr>
          <w:color w:val="auto"/>
        </w:rPr>
        <w:fldChar w:fldCharType="begin"/>
      </w:r>
      <w:r>
        <w:rPr>
          <w:color w:val="auto"/>
        </w:rPr>
        <w:instrText xml:space="preserve"> HYPERLINK \l _Toc15525 </w:instrText>
      </w:r>
      <w:r>
        <w:rPr>
          <w:color w:val="auto"/>
        </w:rPr>
        <w:fldChar w:fldCharType="separate"/>
      </w:r>
      <w:r>
        <w:rPr>
          <w:rFonts w:hint="default" w:ascii="Times New Roman" w:hAnsi="Times New Roman" w:eastAsia="宋体" w:cs="宋体"/>
          <w:i w:val="0"/>
          <w:color w:val="auto"/>
        </w:rPr>
        <w:t xml:space="preserve">5.1 </w:t>
      </w:r>
      <w:r>
        <w:rPr>
          <w:color w:val="auto"/>
        </w:rPr>
        <w:t>环境风险评价的目的与重点</w:t>
      </w:r>
      <w:r>
        <w:rPr>
          <w:color w:val="auto"/>
        </w:rPr>
        <w:tab/>
      </w:r>
      <w:r>
        <w:rPr>
          <w:color w:val="auto"/>
        </w:rPr>
        <w:fldChar w:fldCharType="begin"/>
      </w:r>
      <w:r>
        <w:rPr>
          <w:color w:val="auto"/>
        </w:rPr>
        <w:instrText xml:space="preserve"> PAGEREF _Toc15525 \h </w:instrText>
      </w:r>
      <w:r>
        <w:rPr>
          <w:color w:val="auto"/>
        </w:rPr>
        <w:fldChar w:fldCharType="separate"/>
      </w:r>
      <w:r>
        <w:rPr>
          <w:color w:val="auto"/>
        </w:rPr>
        <w:t>307</w:t>
      </w:r>
      <w:r>
        <w:rPr>
          <w:color w:val="auto"/>
        </w:rPr>
        <w:fldChar w:fldCharType="end"/>
      </w:r>
      <w:r>
        <w:rPr>
          <w:color w:val="auto"/>
        </w:rPr>
        <w:fldChar w:fldCharType="end"/>
      </w:r>
    </w:p>
    <w:p w14:paraId="4D6FEFE7">
      <w:pPr>
        <w:pStyle w:val="42"/>
        <w:tabs>
          <w:tab w:val="right" w:leader="dot" w:pos="8730"/>
        </w:tabs>
        <w:rPr>
          <w:color w:val="auto"/>
        </w:rPr>
      </w:pPr>
      <w:r>
        <w:rPr>
          <w:color w:val="auto"/>
        </w:rPr>
        <w:fldChar w:fldCharType="begin"/>
      </w:r>
      <w:r>
        <w:rPr>
          <w:color w:val="auto"/>
        </w:rPr>
        <w:instrText xml:space="preserve"> HYPERLINK \l _Toc21237 </w:instrText>
      </w:r>
      <w:r>
        <w:rPr>
          <w:color w:val="auto"/>
        </w:rPr>
        <w:fldChar w:fldCharType="separate"/>
      </w:r>
      <w:r>
        <w:rPr>
          <w:rFonts w:hint="default" w:ascii="Times New Roman" w:hAnsi="Times New Roman" w:eastAsia="宋体" w:cs="宋体"/>
          <w:i w:val="0"/>
          <w:color w:val="auto"/>
        </w:rPr>
        <w:t xml:space="preserve">5.2 </w:t>
      </w:r>
      <w:r>
        <w:rPr>
          <w:color w:val="auto"/>
        </w:rPr>
        <w:t>评价依据</w:t>
      </w:r>
      <w:r>
        <w:rPr>
          <w:color w:val="auto"/>
        </w:rPr>
        <w:tab/>
      </w:r>
      <w:r>
        <w:rPr>
          <w:color w:val="auto"/>
        </w:rPr>
        <w:fldChar w:fldCharType="begin"/>
      </w:r>
      <w:r>
        <w:rPr>
          <w:color w:val="auto"/>
        </w:rPr>
        <w:instrText xml:space="preserve"> PAGEREF _Toc21237 \h </w:instrText>
      </w:r>
      <w:r>
        <w:rPr>
          <w:color w:val="auto"/>
        </w:rPr>
        <w:fldChar w:fldCharType="separate"/>
      </w:r>
      <w:r>
        <w:rPr>
          <w:color w:val="auto"/>
        </w:rPr>
        <w:t>307</w:t>
      </w:r>
      <w:r>
        <w:rPr>
          <w:color w:val="auto"/>
        </w:rPr>
        <w:fldChar w:fldCharType="end"/>
      </w:r>
      <w:r>
        <w:rPr>
          <w:color w:val="auto"/>
        </w:rPr>
        <w:fldChar w:fldCharType="end"/>
      </w:r>
    </w:p>
    <w:p w14:paraId="786BCC8A">
      <w:pPr>
        <w:pStyle w:val="42"/>
        <w:tabs>
          <w:tab w:val="right" w:leader="dot" w:pos="8730"/>
        </w:tabs>
        <w:rPr>
          <w:color w:val="auto"/>
        </w:rPr>
      </w:pPr>
      <w:r>
        <w:rPr>
          <w:color w:val="auto"/>
        </w:rPr>
        <w:fldChar w:fldCharType="begin"/>
      </w:r>
      <w:r>
        <w:rPr>
          <w:color w:val="auto"/>
        </w:rPr>
        <w:instrText xml:space="preserve"> HYPERLINK \l _Toc6926 </w:instrText>
      </w:r>
      <w:r>
        <w:rPr>
          <w:color w:val="auto"/>
        </w:rPr>
        <w:fldChar w:fldCharType="separate"/>
      </w:r>
      <w:r>
        <w:rPr>
          <w:rFonts w:hint="default" w:ascii="Times New Roman" w:hAnsi="Times New Roman" w:eastAsia="宋体" w:cs="宋体"/>
          <w:i w:val="0"/>
          <w:color w:val="auto"/>
        </w:rPr>
        <w:t xml:space="preserve">5.3 </w:t>
      </w:r>
      <w:r>
        <w:rPr>
          <w:color w:val="auto"/>
        </w:rPr>
        <w:t>环境风险识别</w:t>
      </w:r>
      <w:r>
        <w:rPr>
          <w:color w:val="auto"/>
        </w:rPr>
        <w:tab/>
      </w:r>
      <w:r>
        <w:rPr>
          <w:color w:val="auto"/>
        </w:rPr>
        <w:fldChar w:fldCharType="begin"/>
      </w:r>
      <w:r>
        <w:rPr>
          <w:color w:val="auto"/>
        </w:rPr>
        <w:instrText xml:space="preserve"> PAGEREF _Toc6926 \h </w:instrText>
      </w:r>
      <w:r>
        <w:rPr>
          <w:color w:val="auto"/>
        </w:rPr>
        <w:fldChar w:fldCharType="separate"/>
      </w:r>
      <w:r>
        <w:rPr>
          <w:color w:val="auto"/>
        </w:rPr>
        <w:t>309</w:t>
      </w:r>
      <w:r>
        <w:rPr>
          <w:color w:val="auto"/>
        </w:rPr>
        <w:fldChar w:fldCharType="end"/>
      </w:r>
      <w:r>
        <w:rPr>
          <w:color w:val="auto"/>
        </w:rPr>
        <w:fldChar w:fldCharType="end"/>
      </w:r>
    </w:p>
    <w:p w14:paraId="7A6D5565">
      <w:pPr>
        <w:pStyle w:val="42"/>
        <w:tabs>
          <w:tab w:val="right" w:leader="dot" w:pos="8730"/>
        </w:tabs>
        <w:rPr>
          <w:color w:val="auto"/>
        </w:rPr>
      </w:pPr>
      <w:r>
        <w:rPr>
          <w:color w:val="auto"/>
        </w:rPr>
        <w:fldChar w:fldCharType="begin"/>
      </w:r>
      <w:r>
        <w:rPr>
          <w:color w:val="auto"/>
        </w:rPr>
        <w:instrText xml:space="preserve"> HYPERLINK \l _Toc3476 </w:instrText>
      </w:r>
      <w:r>
        <w:rPr>
          <w:color w:val="auto"/>
        </w:rPr>
        <w:fldChar w:fldCharType="separate"/>
      </w:r>
      <w:r>
        <w:rPr>
          <w:rFonts w:hint="default" w:ascii="Times New Roman" w:hAnsi="Times New Roman" w:eastAsia="宋体" w:cs="宋体"/>
          <w:i w:val="0"/>
          <w:color w:val="auto"/>
        </w:rPr>
        <w:t xml:space="preserve">5.4 </w:t>
      </w:r>
      <w:r>
        <w:rPr>
          <w:color w:val="auto"/>
        </w:rPr>
        <w:t>环境风险事故类型</w:t>
      </w:r>
      <w:r>
        <w:rPr>
          <w:color w:val="auto"/>
        </w:rPr>
        <w:tab/>
      </w:r>
      <w:r>
        <w:rPr>
          <w:color w:val="auto"/>
        </w:rPr>
        <w:fldChar w:fldCharType="begin"/>
      </w:r>
      <w:r>
        <w:rPr>
          <w:color w:val="auto"/>
        </w:rPr>
        <w:instrText xml:space="preserve"> PAGEREF _Toc3476 \h </w:instrText>
      </w:r>
      <w:r>
        <w:rPr>
          <w:color w:val="auto"/>
        </w:rPr>
        <w:fldChar w:fldCharType="separate"/>
      </w:r>
      <w:r>
        <w:rPr>
          <w:color w:val="auto"/>
        </w:rPr>
        <w:t>311</w:t>
      </w:r>
      <w:r>
        <w:rPr>
          <w:color w:val="auto"/>
        </w:rPr>
        <w:fldChar w:fldCharType="end"/>
      </w:r>
      <w:r>
        <w:rPr>
          <w:color w:val="auto"/>
        </w:rPr>
        <w:fldChar w:fldCharType="end"/>
      </w:r>
    </w:p>
    <w:p w14:paraId="58A31703">
      <w:pPr>
        <w:pStyle w:val="42"/>
        <w:tabs>
          <w:tab w:val="right" w:leader="dot" w:pos="8730"/>
        </w:tabs>
        <w:rPr>
          <w:color w:val="auto"/>
        </w:rPr>
      </w:pPr>
      <w:r>
        <w:rPr>
          <w:color w:val="auto"/>
        </w:rPr>
        <w:fldChar w:fldCharType="begin"/>
      </w:r>
      <w:r>
        <w:rPr>
          <w:color w:val="auto"/>
        </w:rPr>
        <w:instrText xml:space="preserve"> HYPERLINK \l _Toc20926 </w:instrText>
      </w:r>
      <w:r>
        <w:rPr>
          <w:color w:val="auto"/>
        </w:rPr>
        <w:fldChar w:fldCharType="separate"/>
      </w:r>
      <w:r>
        <w:rPr>
          <w:rFonts w:hint="default" w:ascii="Times New Roman" w:hAnsi="Times New Roman" w:eastAsia="宋体" w:cs="宋体"/>
          <w:i w:val="0"/>
          <w:color w:val="auto"/>
        </w:rPr>
        <w:t xml:space="preserve">5.5 </w:t>
      </w:r>
      <w:r>
        <w:rPr>
          <w:color w:val="auto"/>
        </w:rPr>
        <w:t>环境风险源项分析</w:t>
      </w:r>
      <w:r>
        <w:rPr>
          <w:color w:val="auto"/>
        </w:rPr>
        <w:tab/>
      </w:r>
      <w:r>
        <w:rPr>
          <w:color w:val="auto"/>
        </w:rPr>
        <w:fldChar w:fldCharType="begin"/>
      </w:r>
      <w:r>
        <w:rPr>
          <w:color w:val="auto"/>
        </w:rPr>
        <w:instrText xml:space="preserve"> PAGEREF _Toc20926 \h </w:instrText>
      </w:r>
      <w:r>
        <w:rPr>
          <w:color w:val="auto"/>
        </w:rPr>
        <w:fldChar w:fldCharType="separate"/>
      </w:r>
      <w:r>
        <w:rPr>
          <w:color w:val="auto"/>
        </w:rPr>
        <w:t>313</w:t>
      </w:r>
      <w:r>
        <w:rPr>
          <w:color w:val="auto"/>
        </w:rPr>
        <w:fldChar w:fldCharType="end"/>
      </w:r>
      <w:r>
        <w:rPr>
          <w:color w:val="auto"/>
        </w:rPr>
        <w:fldChar w:fldCharType="end"/>
      </w:r>
    </w:p>
    <w:p w14:paraId="12A84C6F">
      <w:pPr>
        <w:pStyle w:val="42"/>
        <w:tabs>
          <w:tab w:val="right" w:leader="dot" w:pos="8730"/>
        </w:tabs>
        <w:rPr>
          <w:color w:val="auto"/>
        </w:rPr>
      </w:pPr>
      <w:r>
        <w:rPr>
          <w:color w:val="auto"/>
        </w:rPr>
        <w:fldChar w:fldCharType="begin"/>
      </w:r>
      <w:r>
        <w:rPr>
          <w:color w:val="auto"/>
        </w:rPr>
        <w:instrText xml:space="preserve"> HYPERLINK \l _Toc32125 </w:instrText>
      </w:r>
      <w:r>
        <w:rPr>
          <w:color w:val="auto"/>
        </w:rPr>
        <w:fldChar w:fldCharType="separate"/>
      </w:r>
      <w:r>
        <w:rPr>
          <w:rFonts w:hint="default" w:ascii="Times New Roman" w:hAnsi="Times New Roman" w:eastAsia="宋体" w:cs="宋体"/>
          <w:i w:val="0"/>
          <w:color w:val="auto"/>
        </w:rPr>
        <w:t xml:space="preserve">5.6 </w:t>
      </w:r>
      <w:r>
        <w:rPr>
          <w:color w:val="auto"/>
        </w:rPr>
        <w:t>环境风险防范措施及应急要求</w:t>
      </w:r>
      <w:r>
        <w:rPr>
          <w:color w:val="auto"/>
        </w:rPr>
        <w:tab/>
      </w:r>
      <w:r>
        <w:rPr>
          <w:color w:val="auto"/>
        </w:rPr>
        <w:fldChar w:fldCharType="begin"/>
      </w:r>
      <w:r>
        <w:rPr>
          <w:color w:val="auto"/>
        </w:rPr>
        <w:instrText xml:space="preserve"> PAGEREF _Toc32125 \h </w:instrText>
      </w:r>
      <w:r>
        <w:rPr>
          <w:color w:val="auto"/>
        </w:rPr>
        <w:fldChar w:fldCharType="separate"/>
      </w:r>
      <w:r>
        <w:rPr>
          <w:color w:val="auto"/>
        </w:rPr>
        <w:t>314</w:t>
      </w:r>
      <w:r>
        <w:rPr>
          <w:color w:val="auto"/>
        </w:rPr>
        <w:fldChar w:fldCharType="end"/>
      </w:r>
      <w:r>
        <w:rPr>
          <w:color w:val="auto"/>
        </w:rPr>
        <w:fldChar w:fldCharType="end"/>
      </w:r>
    </w:p>
    <w:p w14:paraId="0CF52603">
      <w:pPr>
        <w:pStyle w:val="42"/>
        <w:tabs>
          <w:tab w:val="right" w:leader="dot" w:pos="8730"/>
        </w:tabs>
        <w:rPr>
          <w:color w:val="auto"/>
        </w:rPr>
      </w:pPr>
      <w:r>
        <w:rPr>
          <w:color w:val="auto"/>
        </w:rPr>
        <w:fldChar w:fldCharType="begin"/>
      </w:r>
      <w:r>
        <w:rPr>
          <w:color w:val="auto"/>
        </w:rPr>
        <w:instrText xml:space="preserve"> HYPERLINK \l _Toc28477 </w:instrText>
      </w:r>
      <w:r>
        <w:rPr>
          <w:color w:val="auto"/>
        </w:rPr>
        <w:fldChar w:fldCharType="separate"/>
      </w:r>
      <w:r>
        <w:rPr>
          <w:rFonts w:hint="default" w:ascii="Times New Roman" w:hAnsi="Times New Roman" w:eastAsia="宋体" w:cs="宋体"/>
          <w:i w:val="0"/>
          <w:color w:val="auto"/>
        </w:rPr>
        <w:t xml:space="preserve">5.7 </w:t>
      </w:r>
      <w:r>
        <w:rPr>
          <w:color w:val="auto"/>
        </w:rPr>
        <w:t>分析结论</w:t>
      </w:r>
      <w:r>
        <w:rPr>
          <w:color w:val="auto"/>
        </w:rPr>
        <w:tab/>
      </w:r>
      <w:r>
        <w:rPr>
          <w:color w:val="auto"/>
        </w:rPr>
        <w:fldChar w:fldCharType="begin"/>
      </w:r>
      <w:r>
        <w:rPr>
          <w:color w:val="auto"/>
        </w:rPr>
        <w:instrText xml:space="preserve"> PAGEREF _Toc28477 \h </w:instrText>
      </w:r>
      <w:r>
        <w:rPr>
          <w:color w:val="auto"/>
        </w:rPr>
        <w:fldChar w:fldCharType="separate"/>
      </w:r>
      <w:r>
        <w:rPr>
          <w:color w:val="auto"/>
        </w:rPr>
        <w:t>325</w:t>
      </w:r>
      <w:r>
        <w:rPr>
          <w:color w:val="auto"/>
        </w:rPr>
        <w:fldChar w:fldCharType="end"/>
      </w:r>
      <w:r>
        <w:rPr>
          <w:color w:val="auto"/>
        </w:rPr>
        <w:fldChar w:fldCharType="end"/>
      </w:r>
    </w:p>
    <w:p w14:paraId="46A81DDB">
      <w:pPr>
        <w:pStyle w:val="35"/>
        <w:tabs>
          <w:tab w:val="right" w:leader="dot" w:pos="8730"/>
        </w:tabs>
        <w:rPr>
          <w:color w:val="auto"/>
        </w:rPr>
      </w:pPr>
      <w:r>
        <w:rPr>
          <w:color w:val="auto"/>
        </w:rPr>
        <w:fldChar w:fldCharType="begin"/>
      </w:r>
      <w:r>
        <w:rPr>
          <w:color w:val="auto"/>
        </w:rPr>
        <w:instrText xml:space="preserve"> HYPERLINK \l _Toc32020 </w:instrText>
      </w:r>
      <w:r>
        <w:rPr>
          <w:color w:val="auto"/>
        </w:rPr>
        <w:fldChar w:fldCharType="separate"/>
      </w:r>
      <w:r>
        <w:rPr>
          <w:rFonts w:hint="default" w:ascii="Times New Roman" w:hAnsi="Times New Roman" w:eastAsia="宋体" w:cs="宋体"/>
          <w:i w:val="0"/>
          <w:color w:val="auto"/>
        </w:rPr>
        <w:t xml:space="preserve">6 </w:t>
      </w:r>
      <w:r>
        <w:rPr>
          <w:rFonts w:eastAsia="宋体"/>
          <w:color w:val="auto"/>
        </w:rPr>
        <w:t>环境保护措施及其</w:t>
      </w:r>
      <w:r>
        <w:rPr>
          <w:rFonts w:hint="eastAsia" w:eastAsia="宋体"/>
          <w:color w:val="auto"/>
          <w:lang w:val="en-US" w:eastAsia="zh-CN"/>
        </w:rPr>
        <w:t>经济、技术</w:t>
      </w:r>
      <w:r>
        <w:rPr>
          <w:rFonts w:eastAsia="宋体"/>
          <w:color w:val="auto"/>
        </w:rPr>
        <w:t>论证</w:t>
      </w:r>
      <w:r>
        <w:rPr>
          <w:color w:val="auto"/>
        </w:rPr>
        <w:tab/>
      </w:r>
      <w:r>
        <w:rPr>
          <w:color w:val="auto"/>
        </w:rPr>
        <w:fldChar w:fldCharType="begin"/>
      </w:r>
      <w:r>
        <w:rPr>
          <w:color w:val="auto"/>
        </w:rPr>
        <w:instrText xml:space="preserve"> PAGEREF _Toc32020 \h </w:instrText>
      </w:r>
      <w:r>
        <w:rPr>
          <w:color w:val="auto"/>
        </w:rPr>
        <w:fldChar w:fldCharType="separate"/>
      </w:r>
      <w:r>
        <w:rPr>
          <w:color w:val="auto"/>
        </w:rPr>
        <w:t>326</w:t>
      </w:r>
      <w:r>
        <w:rPr>
          <w:color w:val="auto"/>
        </w:rPr>
        <w:fldChar w:fldCharType="end"/>
      </w:r>
      <w:r>
        <w:rPr>
          <w:color w:val="auto"/>
        </w:rPr>
        <w:fldChar w:fldCharType="end"/>
      </w:r>
    </w:p>
    <w:p w14:paraId="3F997547">
      <w:pPr>
        <w:pStyle w:val="42"/>
        <w:tabs>
          <w:tab w:val="right" w:leader="dot" w:pos="8730"/>
        </w:tabs>
        <w:rPr>
          <w:color w:val="auto"/>
        </w:rPr>
      </w:pPr>
      <w:r>
        <w:rPr>
          <w:color w:val="auto"/>
        </w:rPr>
        <w:fldChar w:fldCharType="begin"/>
      </w:r>
      <w:r>
        <w:rPr>
          <w:color w:val="auto"/>
        </w:rPr>
        <w:instrText xml:space="preserve"> HYPERLINK \l _Toc12374 </w:instrText>
      </w:r>
      <w:r>
        <w:rPr>
          <w:color w:val="auto"/>
        </w:rPr>
        <w:fldChar w:fldCharType="separate"/>
      </w:r>
      <w:r>
        <w:rPr>
          <w:rFonts w:hint="default" w:ascii="Times New Roman" w:hAnsi="Times New Roman" w:eastAsia="宋体" w:cs="宋体"/>
          <w:i w:val="0"/>
          <w:color w:val="auto"/>
        </w:rPr>
        <w:t xml:space="preserve">6.1 </w:t>
      </w:r>
      <w:r>
        <w:rPr>
          <w:rFonts w:ascii="Times New Roman" w:hAnsi="Times New Roman" w:eastAsia="宋体"/>
          <w:color w:val="auto"/>
        </w:rPr>
        <w:t>施工期环保措施及其可行性论证</w:t>
      </w:r>
      <w:r>
        <w:rPr>
          <w:color w:val="auto"/>
        </w:rPr>
        <w:tab/>
      </w:r>
      <w:r>
        <w:rPr>
          <w:color w:val="auto"/>
        </w:rPr>
        <w:fldChar w:fldCharType="begin"/>
      </w:r>
      <w:r>
        <w:rPr>
          <w:color w:val="auto"/>
        </w:rPr>
        <w:instrText xml:space="preserve"> PAGEREF _Toc12374 \h </w:instrText>
      </w:r>
      <w:r>
        <w:rPr>
          <w:color w:val="auto"/>
        </w:rPr>
        <w:fldChar w:fldCharType="separate"/>
      </w:r>
      <w:r>
        <w:rPr>
          <w:color w:val="auto"/>
        </w:rPr>
        <w:t>326</w:t>
      </w:r>
      <w:r>
        <w:rPr>
          <w:color w:val="auto"/>
        </w:rPr>
        <w:fldChar w:fldCharType="end"/>
      </w:r>
      <w:r>
        <w:rPr>
          <w:color w:val="auto"/>
        </w:rPr>
        <w:fldChar w:fldCharType="end"/>
      </w:r>
    </w:p>
    <w:p w14:paraId="5588C593">
      <w:pPr>
        <w:pStyle w:val="42"/>
        <w:tabs>
          <w:tab w:val="right" w:leader="dot" w:pos="8730"/>
        </w:tabs>
        <w:rPr>
          <w:color w:val="auto"/>
        </w:rPr>
      </w:pPr>
      <w:r>
        <w:rPr>
          <w:color w:val="auto"/>
        </w:rPr>
        <w:fldChar w:fldCharType="begin"/>
      </w:r>
      <w:r>
        <w:rPr>
          <w:color w:val="auto"/>
        </w:rPr>
        <w:instrText xml:space="preserve"> HYPERLINK \l _Toc11613 </w:instrText>
      </w:r>
      <w:r>
        <w:rPr>
          <w:color w:val="auto"/>
        </w:rPr>
        <w:fldChar w:fldCharType="separate"/>
      </w:r>
      <w:r>
        <w:rPr>
          <w:rFonts w:hint="default" w:ascii="Times New Roman" w:hAnsi="Times New Roman" w:eastAsia="宋体" w:cs="宋体"/>
          <w:i w:val="0"/>
          <w:color w:val="auto"/>
        </w:rPr>
        <w:t xml:space="preserve">6.2 </w:t>
      </w:r>
      <w:r>
        <w:rPr>
          <w:rFonts w:ascii="Times New Roman" w:hAnsi="Times New Roman" w:eastAsia="宋体"/>
          <w:color w:val="auto"/>
        </w:rPr>
        <w:t>营运期环保措施及可行性分析</w:t>
      </w:r>
      <w:r>
        <w:rPr>
          <w:color w:val="auto"/>
        </w:rPr>
        <w:tab/>
      </w:r>
      <w:r>
        <w:rPr>
          <w:color w:val="auto"/>
        </w:rPr>
        <w:fldChar w:fldCharType="begin"/>
      </w:r>
      <w:r>
        <w:rPr>
          <w:color w:val="auto"/>
        </w:rPr>
        <w:instrText xml:space="preserve"> PAGEREF _Toc11613 \h </w:instrText>
      </w:r>
      <w:r>
        <w:rPr>
          <w:color w:val="auto"/>
        </w:rPr>
        <w:fldChar w:fldCharType="separate"/>
      </w:r>
      <w:r>
        <w:rPr>
          <w:color w:val="auto"/>
        </w:rPr>
        <w:t>327</w:t>
      </w:r>
      <w:r>
        <w:rPr>
          <w:color w:val="auto"/>
        </w:rPr>
        <w:fldChar w:fldCharType="end"/>
      </w:r>
      <w:r>
        <w:rPr>
          <w:color w:val="auto"/>
        </w:rPr>
        <w:fldChar w:fldCharType="end"/>
      </w:r>
    </w:p>
    <w:p w14:paraId="05DF3BA6">
      <w:pPr>
        <w:pStyle w:val="42"/>
        <w:tabs>
          <w:tab w:val="right" w:leader="dot" w:pos="8730"/>
        </w:tabs>
        <w:rPr>
          <w:color w:val="auto"/>
        </w:rPr>
      </w:pPr>
      <w:r>
        <w:rPr>
          <w:color w:val="auto"/>
        </w:rPr>
        <w:fldChar w:fldCharType="begin"/>
      </w:r>
      <w:r>
        <w:rPr>
          <w:color w:val="auto"/>
        </w:rPr>
        <w:instrText xml:space="preserve"> HYPERLINK \l _Toc17364 </w:instrText>
      </w:r>
      <w:r>
        <w:rPr>
          <w:color w:val="auto"/>
        </w:rPr>
        <w:fldChar w:fldCharType="separate"/>
      </w:r>
      <w:r>
        <w:rPr>
          <w:rFonts w:hint="default" w:ascii="Times New Roman" w:hAnsi="Times New Roman" w:eastAsia="宋体" w:cs="宋体"/>
          <w:i w:val="0"/>
          <w:color w:val="auto"/>
        </w:rPr>
        <w:t xml:space="preserve">6.3 </w:t>
      </w:r>
      <w:r>
        <w:rPr>
          <w:rFonts w:ascii="Times New Roman" w:hAnsi="Times New Roman" w:eastAsia="宋体"/>
          <w:color w:val="auto"/>
        </w:rPr>
        <w:t>环保治理措施技术、经济评述结论</w:t>
      </w:r>
      <w:r>
        <w:rPr>
          <w:color w:val="auto"/>
        </w:rPr>
        <w:tab/>
      </w:r>
      <w:r>
        <w:rPr>
          <w:color w:val="auto"/>
        </w:rPr>
        <w:fldChar w:fldCharType="begin"/>
      </w:r>
      <w:r>
        <w:rPr>
          <w:color w:val="auto"/>
        </w:rPr>
        <w:instrText xml:space="preserve"> PAGEREF _Toc17364 \h </w:instrText>
      </w:r>
      <w:r>
        <w:rPr>
          <w:color w:val="auto"/>
        </w:rPr>
        <w:fldChar w:fldCharType="separate"/>
      </w:r>
      <w:r>
        <w:rPr>
          <w:color w:val="auto"/>
        </w:rPr>
        <w:t>343</w:t>
      </w:r>
      <w:r>
        <w:rPr>
          <w:color w:val="auto"/>
        </w:rPr>
        <w:fldChar w:fldCharType="end"/>
      </w:r>
      <w:r>
        <w:rPr>
          <w:color w:val="auto"/>
        </w:rPr>
        <w:fldChar w:fldCharType="end"/>
      </w:r>
    </w:p>
    <w:p w14:paraId="26818D80">
      <w:pPr>
        <w:pStyle w:val="35"/>
        <w:tabs>
          <w:tab w:val="right" w:leader="dot" w:pos="8730"/>
        </w:tabs>
        <w:rPr>
          <w:color w:val="auto"/>
        </w:rPr>
      </w:pPr>
      <w:r>
        <w:rPr>
          <w:color w:val="auto"/>
        </w:rPr>
        <w:fldChar w:fldCharType="begin"/>
      </w:r>
      <w:r>
        <w:rPr>
          <w:color w:val="auto"/>
        </w:rPr>
        <w:instrText xml:space="preserve"> HYPERLINK \l _Toc8698 </w:instrText>
      </w:r>
      <w:r>
        <w:rPr>
          <w:color w:val="auto"/>
        </w:rPr>
        <w:fldChar w:fldCharType="separate"/>
      </w:r>
      <w:r>
        <w:rPr>
          <w:rFonts w:hint="default" w:ascii="Times New Roman" w:hAnsi="Times New Roman" w:eastAsia="宋体" w:cs="宋体"/>
          <w:i w:val="0"/>
          <w:color w:val="auto"/>
        </w:rPr>
        <w:t xml:space="preserve">7 </w:t>
      </w:r>
      <w:r>
        <w:rPr>
          <w:rFonts w:eastAsia="宋体"/>
          <w:color w:val="auto"/>
        </w:rPr>
        <w:t>环境影响经济损益分析</w:t>
      </w:r>
      <w:r>
        <w:rPr>
          <w:color w:val="auto"/>
        </w:rPr>
        <w:tab/>
      </w:r>
      <w:r>
        <w:rPr>
          <w:color w:val="auto"/>
        </w:rPr>
        <w:fldChar w:fldCharType="begin"/>
      </w:r>
      <w:r>
        <w:rPr>
          <w:color w:val="auto"/>
        </w:rPr>
        <w:instrText xml:space="preserve"> PAGEREF _Toc8698 \h </w:instrText>
      </w:r>
      <w:r>
        <w:rPr>
          <w:color w:val="auto"/>
        </w:rPr>
        <w:fldChar w:fldCharType="separate"/>
      </w:r>
      <w:r>
        <w:rPr>
          <w:color w:val="auto"/>
        </w:rPr>
        <w:t>344</w:t>
      </w:r>
      <w:r>
        <w:rPr>
          <w:color w:val="auto"/>
        </w:rPr>
        <w:fldChar w:fldCharType="end"/>
      </w:r>
      <w:r>
        <w:rPr>
          <w:color w:val="auto"/>
        </w:rPr>
        <w:fldChar w:fldCharType="end"/>
      </w:r>
    </w:p>
    <w:p w14:paraId="1D5CB26D">
      <w:pPr>
        <w:pStyle w:val="42"/>
        <w:tabs>
          <w:tab w:val="right" w:leader="dot" w:pos="8730"/>
        </w:tabs>
        <w:rPr>
          <w:color w:val="auto"/>
        </w:rPr>
      </w:pPr>
      <w:r>
        <w:rPr>
          <w:color w:val="auto"/>
        </w:rPr>
        <w:fldChar w:fldCharType="begin"/>
      </w:r>
      <w:r>
        <w:rPr>
          <w:color w:val="auto"/>
        </w:rPr>
        <w:instrText xml:space="preserve"> HYPERLINK \l _Toc1113 </w:instrText>
      </w:r>
      <w:r>
        <w:rPr>
          <w:color w:val="auto"/>
        </w:rPr>
        <w:fldChar w:fldCharType="separate"/>
      </w:r>
      <w:r>
        <w:rPr>
          <w:rFonts w:hint="default" w:ascii="Times New Roman" w:hAnsi="Times New Roman" w:eastAsia="宋体" w:cs="宋体"/>
          <w:i w:val="0"/>
          <w:color w:val="auto"/>
        </w:rPr>
        <w:t xml:space="preserve">7.1 </w:t>
      </w:r>
      <w:r>
        <w:rPr>
          <w:rFonts w:ascii="Times New Roman" w:hAnsi="Times New Roman" w:eastAsia="宋体"/>
          <w:color w:val="auto"/>
        </w:rPr>
        <w:t>环境影响经济损益分析方法</w:t>
      </w:r>
      <w:r>
        <w:rPr>
          <w:color w:val="auto"/>
        </w:rPr>
        <w:tab/>
      </w:r>
      <w:r>
        <w:rPr>
          <w:color w:val="auto"/>
        </w:rPr>
        <w:fldChar w:fldCharType="begin"/>
      </w:r>
      <w:r>
        <w:rPr>
          <w:color w:val="auto"/>
        </w:rPr>
        <w:instrText xml:space="preserve"> PAGEREF _Toc1113 \h </w:instrText>
      </w:r>
      <w:r>
        <w:rPr>
          <w:color w:val="auto"/>
        </w:rPr>
        <w:fldChar w:fldCharType="separate"/>
      </w:r>
      <w:r>
        <w:rPr>
          <w:color w:val="auto"/>
        </w:rPr>
        <w:t>344</w:t>
      </w:r>
      <w:r>
        <w:rPr>
          <w:color w:val="auto"/>
        </w:rPr>
        <w:fldChar w:fldCharType="end"/>
      </w:r>
      <w:r>
        <w:rPr>
          <w:color w:val="auto"/>
        </w:rPr>
        <w:fldChar w:fldCharType="end"/>
      </w:r>
    </w:p>
    <w:p w14:paraId="7AA12C3E">
      <w:pPr>
        <w:pStyle w:val="42"/>
        <w:tabs>
          <w:tab w:val="right" w:leader="dot" w:pos="8730"/>
        </w:tabs>
        <w:rPr>
          <w:color w:val="auto"/>
        </w:rPr>
      </w:pPr>
      <w:r>
        <w:rPr>
          <w:color w:val="auto"/>
        </w:rPr>
        <w:fldChar w:fldCharType="begin"/>
      </w:r>
      <w:r>
        <w:rPr>
          <w:color w:val="auto"/>
        </w:rPr>
        <w:instrText xml:space="preserve"> HYPERLINK \l _Toc628 </w:instrText>
      </w:r>
      <w:r>
        <w:rPr>
          <w:color w:val="auto"/>
        </w:rPr>
        <w:fldChar w:fldCharType="separate"/>
      </w:r>
      <w:r>
        <w:rPr>
          <w:rFonts w:hint="default" w:ascii="Times New Roman" w:hAnsi="Times New Roman" w:eastAsia="宋体" w:cs="宋体"/>
          <w:i w:val="0"/>
          <w:color w:val="auto"/>
        </w:rPr>
        <w:t xml:space="preserve">7.2 </w:t>
      </w:r>
      <w:r>
        <w:rPr>
          <w:rFonts w:ascii="Times New Roman" w:hAnsi="Times New Roman" w:eastAsia="宋体"/>
          <w:color w:val="auto"/>
        </w:rPr>
        <w:t>项目环境效益</w:t>
      </w:r>
      <w:r>
        <w:rPr>
          <w:color w:val="auto"/>
        </w:rPr>
        <w:tab/>
      </w:r>
      <w:r>
        <w:rPr>
          <w:color w:val="auto"/>
        </w:rPr>
        <w:fldChar w:fldCharType="begin"/>
      </w:r>
      <w:r>
        <w:rPr>
          <w:color w:val="auto"/>
        </w:rPr>
        <w:instrText xml:space="preserve"> PAGEREF _Toc628 \h </w:instrText>
      </w:r>
      <w:r>
        <w:rPr>
          <w:color w:val="auto"/>
        </w:rPr>
        <w:fldChar w:fldCharType="separate"/>
      </w:r>
      <w:r>
        <w:rPr>
          <w:color w:val="auto"/>
        </w:rPr>
        <w:t>344</w:t>
      </w:r>
      <w:r>
        <w:rPr>
          <w:color w:val="auto"/>
        </w:rPr>
        <w:fldChar w:fldCharType="end"/>
      </w:r>
      <w:r>
        <w:rPr>
          <w:color w:val="auto"/>
        </w:rPr>
        <w:fldChar w:fldCharType="end"/>
      </w:r>
    </w:p>
    <w:p w14:paraId="480A6505">
      <w:pPr>
        <w:pStyle w:val="42"/>
        <w:tabs>
          <w:tab w:val="right" w:leader="dot" w:pos="8730"/>
        </w:tabs>
        <w:rPr>
          <w:color w:val="auto"/>
        </w:rPr>
      </w:pPr>
      <w:r>
        <w:rPr>
          <w:color w:val="auto"/>
        </w:rPr>
        <w:fldChar w:fldCharType="begin"/>
      </w:r>
      <w:r>
        <w:rPr>
          <w:color w:val="auto"/>
        </w:rPr>
        <w:instrText xml:space="preserve"> HYPERLINK \l _Toc1392 </w:instrText>
      </w:r>
      <w:r>
        <w:rPr>
          <w:color w:val="auto"/>
        </w:rPr>
        <w:fldChar w:fldCharType="separate"/>
      </w:r>
      <w:r>
        <w:rPr>
          <w:rFonts w:hint="default" w:ascii="Times New Roman" w:hAnsi="Times New Roman" w:eastAsia="宋体" w:cs="宋体"/>
          <w:i w:val="0"/>
          <w:color w:val="auto"/>
        </w:rPr>
        <w:t xml:space="preserve">7.3 </w:t>
      </w:r>
      <w:r>
        <w:rPr>
          <w:rFonts w:ascii="Times New Roman" w:hAnsi="Times New Roman" w:eastAsia="宋体"/>
          <w:color w:val="auto"/>
        </w:rPr>
        <w:t>环境经济损益分析</w:t>
      </w:r>
      <w:r>
        <w:rPr>
          <w:color w:val="auto"/>
        </w:rPr>
        <w:tab/>
      </w:r>
      <w:r>
        <w:rPr>
          <w:color w:val="auto"/>
        </w:rPr>
        <w:fldChar w:fldCharType="begin"/>
      </w:r>
      <w:r>
        <w:rPr>
          <w:color w:val="auto"/>
        </w:rPr>
        <w:instrText xml:space="preserve"> PAGEREF _Toc1392 \h </w:instrText>
      </w:r>
      <w:r>
        <w:rPr>
          <w:color w:val="auto"/>
        </w:rPr>
        <w:fldChar w:fldCharType="separate"/>
      </w:r>
      <w:r>
        <w:rPr>
          <w:color w:val="auto"/>
        </w:rPr>
        <w:t>346</w:t>
      </w:r>
      <w:r>
        <w:rPr>
          <w:color w:val="auto"/>
        </w:rPr>
        <w:fldChar w:fldCharType="end"/>
      </w:r>
      <w:r>
        <w:rPr>
          <w:color w:val="auto"/>
        </w:rPr>
        <w:fldChar w:fldCharType="end"/>
      </w:r>
    </w:p>
    <w:p w14:paraId="66B4E0A4">
      <w:pPr>
        <w:pStyle w:val="42"/>
        <w:tabs>
          <w:tab w:val="right" w:leader="dot" w:pos="8730"/>
        </w:tabs>
        <w:rPr>
          <w:color w:val="auto"/>
        </w:rPr>
      </w:pPr>
      <w:r>
        <w:rPr>
          <w:color w:val="auto"/>
        </w:rPr>
        <w:fldChar w:fldCharType="begin"/>
      </w:r>
      <w:r>
        <w:rPr>
          <w:color w:val="auto"/>
        </w:rPr>
        <w:instrText xml:space="preserve"> HYPERLINK \l _Toc32199 </w:instrText>
      </w:r>
      <w:r>
        <w:rPr>
          <w:color w:val="auto"/>
        </w:rPr>
        <w:fldChar w:fldCharType="separate"/>
      </w:r>
      <w:r>
        <w:rPr>
          <w:rFonts w:hint="default" w:ascii="Times New Roman" w:hAnsi="Times New Roman" w:eastAsia="宋体" w:cs="宋体"/>
          <w:i w:val="0"/>
          <w:color w:val="auto"/>
        </w:rPr>
        <w:t xml:space="preserve">7.4 </w:t>
      </w:r>
      <w:r>
        <w:rPr>
          <w:rFonts w:ascii="Times New Roman" w:hAnsi="Times New Roman" w:eastAsia="宋体"/>
          <w:color w:val="auto"/>
        </w:rPr>
        <w:t>环境经济损益分析结论</w:t>
      </w:r>
      <w:r>
        <w:rPr>
          <w:color w:val="auto"/>
        </w:rPr>
        <w:tab/>
      </w:r>
      <w:r>
        <w:rPr>
          <w:color w:val="auto"/>
        </w:rPr>
        <w:fldChar w:fldCharType="begin"/>
      </w:r>
      <w:r>
        <w:rPr>
          <w:color w:val="auto"/>
        </w:rPr>
        <w:instrText xml:space="preserve"> PAGEREF _Toc32199 \h </w:instrText>
      </w:r>
      <w:r>
        <w:rPr>
          <w:color w:val="auto"/>
        </w:rPr>
        <w:fldChar w:fldCharType="separate"/>
      </w:r>
      <w:r>
        <w:rPr>
          <w:color w:val="auto"/>
        </w:rPr>
        <w:t>346</w:t>
      </w:r>
      <w:r>
        <w:rPr>
          <w:color w:val="auto"/>
        </w:rPr>
        <w:fldChar w:fldCharType="end"/>
      </w:r>
      <w:r>
        <w:rPr>
          <w:color w:val="auto"/>
        </w:rPr>
        <w:fldChar w:fldCharType="end"/>
      </w:r>
    </w:p>
    <w:p w14:paraId="1E39EF09">
      <w:pPr>
        <w:pStyle w:val="35"/>
        <w:tabs>
          <w:tab w:val="right" w:leader="dot" w:pos="8730"/>
        </w:tabs>
        <w:rPr>
          <w:color w:val="auto"/>
        </w:rPr>
      </w:pPr>
      <w:r>
        <w:rPr>
          <w:color w:val="auto"/>
        </w:rPr>
        <w:fldChar w:fldCharType="begin"/>
      </w:r>
      <w:r>
        <w:rPr>
          <w:color w:val="auto"/>
        </w:rPr>
        <w:instrText xml:space="preserve"> HYPERLINK \l _Toc25938 </w:instrText>
      </w:r>
      <w:r>
        <w:rPr>
          <w:color w:val="auto"/>
        </w:rPr>
        <w:fldChar w:fldCharType="separate"/>
      </w:r>
      <w:r>
        <w:rPr>
          <w:rFonts w:hint="default" w:ascii="Times New Roman" w:hAnsi="Times New Roman" w:eastAsia="宋体" w:cs="宋体"/>
          <w:i w:val="0"/>
          <w:color w:val="auto"/>
        </w:rPr>
        <w:t xml:space="preserve">8 </w:t>
      </w:r>
      <w:r>
        <w:rPr>
          <w:rFonts w:eastAsia="宋体"/>
          <w:color w:val="auto"/>
        </w:rPr>
        <w:t>环境管理与监测计划</w:t>
      </w:r>
      <w:r>
        <w:rPr>
          <w:color w:val="auto"/>
        </w:rPr>
        <w:tab/>
      </w:r>
      <w:r>
        <w:rPr>
          <w:color w:val="auto"/>
        </w:rPr>
        <w:fldChar w:fldCharType="begin"/>
      </w:r>
      <w:r>
        <w:rPr>
          <w:color w:val="auto"/>
        </w:rPr>
        <w:instrText xml:space="preserve"> PAGEREF _Toc25938 \h </w:instrText>
      </w:r>
      <w:r>
        <w:rPr>
          <w:color w:val="auto"/>
        </w:rPr>
        <w:fldChar w:fldCharType="separate"/>
      </w:r>
      <w:r>
        <w:rPr>
          <w:color w:val="auto"/>
        </w:rPr>
        <w:t>347</w:t>
      </w:r>
      <w:r>
        <w:rPr>
          <w:color w:val="auto"/>
        </w:rPr>
        <w:fldChar w:fldCharType="end"/>
      </w:r>
      <w:r>
        <w:rPr>
          <w:color w:val="auto"/>
        </w:rPr>
        <w:fldChar w:fldCharType="end"/>
      </w:r>
    </w:p>
    <w:p w14:paraId="14FECB03">
      <w:pPr>
        <w:pStyle w:val="42"/>
        <w:tabs>
          <w:tab w:val="right" w:leader="dot" w:pos="8730"/>
        </w:tabs>
        <w:rPr>
          <w:color w:val="auto"/>
        </w:rPr>
      </w:pPr>
      <w:r>
        <w:rPr>
          <w:color w:val="auto"/>
        </w:rPr>
        <w:fldChar w:fldCharType="begin"/>
      </w:r>
      <w:r>
        <w:rPr>
          <w:color w:val="auto"/>
        </w:rPr>
        <w:instrText xml:space="preserve"> HYPERLINK \l _Toc32685 </w:instrText>
      </w:r>
      <w:r>
        <w:rPr>
          <w:color w:val="auto"/>
        </w:rPr>
        <w:fldChar w:fldCharType="separate"/>
      </w:r>
      <w:r>
        <w:rPr>
          <w:rFonts w:hint="default" w:ascii="Times New Roman" w:hAnsi="Times New Roman" w:eastAsia="宋体" w:cs="宋体"/>
          <w:i w:val="0"/>
          <w:color w:val="auto"/>
        </w:rPr>
        <w:t xml:space="preserve">8.1 </w:t>
      </w:r>
      <w:r>
        <w:rPr>
          <w:rFonts w:ascii="Times New Roman" w:hAnsi="Times New Roman" w:eastAsia="宋体"/>
          <w:color w:val="auto"/>
        </w:rPr>
        <w:t>环境管理的目的</w:t>
      </w:r>
      <w:r>
        <w:rPr>
          <w:color w:val="auto"/>
        </w:rPr>
        <w:tab/>
      </w:r>
      <w:r>
        <w:rPr>
          <w:color w:val="auto"/>
        </w:rPr>
        <w:fldChar w:fldCharType="begin"/>
      </w:r>
      <w:r>
        <w:rPr>
          <w:color w:val="auto"/>
        </w:rPr>
        <w:instrText xml:space="preserve"> PAGEREF _Toc32685 \h </w:instrText>
      </w:r>
      <w:r>
        <w:rPr>
          <w:color w:val="auto"/>
        </w:rPr>
        <w:fldChar w:fldCharType="separate"/>
      </w:r>
      <w:r>
        <w:rPr>
          <w:color w:val="auto"/>
        </w:rPr>
        <w:t>347</w:t>
      </w:r>
      <w:r>
        <w:rPr>
          <w:color w:val="auto"/>
        </w:rPr>
        <w:fldChar w:fldCharType="end"/>
      </w:r>
      <w:r>
        <w:rPr>
          <w:color w:val="auto"/>
        </w:rPr>
        <w:fldChar w:fldCharType="end"/>
      </w:r>
    </w:p>
    <w:p w14:paraId="77899594">
      <w:pPr>
        <w:pStyle w:val="42"/>
        <w:tabs>
          <w:tab w:val="right" w:leader="dot" w:pos="8730"/>
        </w:tabs>
        <w:rPr>
          <w:color w:val="auto"/>
        </w:rPr>
      </w:pPr>
      <w:r>
        <w:rPr>
          <w:color w:val="auto"/>
        </w:rPr>
        <w:fldChar w:fldCharType="begin"/>
      </w:r>
      <w:r>
        <w:rPr>
          <w:color w:val="auto"/>
        </w:rPr>
        <w:instrText xml:space="preserve"> HYPERLINK \l _Toc13716 </w:instrText>
      </w:r>
      <w:r>
        <w:rPr>
          <w:color w:val="auto"/>
        </w:rPr>
        <w:fldChar w:fldCharType="separate"/>
      </w:r>
      <w:r>
        <w:rPr>
          <w:rFonts w:hint="default" w:ascii="Times New Roman" w:hAnsi="Times New Roman" w:eastAsia="宋体" w:cs="宋体"/>
          <w:i w:val="0"/>
          <w:color w:val="auto"/>
        </w:rPr>
        <w:t xml:space="preserve">8.2 </w:t>
      </w:r>
      <w:r>
        <w:rPr>
          <w:rFonts w:ascii="Times New Roman" w:hAnsi="Times New Roman" w:eastAsia="宋体"/>
          <w:color w:val="auto"/>
        </w:rPr>
        <w:t>环境管理机构及职责</w:t>
      </w:r>
      <w:r>
        <w:rPr>
          <w:color w:val="auto"/>
        </w:rPr>
        <w:tab/>
      </w:r>
      <w:r>
        <w:rPr>
          <w:color w:val="auto"/>
        </w:rPr>
        <w:fldChar w:fldCharType="begin"/>
      </w:r>
      <w:r>
        <w:rPr>
          <w:color w:val="auto"/>
        </w:rPr>
        <w:instrText xml:space="preserve"> PAGEREF _Toc13716 \h </w:instrText>
      </w:r>
      <w:r>
        <w:rPr>
          <w:color w:val="auto"/>
        </w:rPr>
        <w:fldChar w:fldCharType="separate"/>
      </w:r>
      <w:r>
        <w:rPr>
          <w:color w:val="auto"/>
        </w:rPr>
        <w:t>347</w:t>
      </w:r>
      <w:r>
        <w:rPr>
          <w:color w:val="auto"/>
        </w:rPr>
        <w:fldChar w:fldCharType="end"/>
      </w:r>
      <w:r>
        <w:rPr>
          <w:color w:val="auto"/>
        </w:rPr>
        <w:fldChar w:fldCharType="end"/>
      </w:r>
    </w:p>
    <w:p w14:paraId="62AC4D66">
      <w:pPr>
        <w:pStyle w:val="42"/>
        <w:tabs>
          <w:tab w:val="right" w:leader="dot" w:pos="8730"/>
        </w:tabs>
        <w:rPr>
          <w:color w:val="auto"/>
        </w:rPr>
      </w:pPr>
      <w:r>
        <w:rPr>
          <w:color w:val="auto"/>
        </w:rPr>
        <w:fldChar w:fldCharType="begin"/>
      </w:r>
      <w:r>
        <w:rPr>
          <w:color w:val="auto"/>
        </w:rPr>
        <w:instrText xml:space="preserve"> HYPERLINK \l _Toc23848 </w:instrText>
      </w:r>
      <w:r>
        <w:rPr>
          <w:color w:val="auto"/>
        </w:rPr>
        <w:fldChar w:fldCharType="separate"/>
      </w:r>
      <w:r>
        <w:rPr>
          <w:rFonts w:hint="default" w:ascii="Times New Roman" w:hAnsi="Times New Roman" w:eastAsia="宋体" w:cs="宋体"/>
          <w:i w:val="0"/>
          <w:color w:val="auto"/>
        </w:rPr>
        <w:t xml:space="preserve">8.3 </w:t>
      </w:r>
      <w:r>
        <w:rPr>
          <w:rFonts w:ascii="Times New Roman" w:hAnsi="Times New Roman" w:eastAsia="宋体"/>
          <w:color w:val="auto"/>
        </w:rPr>
        <w:t>环境管理</w:t>
      </w:r>
      <w:r>
        <w:rPr>
          <w:color w:val="auto"/>
        </w:rPr>
        <w:tab/>
      </w:r>
      <w:r>
        <w:rPr>
          <w:color w:val="auto"/>
        </w:rPr>
        <w:fldChar w:fldCharType="begin"/>
      </w:r>
      <w:r>
        <w:rPr>
          <w:color w:val="auto"/>
        </w:rPr>
        <w:instrText xml:space="preserve"> PAGEREF _Toc23848 \h </w:instrText>
      </w:r>
      <w:r>
        <w:rPr>
          <w:color w:val="auto"/>
        </w:rPr>
        <w:fldChar w:fldCharType="separate"/>
      </w:r>
      <w:r>
        <w:rPr>
          <w:color w:val="auto"/>
        </w:rPr>
        <w:t>348</w:t>
      </w:r>
      <w:r>
        <w:rPr>
          <w:color w:val="auto"/>
        </w:rPr>
        <w:fldChar w:fldCharType="end"/>
      </w:r>
      <w:r>
        <w:rPr>
          <w:color w:val="auto"/>
        </w:rPr>
        <w:fldChar w:fldCharType="end"/>
      </w:r>
    </w:p>
    <w:p w14:paraId="3828F565">
      <w:pPr>
        <w:pStyle w:val="42"/>
        <w:tabs>
          <w:tab w:val="right" w:leader="dot" w:pos="8730"/>
        </w:tabs>
        <w:rPr>
          <w:color w:val="auto"/>
        </w:rPr>
      </w:pPr>
      <w:r>
        <w:rPr>
          <w:color w:val="auto"/>
        </w:rPr>
        <w:fldChar w:fldCharType="begin"/>
      </w:r>
      <w:r>
        <w:rPr>
          <w:color w:val="auto"/>
        </w:rPr>
        <w:instrText xml:space="preserve"> HYPERLINK \l _Toc16900 </w:instrText>
      </w:r>
      <w:r>
        <w:rPr>
          <w:color w:val="auto"/>
        </w:rPr>
        <w:fldChar w:fldCharType="separate"/>
      </w:r>
      <w:r>
        <w:rPr>
          <w:rFonts w:hint="default" w:ascii="Times New Roman" w:hAnsi="Times New Roman" w:eastAsia="宋体" w:cs="宋体"/>
          <w:i w:val="0"/>
          <w:color w:val="auto"/>
        </w:rPr>
        <w:t xml:space="preserve">8.4 </w:t>
      </w:r>
      <w:r>
        <w:rPr>
          <w:rFonts w:ascii="Times New Roman" w:hAnsi="Times New Roman" w:eastAsia="宋体"/>
          <w:color w:val="auto"/>
        </w:rPr>
        <w:t>污染物排放清单</w:t>
      </w:r>
      <w:r>
        <w:rPr>
          <w:color w:val="auto"/>
        </w:rPr>
        <w:tab/>
      </w:r>
      <w:r>
        <w:rPr>
          <w:color w:val="auto"/>
        </w:rPr>
        <w:fldChar w:fldCharType="begin"/>
      </w:r>
      <w:r>
        <w:rPr>
          <w:color w:val="auto"/>
        </w:rPr>
        <w:instrText xml:space="preserve"> PAGEREF _Toc16900 \h </w:instrText>
      </w:r>
      <w:r>
        <w:rPr>
          <w:color w:val="auto"/>
        </w:rPr>
        <w:fldChar w:fldCharType="separate"/>
      </w:r>
      <w:r>
        <w:rPr>
          <w:color w:val="auto"/>
        </w:rPr>
        <w:t>351</w:t>
      </w:r>
      <w:r>
        <w:rPr>
          <w:color w:val="auto"/>
        </w:rPr>
        <w:fldChar w:fldCharType="end"/>
      </w:r>
      <w:r>
        <w:rPr>
          <w:color w:val="auto"/>
        </w:rPr>
        <w:fldChar w:fldCharType="end"/>
      </w:r>
    </w:p>
    <w:p w14:paraId="5DECF3B8">
      <w:pPr>
        <w:pStyle w:val="42"/>
        <w:tabs>
          <w:tab w:val="right" w:leader="dot" w:pos="8730"/>
        </w:tabs>
        <w:rPr>
          <w:color w:val="auto"/>
        </w:rPr>
      </w:pPr>
      <w:r>
        <w:rPr>
          <w:color w:val="auto"/>
        </w:rPr>
        <w:fldChar w:fldCharType="begin"/>
      </w:r>
      <w:r>
        <w:rPr>
          <w:color w:val="auto"/>
        </w:rPr>
        <w:instrText xml:space="preserve"> HYPERLINK \l _Toc6737 </w:instrText>
      </w:r>
      <w:r>
        <w:rPr>
          <w:color w:val="auto"/>
        </w:rPr>
        <w:fldChar w:fldCharType="separate"/>
      </w:r>
      <w:r>
        <w:rPr>
          <w:rFonts w:hint="default" w:ascii="Times New Roman" w:hAnsi="Times New Roman" w:eastAsia="宋体" w:cs="宋体"/>
          <w:i w:val="0"/>
          <w:color w:val="auto"/>
        </w:rPr>
        <w:t xml:space="preserve">8.5 </w:t>
      </w:r>
      <w:r>
        <w:rPr>
          <w:rFonts w:ascii="Times New Roman" w:hAnsi="Times New Roman" w:eastAsia="宋体"/>
          <w:color w:val="auto"/>
        </w:rPr>
        <w:t>环境监测计划</w:t>
      </w:r>
      <w:r>
        <w:rPr>
          <w:color w:val="auto"/>
        </w:rPr>
        <w:tab/>
      </w:r>
      <w:r>
        <w:rPr>
          <w:color w:val="auto"/>
        </w:rPr>
        <w:fldChar w:fldCharType="begin"/>
      </w:r>
      <w:r>
        <w:rPr>
          <w:color w:val="auto"/>
        </w:rPr>
        <w:instrText xml:space="preserve"> PAGEREF _Toc6737 \h </w:instrText>
      </w:r>
      <w:r>
        <w:rPr>
          <w:color w:val="auto"/>
        </w:rPr>
        <w:fldChar w:fldCharType="separate"/>
      </w:r>
      <w:r>
        <w:rPr>
          <w:color w:val="auto"/>
        </w:rPr>
        <w:t>354</w:t>
      </w:r>
      <w:r>
        <w:rPr>
          <w:color w:val="auto"/>
        </w:rPr>
        <w:fldChar w:fldCharType="end"/>
      </w:r>
      <w:r>
        <w:rPr>
          <w:color w:val="auto"/>
        </w:rPr>
        <w:fldChar w:fldCharType="end"/>
      </w:r>
    </w:p>
    <w:p w14:paraId="2044DB47">
      <w:pPr>
        <w:pStyle w:val="42"/>
        <w:tabs>
          <w:tab w:val="right" w:leader="dot" w:pos="8730"/>
        </w:tabs>
        <w:rPr>
          <w:color w:val="auto"/>
        </w:rPr>
      </w:pPr>
      <w:r>
        <w:rPr>
          <w:color w:val="auto"/>
        </w:rPr>
        <w:fldChar w:fldCharType="begin"/>
      </w:r>
      <w:r>
        <w:rPr>
          <w:color w:val="auto"/>
        </w:rPr>
        <w:instrText xml:space="preserve"> HYPERLINK \l _Toc28604 </w:instrText>
      </w:r>
      <w:r>
        <w:rPr>
          <w:color w:val="auto"/>
        </w:rPr>
        <w:fldChar w:fldCharType="separate"/>
      </w:r>
      <w:r>
        <w:rPr>
          <w:rFonts w:hint="default" w:ascii="Times New Roman" w:hAnsi="Times New Roman" w:eastAsia="宋体" w:cs="宋体"/>
          <w:i w:val="0"/>
          <w:color w:val="auto"/>
        </w:rPr>
        <w:t xml:space="preserve">8.6 </w:t>
      </w:r>
      <w:r>
        <w:rPr>
          <w:rFonts w:ascii="Times New Roman" w:hAnsi="Times New Roman" w:eastAsia="宋体"/>
          <w:color w:val="auto"/>
        </w:rPr>
        <w:t>工程</w:t>
      </w:r>
      <w:r>
        <w:rPr>
          <w:rFonts w:hint="eastAsia" w:ascii="Times New Roman" w:hAnsi="Times New Roman" w:eastAsia="宋体"/>
          <w:color w:val="auto"/>
          <w:lang w:eastAsia="zh-CN"/>
        </w:rPr>
        <w:t>“</w:t>
      </w:r>
      <w:r>
        <w:rPr>
          <w:rFonts w:ascii="Times New Roman" w:hAnsi="Times New Roman" w:eastAsia="宋体"/>
          <w:color w:val="auto"/>
        </w:rPr>
        <w:t>三同时</w:t>
      </w:r>
      <w:r>
        <w:rPr>
          <w:rFonts w:hint="eastAsia" w:ascii="Times New Roman" w:hAnsi="Times New Roman" w:eastAsia="宋体"/>
          <w:color w:val="auto"/>
          <w:lang w:eastAsia="zh-CN"/>
        </w:rPr>
        <w:t>”</w:t>
      </w:r>
      <w:r>
        <w:rPr>
          <w:rFonts w:ascii="Times New Roman" w:hAnsi="Times New Roman" w:eastAsia="宋体"/>
          <w:color w:val="auto"/>
        </w:rPr>
        <w:t>验收一览表</w:t>
      </w:r>
      <w:r>
        <w:rPr>
          <w:color w:val="auto"/>
        </w:rPr>
        <w:tab/>
      </w:r>
      <w:r>
        <w:rPr>
          <w:color w:val="auto"/>
        </w:rPr>
        <w:fldChar w:fldCharType="begin"/>
      </w:r>
      <w:r>
        <w:rPr>
          <w:color w:val="auto"/>
        </w:rPr>
        <w:instrText xml:space="preserve"> PAGEREF _Toc28604 \h </w:instrText>
      </w:r>
      <w:r>
        <w:rPr>
          <w:color w:val="auto"/>
        </w:rPr>
        <w:fldChar w:fldCharType="separate"/>
      </w:r>
      <w:r>
        <w:rPr>
          <w:color w:val="auto"/>
        </w:rPr>
        <w:t>359</w:t>
      </w:r>
      <w:r>
        <w:rPr>
          <w:color w:val="auto"/>
        </w:rPr>
        <w:fldChar w:fldCharType="end"/>
      </w:r>
      <w:r>
        <w:rPr>
          <w:color w:val="auto"/>
        </w:rPr>
        <w:fldChar w:fldCharType="end"/>
      </w:r>
    </w:p>
    <w:p w14:paraId="58D83E71">
      <w:pPr>
        <w:pStyle w:val="35"/>
        <w:tabs>
          <w:tab w:val="right" w:leader="dot" w:pos="8730"/>
        </w:tabs>
        <w:rPr>
          <w:color w:val="auto"/>
        </w:rPr>
      </w:pPr>
      <w:r>
        <w:rPr>
          <w:color w:val="auto"/>
        </w:rPr>
        <w:fldChar w:fldCharType="begin"/>
      </w:r>
      <w:r>
        <w:rPr>
          <w:color w:val="auto"/>
        </w:rPr>
        <w:instrText xml:space="preserve"> HYPERLINK \l _Toc15291 </w:instrText>
      </w:r>
      <w:r>
        <w:rPr>
          <w:color w:val="auto"/>
        </w:rPr>
        <w:fldChar w:fldCharType="separate"/>
      </w:r>
      <w:r>
        <w:rPr>
          <w:rFonts w:hint="default" w:ascii="Times New Roman" w:hAnsi="Times New Roman" w:eastAsia="宋体" w:cs="宋体"/>
          <w:i w:val="0"/>
          <w:color w:val="auto"/>
        </w:rPr>
        <w:t xml:space="preserve">9 </w:t>
      </w:r>
      <w:r>
        <w:rPr>
          <w:rFonts w:eastAsia="宋体"/>
          <w:color w:val="auto"/>
        </w:rPr>
        <w:t>环境影响评价结论</w:t>
      </w:r>
      <w:r>
        <w:rPr>
          <w:color w:val="auto"/>
        </w:rPr>
        <w:tab/>
      </w:r>
      <w:r>
        <w:rPr>
          <w:color w:val="auto"/>
        </w:rPr>
        <w:fldChar w:fldCharType="begin"/>
      </w:r>
      <w:r>
        <w:rPr>
          <w:color w:val="auto"/>
        </w:rPr>
        <w:instrText xml:space="preserve"> PAGEREF _Toc15291 \h </w:instrText>
      </w:r>
      <w:r>
        <w:rPr>
          <w:color w:val="auto"/>
        </w:rPr>
        <w:fldChar w:fldCharType="separate"/>
      </w:r>
      <w:r>
        <w:rPr>
          <w:color w:val="auto"/>
        </w:rPr>
        <w:t>362</w:t>
      </w:r>
      <w:r>
        <w:rPr>
          <w:color w:val="auto"/>
        </w:rPr>
        <w:fldChar w:fldCharType="end"/>
      </w:r>
      <w:r>
        <w:rPr>
          <w:color w:val="auto"/>
        </w:rPr>
        <w:fldChar w:fldCharType="end"/>
      </w:r>
    </w:p>
    <w:p w14:paraId="5E31AF94">
      <w:pPr>
        <w:pStyle w:val="42"/>
        <w:tabs>
          <w:tab w:val="right" w:leader="dot" w:pos="8730"/>
        </w:tabs>
        <w:rPr>
          <w:color w:val="auto"/>
        </w:rPr>
      </w:pPr>
      <w:r>
        <w:rPr>
          <w:color w:val="auto"/>
        </w:rPr>
        <w:fldChar w:fldCharType="begin"/>
      </w:r>
      <w:r>
        <w:rPr>
          <w:color w:val="auto"/>
        </w:rPr>
        <w:instrText xml:space="preserve"> HYPERLINK \l _Toc32110 </w:instrText>
      </w:r>
      <w:r>
        <w:rPr>
          <w:color w:val="auto"/>
        </w:rPr>
        <w:fldChar w:fldCharType="separate"/>
      </w:r>
      <w:r>
        <w:rPr>
          <w:rFonts w:hint="default" w:ascii="Times New Roman" w:hAnsi="Times New Roman" w:eastAsia="宋体" w:cs="宋体"/>
          <w:i w:val="0"/>
          <w:color w:val="auto"/>
        </w:rPr>
        <w:t xml:space="preserve">9.1 </w:t>
      </w:r>
      <w:r>
        <w:rPr>
          <w:rFonts w:ascii="Times New Roman" w:hAnsi="Times New Roman" w:eastAsia="宋体"/>
          <w:color w:val="auto"/>
        </w:rPr>
        <w:t>结论</w:t>
      </w:r>
      <w:r>
        <w:rPr>
          <w:color w:val="auto"/>
        </w:rPr>
        <w:tab/>
      </w:r>
      <w:r>
        <w:rPr>
          <w:color w:val="auto"/>
        </w:rPr>
        <w:fldChar w:fldCharType="begin"/>
      </w:r>
      <w:r>
        <w:rPr>
          <w:color w:val="auto"/>
        </w:rPr>
        <w:instrText xml:space="preserve"> PAGEREF _Toc32110 \h </w:instrText>
      </w:r>
      <w:r>
        <w:rPr>
          <w:color w:val="auto"/>
        </w:rPr>
        <w:fldChar w:fldCharType="separate"/>
      </w:r>
      <w:r>
        <w:rPr>
          <w:color w:val="auto"/>
        </w:rPr>
        <w:t>362</w:t>
      </w:r>
      <w:r>
        <w:rPr>
          <w:color w:val="auto"/>
        </w:rPr>
        <w:fldChar w:fldCharType="end"/>
      </w:r>
      <w:r>
        <w:rPr>
          <w:color w:val="auto"/>
        </w:rPr>
        <w:fldChar w:fldCharType="end"/>
      </w:r>
    </w:p>
    <w:p w14:paraId="0633F575">
      <w:pPr>
        <w:pStyle w:val="42"/>
        <w:tabs>
          <w:tab w:val="right" w:leader="dot" w:pos="8730"/>
        </w:tabs>
        <w:rPr>
          <w:color w:val="auto"/>
        </w:rPr>
      </w:pPr>
      <w:r>
        <w:rPr>
          <w:color w:val="auto"/>
        </w:rPr>
        <w:fldChar w:fldCharType="begin"/>
      </w:r>
      <w:r>
        <w:rPr>
          <w:color w:val="auto"/>
        </w:rPr>
        <w:instrText xml:space="preserve"> HYPERLINK \l _Toc26610 </w:instrText>
      </w:r>
      <w:r>
        <w:rPr>
          <w:color w:val="auto"/>
        </w:rPr>
        <w:fldChar w:fldCharType="separate"/>
      </w:r>
      <w:r>
        <w:rPr>
          <w:rFonts w:hint="default" w:ascii="Times New Roman" w:hAnsi="Times New Roman" w:eastAsia="宋体" w:cs="宋体"/>
          <w:i w:val="0"/>
          <w:color w:val="auto"/>
        </w:rPr>
        <w:t xml:space="preserve">9.2 </w:t>
      </w:r>
      <w:r>
        <w:rPr>
          <w:rFonts w:ascii="Times New Roman" w:hAnsi="Times New Roman" w:eastAsia="宋体"/>
          <w:color w:val="auto"/>
        </w:rPr>
        <w:t>要求及建议</w:t>
      </w:r>
      <w:r>
        <w:rPr>
          <w:color w:val="auto"/>
        </w:rPr>
        <w:tab/>
      </w:r>
      <w:r>
        <w:rPr>
          <w:color w:val="auto"/>
        </w:rPr>
        <w:fldChar w:fldCharType="begin"/>
      </w:r>
      <w:r>
        <w:rPr>
          <w:color w:val="auto"/>
        </w:rPr>
        <w:instrText xml:space="preserve"> PAGEREF _Toc26610 \h </w:instrText>
      </w:r>
      <w:r>
        <w:rPr>
          <w:color w:val="auto"/>
        </w:rPr>
        <w:fldChar w:fldCharType="separate"/>
      </w:r>
      <w:r>
        <w:rPr>
          <w:color w:val="auto"/>
        </w:rPr>
        <w:t>365</w:t>
      </w:r>
      <w:r>
        <w:rPr>
          <w:color w:val="auto"/>
        </w:rPr>
        <w:fldChar w:fldCharType="end"/>
      </w:r>
      <w:r>
        <w:rPr>
          <w:color w:val="auto"/>
        </w:rPr>
        <w:fldChar w:fldCharType="end"/>
      </w:r>
    </w:p>
    <w:p w14:paraId="009F2FDF">
      <w:pPr>
        <w:pageBreakBefore w:val="0"/>
        <w:wordWrap/>
        <w:bidi w:val="0"/>
        <w:adjustRightInd/>
        <w:snapToGrid/>
        <w:ind w:firstLine="480"/>
        <w:rPr>
          <w:color w:val="auto"/>
        </w:rPr>
        <w:sectPr>
          <w:headerReference r:id="rId13" w:type="default"/>
          <w:pgSz w:w="11906" w:h="16838"/>
          <w:pgMar w:top="1440" w:right="1588" w:bottom="1440" w:left="1588" w:header="850" w:footer="992" w:gutter="0"/>
          <w:pgBorders>
            <w:top w:val="none" w:sz="0" w:space="0"/>
            <w:left w:val="none" w:sz="0" w:space="0"/>
            <w:bottom w:val="none" w:sz="0" w:space="0"/>
            <w:right w:val="none" w:sz="0" w:space="0"/>
          </w:pgBorders>
          <w:pgNumType w:fmt="decimal" w:start="1"/>
          <w:cols w:space="720" w:num="1"/>
          <w:docGrid w:linePitch="312" w:charSpace="0"/>
        </w:sectPr>
      </w:pPr>
      <w:r>
        <w:rPr>
          <w:color w:val="auto"/>
        </w:rPr>
        <w:fldChar w:fldCharType="end"/>
      </w:r>
    </w:p>
    <w:p w14:paraId="1B974DE0">
      <w:pPr>
        <w:pageBreakBefore w:val="0"/>
        <w:wordWrap/>
        <w:bidi w:val="0"/>
        <w:adjustRightInd/>
        <w:snapToGrid/>
        <w:ind w:firstLine="0" w:firstLineChars="0"/>
        <w:rPr>
          <w:b/>
          <w:bCs/>
          <w:color w:val="auto"/>
          <w:sz w:val="28"/>
          <w:szCs w:val="28"/>
        </w:rPr>
      </w:pPr>
      <w:r>
        <w:rPr>
          <w:b/>
          <w:bCs/>
          <w:color w:val="auto"/>
          <w:sz w:val="28"/>
          <w:szCs w:val="28"/>
        </w:rPr>
        <w:t>附图：</w:t>
      </w:r>
    </w:p>
    <w:p w14:paraId="4C57913D">
      <w:pPr>
        <w:pageBreakBefore w:val="0"/>
        <w:wordWrap/>
        <w:bidi w:val="0"/>
        <w:adjustRightInd/>
        <w:snapToGrid/>
        <w:ind w:firstLine="480"/>
        <w:rPr>
          <w:color w:val="auto"/>
        </w:rPr>
      </w:pPr>
      <w:bookmarkStart w:id="10" w:name="_Toc372893897"/>
      <w:bookmarkStart w:id="11" w:name="_Toc369616913"/>
      <w:bookmarkStart w:id="12" w:name="_Toc372996937"/>
      <w:bookmarkStart w:id="13" w:name="_Toc369187753"/>
      <w:bookmarkStart w:id="14" w:name="_Toc374627664"/>
      <w:bookmarkStart w:id="15" w:name="_Toc374135582"/>
      <w:r>
        <w:rPr>
          <w:color w:val="auto"/>
        </w:rPr>
        <w:t>附图</w:t>
      </w:r>
      <w:bookmarkEnd w:id="10"/>
      <w:bookmarkEnd w:id="11"/>
      <w:bookmarkEnd w:id="12"/>
      <w:bookmarkEnd w:id="13"/>
      <w:bookmarkEnd w:id="14"/>
      <w:bookmarkEnd w:id="15"/>
      <w:r>
        <w:rPr>
          <w:rFonts w:hint="eastAsia"/>
          <w:color w:val="auto"/>
          <w:lang w:eastAsia="zh-CN"/>
        </w:rPr>
        <w:t>1</w:t>
      </w:r>
      <w:r>
        <w:rPr>
          <w:rFonts w:hint="eastAsia"/>
          <w:color w:val="auto"/>
          <w:lang w:val="en-US" w:eastAsia="zh-CN"/>
        </w:rPr>
        <w:t xml:space="preserve">  </w:t>
      </w:r>
      <w:r>
        <w:rPr>
          <w:color w:val="auto"/>
        </w:rPr>
        <w:t>项目地理位置图；</w:t>
      </w:r>
    </w:p>
    <w:p w14:paraId="76BA2EC5">
      <w:pPr>
        <w:pageBreakBefore w:val="0"/>
        <w:wordWrap/>
        <w:bidi w:val="0"/>
        <w:adjustRightInd/>
        <w:snapToGrid/>
        <w:ind w:firstLine="480"/>
        <w:rPr>
          <w:color w:val="auto"/>
        </w:rPr>
      </w:pPr>
      <w:bookmarkStart w:id="16" w:name="_Toc374627665"/>
      <w:bookmarkStart w:id="17" w:name="_Toc372893898"/>
      <w:bookmarkStart w:id="18" w:name="_Toc374135583"/>
      <w:bookmarkStart w:id="19" w:name="_Toc372996938"/>
      <w:r>
        <w:rPr>
          <w:color w:val="auto"/>
        </w:rPr>
        <w:t xml:space="preserve">附图2  </w:t>
      </w:r>
      <w:bookmarkEnd w:id="16"/>
      <w:bookmarkEnd w:id="17"/>
      <w:bookmarkEnd w:id="18"/>
      <w:bookmarkEnd w:id="19"/>
      <w:r>
        <w:rPr>
          <w:color w:val="auto"/>
        </w:rPr>
        <w:t>项目平面布置图；</w:t>
      </w:r>
    </w:p>
    <w:p w14:paraId="763A1BCA">
      <w:pPr>
        <w:pageBreakBefore w:val="0"/>
        <w:wordWrap/>
        <w:bidi w:val="0"/>
        <w:adjustRightInd/>
        <w:snapToGrid/>
        <w:ind w:firstLine="480"/>
        <w:rPr>
          <w:rFonts w:hint="eastAsia" w:ascii="方正仿宋_GB2312" w:hAnsi="方正仿宋_GB2312" w:eastAsia="方正仿宋_GB2312" w:cs="方正仿宋_GB2312"/>
          <w:color w:val="auto"/>
        </w:rPr>
      </w:pPr>
      <w:bookmarkStart w:id="20" w:name="_Toc372893899"/>
      <w:bookmarkStart w:id="21" w:name="_Toc374135584"/>
      <w:bookmarkStart w:id="22" w:name="_Toc372996939"/>
      <w:bookmarkStart w:id="23" w:name="_Toc374627666"/>
      <w:r>
        <w:rPr>
          <w:color w:val="auto"/>
        </w:rPr>
        <w:t>附图3</w:t>
      </w:r>
      <w:bookmarkEnd w:id="20"/>
      <w:bookmarkEnd w:id="21"/>
      <w:bookmarkEnd w:id="22"/>
      <w:bookmarkEnd w:id="23"/>
      <w:r>
        <w:rPr>
          <w:color w:val="auto"/>
        </w:rPr>
        <w:t xml:space="preserve">  项目外环境关系图；</w:t>
      </w:r>
    </w:p>
    <w:p w14:paraId="54AFEC01">
      <w:pPr>
        <w:pageBreakBefore w:val="0"/>
        <w:wordWrap/>
        <w:bidi w:val="0"/>
        <w:adjustRightInd/>
        <w:snapToGrid/>
        <w:ind w:firstLine="480"/>
        <w:rPr>
          <w:color w:val="auto"/>
        </w:rPr>
      </w:pPr>
      <w:r>
        <w:rPr>
          <w:color w:val="auto"/>
        </w:rPr>
        <w:t>附图4  项目监测布点图；</w:t>
      </w:r>
    </w:p>
    <w:p w14:paraId="5FC8F191">
      <w:pPr>
        <w:pageBreakBefore w:val="0"/>
        <w:wordWrap/>
        <w:bidi w:val="0"/>
        <w:adjustRightInd/>
        <w:snapToGrid/>
        <w:ind w:firstLine="480"/>
        <w:rPr>
          <w:color w:val="auto"/>
        </w:rPr>
      </w:pPr>
      <w:r>
        <w:rPr>
          <w:color w:val="auto"/>
        </w:rPr>
        <w:t>附图5  项目卫生防护距离图；</w:t>
      </w:r>
    </w:p>
    <w:p w14:paraId="4CB5C15D">
      <w:pPr>
        <w:pageBreakBefore w:val="0"/>
        <w:wordWrap/>
        <w:bidi w:val="0"/>
        <w:adjustRightInd/>
        <w:snapToGrid/>
        <w:ind w:firstLine="480"/>
        <w:rPr>
          <w:rFonts w:hint="default" w:eastAsia="宋体"/>
          <w:color w:val="auto"/>
          <w:lang w:val="en-US" w:eastAsia="zh-CN"/>
        </w:rPr>
      </w:pPr>
      <w:r>
        <w:rPr>
          <w:color w:val="auto"/>
        </w:rPr>
        <w:t xml:space="preserve">附图6  </w:t>
      </w:r>
      <w:r>
        <w:rPr>
          <w:rFonts w:hint="eastAsia"/>
          <w:color w:val="auto"/>
          <w:lang w:val="en-US" w:eastAsia="zh-CN"/>
        </w:rPr>
        <w:t>曾口区块污水工程规划图</w:t>
      </w:r>
    </w:p>
    <w:p w14:paraId="5ED4C0F8">
      <w:pPr>
        <w:pageBreakBefore w:val="0"/>
        <w:wordWrap/>
        <w:bidi w:val="0"/>
        <w:adjustRightInd/>
        <w:snapToGrid/>
        <w:ind w:firstLine="480"/>
        <w:rPr>
          <w:rFonts w:hint="default"/>
          <w:color w:val="auto"/>
          <w:lang w:val="en-US"/>
        </w:rPr>
      </w:pPr>
      <w:r>
        <w:rPr>
          <w:color w:val="auto"/>
        </w:rPr>
        <w:t xml:space="preserve">附图7  </w:t>
      </w:r>
      <w:r>
        <w:rPr>
          <w:rFonts w:hint="eastAsia"/>
          <w:color w:val="auto"/>
          <w:lang w:val="en-US" w:eastAsia="zh-CN"/>
        </w:rPr>
        <w:t>项目尾水管线走向；</w:t>
      </w:r>
    </w:p>
    <w:p w14:paraId="5FAB07B8">
      <w:pPr>
        <w:pageBreakBefore w:val="0"/>
        <w:wordWrap/>
        <w:bidi w:val="0"/>
        <w:adjustRightInd/>
        <w:snapToGrid/>
        <w:ind w:firstLine="480"/>
        <w:rPr>
          <w:rFonts w:hint="default" w:eastAsia="宋体"/>
          <w:color w:val="auto"/>
          <w:lang w:val="en-US" w:eastAsia="zh-CN"/>
        </w:rPr>
      </w:pPr>
      <w:r>
        <w:rPr>
          <w:color w:val="auto"/>
        </w:rPr>
        <w:t xml:space="preserve">附图8  </w:t>
      </w:r>
      <w:r>
        <w:rPr>
          <w:rFonts w:hint="eastAsia"/>
          <w:color w:val="auto"/>
          <w:lang w:val="en-US" w:eastAsia="zh-CN"/>
        </w:rPr>
        <w:t>曾口区块用地布局规划图；</w:t>
      </w:r>
    </w:p>
    <w:p w14:paraId="7E421BC6">
      <w:pPr>
        <w:pageBreakBefore w:val="0"/>
        <w:wordWrap/>
        <w:bidi w:val="0"/>
        <w:adjustRightInd/>
        <w:snapToGrid/>
        <w:ind w:firstLine="480"/>
        <w:rPr>
          <w:rFonts w:hint="default" w:eastAsia="宋体"/>
          <w:color w:val="auto"/>
          <w:lang w:val="en-US" w:eastAsia="zh-CN"/>
        </w:rPr>
      </w:pPr>
      <w:r>
        <w:rPr>
          <w:color w:val="auto"/>
        </w:rPr>
        <w:t xml:space="preserve">附图9  </w:t>
      </w:r>
      <w:r>
        <w:rPr>
          <w:rFonts w:hint="eastAsia"/>
          <w:color w:val="auto"/>
          <w:lang w:val="en-US" w:eastAsia="zh-CN"/>
        </w:rPr>
        <w:t>环境管控单元图</w:t>
      </w:r>
    </w:p>
    <w:p w14:paraId="0424633C">
      <w:pPr>
        <w:pageBreakBefore w:val="0"/>
        <w:wordWrap/>
        <w:bidi w:val="0"/>
        <w:adjustRightInd/>
        <w:snapToGrid/>
        <w:ind w:firstLine="480"/>
        <w:rPr>
          <w:rFonts w:hint="default" w:eastAsia="宋体"/>
          <w:color w:val="auto"/>
          <w:lang w:val="en-US" w:eastAsia="zh-CN"/>
        </w:rPr>
      </w:pPr>
      <w:r>
        <w:rPr>
          <w:color w:val="auto"/>
        </w:rPr>
        <w:t xml:space="preserve">附图10  </w:t>
      </w:r>
      <w:r>
        <w:rPr>
          <w:rFonts w:hint="eastAsia"/>
          <w:color w:val="auto"/>
          <w:lang w:val="en-US" w:eastAsia="zh-CN"/>
        </w:rPr>
        <w:t>与四川省三线一单位置图</w:t>
      </w:r>
    </w:p>
    <w:p w14:paraId="77DEB5C4">
      <w:pPr>
        <w:pageBreakBefore w:val="0"/>
        <w:wordWrap/>
        <w:bidi w:val="0"/>
        <w:adjustRightInd/>
        <w:snapToGrid/>
        <w:ind w:firstLine="480"/>
        <w:rPr>
          <w:color w:val="auto"/>
        </w:rPr>
      </w:pPr>
    </w:p>
    <w:p w14:paraId="13265996">
      <w:pPr>
        <w:pageBreakBefore w:val="0"/>
        <w:wordWrap/>
        <w:bidi w:val="0"/>
        <w:adjustRightInd/>
        <w:snapToGrid/>
        <w:ind w:firstLine="0" w:firstLineChars="0"/>
        <w:rPr>
          <w:b/>
          <w:bCs/>
          <w:color w:val="auto"/>
          <w:sz w:val="28"/>
          <w:szCs w:val="28"/>
        </w:rPr>
      </w:pPr>
      <w:r>
        <w:rPr>
          <w:b/>
          <w:bCs/>
          <w:color w:val="auto"/>
          <w:sz w:val="28"/>
          <w:szCs w:val="28"/>
        </w:rPr>
        <w:t>附件：</w:t>
      </w:r>
    </w:p>
    <w:p w14:paraId="280C2026">
      <w:pPr>
        <w:pageBreakBefore w:val="0"/>
        <w:wordWrap/>
        <w:bidi w:val="0"/>
        <w:adjustRightInd/>
        <w:snapToGrid/>
        <w:ind w:firstLine="480"/>
        <w:rPr>
          <w:color w:val="auto"/>
        </w:rPr>
      </w:pPr>
      <w:r>
        <w:rPr>
          <w:color w:val="auto"/>
        </w:rPr>
        <w:t>附件</w:t>
      </w:r>
      <w:r>
        <w:rPr>
          <w:rFonts w:hint="eastAsia"/>
          <w:color w:val="auto"/>
          <w:lang w:eastAsia="zh-CN"/>
        </w:rPr>
        <w:t>1</w:t>
      </w:r>
      <w:r>
        <w:rPr>
          <w:rFonts w:hint="eastAsia"/>
          <w:color w:val="auto"/>
          <w:lang w:val="en-US" w:eastAsia="zh-CN"/>
        </w:rPr>
        <w:t xml:space="preserve">  </w:t>
      </w:r>
      <w:r>
        <w:rPr>
          <w:color w:val="auto"/>
        </w:rPr>
        <w:t>环评委托书；</w:t>
      </w:r>
    </w:p>
    <w:p w14:paraId="588D60D0">
      <w:pPr>
        <w:pageBreakBefore w:val="0"/>
        <w:wordWrap/>
        <w:bidi w:val="0"/>
        <w:adjustRightInd/>
        <w:snapToGrid/>
        <w:ind w:firstLine="480"/>
        <w:rPr>
          <w:color w:val="auto"/>
        </w:rPr>
      </w:pPr>
      <w:r>
        <w:rPr>
          <w:color w:val="auto"/>
        </w:rPr>
        <w:t>附件2  投资项目备案表；</w:t>
      </w:r>
    </w:p>
    <w:p w14:paraId="38CFA295">
      <w:pPr>
        <w:pStyle w:val="19"/>
        <w:pageBreakBefore w:val="0"/>
        <w:wordWrap/>
        <w:bidi w:val="0"/>
        <w:adjustRightInd/>
        <w:snapToGrid/>
        <w:rPr>
          <w:rFonts w:hint="eastAsia" w:eastAsia="宋体"/>
          <w:color w:val="auto"/>
          <w:lang w:eastAsia="zh-CN"/>
        </w:rPr>
      </w:pPr>
      <w:r>
        <w:rPr>
          <w:color w:val="auto"/>
        </w:rPr>
        <w:t xml:space="preserve">附件3  </w:t>
      </w:r>
      <w:r>
        <w:rPr>
          <w:rFonts w:hint="eastAsia"/>
          <w:color w:val="auto"/>
          <w:lang w:val="en-US" w:eastAsia="zh-CN"/>
        </w:rPr>
        <w:t>营业执照</w:t>
      </w:r>
    </w:p>
    <w:p w14:paraId="677CB2EC">
      <w:pPr>
        <w:pageBreakBefore w:val="0"/>
        <w:wordWrap/>
        <w:bidi w:val="0"/>
        <w:adjustRightInd/>
        <w:snapToGrid/>
        <w:ind w:firstLine="480"/>
        <w:rPr>
          <w:rFonts w:hint="eastAsia" w:eastAsia="宋体"/>
          <w:color w:val="auto"/>
          <w:lang w:eastAsia="zh-CN"/>
        </w:rPr>
      </w:pPr>
      <w:r>
        <w:rPr>
          <w:color w:val="auto"/>
        </w:rPr>
        <w:t xml:space="preserve">附件4  </w:t>
      </w:r>
      <w:r>
        <w:rPr>
          <w:rFonts w:hint="eastAsia"/>
          <w:color w:val="auto"/>
          <w:lang w:val="en-US" w:eastAsia="zh-CN"/>
        </w:rPr>
        <w:t>用地手续</w:t>
      </w:r>
    </w:p>
    <w:p w14:paraId="2FE1E691">
      <w:pPr>
        <w:pageBreakBefore w:val="0"/>
        <w:wordWrap/>
        <w:bidi w:val="0"/>
        <w:adjustRightInd/>
        <w:snapToGrid/>
        <w:ind w:left="480" w:firstLine="0" w:firstLineChars="0"/>
        <w:rPr>
          <w:rFonts w:hint="default" w:eastAsia="宋体"/>
          <w:color w:val="auto"/>
          <w:lang w:val="en-US" w:eastAsia="zh-CN"/>
        </w:rPr>
      </w:pPr>
      <w:r>
        <w:rPr>
          <w:rFonts w:hint="eastAsia"/>
          <w:color w:val="auto"/>
        </w:rPr>
        <w:t xml:space="preserve">附件5  </w:t>
      </w:r>
      <w:r>
        <w:rPr>
          <w:rFonts w:hint="eastAsia"/>
          <w:color w:val="auto"/>
          <w:lang w:val="en-US" w:eastAsia="zh-CN"/>
        </w:rPr>
        <w:t>规划环评审查意见</w:t>
      </w:r>
    </w:p>
    <w:p w14:paraId="082EA866">
      <w:pPr>
        <w:pageBreakBefore w:val="0"/>
        <w:wordWrap/>
        <w:bidi w:val="0"/>
        <w:adjustRightInd/>
        <w:snapToGrid/>
        <w:ind w:firstLine="480"/>
        <w:rPr>
          <w:rFonts w:hint="default" w:eastAsia="宋体"/>
          <w:color w:val="auto"/>
          <w:lang w:val="en-US" w:eastAsia="zh-CN"/>
        </w:rPr>
      </w:pPr>
      <w:r>
        <w:rPr>
          <w:color w:val="auto"/>
        </w:rPr>
        <w:t>附件</w:t>
      </w:r>
      <w:r>
        <w:rPr>
          <w:rFonts w:hint="eastAsia"/>
          <w:color w:val="auto"/>
        </w:rPr>
        <w:t>6</w:t>
      </w:r>
      <w:r>
        <w:rPr>
          <w:color w:val="auto"/>
        </w:rPr>
        <w:t xml:space="preserve">  </w:t>
      </w:r>
      <w:r>
        <w:rPr>
          <w:rFonts w:hint="eastAsia"/>
          <w:color w:val="auto"/>
          <w:lang w:val="en-US" w:eastAsia="zh-CN"/>
        </w:rPr>
        <w:t>引用地表水监测报告</w:t>
      </w:r>
    </w:p>
    <w:p w14:paraId="5702D4A2">
      <w:pPr>
        <w:pageBreakBefore w:val="0"/>
        <w:wordWrap/>
        <w:bidi w:val="0"/>
        <w:adjustRightInd/>
        <w:snapToGrid/>
        <w:ind w:firstLine="480"/>
        <w:rPr>
          <w:color w:val="auto"/>
        </w:rPr>
        <w:sectPr>
          <w:pgSz w:w="11906" w:h="16838"/>
          <w:pgMar w:top="1440" w:right="1588" w:bottom="1440" w:left="1588" w:header="850"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rPr>
        <w:t xml:space="preserve">附件7  </w:t>
      </w:r>
      <w:r>
        <w:rPr>
          <w:rFonts w:hint="eastAsia"/>
          <w:color w:val="auto"/>
          <w:lang w:val="en-US" w:eastAsia="zh-CN"/>
        </w:rPr>
        <w:t>现状监测报告</w:t>
      </w:r>
    </w:p>
    <w:p w14:paraId="6B0E56E9">
      <w:pPr>
        <w:pStyle w:val="3"/>
        <w:pageBreakBefore w:val="0"/>
        <w:numPr>
          <w:ilvl w:val="0"/>
          <w:numId w:val="0"/>
        </w:numPr>
        <w:wordWrap/>
        <w:bidi w:val="0"/>
        <w:adjustRightInd/>
        <w:snapToGrid/>
        <w:rPr>
          <w:rFonts w:eastAsia="宋体"/>
          <w:color w:val="auto"/>
        </w:rPr>
      </w:pPr>
      <w:bookmarkStart w:id="24" w:name="_Toc3860"/>
      <w:bookmarkStart w:id="25" w:name="_Toc18812"/>
      <w:bookmarkStart w:id="26" w:name="_Toc505087332"/>
      <w:r>
        <w:rPr>
          <w:rFonts w:eastAsia="宋体"/>
          <w:color w:val="auto"/>
        </w:rPr>
        <w:t>概述</w:t>
      </w:r>
      <w:bookmarkEnd w:id="24"/>
      <w:bookmarkEnd w:id="25"/>
      <w:bookmarkEnd w:id="26"/>
    </w:p>
    <w:p w14:paraId="7AD506BE">
      <w:pPr>
        <w:pageBreakBefore w:val="0"/>
        <w:wordWrap/>
        <w:bidi w:val="0"/>
        <w:adjustRightInd/>
        <w:snapToGrid/>
        <w:ind w:firstLine="482"/>
        <w:rPr>
          <w:color w:val="auto"/>
        </w:rPr>
      </w:pPr>
      <w:r>
        <w:rPr>
          <w:b/>
          <w:color w:val="auto"/>
        </w:rPr>
        <w:t>1、项目由来</w:t>
      </w:r>
    </w:p>
    <w:p w14:paraId="7EA2ECBF">
      <w:pPr>
        <w:pageBreakBefore w:val="0"/>
        <w:widowControl/>
        <w:wordWrap/>
        <w:bidi w:val="0"/>
        <w:adjustRightInd/>
        <w:snapToGrid/>
        <w:ind w:firstLine="480"/>
        <w:rPr>
          <w:color w:val="auto"/>
        </w:rPr>
      </w:pPr>
      <w:r>
        <w:rPr>
          <w:rFonts w:hint="eastAsia"/>
          <w:color w:val="auto"/>
        </w:rPr>
        <w:t>2022年，巴中市委市政府研究决定，分别在巴州区曾口镇（阳台河、巴河岸线</w:t>
      </w:r>
      <w:r>
        <w:rPr>
          <w:rFonts w:hint="eastAsia"/>
          <w:color w:val="auto"/>
          <w:lang w:eastAsia="zh-CN"/>
        </w:rPr>
        <w:t>1</w:t>
      </w:r>
      <w:r>
        <w:rPr>
          <w:rFonts w:hint="eastAsia"/>
          <w:color w:val="auto"/>
        </w:rPr>
        <w:t>.0km范围以外）城镇开发边界范围内设立曾口工业园、通江县诺江镇城镇开发边界范围内设立金堂工业园，作为天然气资源就地转化基地，重点发展天然气化工和新能源新材料，并纳入巴中经开区托管。2022年8月中共巴中市委常委</w:t>
      </w:r>
      <w:r>
        <w:rPr>
          <w:rFonts w:hint="eastAsia"/>
          <w:color w:val="auto"/>
          <w:lang w:eastAsia="zh-CN"/>
        </w:rPr>
        <w:t>会</w:t>
      </w:r>
      <w:r>
        <w:rPr>
          <w:rFonts w:hint="eastAsia"/>
          <w:color w:val="auto"/>
        </w:rPr>
        <w:t>会议纪要（五届第24次）原则同意。</w:t>
      </w:r>
    </w:p>
    <w:p w14:paraId="1536009C">
      <w:pPr>
        <w:pageBreakBefore w:val="0"/>
        <w:widowControl/>
        <w:wordWrap/>
        <w:bidi w:val="0"/>
        <w:adjustRightInd/>
        <w:snapToGrid/>
        <w:ind w:firstLine="480"/>
        <w:rPr>
          <w:rFonts w:hint="eastAsia"/>
          <w:color w:val="auto"/>
          <w:lang w:val="en-US" w:eastAsia="zh-CN"/>
        </w:rPr>
      </w:pPr>
      <w:r>
        <w:rPr>
          <w:rFonts w:hint="eastAsia"/>
          <w:color w:val="auto"/>
        </w:rPr>
        <w:t>2022年11月巴中经开区管委会组织编制了《四川巴中经济开发区规划修编》，规划</w:t>
      </w:r>
      <w:r>
        <w:rPr>
          <w:rFonts w:hint="eastAsia"/>
          <w:color w:val="auto"/>
          <w:lang w:val="en-US" w:eastAsia="zh-CN"/>
        </w:rPr>
        <w:t>园区</w:t>
      </w:r>
      <w:r>
        <w:rPr>
          <w:rFonts w:hint="eastAsia"/>
          <w:color w:val="auto"/>
        </w:rPr>
        <w:t>面积1677.3513h</w:t>
      </w:r>
      <w:r>
        <w:rPr>
          <w:rFonts w:hint="eastAsia"/>
          <w:color w:val="auto"/>
          <w:lang w:eastAsia="zh-CN"/>
        </w:rPr>
        <w:t>m²，</w:t>
      </w:r>
      <w:r>
        <w:rPr>
          <w:rFonts w:hint="eastAsia"/>
          <w:color w:val="auto"/>
        </w:rPr>
        <w:t>以机械、电子、服装为主导产业，辅助发展生物</w:t>
      </w:r>
      <w:bookmarkStart w:id="327" w:name="_GoBack"/>
      <w:bookmarkEnd w:id="327"/>
      <w:r>
        <w:rPr>
          <w:rFonts w:hint="eastAsia"/>
          <w:color w:val="auto"/>
        </w:rPr>
        <w:t>医药、新能源新材料及天然气化工。</w:t>
      </w:r>
      <w:r>
        <w:rPr>
          <w:rFonts w:hint="eastAsia"/>
          <w:color w:val="auto"/>
          <w:lang w:val="en-US" w:eastAsia="zh-CN"/>
        </w:rPr>
        <w:t>其中：</w:t>
      </w:r>
    </w:p>
    <w:p w14:paraId="680BDB45">
      <w:pPr>
        <w:pageBreakBefore w:val="0"/>
        <w:widowControl/>
        <w:wordWrap/>
        <w:bidi w:val="0"/>
        <w:adjustRightInd/>
        <w:snapToGrid/>
        <w:ind w:firstLine="480"/>
        <w:rPr>
          <w:rFonts w:hint="eastAsia"/>
          <w:color w:val="auto"/>
          <w:lang w:eastAsia="zh-CN"/>
        </w:rPr>
      </w:pPr>
      <w:r>
        <w:rPr>
          <w:rFonts w:hint="eastAsia"/>
          <w:color w:val="auto"/>
        </w:rPr>
        <w:t>核心区规划面积约1389.9942h</w:t>
      </w:r>
      <w:r>
        <w:rPr>
          <w:rFonts w:hint="eastAsia"/>
          <w:color w:val="auto"/>
          <w:lang w:eastAsia="zh-CN"/>
        </w:rPr>
        <w:t>m²</w:t>
      </w:r>
      <w:r>
        <w:rPr>
          <w:rFonts w:hint="eastAsia"/>
          <w:color w:val="auto"/>
        </w:rPr>
        <w:t>，四至范围：</w:t>
      </w:r>
      <w:r>
        <w:rPr>
          <w:rFonts w:hint="eastAsia"/>
          <w:color w:val="auto"/>
          <w:lang w:eastAsia="zh-CN"/>
        </w:rPr>
        <w:t>北至</w:t>
      </w:r>
      <w:r>
        <w:rPr>
          <w:rFonts w:hint="eastAsia"/>
          <w:color w:val="auto"/>
        </w:rPr>
        <w:t>唐家庙，南至铁匠咀，东至巴中高速出入口，西以国道G347、棠湖街等为界</w:t>
      </w:r>
      <w:r>
        <w:rPr>
          <w:rFonts w:hint="eastAsia"/>
          <w:color w:val="auto"/>
          <w:lang w:eastAsia="zh-CN"/>
        </w:rPr>
        <w:t>，以机械、电子、服装为主导，辅助发展新能源新材料、生物医药；</w:t>
      </w:r>
    </w:p>
    <w:p w14:paraId="662AA2D0">
      <w:pPr>
        <w:pageBreakBefore w:val="0"/>
        <w:widowControl/>
        <w:wordWrap/>
        <w:bidi w:val="0"/>
        <w:adjustRightInd/>
        <w:snapToGrid/>
        <w:ind w:firstLine="480"/>
        <w:rPr>
          <w:rFonts w:hint="default"/>
          <w:color w:val="auto"/>
          <w:vertAlign w:val="superscript"/>
          <w:lang w:val="en-US" w:eastAsia="zh-CN"/>
        </w:rPr>
      </w:pPr>
      <w:r>
        <w:rPr>
          <w:rFonts w:hint="eastAsia"/>
          <w:color w:val="auto"/>
        </w:rPr>
        <w:t>曾口区块规划面积约191.8105h</w:t>
      </w:r>
      <w:r>
        <w:rPr>
          <w:rFonts w:hint="eastAsia"/>
          <w:color w:val="auto"/>
          <w:lang w:eastAsia="zh-CN"/>
        </w:rPr>
        <w:t>m²</w:t>
      </w:r>
      <w:r>
        <w:rPr>
          <w:rFonts w:hint="eastAsia"/>
          <w:color w:val="auto"/>
          <w:vertAlign w:val="baseline"/>
          <w:lang w:val="en-US" w:eastAsia="zh-CN"/>
        </w:rPr>
        <w:t>，四至范围：东至寿星村团包梁，南至寿星村磨盘寨，西至寿星村双堰塘，北至寿星村周家湾，以天然气化工、新能源新材料为主导；</w:t>
      </w:r>
    </w:p>
    <w:p w14:paraId="4B807634">
      <w:pPr>
        <w:pageBreakBefore w:val="0"/>
        <w:widowControl/>
        <w:wordWrap/>
        <w:bidi w:val="0"/>
        <w:adjustRightInd/>
        <w:snapToGrid/>
        <w:ind w:firstLine="480"/>
        <w:rPr>
          <w:rFonts w:hint="eastAsia" w:eastAsia="宋体"/>
          <w:color w:val="auto"/>
          <w:lang w:eastAsia="zh-CN"/>
        </w:rPr>
      </w:pPr>
      <w:r>
        <w:rPr>
          <w:rFonts w:hint="eastAsia"/>
          <w:color w:val="auto"/>
        </w:rPr>
        <w:t>金堂区块规划面积约95.5466h</w:t>
      </w:r>
      <w:r>
        <w:rPr>
          <w:rFonts w:hint="eastAsia"/>
          <w:color w:val="auto"/>
          <w:lang w:eastAsia="zh-CN"/>
        </w:rPr>
        <w:t>m²</w:t>
      </w:r>
      <w:r>
        <w:rPr>
          <w:rFonts w:hint="eastAsia"/>
          <w:color w:val="auto"/>
        </w:rPr>
        <w:t>，四至范围：东至诺江镇秋锦山村青山湾，南至广纳镇金堂村大弯梁，西至诺江镇亮垭村曹家沟，北至诺江镇秋锦山村佛儿岩</w:t>
      </w:r>
      <w:r>
        <w:rPr>
          <w:rFonts w:hint="eastAsia"/>
          <w:color w:val="auto"/>
          <w:lang w:eastAsia="zh-CN"/>
        </w:rPr>
        <w:t>，</w:t>
      </w:r>
      <w:r>
        <w:rPr>
          <w:rFonts w:hint="eastAsia"/>
          <w:color w:val="auto"/>
          <w:vertAlign w:val="baseline"/>
          <w:lang w:val="en-US" w:eastAsia="zh-CN"/>
        </w:rPr>
        <w:t>以天然气化工为主导；</w:t>
      </w:r>
    </w:p>
    <w:p w14:paraId="4A17C2BC">
      <w:pPr>
        <w:pageBreakBefore w:val="0"/>
        <w:widowControl/>
        <w:wordWrap/>
        <w:bidi w:val="0"/>
        <w:adjustRightInd/>
        <w:snapToGrid/>
        <w:ind w:firstLine="480"/>
        <w:rPr>
          <w:rFonts w:hint="eastAsia" w:eastAsia="宋体"/>
          <w:color w:val="auto"/>
          <w:lang w:val="en-US" w:eastAsia="zh-CN"/>
        </w:rPr>
      </w:pPr>
      <w:r>
        <w:rPr>
          <w:rFonts w:hint="eastAsia"/>
          <w:color w:val="auto"/>
          <w:lang w:val="en-US" w:eastAsia="zh-CN"/>
        </w:rPr>
        <w:t>其中经济开发区核心区污水由在经开区南侧、河流下游的K10-04地块内的污水处理厂进行处理。曾口区块污水规划位于S409与经二街交口处，处理规模2.2万t/d，金堂区块污水规划位于金堂路与纬二路交口处，处理规模为1.5万t/d。</w:t>
      </w:r>
    </w:p>
    <w:p w14:paraId="14F56A40">
      <w:pPr>
        <w:pStyle w:val="190"/>
        <w:pageBreakBefore w:val="0"/>
        <w:wordWrap/>
        <w:bidi w:val="0"/>
        <w:adjustRightInd/>
        <w:snapToGrid/>
        <w:ind w:firstLine="480"/>
        <w:jc w:val="both"/>
        <w:rPr>
          <w:rFonts w:hint="default" w:eastAsia="宋体"/>
          <w:color w:val="auto"/>
          <w:lang w:val="en-US" w:eastAsia="zh-CN"/>
        </w:rPr>
      </w:pPr>
      <w:r>
        <w:rPr>
          <w:rFonts w:hint="eastAsia"/>
          <w:color w:val="auto"/>
          <w:lang w:val="en-US" w:eastAsia="zh-CN"/>
        </w:rPr>
        <w:t>2023年10月，巴中经开区管委会委托信息产业电子第十一设计研究院科技工程股份有限公司编制了</w:t>
      </w:r>
      <w:r>
        <w:rPr>
          <w:rFonts w:hint="eastAsia"/>
          <w:color w:val="auto"/>
        </w:rPr>
        <w:t>《四川巴中经济开发区规划修编</w:t>
      </w:r>
      <w:r>
        <w:rPr>
          <w:rFonts w:hint="eastAsia"/>
          <w:color w:val="auto"/>
          <w:lang w:val="en-US" w:eastAsia="zh-CN"/>
        </w:rPr>
        <w:t>环境影响报告书</w:t>
      </w:r>
      <w:r>
        <w:rPr>
          <w:rFonts w:hint="eastAsia"/>
          <w:color w:val="auto"/>
        </w:rPr>
        <w:t>》</w:t>
      </w:r>
      <w:r>
        <w:rPr>
          <w:rFonts w:hint="eastAsia"/>
          <w:color w:val="auto"/>
          <w:lang w:eastAsia="zh-CN"/>
        </w:rPr>
        <w:t>，</w:t>
      </w:r>
      <w:r>
        <w:rPr>
          <w:rFonts w:hint="eastAsia"/>
          <w:color w:val="auto"/>
          <w:lang w:val="en-US" w:eastAsia="zh-CN"/>
        </w:rPr>
        <w:t>报告书中建议：①结合曾口区块开发进度和企业排水情况，合理确定污水处理厂近期建设规模和扩建时序，确保曾口区块已开发区域废水收集率达到100%，处理率达到100%；②曾口区块远期建成规模不超过1.6万m³/d；③共用曾口场镇污水处理厂入河排口。</w:t>
      </w:r>
    </w:p>
    <w:p w14:paraId="19114B26">
      <w:pPr>
        <w:pStyle w:val="190"/>
        <w:pageBreakBefore w:val="0"/>
        <w:wordWrap/>
        <w:bidi w:val="0"/>
        <w:adjustRightInd/>
        <w:snapToGrid/>
        <w:ind w:firstLine="480"/>
        <w:jc w:val="both"/>
        <w:rPr>
          <w:color w:val="auto"/>
          <w:kern w:val="2"/>
          <w:szCs w:val="24"/>
        </w:rPr>
      </w:pPr>
      <w:r>
        <w:rPr>
          <w:color w:val="auto"/>
        </w:rPr>
        <w:t>因此，为贯彻落实</w:t>
      </w:r>
      <w:r>
        <w:rPr>
          <w:color w:val="auto"/>
          <w:kern w:val="2"/>
          <w:szCs w:val="24"/>
        </w:rPr>
        <w:t>园区规划环评以及相关污染防治规范要求，</w:t>
      </w:r>
      <w:r>
        <w:rPr>
          <w:rFonts w:hint="eastAsia"/>
          <w:color w:val="auto"/>
          <w:szCs w:val="24"/>
          <w:lang w:eastAsia="zh-CN" w:bidi="ar"/>
        </w:rPr>
        <w:t>巴中汇鑫发展有限公司</w:t>
      </w:r>
      <w:r>
        <w:rPr>
          <w:color w:val="auto"/>
          <w:szCs w:val="24"/>
          <w:lang w:bidi="ar"/>
        </w:rPr>
        <w:t>拟在</w:t>
      </w:r>
      <w:r>
        <w:rPr>
          <w:rFonts w:hint="eastAsia"/>
          <w:color w:val="auto"/>
          <w:szCs w:val="24"/>
          <w:lang w:val="en-US" w:eastAsia="zh-CN" w:bidi="ar"/>
        </w:rPr>
        <w:t>曾口区块内</w:t>
      </w:r>
      <w:r>
        <w:rPr>
          <w:rFonts w:hint="eastAsia"/>
          <w:color w:val="auto"/>
          <w:szCs w:val="24"/>
          <w:lang w:eastAsia="zh-CN" w:bidi="ar"/>
        </w:rPr>
        <w:t>S409与经二街交口处</w:t>
      </w:r>
      <w:r>
        <w:rPr>
          <w:color w:val="auto"/>
          <w:szCs w:val="24"/>
          <w:lang w:bidi="ar"/>
        </w:rPr>
        <w:t>建设一座处理规模为</w:t>
      </w:r>
      <w:r>
        <w:rPr>
          <w:rFonts w:hint="eastAsia"/>
          <w:color w:val="auto"/>
          <w:szCs w:val="24"/>
          <w:lang w:eastAsia="zh-CN" w:bidi="ar"/>
        </w:rPr>
        <w:t>1.6万m³</w:t>
      </w:r>
      <w:r>
        <w:rPr>
          <w:color w:val="auto"/>
          <w:szCs w:val="24"/>
          <w:lang w:bidi="ar"/>
        </w:rPr>
        <w:t>/d的工业污水处理厂，</w:t>
      </w:r>
      <w:r>
        <w:rPr>
          <w:rFonts w:hint="eastAsia"/>
          <w:color w:val="auto"/>
          <w:szCs w:val="24"/>
          <w:lang w:val="en-US" w:eastAsia="zh-CN" w:bidi="ar"/>
        </w:rPr>
        <w:t>分为三期建设，其中一期一阶段1500m³/d，一期二阶段1500m³/d，二期3000m³/d，三期10000m³/d，</w:t>
      </w:r>
      <w:r>
        <w:rPr>
          <w:rFonts w:hint="eastAsia"/>
          <w:color w:val="auto"/>
          <w:szCs w:val="24"/>
          <w:lang w:bidi="ar"/>
        </w:rPr>
        <w:t>污水处理主体工艺为</w:t>
      </w:r>
      <w:r>
        <w:rPr>
          <w:rFonts w:hint="eastAsia"/>
          <w:color w:val="auto"/>
          <w:szCs w:val="24"/>
          <w:lang w:eastAsia="zh-CN" w:bidi="ar"/>
        </w:rPr>
        <w:t>“超细格栅+调节池+高级氧化预处理（预留）+水解酸化池+生化池+二沉池+磁混凝沉淀池+深床反硝化+高级氧化深度处理+紫外线消毒”，</w:t>
      </w:r>
      <w:r>
        <w:rPr>
          <w:rFonts w:hint="eastAsia"/>
          <w:color w:val="auto"/>
          <w:szCs w:val="24"/>
          <w:lang w:val="en-US" w:eastAsia="zh-CN" w:bidi="ar"/>
        </w:rPr>
        <w:t>出水水质指标执行《城镇污水处理厂污染物排放标准》（GB18918-2002）一级A标准，最终排入巴河</w:t>
      </w:r>
      <w:r>
        <w:rPr>
          <w:color w:val="auto"/>
          <w:kern w:val="2"/>
          <w:szCs w:val="24"/>
        </w:rPr>
        <w:t>。</w:t>
      </w:r>
    </w:p>
    <w:p w14:paraId="63C2D456">
      <w:pPr>
        <w:pStyle w:val="190"/>
        <w:pageBreakBefore w:val="0"/>
        <w:wordWrap/>
        <w:bidi w:val="0"/>
        <w:adjustRightInd/>
        <w:snapToGrid/>
        <w:ind w:firstLine="480"/>
        <w:jc w:val="both"/>
        <w:rPr>
          <w:rFonts w:hint="eastAsia"/>
          <w:color w:val="auto"/>
          <w:kern w:val="2"/>
          <w:szCs w:val="24"/>
        </w:rPr>
      </w:pPr>
      <w:r>
        <w:rPr>
          <w:rFonts w:hint="eastAsia"/>
          <w:color w:val="auto"/>
          <w:kern w:val="2"/>
          <w:szCs w:val="24"/>
        </w:rPr>
        <w:t>本项目建成后主要服务</w:t>
      </w:r>
      <w:r>
        <w:rPr>
          <w:rFonts w:hint="eastAsia"/>
          <w:color w:val="auto"/>
          <w:kern w:val="2"/>
          <w:szCs w:val="24"/>
          <w:lang w:val="en-US" w:eastAsia="zh-CN"/>
        </w:rPr>
        <w:t>于四川巴中经济开发区-曾口区块</w:t>
      </w:r>
      <w:r>
        <w:rPr>
          <w:rFonts w:hint="eastAsia"/>
          <w:color w:val="auto"/>
          <w:kern w:val="2"/>
          <w:szCs w:val="24"/>
        </w:rPr>
        <w:t>，服务面积约</w:t>
      </w:r>
      <w:r>
        <w:rPr>
          <w:rFonts w:hint="eastAsia"/>
          <w:color w:val="auto"/>
          <w:kern w:val="2"/>
          <w:szCs w:val="24"/>
          <w:lang w:val="en-US" w:eastAsia="zh-CN"/>
        </w:rPr>
        <w:t>191.8105h</w:t>
      </w:r>
      <w:r>
        <w:rPr>
          <w:rFonts w:hint="eastAsia"/>
          <w:color w:val="auto"/>
          <w:kern w:val="2"/>
          <w:szCs w:val="24"/>
          <w:lang w:eastAsia="zh-CN"/>
        </w:rPr>
        <w:t>m²</w:t>
      </w:r>
      <w:r>
        <w:rPr>
          <w:rFonts w:hint="eastAsia"/>
          <w:color w:val="auto"/>
          <w:kern w:val="2"/>
          <w:szCs w:val="24"/>
        </w:rPr>
        <w:t>。</w:t>
      </w:r>
      <w:r>
        <w:rPr>
          <w:rFonts w:hint="eastAsia"/>
          <w:color w:val="auto"/>
        </w:rPr>
        <w:t>根据</w:t>
      </w:r>
      <w:r>
        <w:rPr>
          <w:rFonts w:hint="eastAsia"/>
          <w:color w:val="auto"/>
          <w:lang w:eastAsia="zh-CN"/>
        </w:rPr>
        <w:t>四川巴中经济开发区</w:t>
      </w:r>
      <w:r>
        <w:rPr>
          <w:rFonts w:hint="eastAsia"/>
          <w:color w:val="auto"/>
        </w:rPr>
        <w:t>最新规划，规划园区中水回用率近期</w:t>
      </w:r>
      <w:r>
        <w:rPr>
          <w:rFonts w:hint="eastAsia"/>
          <w:color w:val="auto"/>
          <w:lang w:eastAsia="zh-CN"/>
        </w:rPr>
        <w:t>（</w:t>
      </w:r>
      <w:r>
        <w:rPr>
          <w:rFonts w:hint="eastAsia"/>
          <w:color w:val="auto"/>
          <w:lang w:val="en-US" w:eastAsia="zh-CN"/>
        </w:rPr>
        <w:t>2027年</w:t>
      </w:r>
      <w:r>
        <w:rPr>
          <w:rFonts w:hint="eastAsia"/>
          <w:color w:val="auto"/>
          <w:lang w:eastAsia="zh-CN"/>
        </w:rPr>
        <w:t>）</w:t>
      </w:r>
      <w:r>
        <w:rPr>
          <w:rFonts w:hint="eastAsia"/>
          <w:color w:val="auto"/>
        </w:rPr>
        <w:t>达到18%，远期</w:t>
      </w:r>
      <w:r>
        <w:rPr>
          <w:rFonts w:hint="eastAsia"/>
          <w:color w:val="auto"/>
          <w:lang w:eastAsia="zh-CN"/>
        </w:rPr>
        <w:t>（</w:t>
      </w:r>
      <w:r>
        <w:rPr>
          <w:rFonts w:hint="eastAsia"/>
          <w:color w:val="auto"/>
          <w:lang w:val="en-US" w:eastAsia="zh-CN"/>
        </w:rPr>
        <w:t>2035年</w:t>
      </w:r>
      <w:r>
        <w:rPr>
          <w:rFonts w:hint="eastAsia"/>
          <w:color w:val="auto"/>
          <w:lang w:eastAsia="zh-CN"/>
        </w:rPr>
        <w:t>）</w:t>
      </w:r>
      <w:r>
        <w:rPr>
          <w:rFonts w:hint="eastAsia"/>
          <w:color w:val="auto"/>
        </w:rPr>
        <w:t>达到20%。污水通过规划区污水处理厂处理达到《城镇污水处理厂污染物排放标准》（GB18918-2002）一级A标准，再输送至中水厂，按照</w:t>
      </w:r>
      <w:r>
        <w:rPr>
          <w:rFonts w:hint="eastAsia"/>
          <w:color w:val="auto"/>
          <w:lang w:eastAsia="zh-CN"/>
        </w:rPr>
        <w:t>“</w:t>
      </w:r>
      <w:r>
        <w:rPr>
          <w:rFonts w:hint="eastAsia"/>
          <w:color w:val="auto"/>
        </w:rPr>
        <w:t>预处理+超滤反渗透+MVR蒸发结晶</w:t>
      </w:r>
      <w:r>
        <w:rPr>
          <w:rFonts w:hint="eastAsia"/>
          <w:color w:val="auto"/>
          <w:lang w:eastAsia="zh-CN"/>
        </w:rPr>
        <w:t>”</w:t>
      </w:r>
      <w:r>
        <w:rPr>
          <w:rFonts w:hint="eastAsia"/>
          <w:color w:val="auto"/>
        </w:rPr>
        <w:t>工艺进行处理</w:t>
      </w:r>
      <w:r>
        <w:rPr>
          <w:rFonts w:hint="eastAsia"/>
          <w:color w:val="auto"/>
          <w:lang w:eastAsia="zh-CN"/>
        </w:rPr>
        <w:t>，</w:t>
      </w:r>
      <w:r>
        <w:rPr>
          <w:rFonts w:hint="eastAsia"/>
          <w:color w:val="auto"/>
        </w:rPr>
        <w:t>出水水质满足《城市污水再生利用城市杂用水水质（GB18920-2002）》，处理后利用管道加压供给用水企业。</w:t>
      </w:r>
    </w:p>
    <w:p w14:paraId="11F37094">
      <w:pPr>
        <w:pStyle w:val="190"/>
        <w:pageBreakBefore w:val="0"/>
        <w:wordWrap/>
        <w:bidi w:val="0"/>
        <w:adjustRightInd/>
        <w:snapToGrid/>
        <w:ind w:firstLine="480"/>
        <w:rPr>
          <w:b/>
          <w:bCs/>
          <w:color w:val="auto"/>
          <w:kern w:val="2"/>
          <w:szCs w:val="24"/>
        </w:rPr>
      </w:pPr>
      <w:r>
        <w:rPr>
          <w:rFonts w:hint="eastAsia"/>
          <w:b/>
          <w:bCs/>
          <w:color w:val="auto"/>
          <w:kern w:val="2"/>
          <w:szCs w:val="24"/>
        </w:rPr>
        <w:t>本</w:t>
      </w:r>
      <w:r>
        <w:rPr>
          <w:rFonts w:hint="eastAsia"/>
          <w:b/>
          <w:bCs/>
          <w:color w:val="auto"/>
          <w:kern w:val="2"/>
          <w:szCs w:val="24"/>
          <w:lang w:val="en-US" w:eastAsia="zh-CN"/>
        </w:rPr>
        <w:t>次环评主要涉及污水处理厂一期工程（一期一阶段、一期二阶段）、污水排放管和新建园区环境监测站，不包含二期、三期工程的建设。</w:t>
      </w:r>
    </w:p>
    <w:p w14:paraId="5696E5B1">
      <w:pPr>
        <w:pageBreakBefore w:val="0"/>
        <w:wordWrap/>
        <w:bidi w:val="0"/>
        <w:adjustRightInd/>
        <w:snapToGrid/>
        <w:ind w:firstLine="482"/>
        <w:rPr>
          <w:b/>
          <w:color w:val="auto"/>
        </w:rPr>
      </w:pPr>
      <w:r>
        <w:rPr>
          <w:b/>
          <w:color w:val="auto"/>
        </w:rPr>
        <w:t>2、环境影响评价工作过程</w:t>
      </w:r>
    </w:p>
    <w:p w14:paraId="686A6EC9">
      <w:pPr>
        <w:pageBreakBefore w:val="0"/>
        <w:wordWrap/>
        <w:bidi w:val="0"/>
        <w:adjustRightInd/>
        <w:snapToGrid/>
        <w:ind w:firstLine="480"/>
        <w:rPr>
          <w:color w:val="auto"/>
        </w:rPr>
      </w:pPr>
      <w:r>
        <w:rPr>
          <w:color w:val="auto"/>
        </w:rPr>
        <w:t>环评工作共分为三个阶段，包括前期准备、调研和工作方案，分析论证和预测评价，环评文件编制三个阶段。</w:t>
      </w:r>
    </w:p>
    <w:p w14:paraId="01F11BF4">
      <w:pPr>
        <w:pageBreakBefore w:val="0"/>
        <w:wordWrap/>
        <w:bidi w:val="0"/>
        <w:adjustRightInd/>
        <w:snapToGrid/>
        <w:ind w:firstLine="480"/>
        <w:rPr>
          <w:color w:val="auto"/>
        </w:rPr>
      </w:pPr>
      <w:r>
        <w:rPr>
          <w:color w:val="auto"/>
        </w:rPr>
        <w:t>根据《中华人民共和国环境影响评价法》（2018年12月29日修订）、国务院第682号令《建设项目环境保护管理条例》（根据2017年7月16日《国务院关于修改〈建设项目环境保护管理条例〉的决定》修订））以及中华人民共和国环境保护部《建设项目环境影响评价分类管理名录（2021年版）》（部令第16号）的有关规定，本项目必须进行环境影响评价，且属于第</w:t>
      </w:r>
      <w:r>
        <w:rPr>
          <w:rFonts w:hint="eastAsia"/>
          <w:color w:val="auto"/>
          <w:lang w:eastAsia="zh-CN"/>
        </w:rPr>
        <w:t>“</w:t>
      </w:r>
      <w:r>
        <w:rPr>
          <w:color w:val="auto"/>
        </w:rPr>
        <w:t>四十三、95污水处理及其再生利用</w:t>
      </w:r>
      <w:r>
        <w:rPr>
          <w:rFonts w:hint="eastAsia"/>
          <w:color w:val="auto"/>
          <w:lang w:eastAsia="zh-CN"/>
        </w:rPr>
        <w:t>”</w:t>
      </w:r>
      <w:r>
        <w:rPr>
          <w:color w:val="auto"/>
        </w:rPr>
        <w:t>中</w:t>
      </w:r>
      <w:r>
        <w:rPr>
          <w:rFonts w:hint="eastAsia"/>
          <w:color w:val="auto"/>
          <w:lang w:eastAsia="zh-CN"/>
        </w:rPr>
        <w:t>“</w:t>
      </w:r>
      <w:r>
        <w:rPr>
          <w:color w:val="auto"/>
        </w:rPr>
        <w:t>新建、扩建工业废水集中处理的</w:t>
      </w:r>
      <w:r>
        <w:rPr>
          <w:rFonts w:hint="eastAsia"/>
          <w:color w:val="auto"/>
          <w:lang w:eastAsia="zh-CN"/>
        </w:rPr>
        <w:t>”</w:t>
      </w:r>
      <w:r>
        <w:rPr>
          <w:color w:val="auto"/>
        </w:rPr>
        <w:t>，故本项目应编制环境影响报告书。</w:t>
      </w:r>
      <w:r>
        <w:rPr>
          <w:rFonts w:hint="eastAsia"/>
          <w:color w:val="auto"/>
          <w:lang w:eastAsia="zh-CN"/>
        </w:rPr>
        <w:t>巴中汇鑫发展有限公司</w:t>
      </w:r>
      <w:r>
        <w:rPr>
          <w:color w:val="auto"/>
        </w:rPr>
        <w:t>委托</w:t>
      </w:r>
      <w:r>
        <w:rPr>
          <w:rFonts w:hint="eastAsia"/>
          <w:color w:val="auto"/>
          <w:lang w:eastAsia="zh-CN"/>
        </w:rPr>
        <w:t>四川全过程安全环保技术服务有限公司</w:t>
      </w:r>
      <w:r>
        <w:rPr>
          <w:color w:val="auto"/>
        </w:rPr>
        <w:t>承担本项目环境影响评价工作。接受任务后，我单位及时成立了环境影响评价小组，根据项目情况，环评人员对项目区域初步调研和现场查勘，收集了有关基础资料，依照环境影响评价相关技术导则的要求，编制完成了《</w:t>
      </w:r>
      <w:r>
        <w:rPr>
          <w:rFonts w:hint="eastAsia"/>
          <w:color w:val="auto"/>
          <w:lang w:eastAsia="zh-CN"/>
        </w:rPr>
        <w:t>巴中市巴州区曾口片区污水处理厂、环境监测站建设项目</w:t>
      </w:r>
      <w:r>
        <w:rPr>
          <w:color w:val="auto"/>
        </w:rPr>
        <w:t>环境影响报告书》</w:t>
      </w:r>
      <w:r>
        <w:rPr>
          <w:rFonts w:hint="eastAsia"/>
          <w:color w:val="auto"/>
          <w:lang w:eastAsia="zh-CN"/>
        </w:rPr>
        <w:t>，</w:t>
      </w:r>
      <w:r>
        <w:rPr>
          <w:color w:val="auto"/>
        </w:rPr>
        <w:t>呈报</w:t>
      </w:r>
      <w:r>
        <w:rPr>
          <w:rFonts w:hint="eastAsia"/>
          <w:color w:val="auto"/>
          <w:lang w:eastAsia="zh-CN"/>
        </w:rPr>
        <w:t>巴中</w:t>
      </w:r>
      <w:r>
        <w:rPr>
          <w:rFonts w:hint="eastAsia"/>
          <w:color w:val="auto"/>
          <w:lang w:val="en-US" w:eastAsia="zh-CN"/>
        </w:rPr>
        <w:t>市</w:t>
      </w:r>
      <w:r>
        <w:rPr>
          <w:color w:val="auto"/>
        </w:rPr>
        <w:t>环境保护管理部门审批。环评工作程序图见图1。</w:t>
      </w:r>
    </w:p>
    <w:p w14:paraId="3081525B">
      <w:pPr>
        <w:pageBreakBefore w:val="0"/>
        <w:wordWrap/>
        <w:bidi w:val="0"/>
        <w:adjustRightInd/>
        <w:snapToGrid/>
        <w:ind w:firstLine="0" w:firstLineChars="0"/>
        <w:jc w:val="center"/>
        <w:rPr>
          <w:rFonts w:hint="eastAsia" w:eastAsia="宋体"/>
          <w:color w:val="auto"/>
          <w:lang w:eastAsia="zh-CN"/>
        </w:rPr>
      </w:pPr>
      <w:r>
        <w:rPr>
          <w:rFonts w:hint="eastAsia" w:eastAsia="宋体"/>
          <w:color w:val="auto"/>
          <w:lang w:eastAsia="zh-CN"/>
        </w:rPr>
        <w:drawing>
          <wp:inline distT="0" distB="0" distL="114300" distR="114300">
            <wp:extent cx="5200650" cy="6210300"/>
            <wp:effectExtent l="0" t="0" r="0" b="0"/>
            <wp:docPr id="83" name="图片 86" descr="9d6bb1ea473150488bbf4b21be5a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6" descr="9d6bb1ea473150488bbf4b21be5a184"/>
                    <pic:cNvPicPr>
                      <a:picLocks noChangeAspect="1"/>
                    </pic:cNvPicPr>
                  </pic:nvPicPr>
                  <pic:blipFill>
                    <a:blip r:embed="rId32"/>
                    <a:stretch>
                      <a:fillRect/>
                    </a:stretch>
                  </pic:blipFill>
                  <pic:spPr>
                    <a:xfrm>
                      <a:off x="0" y="0"/>
                      <a:ext cx="5200650" cy="6210300"/>
                    </a:xfrm>
                    <a:prstGeom prst="rect">
                      <a:avLst/>
                    </a:prstGeom>
                    <a:noFill/>
                    <a:ln>
                      <a:noFill/>
                    </a:ln>
                  </pic:spPr>
                </pic:pic>
              </a:graphicData>
            </a:graphic>
          </wp:inline>
        </w:drawing>
      </w:r>
    </w:p>
    <w:p w14:paraId="56D36DFF">
      <w:pPr>
        <w:pageBreakBefore w:val="0"/>
        <w:wordWrap/>
        <w:bidi w:val="0"/>
        <w:adjustRightInd/>
        <w:snapToGrid/>
        <w:ind w:firstLine="422"/>
        <w:jc w:val="center"/>
        <w:rPr>
          <w:b/>
          <w:bCs/>
          <w:color w:val="auto"/>
          <w:sz w:val="21"/>
          <w:szCs w:val="21"/>
        </w:rPr>
      </w:pPr>
      <w:r>
        <w:rPr>
          <w:b/>
          <w:bCs/>
          <w:color w:val="auto"/>
          <w:sz w:val="21"/>
          <w:szCs w:val="21"/>
        </w:rPr>
        <w:t>图</w:t>
      </w:r>
      <w:r>
        <w:rPr>
          <w:rFonts w:hint="eastAsia"/>
          <w:b/>
          <w:bCs/>
          <w:color w:val="auto"/>
          <w:sz w:val="21"/>
          <w:szCs w:val="21"/>
          <w:lang w:eastAsia="zh-CN"/>
        </w:rPr>
        <w:t>1</w:t>
      </w:r>
      <w:r>
        <w:rPr>
          <w:b/>
          <w:bCs/>
          <w:color w:val="auto"/>
          <w:sz w:val="21"/>
          <w:szCs w:val="21"/>
        </w:rPr>
        <w:t>本工程环境影响评价工作程序</w:t>
      </w:r>
    </w:p>
    <w:p w14:paraId="6B1166A9">
      <w:pPr>
        <w:pageBreakBefore w:val="0"/>
        <w:wordWrap/>
        <w:bidi w:val="0"/>
        <w:adjustRightInd/>
        <w:snapToGrid/>
        <w:ind w:firstLine="482"/>
        <w:rPr>
          <w:b/>
          <w:color w:val="auto"/>
          <w:szCs w:val="20"/>
        </w:rPr>
      </w:pPr>
      <w:r>
        <w:rPr>
          <w:b/>
          <w:color w:val="auto"/>
          <w:szCs w:val="20"/>
        </w:rPr>
        <w:t>3、分析判定的相关情况</w:t>
      </w:r>
    </w:p>
    <w:p w14:paraId="5AC0161C">
      <w:pPr>
        <w:pageBreakBefore w:val="0"/>
        <w:wordWrap/>
        <w:bidi w:val="0"/>
        <w:adjustRightInd/>
        <w:snapToGrid/>
        <w:ind w:firstLine="480"/>
        <w:rPr>
          <w:b/>
          <w:bCs/>
          <w:color w:val="auto"/>
        </w:rPr>
      </w:pPr>
      <w:r>
        <w:rPr>
          <w:b/>
          <w:bCs/>
          <w:color w:val="auto"/>
        </w:rPr>
        <w:fldChar w:fldCharType="begin"/>
      </w:r>
      <w:r>
        <w:rPr>
          <w:b/>
          <w:bCs/>
          <w:color w:val="auto"/>
        </w:rPr>
        <w:instrText xml:space="preserve"> = 1 \* GB3 </w:instrText>
      </w:r>
      <w:r>
        <w:rPr>
          <w:b/>
          <w:bCs/>
          <w:color w:val="auto"/>
        </w:rPr>
        <w:fldChar w:fldCharType="separate"/>
      </w:r>
      <w:r>
        <w:rPr>
          <w:b/>
          <w:bCs/>
          <w:color w:val="auto"/>
        </w:rPr>
        <w:t>①</w:t>
      </w:r>
      <w:r>
        <w:rPr>
          <w:b/>
          <w:bCs/>
          <w:color w:val="auto"/>
        </w:rPr>
        <w:fldChar w:fldCharType="end"/>
      </w:r>
      <w:r>
        <w:rPr>
          <w:b/>
          <w:bCs/>
          <w:color w:val="auto"/>
        </w:rPr>
        <w:t>建设项目与产业政策的符合性判定</w:t>
      </w:r>
    </w:p>
    <w:p w14:paraId="5D4A9C58">
      <w:pPr>
        <w:pageBreakBefore w:val="0"/>
        <w:wordWrap/>
        <w:bidi w:val="0"/>
        <w:adjustRightInd/>
        <w:snapToGrid/>
        <w:ind w:firstLine="480"/>
        <w:rPr>
          <w:color w:val="auto"/>
          <w:shd w:val="clear" w:color="auto" w:fill="FFFFFF"/>
        </w:rPr>
      </w:pPr>
      <w:r>
        <w:rPr>
          <w:color w:val="auto"/>
          <w:shd w:val="clear" w:color="auto" w:fill="FFFFFF"/>
        </w:rPr>
        <w:t>根据</w:t>
      </w:r>
      <w:r>
        <w:rPr>
          <w:color w:val="auto"/>
        </w:rPr>
        <w:t>《国民经济行业分类》（GB/T4754-2017），项目属于</w:t>
      </w:r>
      <w:r>
        <w:rPr>
          <w:rFonts w:hint="eastAsia"/>
          <w:color w:val="auto"/>
          <w:lang w:eastAsia="zh-CN"/>
        </w:rPr>
        <w:t>“</w:t>
      </w:r>
      <w:r>
        <w:rPr>
          <w:color w:val="auto"/>
        </w:rPr>
        <w:t>D4620污水处理及其再生利用</w:t>
      </w:r>
      <w:r>
        <w:rPr>
          <w:rFonts w:hint="eastAsia"/>
          <w:color w:val="auto"/>
          <w:lang w:eastAsia="zh-CN"/>
        </w:rPr>
        <w:t>”</w:t>
      </w:r>
      <w:r>
        <w:rPr>
          <w:color w:val="auto"/>
        </w:rPr>
        <w:t>类项目。项目的建设用地不属于《禁止用地项目目录》（2012年本）中限制用地和禁止用地范围，项目属于《</w:t>
      </w:r>
      <w:r>
        <w:rPr>
          <w:rFonts w:hint="eastAsia"/>
          <w:color w:val="auto"/>
          <w:lang w:eastAsia="zh-CN"/>
        </w:rPr>
        <w:t>产业结构调整指导目录（2024年本）》</w:t>
      </w:r>
      <w:r>
        <w:rPr>
          <w:color w:val="auto"/>
        </w:rPr>
        <w:t>（</w:t>
      </w:r>
      <w:r>
        <w:rPr>
          <w:rFonts w:hint="eastAsia"/>
          <w:color w:val="auto"/>
          <w:lang w:eastAsia="zh-CN"/>
        </w:rPr>
        <w:t>中华人民共和国国家发展和改革委员会令 第7号</w:t>
      </w:r>
      <w:r>
        <w:rPr>
          <w:color w:val="auto"/>
        </w:rPr>
        <w:t>）中</w:t>
      </w:r>
      <w:r>
        <w:rPr>
          <w:rFonts w:hint="eastAsia"/>
          <w:color w:val="auto"/>
          <w:lang w:eastAsia="zh-CN"/>
        </w:rPr>
        <w:t>“</w:t>
      </w:r>
      <w:r>
        <w:rPr>
          <w:color w:val="auto"/>
        </w:rPr>
        <w:t>第一类 鼓励类</w:t>
      </w:r>
      <w:r>
        <w:rPr>
          <w:rFonts w:hint="eastAsia"/>
          <w:color w:val="auto"/>
          <w:lang w:eastAsia="zh-CN"/>
        </w:rPr>
        <w:t>”</w:t>
      </w:r>
      <w:r>
        <w:rPr>
          <w:color w:val="auto"/>
        </w:rPr>
        <w:t>中</w:t>
      </w:r>
      <w:r>
        <w:rPr>
          <w:rFonts w:hint="eastAsia"/>
          <w:color w:val="auto"/>
          <w:lang w:eastAsia="zh-CN"/>
        </w:rPr>
        <w:t>“</w:t>
      </w:r>
      <w:r>
        <w:rPr>
          <w:color w:val="auto"/>
        </w:rPr>
        <w:t>四十</w:t>
      </w:r>
      <w:r>
        <w:rPr>
          <w:rFonts w:hint="eastAsia"/>
          <w:color w:val="auto"/>
          <w:lang w:val="en-US" w:eastAsia="zh-CN"/>
        </w:rPr>
        <w:t>二</w:t>
      </w:r>
      <w:r>
        <w:rPr>
          <w:color w:val="auto"/>
        </w:rPr>
        <w:t>、环境保护与资源节约综合利用</w:t>
      </w:r>
      <w:r>
        <w:rPr>
          <w:rFonts w:hint="eastAsia"/>
          <w:color w:val="auto"/>
          <w:lang w:eastAsia="zh-CN"/>
        </w:rPr>
        <w:t>”</w:t>
      </w:r>
      <w:r>
        <w:rPr>
          <w:color w:val="auto"/>
        </w:rPr>
        <w:t>之</w:t>
      </w:r>
      <w:r>
        <w:rPr>
          <w:rFonts w:hint="eastAsia"/>
          <w:color w:val="auto"/>
          <w:lang w:eastAsia="zh-CN"/>
        </w:rPr>
        <w:t>“</w:t>
      </w:r>
      <w:r>
        <w:rPr>
          <w:rFonts w:hint="eastAsia"/>
          <w:color w:val="auto"/>
          <w:lang w:val="en-US" w:eastAsia="zh-CN"/>
        </w:rPr>
        <w:t>10.工业“三废”循环利用：“三废”综合利用与治理技术、装备和工程</w:t>
      </w:r>
      <w:r>
        <w:rPr>
          <w:rFonts w:hint="eastAsia"/>
          <w:color w:val="auto"/>
          <w:lang w:eastAsia="zh-CN"/>
        </w:rPr>
        <w:t>”</w:t>
      </w:r>
      <w:r>
        <w:rPr>
          <w:color w:val="auto"/>
        </w:rPr>
        <w:t>。</w:t>
      </w:r>
      <w:r>
        <w:rPr>
          <w:color w:val="auto"/>
          <w:shd w:val="clear" w:color="auto" w:fill="FFFFFF"/>
        </w:rPr>
        <w:t>项目由</w:t>
      </w:r>
      <w:r>
        <w:rPr>
          <w:rFonts w:hint="eastAsia"/>
          <w:color w:val="auto"/>
          <w:lang w:eastAsia="zh-CN"/>
        </w:rPr>
        <w:t>巴州区发展和改革局</w:t>
      </w:r>
      <w:r>
        <w:rPr>
          <w:color w:val="auto"/>
          <w:shd w:val="clear" w:color="auto" w:fill="FFFFFF"/>
        </w:rPr>
        <w:t>以</w:t>
      </w:r>
      <w:r>
        <w:rPr>
          <w:rFonts w:hint="eastAsia"/>
          <w:color w:val="auto"/>
          <w:lang w:eastAsia="zh-CN"/>
        </w:rPr>
        <w:t>“川投资备【2402-511902-04-01-440507】FGQB-0055号”</w:t>
      </w:r>
      <w:r>
        <w:rPr>
          <w:color w:val="auto"/>
          <w:shd w:val="clear" w:color="auto" w:fill="FFFFFF"/>
        </w:rPr>
        <w:t>予以备案。</w:t>
      </w:r>
    </w:p>
    <w:p w14:paraId="5DDEC896">
      <w:pPr>
        <w:pageBreakBefore w:val="0"/>
        <w:wordWrap/>
        <w:bidi w:val="0"/>
        <w:adjustRightInd/>
        <w:snapToGrid/>
        <w:ind w:firstLine="480"/>
        <w:rPr>
          <w:color w:val="auto"/>
          <w:shd w:val="clear" w:color="auto" w:fill="FFFFFF"/>
        </w:rPr>
      </w:pPr>
      <w:r>
        <w:rPr>
          <w:color w:val="auto"/>
          <w:u w:val="single"/>
          <w:shd w:val="clear" w:color="auto" w:fill="FFFFFF"/>
        </w:rPr>
        <w:t>综上所述，项目的建设符合国家现行产业政策</w:t>
      </w:r>
      <w:r>
        <w:rPr>
          <w:color w:val="auto"/>
          <w:shd w:val="clear" w:color="auto" w:fill="FFFFFF"/>
        </w:rPr>
        <w:t>。</w:t>
      </w:r>
    </w:p>
    <w:p w14:paraId="15991D36">
      <w:pPr>
        <w:pageBreakBefore w:val="0"/>
        <w:wordWrap/>
        <w:bidi w:val="0"/>
        <w:adjustRightInd/>
        <w:snapToGrid/>
        <w:ind w:firstLine="480"/>
        <w:jc w:val="left"/>
        <w:rPr>
          <w:b/>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规划</w:t>
      </w:r>
      <w:r>
        <w:rPr>
          <w:rFonts w:hint="eastAsia"/>
          <w:color w:val="auto"/>
          <w:lang w:val="en-US" w:eastAsia="zh-CN"/>
        </w:rPr>
        <w:t>选址</w:t>
      </w:r>
      <w:r>
        <w:rPr>
          <w:color w:val="auto"/>
        </w:rPr>
        <w:t>符合性分析</w:t>
      </w:r>
    </w:p>
    <w:p w14:paraId="62CBD382">
      <w:pPr>
        <w:pageBreakBefore w:val="0"/>
        <w:wordWrap/>
        <w:bidi w:val="0"/>
        <w:adjustRightInd/>
        <w:snapToGrid/>
        <w:ind w:firstLine="480"/>
        <w:rPr>
          <w:bCs/>
          <w:color w:val="auto"/>
        </w:rPr>
      </w:pPr>
      <w:r>
        <w:rPr>
          <w:color w:val="auto"/>
        </w:rPr>
        <w:t>项目服务范围</w:t>
      </w:r>
      <w:r>
        <w:rPr>
          <w:rFonts w:hint="eastAsia"/>
          <w:color w:val="auto"/>
          <w:lang w:val="en-US" w:eastAsia="zh-CN"/>
        </w:rPr>
        <w:t>为巴州区曾口工业园内</w:t>
      </w:r>
      <w:r>
        <w:rPr>
          <w:color w:val="auto"/>
        </w:rPr>
        <w:t>，可有效</w:t>
      </w:r>
      <w:r>
        <w:rPr>
          <w:rFonts w:hint="eastAsia"/>
          <w:color w:val="auto"/>
          <w:lang w:val="en-US" w:eastAsia="zh-CN"/>
        </w:rPr>
        <w:t>解决园区</w:t>
      </w:r>
      <w:r>
        <w:rPr>
          <w:color w:val="auto"/>
        </w:rPr>
        <w:t>污水处理问题，符合《</w:t>
      </w:r>
      <w:r>
        <w:rPr>
          <w:rFonts w:hint="eastAsia"/>
          <w:color w:val="auto"/>
          <w:lang w:eastAsia="zh-CN"/>
        </w:rPr>
        <w:t>巴中曾口-金堂化工园区总体规划（2022-2035年）》《四川巴中经济开发区规划修编</w:t>
      </w:r>
      <w:r>
        <w:rPr>
          <w:rFonts w:hint="eastAsia"/>
          <w:color w:val="auto"/>
        </w:rPr>
        <w:t>》</w:t>
      </w:r>
      <w:r>
        <w:rPr>
          <w:color w:val="auto"/>
        </w:rPr>
        <w:t>及其规划环评要求。根据</w:t>
      </w:r>
      <w:r>
        <w:rPr>
          <w:rFonts w:hint="eastAsia"/>
          <w:color w:val="auto"/>
          <w:lang w:eastAsia="zh-CN"/>
        </w:rPr>
        <w:t>巴中</w:t>
      </w:r>
      <w:r>
        <w:rPr>
          <w:color w:val="auto"/>
        </w:rPr>
        <w:t>高新技术产业开发区发展改革和规划管理局出具的《合规性审查意见书》项目用地为公共设施用地。综上，项目建设与《</w:t>
      </w:r>
      <w:r>
        <w:rPr>
          <w:rFonts w:hint="eastAsia"/>
          <w:color w:val="auto"/>
          <w:lang w:eastAsia="zh-CN"/>
        </w:rPr>
        <w:t>巴中曾口-金堂化工园区总体规划（2022-2035年）</w:t>
      </w:r>
      <w:r>
        <w:rPr>
          <w:color w:val="auto"/>
        </w:rPr>
        <w:t>》及其规划环评要求相符。</w:t>
      </w:r>
    </w:p>
    <w:p w14:paraId="42E9B0CF">
      <w:pPr>
        <w:pageBreakBefore w:val="0"/>
        <w:wordWrap/>
        <w:bidi w:val="0"/>
        <w:adjustRightInd/>
        <w:snapToGrid/>
        <w:ind w:firstLine="480"/>
        <w:rPr>
          <w:b/>
          <w:bCs w:val="0"/>
          <w:color w:val="auto"/>
        </w:rPr>
      </w:pPr>
      <w:r>
        <w:rPr>
          <w:b/>
          <w:bCs w:val="0"/>
          <w:color w:val="auto"/>
        </w:rPr>
        <w:t>③</w:t>
      </w:r>
      <w:r>
        <w:rPr>
          <w:rFonts w:hint="eastAsia"/>
          <w:b/>
          <w:bCs w:val="0"/>
          <w:color w:val="auto"/>
          <w:lang w:eastAsia="zh-CN"/>
        </w:rPr>
        <w:t>“</w:t>
      </w:r>
      <w:r>
        <w:rPr>
          <w:b/>
          <w:bCs w:val="0"/>
          <w:color w:val="auto"/>
        </w:rPr>
        <w:t>三线一单</w:t>
      </w:r>
      <w:r>
        <w:rPr>
          <w:rFonts w:hint="eastAsia"/>
          <w:b/>
          <w:bCs w:val="0"/>
          <w:color w:val="auto"/>
          <w:lang w:eastAsia="zh-CN"/>
        </w:rPr>
        <w:t>”</w:t>
      </w:r>
      <w:r>
        <w:rPr>
          <w:b/>
          <w:bCs w:val="0"/>
          <w:color w:val="auto"/>
        </w:rPr>
        <w:t>符合性</w:t>
      </w:r>
    </w:p>
    <w:p w14:paraId="2785B1D2">
      <w:pPr>
        <w:pageBreakBefore w:val="0"/>
        <w:wordWrap/>
        <w:bidi w:val="0"/>
        <w:adjustRightInd/>
        <w:snapToGrid/>
        <w:ind w:firstLine="480"/>
        <w:rPr>
          <w:bCs/>
          <w:color w:val="auto"/>
        </w:rPr>
      </w:pPr>
      <w:r>
        <w:rPr>
          <w:bCs/>
          <w:color w:val="auto"/>
        </w:rPr>
        <w:t>项目位于</w:t>
      </w:r>
      <w:r>
        <w:rPr>
          <w:rFonts w:hint="eastAsia"/>
          <w:color w:val="auto"/>
          <w:lang w:eastAsia="zh-CN"/>
        </w:rPr>
        <w:t>四川省巴中市巴州区曾口镇寿星村13组</w:t>
      </w:r>
      <w:r>
        <w:rPr>
          <w:bCs/>
          <w:color w:val="auto"/>
        </w:rPr>
        <w:t>，所在区域不在生态保护红线区内，符合《关于印发四川省生态保护红线方案的通知》（川府发[2018]24号）；所在区域大气环境、水环境、声环境质量状况良好，未超出环境质量底线，本项目的建设符合严守环境质量底线的要求；本项目用水量未涉及水资源利用上线；本项目未列入环境准入负面清单内。</w:t>
      </w:r>
    </w:p>
    <w:p w14:paraId="0E9C9F68">
      <w:pPr>
        <w:pageBreakBefore w:val="0"/>
        <w:wordWrap/>
        <w:bidi w:val="0"/>
        <w:adjustRightInd/>
        <w:snapToGrid/>
        <w:ind w:firstLine="480"/>
        <w:rPr>
          <w:b/>
          <w:bCs w:val="0"/>
          <w:color w:val="auto"/>
        </w:rPr>
      </w:pPr>
      <w:r>
        <w:rPr>
          <w:b/>
          <w:bCs w:val="0"/>
          <w:color w:val="auto"/>
        </w:rPr>
        <w:t>④选址合理性</w:t>
      </w:r>
    </w:p>
    <w:p w14:paraId="5E2599C5">
      <w:pPr>
        <w:pageBreakBefore w:val="0"/>
        <w:wordWrap/>
        <w:bidi w:val="0"/>
        <w:adjustRightInd/>
        <w:snapToGrid/>
        <w:ind w:firstLine="480"/>
        <w:rPr>
          <w:bCs/>
          <w:color w:val="auto"/>
        </w:rPr>
      </w:pPr>
      <w:r>
        <w:rPr>
          <w:bCs/>
          <w:color w:val="auto"/>
        </w:rPr>
        <w:t>项目产生的废气、废水、噪声及固体废物经采取一定措施后对周边环境影响很小，所在地区交通便利，方便运输，所在区域环境现状良好，不会制约本项目的建设。公众参与结果表明，公众无反馈意见。项目区地表水评价范围内无集中式饮用水源地，无名胜古迹和重点文物保护单位等特殊敏感目标。项目与外环境相容，选址合理。</w:t>
      </w:r>
    </w:p>
    <w:p w14:paraId="0324BCF9">
      <w:pPr>
        <w:pageBreakBefore w:val="0"/>
        <w:wordWrap/>
        <w:bidi w:val="0"/>
        <w:adjustRightInd/>
        <w:snapToGrid/>
        <w:ind w:firstLine="482"/>
        <w:rPr>
          <w:b/>
          <w:color w:val="auto"/>
        </w:rPr>
      </w:pPr>
      <w:r>
        <w:rPr>
          <w:b/>
          <w:color w:val="auto"/>
        </w:rPr>
        <w:t>4、关注的主要环境问题及环境影响</w:t>
      </w:r>
    </w:p>
    <w:p w14:paraId="7D6F11D7">
      <w:pPr>
        <w:pageBreakBefore w:val="0"/>
        <w:wordWrap/>
        <w:bidi w:val="0"/>
        <w:adjustRightInd/>
        <w:snapToGrid/>
        <w:ind w:firstLine="480"/>
        <w:rPr>
          <w:color w:val="auto"/>
        </w:rPr>
      </w:pPr>
      <w:r>
        <w:rPr>
          <w:color w:val="auto"/>
        </w:rPr>
        <w:t>报告中对项目的实施将对环境产生影响进行了预测与评价，该项目关心的主要环境问题为项目营运期产生的废水对周围环境的影响、项目营运期产生的废气对周围环境的影响、项目营运期产生的固体废物处置方法以及项目营运期对地下水的影响，对此提出了环境保护措施和要求。</w:t>
      </w:r>
    </w:p>
    <w:p w14:paraId="326B2EF6">
      <w:pPr>
        <w:pageBreakBefore w:val="0"/>
        <w:wordWrap/>
        <w:bidi w:val="0"/>
        <w:adjustRightInd/>
        <w:snapToGrid/>
        <w:ind w:firstLine="482"/>
        <w:rPr>
          <w:b/>
          <w:color w:val="auto"/>
        </w:rPr>
      </w:pPr>
      <w:r>
        <w:rPr>
          <w:b/>
          <w:color w:val="auto"/>
        </w:rPr>
        <w:t>5、环境影响报告书的主要结论</w:t>
      </w:r>
    </w:p>
    <w:p w14:paraId="4EF0C0B4">
      <w:pPr>
        <w:pageBreakBefore w:val="0"/>
        <w:wordWrap/>
        <w:bidi w:val="0"/>
        <w:adjustRightInd/>
        <w:snapToGrid/>
        <w:ind w:firstLine="480"/>
        <w:rPr>
          <w:color w:val="auto"/>
        </w:rPr>
      </w:pPr>
      <w:r>
        <w:rPr>
          <w:rFonts w:hint="eastAsia"/>
          <w:color w:val="auto"/>
          <w:lang w:eastAsia="zh-CN"/>
        </w:rPr>
        <w:t>巴中市巴州区曾口片区污水处理厂、环境监测站建设项目</w:t>
      </w:r>
      <w:r>
        <w:rPr>
          <w:color w:val="auto"/>
        </w:rPr>
        <w:t>符合国家现行产业政策，选址符合</w:t>
      </w:r>
      <w:r>
        <w:rPr>
          <w:rFonts w:hint="eastAsia"/>
          <w:color w:val="auto"/>
          <w:lang w:eastAsia="zh-CN"/>
        </w:rPr>
        <w:t>四川巴中经济开发区</w:t>
      </w:r>
      <w:r>
        <w:rPr>
          <w:color w:val="auto"/>
        </w:rPr>
        <w:t>的发展规划以及项目所处区域相关环境规范的要求。工程建成后，将</w:t>
      </w:r>
      <w:r>
        <w:rPr>
          <w:rFonts w:hint="eastAsia"/>
          <w:color w:val="auto"/>
          <w:lang w:val="en-US" w:eastAsia="zh-CN"/>
        </w:rPr>
        <w:t>满足</w:t>
      </w:r>
      <w:r>
        <w:rPr>
          <w:rFonts w:hint="eastAsia"/>
          <w:color w:val="auto"/>
          <w:lang w:eastAsia="zh-CN"/>
        </w:rPr>
        <w:t>四川巴中经济开发区</w:t>
      </w:r>
      <w:r>
        <w:rPr>
          <w:rFonts w:hint="eastAsia"/>
          <w:color w:val="auto"/>
          <w:lang w:val="en-US" w:eastAsia="zh-CN"/>
        </w:rPr>
        <w:t>-曾口区块</w:t>
      </w:r>
      <w:r>
        <w:rPr>
          <w:color w:val="auto"/>
        </w:rPr>
        <w:t xml:space="preserve">区域内工业废水的综合治理，改善园区投资环境，获得良好的社会效益和环境效益。拟建工程产生的各类污染物在采取污染防治措施和生态保护措施后，其不利影响能得到有效控制，外排污染物对环境影响小，能为环境所接受。从环境保护的角度分析，本工程在拟选地址上建设可行。 </w:t>
      </w:r>
    </w:p>
    <w:p w14:paraId="76AEFE67">
      <w:pPr>
        <w:pStyle w:val="31"/>
        <w:pageBreakBefore w:val="0"/>
        <w:wordWrap/>
        <w:bidi w:val="0"/>
        <w:adjustRightInd/>
        <w:snapToGrid/>
        <w:ind w:left="480" w:firstLine="480"/>
        <w:rPr>
          <w:color w:val="auto"/>
          <w:sz w:val="24"/>
        </w:rPr>
        <w:sectPr>
          <w:headerReference r:id="rId14" w:type="default"/>
          <w:footerReference r:id="rId15" w:type="default"/>
          <w:type w:val="nextColumn"/>
          <w:pgSz w:w="11906" w:h="16838"/>
          <w:pgMar w:top="1440" w:right="1588" w:bottom="1440" w:left="1588" w:header="850" w:footer="680" w:gutter="0"/>
          <w:pgBorders>
            <w:top w:val="none" w:sz="0" w:space="0"/>
            <w:left w:val="none" w:sz="0" w:space="0"/>
            <w:bottom w:val="none" w:sz="0" w:space="0"/>
            <w:right w:val="none" w:sz="0" w:space="0"/>
          </w:pgBorders>
          <w:pgNumType w:fmt="decimal" w:start="1"/>
          <w:cols w:space="720" w:num="1"/>
        </w:sectPr>
      </w:pPr>
    </w:p>
    <w:p w14:paraId="7A4516CE">
      <w:pPr>
        <w:pStyle w:val="3"/>
        <w:pageBreakBefore w:val="0"/>
        <w:wordWrap/>
        <w:bidi w:val="0"/>
        <w:adjustRightInd/>
        <w:snapToGrid/>
        <w:rPr>
          <w:rFonts w:eastAsia="宋体"/>
          <w:color w:val="auto"/>
        </w:rPr>
      </w:pPr>
      <w:bookmarkStart w:id="27" w:name="_Toc374627690"/>
      <w:bookmarkStart w:id="28" w:name="_Toc505087333"/>
      <w:bookmarkStart w:id="29" w:name="_Toc12660"/>
      <w:bookmarkStart w:id="30" w:name="_Toc4630"/>
      <w:bookmarkStart w:id="31" w:name="_Toc16997"/>
      <w:bookmarkStart w:id="32" w:name="_Toc362082729"/>
      <w:bookmarkStart w:id="33" w:name="_Toc374627724"/>
      <w:bookmarkStart w:id="34" w:name="_Toc13651"/>
      <w:r>
        <w:rPr>
          <w:rFonts w:eastAsia="宋体"/>
          <w:color w:val="auto"/>
        </w:rPr>
        <w:t>总</w:t>
      </w:r>
      <w:bookmarkEnd w:id="27"/>
      <w:bookmarkEnd w:id="28"/>
      <w:bookmarkEnd w:id="29"/>
      <w:r>
        <w:rPr>
          <w:rFonts w:eastAsia="宋体"/>
          <w:color w:val="auto"/>
        </w:rPr>
        <w:t>则</w:t>
      </w:r>
      <w:bookmarkEnd w:id="30"/>
      <w:bookmarkEnd w:id="31"/>
    </w:p>
    <w:p w14:paraId="64D11991">
      <w:pPr>
        <w:pStyle w:val="4"/>
        <w:pageBreakBefore w:val="0"/>
        <w:wordWrap/>
        <w:bidi w:val="0"/>
        <w:adjustRightInd/>
        <w:snapToGrid/>
        <w:rPr>
          <w:rFonts w:ascii="Times New Roman" w:hAnsi="Times New Roman" w:eastAsia="宋体"/>
          <w:color w:val="auto"/>
        </w:rPr>
      </w:pPr>
      <w:bookmarkStart w:id="35" w:name="_Toc6533"/>
      <w:bookmarkStart w:id="36" w:name="_Toc6059"/>
      <w:bookmarkStart w:id="37" w:name="_Toc505087334"/>
      <w:bookmarkStart w:id="38" w:name="_Toc362082721"/>
      <w:bookmarkStart w:id="39" w:name="_Toc374627692"/>
      <w:r>
        <w:rPr>
          <w:rFonts w:hint="eastAsia" w:ascii="Times New Roman" w:hAnsi="Times New Roman" w:eastAsia="宋体"/>
          <w:color w:val="auto"/>
        </w:rPr>
        <w:t xml:space="preserve"> </w:t>
      </w:r>
      <w:bookmarkStart w:id="40" w:name="_Toc543"/>
      <w:r>
        <w:rPr>
          <w:rFonts w:ascii="Times New Roman" w:hAnsi="Times New Roman" w:eastAsia="宋体"/>
          <w:color w:val="auto"/>
        </w:rPr>
        <w:t>编制依据</w:t>
      </w:r>
      <w:bookmarkEnd w:id="35"/>
      <w:bookmarkEnd w:id="40"/>
    </w:p>
    <w:p w14:paraId="13516966">
      <w:pPr>
        <w:pStyle w:val="5"/>
        <w:pageBreakBefore w:val="0"/>
        <w:wordWrap/>
        <w:bidi w:val="0"/>
        <w:adjustRightInd/>
        <w:snapToGrid/>
        <w:spacing w:before="48" w:after="48"/>
        <w:ind w:left="0"/>
        <w:rPr>
          <w:rFonts w:eastAsia="宋体"/>
          <w:color w:val="auto"/>
        </w:rPr>
      </w:pPr>
      <w:bookmarkStart w:id="41" w:name="_Toc374627693"/>
      <w:bookmarkStart w:id="42" w:name="_Toc17970"/>
      <w:r>
        <w:rPr>
          <w:rFonts w:hint="eastAsia" w:eastAsia="宋体"/>
          <w:color w:val="auto"/>
        </w:rPr>
        <w:t xml:space="preserve"> </w:t>
      </w:r>
      <w:r>
        <w:rPr>
          <w:rFonts w:eastAsia="宋体"/>
          <w:color w:val="auto"/>
        </w:rPr>
        <w:t>环境保护法律法规</w:t>
      </w:r>
      <w:bookmarkEnd w:id="41"/>
      <w:bookmarkEnd w:id="42"/>
    </w:p>
    <w:p w14:paraId="3B43A5E0">
      <w:pPr>
        <w:pageBreakBefore w:val="0"/>
        <w:wordWrap/>
        <w:bidi w:val="0"/>
        <w:adjustRightInd/>
        <w:snapToGrid/>
        <w:ind w:firstLine="480"/>
        <w:rPr>
          <w:color w:val="auto"/>
        </w:rPr>
      </w:pPr>
      <w:r>
        <w:rPr>
          <w:color w:val="auto"/>
        </w:rPr>
        <w:t>（1）《中华人民共和国环境保护法》（2014年修订，2015年1月1日起施行）；</w:t>
      </w:r>
    </w:p>
    <w:p w14:paraId="26AB75AD">
      <w:pPr>
        <w:pageBreakBefore w:val="0"/>
        <w:wordWrap/>
        <w:bidi w:val="0"/>
        <w:adjustRightInd/>
        <w:snapToGrid/>
        <w:ind w:firstLine="480"/>
        <w:rPr>
          <w:color w:val="auto"/>
        </w:rPr>
      </w:pPr>
      <w:r>
        <w:rPr>
          <w:color w:val="auto"/>
        </w:rPr>
        <w:t>（2）《中华人民共和国环境影响评价法》（2018年修订，2018年12月29日起施行）；</w:t>
      </w:r>
    </w:p>
    <w:p w14:paraId="0DB2A3F5">
      <w:pPr>
        <w:pageBreakBefore w:val="0"/>
        <w:wordWrap/>
        <w:bidi w:val="0"/>
        <w:adjustRightInd/>
        <w:snapToGrid/>
        <w:ind w:firstLine="480"/>
        <w:rPr>
          <w:color w:val="auto"/>
        </w:rPr>
      </w:pPr>
      <w:r>
        <w:rPr>
          <w:color w:val="auto"/>
        </w:rPr>
        <w:t>（3）《中华人民共和国清洁生产促进法》（2012年7月1日起施行）；</w:t>
      </w:r>
    </w:p>
    <w:p w14:paraId="3AA5B84C">
      <w:pPr>
        <w:pageBreakBefore w:val="0"/>
        <w:wordWrap/>
        <w:bidi w:val="0"/>
        <w:adjustRightInd/>
        <w:snapToGrid/>
        <w:ind w:firstLine="480"/>
        <w:rPr>
          <w:color w:val="auto"/>
        </w:rPr>
      </w:pPr>
      <w:r>
        <w:rPr>
          <w:color w:val="auto"/>
        </w:rPr>
        <w:t>（4）《中华人民共和国大气污染防治法》（2018年10月26日修订版）；</w:t>
      </w:r>
    </w:p>
    <w:p w14:paraId="141781A4">
      <w:pPr>
        <w:pageBreakBefore w:val="0"/>
        <w:wordWrap/>
        <w:bidi w:val="0"/>
        <w:adjustRightInd/>
        <w:snapToGrid/>
        <w:ind w:firstLine="480"/>
        <w:rPr>
          <w:color w:val="auto"/>
        </w:rPr>
      </w:pPr>
      <w:r>
        <w:rPr>
          <w:color w:val="auto"/>
        </w:rPr>
        <w:t>（5）《中华人民共和国水污染防治法》（2018年1月1日起施行）；</w:t>
      </w:r>
    </w:p>
    <w:p w14:paraId="06DE9B19">
      <w:pPr>
        <w:pageBreakBefore w:val="0"/>
        <w:wordWrap/>
        <w:bidi w:val="0"/>
        <w:adjustRightInd/>
        <w:snapToGrid/>
        <w:ind w:firstLine="480"/>
        <w:rPr>
          <w:color w:val="auto"/>
        </w:rPr>
      </w:pPr>
      <w:r>
        <w:rPr>
          <w:color w:val="auto"/>
        </w:rPr>
        <w:t>（6）《中华人民共和国固体废物污染环境防治法》（2020年9月1日起施行）；</w:t>
      </w:r>
    </w:p>
    <w:p w14:paraId="0A82E0A0">
      <w:pPr>
        <w:pageBreakBefore w:val="0"/>
        <w:wordWrap/>
        <w:bidi w:val="0"/>
        <w:adjustRightInd/>
        <w:snapToGrid/>
        <w:ind w:firstLine="480"/>
        <w:rPr>
          <w:color w:val="auto"/>
        </w:rPr>
      </w:pPr>
      <w:r>
        <w:rPr>
          <w:color w:val="auto"/>
        </w:rPr>
        <w:t>（7）《中华人民共和国水土保护法》（2011年3月1日起施行）；</w:t>
      </w:r>
    </w:p>
    <w:p w14:paraId="2CAF7F07">
      <w:pPr>
        <w:pageBreakBefore w:val="0"/>
        <w:wordWrap/>
        <w:bidi w:val="0"/>
        <w:adjustRightInd/>
        <w:snapToGrid/>
        <w:ind w:firstLine="480"/>
        <w:rPr>
          <w:color w:val="auto"/>
        </w:rPr>
      </w:pPr>
      <w:r>
        <w:rPr>
          <w:color w:val="auto"/>
        </w:rPr>
        <w:t>（8）《中华人民共和国土地管理法》（2004年8月28日）；</w:t>
      </w:r>
    </w:p>
    <w:p w14:paraId="203B5798">
      <w:pPr>
        <w:pageBreakBefore w:val="0"/>
        <w:wordWrap/>
        <w:bidi w:val="0"/>
        <w:adjustRightInd/>
        <w:snapToGrid/>
        <w:ind w:firstLine="480"/>
        <w:rPr>
          <w:color w:val="auto"/>
        </w:rPr>
      </w:pPr>
      <w:r>
        <w:rPr>
          <w:color w:val="auto"/>
        </w:rPr>
        <w:t>（9）《中华人民共和国环境噪声污染防治法》（2018年12月29日修订版）；</w:t>
      </w:r>
    </w:p>
    <w:p w14:paraId="49AC0E50">
      <w:pPr>
        <w:pageBreakBefore w:val="0"/>
        <w:wordWrap/>
        <w:bidi w:val="0"/>
        <w:adjustRightInd/>
        <w:snapToGrid/>
        <w:ind w:firstLine="480"/>
        <w:rPr>
          <w:color w:val="auto"/>
        </w:rPr>
      </w:pPr>
      <w:r>
        <w:rPr>
          <w:color w:val="auto"/>
        </w:rPr>
        <w:t>（10）《土壤污染防治行动计划》（国发[2016]31号）；</w:t>
      </w:r>
    </w:p>
    <w:p w14:paraId="4355F3A7">
      <w:pPr>
        <w:pageBreakBefore w:val="0"/>
        <w:wordWrap/>
        <w:bidi w:val="0"/>
        <w:adjustRightInd/>
        <w:snapToGrid/>
        <w:ind w:firstLine="480"/>
        <w:rPr>
          <w:color w:val="auto"/>
        </w:rPr>
      </w:pPr>
      <w:r>
        <w:rPr>
          <w:color w:val="auto"/>
        </w:rPr>
        <w:t>（11）《国务院关于落实科学发展观加强环境保护的决定》（国发[2005]39号）；</w:t>
      </w:r>
    </w:p>
    <w:p w14:paraId="7CD92654">
      <w:pPr>
        <w:pageBreakBefore w:val="0"/>
        <w:wordWrap/>
        <w:bidi w:val="0"/>
        <w:adjustRightInd/>
        <w:snapToGrid/>
        <w:ind w:firstLine="480"/>
        <w:rPr>
          <w:color w:val="auto"/>
        </w:rPr>
      </w:pPr>
      <w:r>
        <w:rPr>
          <w:color w:val="auto"/>
        </w:rPr>
        <w:t>（12）《建设项目环境影响评价分类管理名录》（2021年版）；</w:t>
      </w:r>
    </w:p>
    <w:p w14:paraId="02AC0398">
      <w:pPr>
        <w:pageBreakBefore w:val="0"/>
        <w:wordWrap/>
        <w:bidi w:val="0"/>
        <w:adjustRightInd/>
        <w:snapToGrid/>
        <w:ind w:firstLine="480"/>
        <w:rPr>
          <w:color w:val="auto"/>
        </w:rPr>
      </w:pPr>
      <w:r>
        <w:rPr>
          <w:color w:val="auto"/>
        </w:rPr>
        <w:t>（13）《建设项目环境保护管理条例》（国务院第682号令）；</w:t>
      </w:r>
    </w:p>
    <w:p w14:paraId="722BE095">
      <w:pPr>
        <w:pageBreakBefore w:val="0"/>
        <w:wordWrap/>
        <w:bidi w:val="0"/>
        <w:adjustRightInd/>
        <w:snapToGrid/>
        <w:ind w:firstLine="480"/>
        <w:rPr>
          <w:color w:val="auto"/>
        </w:rPr>
      </w:pPr>
      <w:r>
        <w:rPr>
          <w:color w:val="auto"/>
        </w:rPr>
        <w:t>（14）《环境影响评价公众参与办法》（2018年7月发布，2019年1月1日起施行）；</w:t>
      </w:r>
    </w:p>
    <w:p w14:paraId="3816B115">
      <w:pPr>
        <w:pageBreakBefore w:val="0"/>
        <w:wordWrap/>
        <w:bidi w:val="0"/>
        <w:adjustRightInd/>
        <w:snapToGrid/>
        <w:ind w:firstLine="480"/>
        <w:rPr>
          <w:color w:val="auto"/>
        </w:rPr>
      </w:pPr>
      <w:r>
        <w:rPr>
          <w:color w:val="auto"/>
        </w:rPr>
        <w:t>（15）《全国生态环境保护纲要》（国务院国发[2000]38号）；</w:t>
      </w:r>
    </w:p>
    <w:p w14:paraId="6AFF2184">
      <w:pPr>
        <w:pageBreakBefore w:val="0"/>
        <w:wordWrap/>
        <w:bidi w:val="0"/>
        <w:adjustRightInd/>
        <w:snapToGrid/>
        <w:ind w:firstLine="480"/>
        <w:rPr>
          <w:color w:val="auto"/>
        </w:rPr>
      </w:pPr>
      <w:r>
        <w:rPr>
          <w:color w:val="auto"/>
        </w:rPr>
        <w:t>（16）《国务院关于落实科学发展观加强环境保护的决定》（国发[2005]39号）；</w:t>
      </w:r>
    </w:p>
    <w:p w14:paraId="487F5516">
      <w:pPr>
        <w:pageBreakBefore w:val="0"/>
        <w:wordWrap/>
        <w:bidi w:val="0"/>
        <w:adjustRightInd/>
        <w:snapToGrid/>
        <w:ind w:firstLine="480"/>
        <w:rPr>
          <w:color w:val="auto"/>
        </w:rPr>
      </w:pPr>
      <w:r>
        <w:rPr>
          <w:color w:val="auto"/>
        </w:rPr>
        <w:t>（17）国务院《</w:t>
      </w:r>
      <w:r>
        <w:rPr>
          <w:rFonts w:hint="eastAsia"/>
          <w:color w:val="auto"/>
          <w:lang w:eastAsia="zh-CN"/>
        </w:rPr>
        <w:t>“</w:t>
      </w:r>
      <w:r>
        <w:rPr>
          <w:color w:val="auto"/>
        </w:rPr>
        <w:t>十三五</w:t>
      </w:r>
      <w:r>
        <w:rPr>
          <w:rFonts w:hint="eastAsia"/>
          <w:color w:val="auto"/>
          <w:lang w:eastAsia="zh-CN"/>
        </w:rPr>
        <w:t>”</w:t>
      </w:r>
      <w:r>
        <w:rPr>
          <w:color w:val="auto"/>
        </w:rPr>
        <w:t>生态环境保护规划》（国发[2016]65号）；</w:t>
      </w:r>
    </w:p>
    <w:p w14:paraId="4A2F113C">
      <w:pPr>
        <w:pStyle w:val="304"/>
        <w:pageBreakBefore w:val="0"/>
        <w:wordWrap/>
        <w:bidi w:val="0"/>
        <w:adjustRightInd/>
        <w:snapToGrid/>
        <w:rPr>
          <w:color w:val="auto"/>
        </w:rPr>
      </w:pPr>
      <w:r>
        <w:rPr>
          <w:color w:val="auto"/>
        </w:rPr>
        <w:t>（18）</w:t>
      </w:r>
      <w:r>
        <w:rPr>
          <w:color w:val="auto"/>
          <w:shd w:val="clear" w:color="auto" w:fill="FFFFFF"/>
        </w:rPr>
        <w:t>国务院</w:t>
      </w:r>
      <w:r>
        <w:rPr>
          <w:rFonts w:hint="eastAsia"/>
          <w:color w:val="auto"/>
          <w:shd w:val="clear" w:color="auto" w:fill="FFFFFF"/>
          <w:lang w:eastAsia="zh-CN"/>
        </w:rPr>
        <w:t>“</w:t>
      </w:r>
      <w:r>
        <w:rPr>
          <w:color w:val="auto"/>
          <w:shd w:val="clear" w:color="auto" w:fill="FFFFFF"/>
        </w:rPr>
        <w:t>关于印发</w:t>
      </w:r>
      <w:r>
        <w:rPr>
          <w:color w:val="auto"/>
        </w:rPr>
        <w:t>《大气污染防治行动计划》</w:t>
      </w:r>
      <w:r>
        <w:rPr>
          <w:color w:val="auto"/>
          <w:shd w:val="clear" w:color="auto" w:fill="FFFFFF"/>
        </w:rPr>
        <w:t>的通知</w:t>
      </w:r>
      <w:r>
        <w:rPr>
          <w:rFonts w:hint="eastAsia"/>
          <w:color w:val="auto"/>
          <w:lang w:eastAsia="zh-CN"/>
        </w:rPr>
        <w:t>”</w:t>
      </w:r>
      <w:r>
        <w:rPr>
          <w:color w:val="auto"/>
        </w:rPr>
        <w:t>（国发[2013]37号）；</w:t>
      </w:r>
    </w:p>
    <w:p w14:paraId="3B22C7D7">
      <w:pPr>
        <w:pStyle w:val="304"/>
        <w:pageBreakBefore w:val="0"/>
        <w:wordWrap/>
        <w:bidi w:val="0"/>
        <w:adjustRightInd/>
        <w:snapToGrid/>
        <w:rPr>
          <w:color w:val="auto"/>
        </w:rPr>
      </w:pPr>
      <w:r>
        <w:rPr>
          <w:color w:val="auto"/>
        </w:rPr>
        <w:t>（19）《国务院关于印发水污染防治行动计划的通知》</w:t>
      </w:r>
      <w:r>
        <w:rPr>
          <w:rFonts w:hint="eastAsia"/>
          <w:color w:val="auto"/>
          <w:lang w:eastAsia="zh-CN"/>
        </w:rPr>
        <w:t>（</w:t>
      </w:r>
      <w:r>
        <w:rPr>
          <w:color w:val="auto"/>
        </w:rPr>
        <w:t>国发[2015]17号</w:t>
      </w:r>
      <w:r>
        <w:rPr>
          <w:rFonts w:hint="eastAsia"/>
          <w:color w:val="auto"/>
          <w:lang w:eastAsia="zh-CN"/>
        </w:rPr>
        <w:t>）</w:t>
      </w:r>
      <w:r>
        <w:rPr>
          <w:color w:val="auto"/>
        </w:rPr>
        <w:t>；</w:t>
      </w:r>
    </w:p>
    <w:p w14:paraId="6A82ECC6">
      <w:pPr>
        <w:pStyle w:val="304"/>
        <w:pageBreakBefore w:val="0"/>
        <w:wordWrap/>
        <w:bidi w:val="0"/>
        <w:adjustRightInd/>
        <w:snapToGrid/>
        <w:rPr>
          <w:color w:val="auto"/>
        </w:rPr>
      </w:pPr>
      <w:r>
        <w:rPr>
          <w:color w:val="auto"/>
        </w:rPr>
        <w:t>（20）</w:t>
      </w:r>
      <w:r>
        <w:rPr>
          <w:bCs/>
          <w:color w:val="auto"/>
        </w:rPr>
        <w:t>《建设项目环境影响评价信息公开机制方案》（</w:t>
      </w:r>
      <w:r>
        <w:rPr>
          <w:color w:val="auto"/>
        </w:rPr>
        <w:t>环发[2015]162号）；</w:t>
      </w:r>
    </w:p>
    <w:p w14:paraId="00381234">
      <w:pPr>
        <w:pageBreakBefore w:val="0"/>
        <w:wordWrap/>
        <w:bidi w:val="0"/>
        <w:adjustRightInd/>
        <w:snapToGrid/>
        <w:ind w:firstLine="480"/>
        <w:rPr>
          <w:color w:val="auto"/>
        </w:rPr>
      </w:pPr>
      <w:r>
        <w:rPr>
          <w:color w:val="auto"/>
        </w:rPr>
        <w:t>（21）《关于进一步加强环境影响评价管理防范环境风险的通知》（环发[2012]77号）；</w:t>
      </w:r>
    </w:p>
    <w:p w14:paraId="6BB6B105">
      <w:pPr>
        <w:pStyle w:val="304"/>
        <w:pageBreakBefore w:val="0"/>
        <w:wordWrap/>
        <w:bidi w:val="0"/>
        <w:adjustRightInd/>
        <w:snapToGrid/>
        <w:rPr>
          <w:color w:val="auto"/>
        </w:rPr>
      </w:pPr>
      <w:r>
        <w:rPr>
          <w:color w:val="auto"/>
        </w:rPr>
        <w:t>（22）《关于切实加强风险防范严格环境影响评价管理的通知》（环发[2012]98号）；</w:t>
      </w:r>
    </w:p>
    <w:p w14:paraId="4D4295AD">
      <w:pPr>
        <w:pStyle w:val="304"/>
        <w:pageBreakBefore w:val="0"/>
        <w:wordWrap/>
        <w:bidi w:val="0"/>
        <w:adjustRightInd/>
        <w:snapToGrid/>
        <w:rPr>
          <w:color w:val="auto"/>
        </w:rPr>
      </w:pPr>
      <w:r>
        <w:rPr>
          <w:color w:val="auto"/>
        </w:rPr>
        <w:t>（23）《</w:t>
      </w:r>
      <w:r>
        <w:rPr>
          <w:rFonts w:hint="eastAsia"/>
          <w:color w:val="auto"/>
          <w:lang w:eastAsia="zh-CN"/>
        </w:rPr>
        <w:t>产业结构调整指导目录（2024年本）</w:t>
      </w:r>
      <w:r>
        <w:rPr>
          <w:color w:val="auto"/>
        </w:rPr>
        <w:t>》；</w:t>
      </w:r>
    </w:p>
    <w:p w14:paraId="3F9C4BE1">
      <w:pPr>
        <w:pStyle w:val="304"/>
        <w:pageBreakBefore w:val="0"/>
        <w:wordWrap/>
        <w:bidi w:val="0"/>
        <w:adjustRightInd/>
        <w:snapToGrid/>
        <w:rPr>
          <w:color w:val="auto"/>
        </w:rPr>
      </w:pPr>
      <w:r>
        <w:rPr>
          <w:color w:val="auto"/>
        </w:rPr>
        <w:t>（24）四川省人民政府办公厅《关于加强灰霾污染防治的通知》（川办发[2013]32号）；</w:t>
      </w:r>
    </w:p>
    <w:p w14:paraId="0B16C6BB">
      <w:pPr>
        <w:pStyle w:val="304"/>
        <w:pageBreakBefore w:val="0"/>
        <w:wordWrap/>
        <w:bidi w:val="0"/>
        <w:adjustRightInd/>
        <w:snapToGrid/>
        <w:rPr>
          <w:color w:val="auto"/>
        </w:rPr>
      </w:pPr>
      <w:r>
        <w:rPr>
          <w:color w:val="auto"/>
        </w:rPr>
        <w:t>（25）四川省环境保护厅</w:t>
      </w:r>
      <w:r>
        <w:rPr>
          <w:rFonts w:hint="eastAsia"/>
          <w:color w:val="auto"/>
          <w:lang w:eastAsia="zh-CN"/>
        </w:rPr>
        <w:t>“</w:t>
      </w:r>
      <w:r>
        <w:rPr>
          <w:color w:val="auto"/>
        </w:rPr>
        <w:t>关于印发《四川省灰霾污染防治实施方案》的通知</w:t>
      </w:r>
      <w:r>
        <w:rPr>
          <w:rFonts w:hint="eastAsia"/>
          <w:color w:val="auto"/>
          <w:lang w:eastAsia="zh-CN"/>
        </w:rPr>
        <w:t>”</w:t>
      </w:r>
      <w:r>
        <w:rPr>
          <w:color w:val="auto"/>
        </w:rPr>
        <w:t>（川环发[2013]78号）；</w:t>
      </w:r>
    </w:p>
    <w:p w14:paraId="62BD51FF">
      <w:pPr>
        <w:pStyle w:val="304"/>
        <w:pageBreakBefore w:val="0"/>
        <w:wordWrap/>
        <w:bidi w:val="0"/>
        <w:adjustRightInd/>
        <w:snapToGrid/>
        <w:rPr>
          <w:color w:val="auto"/>
        </w:rPr>
      </w:pPr>
      <w:r>
        <w:rPr>
          <w:color w:val="auto"/>
        </w:rPr>
        <w:t>（26）四川省环境保护厅《关于扎实推进2013年主要污染物总量减排工作的通知》（川环函[2013]525号）；</w:t>
      </w:r>
    </w:p>
    <w:p w14:paraId="5C00A913">
      <w:pPr>
        <w:pStyle w:val="304"/>
        <w:pageBreakBefore w:val="0"/>
        <w:wordWrap/>
        <w:bidi w:val="0"/>
        <w:adjustRightInd/>
        <w:snapToGrid/>
        <w:rPr>
          <w:color w:val="auto"/>
        </w:rPr>
      </w:pPr>
      <w:r>
        <w:rPr>
          <w:color w:val="auto"/>
        </w:rPr>
        <w:t>（27）四川省人民政府办公厅《关于印发四川省大气污染防治行动计划实施细则的通知》（川府发[2014]4号）；</w:t>
      </w:r>
    </w:p>
    <w:p w14:paraId="0A68B0D8">
      <w:pPr>
        <w:pStyle w:val="304"/>
        <w:pageBreakBefore w:val="0"/>
        <w:wordWrap/>
        <w:bidi w:val="0"/>
        <w:adjustRightInd/>
        <w:snapToGrid/>
        <w:rPr>
          <w:color w:val="auto"/>
        </w:rPr>
      </w:pPr>
      <w:r>
        <w:rPr>
          <w:color w:val="auto"/>
        </w:rPr>
        <w:t>（28）《中共四川省委、四川省人民政府关于进一步加强环境保护工作的决定》，（川委发[2004]38号）。</w:t>
      </w:r>
    </w:p>
    <w:p w14:paraId="4F3CBB55">
      <w:pPr>
        <w:pStyle w:val="5"/>
        <w:pageBreakBefore w:val="0"/>
        <w:wordWrap/>
        <w:bidi w:val="0"/>
        <w:adjustRightInd/>
        <w:snapToGrid/>
        <w:spacing w:before="48" w:after="48"/>
        <w:ind w:left="0"/>
        <w:rPr>
          <w:rFonts w:eastAsia="宋体"/>
          <w:color w:val="auto"/>
        </w:rPr>
      </w:pPr>
      <w:bookmarkStart w:id="43" w:name="_Toc7078"/>
      <w:r>
        <w:rPr>
          <w:rFonts w:hint="eastAsia" w:eastAsia="宋体"/>
          <w:color w:val="auto"/>
        </w:rPr>
        <w:t xml:space="preserve"> </w:t>
      </w:r>
      <w:r>
        <w:rPr>
          <w:rFonts w:eastAsia="宋体"/>
          <w:color w:val="auto"/>
        </w:rPr>
        <w:t>环评技术导则规范</w:t>
      </w:r>
      <w:bookmarkEnd w:id="43"/>
    </w:p>
    <w:p w14:paraId="2A897660">
      <w:pPr>
        <w:pageBreakBefore w:val="0"/>
        <w:wordWrap/>
        <w:bidi w:val="0"/>
        <w:adjustRightInd/>
        <w:snapToGrid/>
        <w:ind w:firstLine="480"/>
        <w:rPr>
          <w:color w:val="auto"/>
        </w:rPr>
      </w:pPr>
      <w:r>
        <w:rPr>
          <w:color w:val="auto"/>
        </w:rPr>
        <w:t>（1）《建设项目环境影响评价技术导则   总纲》（HJ2.1-2016）；</w:t>
      </w:r>
    </w:p>
    <w:p w14:paraId="676B1344">
      <w:pPr>
        <w:pageBreakBefore w:val="0"/>
        <w:wordWrap/>
        <w:bidi w:val="0"/>
        <w:adjustRightInd/>
        <w:snapToGrid/>
        <w:ind w:firstLine="480"/>
        <w:rPr>
          <w:color w:val="auto"/>
        </w:rPr>
      </w:pPr>
      <w:r>
        <w:rPr>
          <w:color w:val="auto"/>
        </w:rPr>
        <w:t>（2）《环境影响评价技术导则   大气环境》（HJ2.2-2018）；</w:t>
      </w:r>
    </w:p>
    <w:p w14:paraId="22677657">
      <w:pPr>
        <w:pageBreakBefore w:val="0"/>
        <w:wordWrap/>
        <w:bidi w:val="0"/>
        <w:adjustRightInd/>
        <w:snapToGrid/>
        <w:ind w:firstLine="480"/>
        <w:rPr>
          <w:color w:val="auto"/>
        </w:rPr>
      </w:pPr>
      <w:r>
        <w:rPr>
          <w:color w:val="auto"/>
        </w:rPr>
        <w:t>（3）《环境影响评价技术导则   地表水环境》（HJ2.3-2018）；</w:t>
      </w:r>
    </w:p>
    <w:p w14:paraId="6B85305F">
      <w:pPr>
        <w:pageBreakBefore w:val="0"/>
        <w:wordWrap/>
        <w:bidi w:val="0"/>
        <w:adjustRightInd/>
        <w:snapToGrid/>
        <w:ind w:firstLine="480"/>
        <w:rPr>
          <w:color w:val="auto"/>
        </w:rPr>
      </w:pPr>
      <w:r>
        <w:rPr>
          <w:color w:val="auto"/>
        </w:rPr>
        <w:t>（4）《环境影响评价技术导则   地下水环境》（HJ610-2016）；</w:t>
      </w:r>
    </w:p>
    <w:p w14:paraId="37479A9B">
      <w:pPr>
        <w:pageBreakBefore w:val="0"/>
        <w:wordWrap/>
        <w:bidi w:val="0"/>
        <w:adjustRightInd/>
        <w:snapToGrid/>
        <w:ind w:firstLine="480"/>
        <w:rPr>
          <w:color w:val="auto"/>
        </w:rPr>
      </w:pPr>
      <w:r>
        <w:rPr>
          <w:color w:val="auto"/>
        </w:rPr>
        <w:t>（5）《环境影响评价技术导则   声环境》（</w:t>
      </w:r>
      <w:r>
        <w:rPr>
          <w:rFonts w:hint="eastAsia"/>
          <w:color w:val="auto"/>
          <w:lang w:eastAsia="zh-CN"/>
        </w:rPr>
        <w:t>HJ 2.4-2021</w:t>
      </w:r>
      <w:r>
        <w:rPr>
          <w:color w:val="auto"/>
        </w:rPr>
        <w:t>）；</w:t>
      </w:r>
    </w:p>
    <w:p w14:paraId="0B378A9B">
      <w:pPr>
        <w:pageBreakBefore w:val="0"/>
        <w:wordWrap/>
        <w:bidi w:val="0"/>
        <w:adjustRightInd/>
        <w:snapToGrid/>
        <w:ind w:firstLine="480"/>
        <w:rPr>
          <w:color w:val="auto"/>
        </w:rPr>
      </w:pPr>
      <w:r>
        <w:rPr>
          <w:color w:val="auto"/>
        </w:rPr>
        <w:t>（6）《建设项目环境风险评价技术导则》（HJ169-2018）；</w:t>
      </w:r>
    </w:p>
    <w:p w14:paraId="0BB07551">
      <w:pPr>
        <w:pageBreakBefore w:val="0"/>
        <w:wordWrap/>
        <w:bidi w:val="0"/>
        <w:adjustRightInd/>
        <w:snapToGrid/>
        <w:ind w:firstLine="480"/>
        <w:rPr>
          <w:color w:val="auto"/>
        </w:rPr>
      </w:pPr>
      <w:r>
        <w:rPr>
          <w:color w:val="auto"/>
        </w:rPr>
        <w:t>（7）《环境影响评价技术导则   生态影响》（</w:t>
      </w:r>
      <w:r>
        <w:rPr>
          <w:rFonts w:hint="eastAsia"/>
          <w:color w:val="auto"/>
          <w:lang w:eastAsia="zh-CN"/>
        </w:rPr>
        <w:t>HJ19-2022</w:t>
      </w:r>
      <w:r>
        <w:rPr>
          <w:color w:val="auto"/>
        </w:rPr>
        <w:t>）；</w:t>
      </w:r>
    </w:p>
    <w:p w14:paraId="3B2103CE">
      <w:pPr>
        <w:pageBreakBefore w:val="0"/>
        <w:wordWrap/>
        <w:bidi w:val="0"/>
        <w:adjustRightInd/>
        <w:snapToGrid/>
        <w:ind w:firstLine="480"/>
        <w:rPr>
          <w:color w:val="auto"/>
        </w:rPr>
      </w:pPr>
      <w:r>
        <w:rPr>
          <w:color w:val="auto"/>
        </w:rPr>
        <w:t>（8）《环境影响评价技术导则   土壤环境（试行）》（HJ964-2018）；</w:t>
      </w:r>
    </w:p>
    <w:p w14:paraId="0AB8333C">
      <w:pPr>
        <w:pageBreakBefore w:val="0"/>
        <w:wordWrap/>
        <w:bidi w:val="0"/>
        <w:adjustRightInd/>
        <w:snapToGrid/>
        <w:ind w:firstLine="480"/>
        <w:rPr>
          <w:color w:val="auto"/>
        </w:rPr>
      </w:pPr>
      <w:r>
        <w:rPr>
          <w:color w:val="auto"/>
        </w:rPr>
        <w:t>（9）《生态环境状况评价技术规范》（HJ192-2015）；</w:t>
      </w:r>
    </w:p>
    <w:p w14:paraId="6D7BC929">
      <w:pPr>
        <w:pageBreakBefore w:val="0"/>
        <w:wordWrap/>
        <w:bidi w:val="0"/>
        <w:adjustRightInd/>
        <w:snapToGrid/>
        <w:ind w:firstLine="480"/>
        <w:rPr>
          <w:color w:val="auto"/>
        </w:rPr>
      </w:pPr>
      <w:r>
        <w:rPr>
          <w:color w:val="auto"/>
        </w:rPr>
        <w:t>（10）《</w:t>
      </w:r>
      <w:r>
        <w:rPr>
          <w:rFonts w:hint="eastAsia"/>
          <w:color w:val="auto"/>
          <w:lang w:eastAsia="zh-CN"/>
        </w:rPr>
        <w:t>生产建设项目水土保持技术标准</w:t>
      </w:r>
      <w:r>
        <w:rPr>
          <w:color w:val="auto"/>
        </w:rPr>
        <w:t>》（</w:t>
      </w:r>
      <w:r>
        <w:rPr>
          <w:rFonts w:hint="eastAsia"/>
          <w:color w:val="auto"/>
          <w:lang w:eastAsia="zh-CN"/>
        </w:rPr>
        <w:t>GB 50433-2018</w:t>
      </w:r>
      <w:r>
        <w:rPr>
          <w:color w:val="auto"/>
        </w:rPr>
        <w:t>）；</w:t>
      </w:r>
    </w:p>
    <w:p w14:paraId="5D60C1F4">
      <w:pPr>
        <w:pageBreakBefore w:val="0"/>
        <w:wordWrap/>
        <w:bidi w:val="0"/>
        <w:adjustRightInd/>
        <w:snapToGrid/>
        <w:ind w:firstLine="480"/>
        <w:rPr>
          <w:color w:val="auto"/>
        </w:rPr>
      </w:pPr>
      <w:r>
        <w:rPr>
          <w:color w:val="auto"/>
        </w:rPr>
        <w:t>（11）《地表水环境质量标准》（GB3838-2002）；</w:t>
      </w:r>
    </w:p>
    <w:p w14:paraId="36DD80EE">
      <w:pPr>
        <w:pageBreakBefore w:val="0"/>
        <w:wordWrap/>
        <w:bidi w:val="0"/>
        <w:adjustRightInd/>
        <w:snapToGrid/>
        <w:ind w:firstLine="480"/>
        <w:rPr>
          <w:color w:val="auto"/>
        </w:rPr>
      </w:pPr>
      <w:r>
        <w:rPr>
          <w:color w:val="auto"/>
        </w:rPr>
        <w:t>（12）《环境空气质量标准》（GB3095-2012）；</w:t>
      </w:r>
    </w:p>
    <w:p w14:paraId="5AE6585E">
      <w:pPr>
        <w:pageBreakBefore w:val="0"/>
        <w:wordWrap/>
        <w:bidi w:val="0"/>
        <w:adjustRightInd/>
        <w:snapToGrid/>
        <w:ind w:firstLine="480"/>
        <w:rPr>
          <w:color w:val="auto"/>
        </w:rPr>
      </w:pPr>
      <w:r>
        <w:rPr>
          <w:color w:val="auto"/>
        </w:rPr>
        <w:t>（13）《声环境质量标准》（GB3096-2008）；</w:t>
      </w:r>
    </w:p>
    <w:p w14:paraId="550176A4">
      <w:pPr>
        <w:pageBreakBefore w:val="0"/>
        <w:wordWrap/>
        <w:bidi w:val="0"/>
        <w:adjustRightInd/>
        <w:snapToGrid/>
        <w:ind w:firstLine="480"/>
        <w:rPr>
          <w:color w:val="auto"/>
        </w:rPr>
      </w:pPr>
      <w:r>
        <w:rPr>
          <w:color w:val="auto"/>
        </w:rPr>
        <w:t>（14）《地下水质量标准》（GB/T14848-2017）；</w:t>
      </w:r>
    </w:p>
    <w:p w14:paraId="3258B5DF">
      <w:pPr>
        <w:pageBreakBefore w:val="0"/>
        <w:wordWrap/>
        <w:bidi w:val="0"/>
        <w:adjustRightInd/>
        <w:snapToGrid/>
        <w:ind w:firstLine="480"/>
        <w:rPr>
          <w:color w:val="auto"/>
        </w:rPr>
      </w:pPr>
      <w:r>
        <w:rPr>
          <w:color w:val="auto"/>
        </w:rPr>
        <w:t>（15）《土壤环境质量 建设用地土壤污染风险管控标准（试行）》（GB36600-2018）；</w:t>
      </w:r>
    </w:p>
    <w:p w14:paraId="0C2B16F0">
      <w:pPr>
        <w:pageBreakBefore w:val="0"/>
        <w:wordWrap/>
        <w:bidi w:val="0"/>
        <w:adjustRightInd/>
        <w:snapToGrid/>
        <w:ind w:firstLine="480"/>
        <w:rPr>
          <w:color w:val="auto"/>
        </w:rPr>
      </w:pPr>
      <w:r>
        <w:rPr>
          <w:color w:val="auto"/>
        </w:rPr>
        <w:t>（16）《</w:t>
      </w:r>
      <w:r>
        <w:rPr>
          <w:rFonts w:hint="eastAsia"/>
          <w:color w:val="auto"/>
          <w:lang w:eastAsia="zh-CN"/>
        </w:rPr>
        <w:t>生产建设项目水土流失防治标准</w:t>
      </w:r>
      <w:r>
        <w:rPr>
          <w:color w:val="auto"/>
        </w:rPr>
        <w:t>》（</w:t>
      </w:r>
      <w:r>
        <w:rPr>
          <w:rFonts w:hint="eastAsia"/>
          <w:color w:val="auto"/>
          <w:lang w:eastAsia="zh-CN"/>
        </w:rPr>
        <w:t>GB/T 50434-2018</w:t>
      </w:r>
      <w:r>
        <w:rPr>
          <w:color w:val="auto"/>
        </w:rPr>
        <w:t>）；</w:t>
      </w:r>
    </w:p>
    <w:p w14:paraId="1092C099">
      <w:pPr>
        <w:pageBreakBefore w:val="0"/>
        <w:wordWrap/>
        <w:bidi w:val="0"/>
        <w:adjustRightInd/>
        <w:snapToGrid/>
        <w:ind w:firstLine="480"/>
        <w:rPr>
          <w:color w:val="auto"/>
        </w:rPr>
      </w:pPr>
      <w:r>
        <w:rPr>
          <w:color w:val="auto"/>
        </w:rPr>
        <w:t>（17）《污染源源强核算技术指南 准则》（HJ884-2018）。</w:t>
      </w:r>
    </w:p>
    <w:p w14:paraId="09D64A4D">
      <w:pPr>
        <w:pStyle w:val="5"/>
        <w:pageBreakBefore w:val="0"/>
        <w:wordWrap/>
        <w:bidi w:val="0"/>
        <w:adjustRightInd/>
        <w:snapToGrid/>
        <w:spacing w:before="48" w:after="48"/>
        <w:ind w:left="0"/>
        <w:rPr>
          <w:rFonts w:eastAsia="宋体"/>
          <w:color w:val="auto"/>
        </w:rPr>
      </w:pPr>
      <w:bookmarkStart w:id="44" w:name="_Toc18212"/>
      <w:bookmarkStart w:id="45" w:name="_Toc374627696"/>
      <w:r>
        <w:rPr>
          <w:rFonts w:hint="eastAsia" w:eastAsia="宋体"/>
          <w:color w:val="auto"/>
        </w:rPr>
        <w:t xml:space="preserve"> </w:t>
      </w:r>
      <w:r>
        <w:rPr>
          <w:rFonts w:eastAsia="宋体"/>
          <w:color w:val="auto"/>
        </w:rPr>
        <w:t>建设项目有关资料</w:t>
      </w:r>
      <w:bookmarkEnd w:id="44"/>
      <w:bookmarkEnd w:id="45"/>
    </w:p>
    <w:p w14:paraId="71521F84">
      <w:pPr>
        <w:pageBreakBefore w:val="0"/>
        <w:wordWrap/>
        <w:bidi w:val="0"/>
        <w:adjustRightInd/>
        <w:snapToGrid/>
        <w:ind w:firstLine="470" w:firstLineChars="196"/>
        <w:rPr>
          <w:color w:val="auto"/>
        </w:rPr>
      </w:pPr>
      <w:r>
        <w:rPr>
          <w:color w:val="auto"/>
        </w:rPr>
        <w:t>（1）建设项目环境影响评价工作委托书；</w:t>
      </w:r>
    </w:p>
    <w:p w14:paraId="1CB4B0F6">
      <w:pPr>
        <w:pageBreakBefore w:val="0"/>
        <w:wordWrap/>
        <w:bidi w:val="0"/>
        <w:adjustRightInd/>
        <w:snapToGrid/>
        <w:ind w:firstLine="470" w:firstLineChars="196"/>
        <w:rPr>
          <w:color w:val="auto"/>
        </w:rPr>
      </w:pPr>
      <w:r>
        <w:rPr>
          <w:color w:val="auto"/>
        </w:rPr>
        <w:t>（2）</w:t>
      </w:r>
      <w:r>
        <w:rPr>
          <w:rFonts w:hint="eastAsia"/>
          <w:color w:val="auto"/>
          <w:lang w:eastAsia="zh-CN"/>
        </w:rPr>
        <w:t>巴州区发展和改革局</w:t>
      </w:r>
      <w:r>
        <w:rPr>
          <w:rFonts w:hint="eastAsia"/>
          <w:color w:val="auto"/>
          <w:lang w:val="en-US" w:eastAsia="zh-CN"/>
        </w:rPr>
        <w:t>备案表</w:t>
      </w:r>
      <w:r>
        <w:rPr>
          <w:rFonts w:hint="eastAsia"/>
          <w:color w:val="auto"/>
          <w:lang w:eastAsia="zh-CN"/>
        </w:rPr>
        <w:t>，川投资备【2402-511902-04-01-440507】FGQB-0055号</w:t>
      </w:r>
      <w:r>
        <w:rPr>
          <w:color w:val="auto"/>
        </w:rPr>
        <w:t>；</w:t>
      </w:r>
    </w:p>
    <w:p w14:paraId="027019AF">
      <w:pPr>
        <w:pageBreakBefore w:val="0"/>
        <w:wordWrap/>
        <w:bidi w:val="0"/>
        <w:adjustRightInd/>
        <w:snapToGrid/>
        <w:ind w:firstLine="470" w:firstLineChars="196"/>
        <w:rPr>
          <w:color w:val="auto"/>
        </w:rPr>
      </w:pPr>
      <w:r>
        <w:rPr>
          <w:color w:val="auto"/>
        </w:rPr>
        <w:t>（3）</w:t>
      </w:r>
      <w:r>
        <w:rPr>
          <w:rFonts w:hint="eastAsia"/>
          <w:color w:val="auto"/>
          <w:lang w:eastAsia="zh-CN"/>
        </w:rPr>
        <w:t>四川海德汇环保科技有限公司</w:t>
      </w:r>
      <w:r>
        <w:rPr>
          <w:color w:val="auto"/>
        </w:rPr>
        <w:t>提供的项目环境质量现状监测报告；</w:t>
      </w:r>
    </w:p>
    <w:p w14:paraId="482153F9">
      <w:pPr>
        <w:pageBreakBefore w:val="0"/>
        <w:wordWrap/>
        <w:bidi w:val="0"/>
        <w:adjustRightInd/>
        <w:snapToGrid/>
        <w:ind w:firstLine="470" w:firstLineChars="196"/>
        <w:rPr>
          <w:rFonts w:hint="eastAsia"/>
          <w:color w:val="auto"/>
        </w:rPr>
      </w:pPr>
      <w:r>
        <w:rPr>
          <w:color w:val="auto"/>
        </w:rPr>
        <w:t>（</w:t>
      </w:r>
      <w:r>
        <w:rPr>
          <w:rFonts w:hint="eastAsia"/>
          <w:color w:val="auto"/>
        </w:rPr>
        <w:t>4</w:t>
      </w:r>
      <w:r>
        <w:rPr>
          <w:color w:val="auto"/>
        </w:rPr>
        <w:t>）</w:t>
      </w:r>
      <w:r>
        <w:rPr>
          <w:rFonts w:hint="eastAsia"/>
          <w:color w:val="auto"/>
          <w:lang w:eastAsia="zh-CN"/>
        </w:rPr>
        <w:t>四川易细达工程咨询有限责任公司</w:t>
      </w:r>
      <w:r>
        <w:rPr>
          <w:color w:val="auto"/>
        </w:rPr>
        <w:t>《</w:t>
      </w:r>
      <w:r>
        <w:rPr>
          <w:rFonts w:hint="eastAsia"/>
          <w:color w:val="auto"/>
          <w:lang w:eastAsia="zh-CN"/>
        </w:rPr>
        <w:t>巴中市巴州区曾口片区污水处理厂、环境监测站建设项目</w:t>
      </w:r>
      <w:r>
        <w:rPr>
          <w:color w:val="auto"/>
        </w:rPr>
        <w:t>可行性研究报告》</w:t>
      </w:r>
      <w:r>
        <w:rPr>
          <w:rFonts w:hint="eastAsia"/>
          <w:color w:val="auto"/>
        </w:rPr>
        <w:t>；</w:t>
      </w:r>
    </w:p>
    <w:p w14:paraId="5FC1C6E9">
      <w:pPr>
        <w:pageBreakBefore w:val="0"/>
        <w:wordWrap/>
        <w:bidi w:val="0"/>
        <w:adjustRightInd/>
        <w:snapToGrid/>
        <w:ind w:firstLine="470" w:firstLineChars="196"/>
        <w:rPr>
          <w:rFonts w:hint="eastAsia"/>
          <w:color w:val="auto"/>
        </w:rPr>
      </w:pPr>
      <w:r>
        <w:rPr>
          <w:rFonts w:hint="eastAsia"/>
          <w:color w:val="auto"/>
        </w:rPr>
        <w:t>（5）</w:t>
      </w:r>
      <w:r>
        <w:rPr>
          <w:rFonts w:hint="eastAsia"/>
          <w:color w:val="auto"/>
          <w:lang w:eastAsia="zh-CN"/>
        </w:rPr>
        <w:t>巴中市巴州区曾口片区污水处理厂、环境监测站建设项目</w:t>
      </w:r>
      <w:r>
        <w:rPr>
          <w:rFonts w:hint="eastAsia"/>
          <w:color w:val="auto"/>
        </w:rPr>
        <w:t>初步设计。</w:t>
      </w:r>
    </w:p>
    <w:p w14:paraId="5E483CEE">
      <w:pPr>
        <w:pStyle w:val="5"/>
        <w:bidi w:val="0"/>
        <w:rPr>
          <w:color w:val="auto"/>
        </w:rPr>
      </w:pPr>
      <w:bookmarkStart w:id="46" w:name="_Toc16712"/>
      <w:r>
        <w:rPr>
          <w:rFonts w:hint="eastAsia"/>
          <w:color w:val="auto"/>
        </w:rPr>
        <w:t xml:space="preserve"> </w:t>
      </w:r>
      <w:r>
        <w:rPr>
          <w:color w:val="auto"/>
        </w:rPr>
        <w:t>评价目的及原则</w:t>
      </w:r>
      <w:bookmarkEnd w:id="46"/>
    </w:p>
    <w:p w14:paraId="309E1C9E">
      <w:pPr>
        <w:pStyle w:val="6"/>
        <w:bidi w:val="0"/>
        <w:rPr>
          <w:color w:val="auto"/>
        </w:rPr>
      </w:pPr>
      <w:r>
        <w:rPr>
          <w:rFonts w:hint="eastAsia"/>
          <w:color w:val="auto"/>
        </w:rPr>
        <w:t xml:space="preserve"> </w:t>
      </w:r>
      <w:r>
        <w:rPr>
          <w:color w:val="auto"/>
        </w:rPr>
        <w:t>评价目的</w:t>
      </w:r>
    </w:p>
    <w:p w14:paraId="22474C58">
      <w:pPr>
        <w:pageBreakBefore w:val="0"/>
        <w:wordWrap/>
        <w:bidi w:val="0"/>
        <w:adjustRightInd/>
        <w:snapToGrid/>
        <w:ind w:firstLine="480"/>
        <w:rPr>
          <w:color w:val="auto"/>
        </w:rPr>
      </w:pPr>
      <w:r>
        <w:rPr>
          <w:color w:val="auto"/>
        </w:rPr>
        <w:t>环境影响评价作为建设项目环境保护管理的一项制度，根本目的是贯彻</w:t>
      </w:r>
      <w:r>
        <w:rPr>
          <w:rFonts w:hint="eastAsia"/>
          <w:color w:val="auto"/>
          <w:lang w:eastAsia="zh-CN"/>
        </w:rPr>
        <w:t>“</w:t>
      </w:r>
      <w:r>
        <w:rPr>
          <w:color w:val="auto"/>
        </w:rPr>
        <w:t>保护环境</w:t>
      </w:r>
      <w:r>
        <w:rPr>
          <w:rFonts w:hint="eastAsia"/>
          <w:color w:val="auto"/>
          <w:lang w:eastAsia="zh-CN"/>
        </w:rPr>
        <w:t>”</w:t>
      </w:r>
      <w:r>
        <w:rPr>
          <w:color w:val="auto"/>
        </w:rPr>
        <w:t>的基本国策，认真执行</w:t>
      </w:r>
      <w:r>
        <w:rPr>
          <w:rFonts w:hint="eastAsia"/>
          <w:color w:val="auto"/>
          <w:lang w:eastAsia="zh-CN"/>
        </w:rPr>
        <w:t>“</w:t>
      </w:r>
      <w:r>
        <w:rPr>
          <w:color w:val="auto"/>
        </w:rPr>
        <w:t>以防为主，防治结合</w:t>
      </w:r>
      <w:r>
        <w:rPr>
          <w:rFonts w:hint="eastAsia"/>
          <w:color w:val="auto"/>
          <w:lang w:eastAsia="zh-CN"/>
        </w:rPr>
        <w:t>”</w:t>
      </w:r>
      <w:r>
        <w:rPr>
          <w:color w:val="auto"/>
        </w:rPr>
        <w:t>的环境管理方针。根据我国环境保护法及环境影响评价法的规定，为加强建设项目环境保护管理，严格控制新污染，保护和改善环境，一切新建、扩建和技改工程必须编制环境影响报告文件。</w:t>
      </w:r>
    </w:p>
    <w:p w14:paraId="4F143F7C">
      <w:pPr>
        <w:pageBreakBefore w:val="0"/>
        <w:wordWrap/>
        <w:bidi w:val="0"/>
        <w:adjustRightInd/>
        <w:snapToGrid/>
        <w:ind w:firstLine="480"/>
        <w:rPr>
          <w:color w:val="auto"/>
        </w:rPr>
      </w:pPr>
      <w:r>
        <w:rPr>
          <w:color w:val="auto"/>
        </w:rPr>
        <w:t>本项目属于新建项目，本报告通过对该项目所在区域现状调查、监测和分析，查清当地环境质量现状，在此基础上评价本项目在施工期和运营期对项目所在区域环境可能造成的不良影响，并提出有效的污染防治措施。通过对本项目环境影响评价，以期达到以下目的：</w:t>
      </w:r>
    </w:p>
    <w:p w14:paraId="51E169D7">
      <w:pPr>
        <w:pageBreakBefore w:val="0"/>
        <w:wordWrap/>
        <w:bidi w:val="0"/>
        <w:adjustRightInd/>
        <w:snapToGrid/>
        <w:ind w:firstLine="480"/>
        <w:rPr>
          <w:color w:val="auto"/>
        </w:rPr>
      </w:pPr>
      <w:r>
        <w:rPr>
          <w:color w:val="auto"/>
        </w:rPr>
        <w:t>（1）贯彻</w:t>
      </w:r>
      <w:r>
        <w:rPr>
          <w:rFonts w:hint="eastAsia"/>
          <w:color w:val="auto"/>
          <w:lang w:eastAsia="zh-CN"/>
        </w:rPr>
        <w:t>“</w:t>
      </w:r>
      <w:r>
        <w:rPr>
          <w:color w:val="auto"/>
        </w:rPr>
        <w:t>污染防治与生态环境保护并重，生态环境保护与生态环境建设并举以及预防为主、防治结合、过程控制、综合治理的指导方针</w:t>
      </w:r>
      <w:r>
        <w:rPr>
          <w:rFonts w:hint="eastAsia"/>
          <w:color w:val="auto"/>
          <w:lang w:eastAsia="zh-CN"/>
        </w:rPr>
        <w:t>”</w:t>
      </w:r>
      <w:r>
        <w:rPr>
          <w:color w:val="auto"/>
        </w:rPr>
        <w:t>；推行循环经济的</w:t>
      </w:r>
      <w:r>
        <w:rPr>
          <w:rFonts w:hint="eastAsia"/>
          <w:color w:val="auto"/>
          <w:lang w:eastAsia="zh-CN"/>
        </w:rPr>
        <w:t>“</w:t>
      </w:r>
      <w:r>
        <w:rPr>
          <w:color w:val="auto"/>
        </w:rPr>
        <w:t>污染物减量、资源再利用和循环利用</w:t>
      </w:r>
      <w:r>
        <w:rPr>
          <w:rFonts w:hint="eastAsia"/>
          <w:color w:val="auto"/>
          <w:lang w:eastAsia="zh-CN"/>
        </w:rPr>
        <w:t>”</w:t>
      </w:r>
      <w:r>
        <w:rPr>
          <w:color w:val="auto"/>
        </w:rPr>
        <w:t>的技术原则。</w:t>
      </w:r>
    </w:p>
    <w:p w14:paraId="565EFAFC">
      <w:pPr>
        <w:pageBreakBefore w:val="0"/>
        <w:wordWrap/>
        <w:bidi w:val="0"/>
        <w:adjustRightInd/>
        <w:snapToGrid/>
        <w:ind w:firstLine="480"/>
        <w:rPr>
          <w:color w:val="auto"/>
        </w:rPr>
      </w:pPr>
      <w:r>
        <w:rPr>
          <w:color w:val="auto"/>
        </w:rPr>
        <w:t>（2）通过现场调查与监测分析，了解项目所在区域的生态、地表水、地下水、环境空气及声环境现状。针对建设内容和环境特征各有侧重地进行评价，确保对环境的影响控制在标准和有关规定允许的范围内。</w:t>
      </w:r>
    </w:p>
    <w:p w14:paraId="3D704DC2">
      <w:pPr>
        <w:pageBreakBefore w:val="0"/>
        <w:wordWrap/>
        <w:bidi w:val="0"/>
        <w:adjustRightInd/>
        <w:snapToGrid/>
        <w:ind w:firstLine="480"/>
        <w:rPr>
          <w:color w:val="auto"/>
        </w:rPr>
      </w:pPr>
      <w:r>
        <w:rPr>
          <w:color w:val="auto"/>
        </w:rPr>
        <w:t>（3）根据项目的给排水情况，</w:t>
      </w:r>
      <w:r>
        <w:rPr>
          <w:rFonts w:hint="eastAsia"/>
          <w:color w:val="auto"/>
          <w:lang w:eastAsia="zh-CN"/>
        </w:rPr>
        <w:t>按照</w:t>
      </w:r>
      <w:r>
        <w:rPr>
          <w:color w:val="auto"/>
        </w:rPr>
        <w:t>国家有关节约用水、保护水资源的要求，提出相应的措施，指导项目按可持续发展战略进行建设。</w:t>
      </w:r>
    </w:p>
    <w:p w14:paraId="2214F748">
      <w:pPr>
        <w:pageBreakBefore w:val="0"/>
        <w:wordWrap/>
        <w:bidi w:val="0"/>
        <w:adjustRightInd/>
        <w:snapToGrid/>
        <w:ind w:firstLine="480"/>
        <w:rPr>
          <w:color w:val="auto"/>
        </w:rPr>
      </w:pPr>
      <w:r>
        <w:rPr>
          <w:color w:val="auto"/>
        </w:rPr>
        <w:t>（4）评价本项目建成投产后，对周围环境的影响程度和范围。通过对项目拟采取的污染治理措施进行论证，评价环境保护措施的可行性，并提出合理化建议。</w:t>
      </w:r>
    </w:p>
    <w:p w14:paraId="2174F28B">
      <w:pPr>
        <w:pageBreakBefore w:val="0"/>
        <w:wordWrap/>
        <w:bidi w:val="0"/>
        <w:adjustRightInd/>
        <w:snapToGrid/>
        <w:ind w:firstLine="480"/>
        <w:rPr>
          <w:color w:val="auto"/>
        </w:rPr>
      </w:pPr>
      <w:r>
        <w:rPr>
          <w:color w:val="auto"/>
        </w:rPr>
        <w:t>（5）通过对项目的环境经济分析，论述项目的社会、经济和环境效益。</w:t>
      </w:r>
    </w:p>
    <w:p w14:paraId="5A449DBB">
      <w:pPr>
        <w:pageBreakBefore w:val="0"/>
        <w:wordWrap/>
        <w:bidi w:val="0"/>
        <w:adjustRightInd/>
        <w:snapToGrid/>
        <w:ind w:firstLine="480"/>
        <w:rPr>
          <w:color w:val="auto"/>
        </w:rPr>
      </w:pPr>
      <w:r>
        <w:rPr>
          <w:color w:val="auto"/>
        </w:rPr>
        <w:t>（6）通过以上分析论述，并结合区域规划，从环境保护角度论述项目规模、选址、平面布置及污染防治措施等的可行性，并对其可能存在的问题提出合理化建议，为环境管理和项目建设提供依据。</w:t>
      </w:r>
    </w:p>
    <w:p w14:paraId="7E19C675">
      <w:pPr>
        <w:pStyle w:val="6"/>
        <w:bidi w:val="0"/>
        <w:rPr>
          <w:color w:val="auto"/>
        </w:rPr>
      </w:pPr>
      <w:r>
        <w:rPr>
          <w:rFonts w:hint="eastAsia"/>
          <w:color w:val="auto"/>
        </w:rPr>
        <w:t xml:space="preserve"> </w:t>
      </w:r>
      <w:r>
        <w:rPr>
          <w:color w:val="auto"/>
        </w:rPr>
        <w:t>评价原则</w:t>
      </w:r>
    </w:p>
    <w:p w14:paraId="5C45C551">
      <w:pPr>
        <w:pageBreakBefore w:val="0"/>
        <w:tabs>
          <w:tab w:val="left" w:pos="1143"/>
        </w:tabs>
        <w:wordWrap/>
        <w:bidi w:val="0"/>
        <w:adjustRightInd/>
        <w:snapToGrid/>
        <w:ind w:firstLine="480"/>
        <w:rPr>
          <w:color w:val="auto"/>
        </w:rPr>
      </w:pPr>
      <w:r>
        <w:rPr>
          <w:color w:val="auto"/>
        </w:rPr>
        <w:t>突出环境影响评价的源头预防作用，坚持保护和改善环境质量。</w:t>
      </w:r>
    </w:p>
    <w:p w14:paraId="0D44A6B5">
      <w:pPr>
        <w:pageBreakBefore w:val="0"/>
        <w:tabs>
          <w:tab w:val="left" w:pos="1143"/>
        </w:tabs>
        <w:wordWrap/>
        <w:bidi w:val="0"/>
        <w:adjustRightInd/>
        <w:snapToGrid/>
        <w:ind w:firstLine="480"/>
        <w:rPr>
          <w:color w:val="auto"/>
        </w:rPr>
      </w:pPr>
      <w:r>
        <w:rPr>
          <w:color w:val="auto"/>
        </w:rPr>
        <w:t>（1）依法评价</w:t>
      </w:r>
    </w:p>
    <w:p w14:paraId="66FB1E46">
      <w:pPr>
        <w:pageBreakBefore w:val="0"/>
        <w:tabs>
          <w:tab w:val="left" w:pos="1143"/>
        </w:tabs>
        <w:wordWrap/>
        <w:bidi w:val="0"/>
        <w:adjustRightInd/>
        <w:snapToGrid/>
        <w:ind w:firstLine="480"/>
        <w:rPr>
          <w:color w:val="auto"/>
        </w:rPr>
      </w:pPr>
      <w:r>
        <w:rPr>
          <w:color w:val="auto"/>
        </w:rPr>
        <w:t>贯彻执行我国环境保护相关法律法规、标准、政策和规划等，优化项目建设，服务环境管理。</w:t>
      </w:r>
    </w:p>
    <w:p w14:paraId="62931B3F">
      <w:pPr>
        <w:pageBreakBefore w:val="0"/>
        <w:tabs>
          <w:tab w:val="left" w:pos="1143"/>
        </w:tabs>
        <w:wordWrap/>
        <w:bidi w:val="0"/>
        <w:adjustRightInd/>
        <w:snapToGrid/>
        <w:ind w:firstLine="480"/>
        <w:rPr>
          <w:color w:val="auto"/>
        </w:rPr>
      </w:pPr>
      <w:r>
        <w:rPr>
          <w:color w:val="auto"/>
        </w:rPr>
        <w:t>（2）科学评价</w:t>
      </w:r>
    </w:p>
    <w:p w14:paraId="1EAF2F7D">
      <w:pPr>
        <w:pageBreakBefore w:val="0"/>
        <w:tabs>
          <w:tab w:val="left" w:pos="1143"/>
        </w:tabs>
        <w:wordWrap/>
        <w:bidi w:val="0"/>
        <w:adjustRightInd/>
        <w:snapToGrid/>
        <w:ind w:firstLine="480"/>
        <w:rPr>
          <w:color w:val="auto"/>
        </w:rPr>
      </w:pPr>
      <w:r>
        <w:rPr>
          <w:color w:val="auto"/>
        </w:rPr>
        <w:t>规范环境影响评价方法，科学分析项目建设对环境质量的影响。</w:t>
      </w:r>
    </w:p>
    <w:p w14:paraId="12502078">
      <w:pPr>
        <w:pageBreakBefore w:val="0"/>
        <w:numPr>
          <w:ilvl w:val="0"/>
          <w:numId w:val="6"/>
        </w:numPr>
        <w:tabs>
          <w:tab w:val="left" w:pos="1143"/>
        </w:tabs>
        <w:wordWrap/>
        <w:bidi w:val="0"/>
        <w:adjustRightInd/>
        <w:snapToGrid/>
        <w:ind w:firstLine="480"/>
        <w:rPr>
          <w:color w:val="auto"/>
        </w:rPr>
      </w:pPr>
      <w:r>
        <w:rPr>
          <w:color w:val="auto"/>
        </w:rPr>
        <w:t>突出重点</w:t>
      </w:r>
    </w:p>
    <w:p w14:paraId="260EBE31">
      <w:pPr>
        <w:pageBreakBefore w:val="0"/>
        <w:tabs>
          <w:tab w:val="left" w:pos="1143"/>
        </w:tabs>
        <w:wordWrap/>
        <w:bidi w:val="0"/>
        <w:adjustRightInd/>
        <w:snapToGrid/>
        <w:ind w:firstLine="480"/>
        <w:rPr>
          <w:color w:val="auto"/>
        </w:rPr>
      </w:pPr>
      <w:r>
        <w:rPr>
          <w:color w:val="auto"/>
        </w:rPr>
        <w:t>根据建设项目的工程内容及其特点，明确与环境要素间的作用效应关系，根据规划环境影响评价结论和审查意见，充分利用符合时效的数据资料及成果，对建设项目主要环境影响予以重点分析和评价。</w:t>
      </w:r>
    </w:p>
    <w:p w14:paraId="3AB4C08D">
      <w:pPr>
        <w:pStyle w:val="4"/>
        <w:pageBreakBefore w:val="0"/>
        <w:wordWrap/>
        <w:bidi w:val="0"/>
        <w:adjustRightInd/>
        <w:snapToGrid/>
        <w:rPr>
          <w:rFonts w:ascii="Times New Roman" w:hAnsi="Times New Roman" w:eastAsia="宋体"/>
          <w:color w:val="auto"/>
        </w:rPr>
      </w:pPr>
      <w:bookmarkStart w:id="47" w:name="_Toc380"/>
      <w:r>
        <w:rPr>
          <w:rFonts w:hint="eastAsia" w:ascii="Times New Roman" w:hAnsi="Times New Roman" w:eastAsia="宋体"/>
          <w:color w:val="auto"/>
        </w:rPr>
        <w:t xml:space="preserve"> </w:t>
      </w:r>
      <w:bookmarkEnd w:id="47"/>
      <w:bookmarkStart w:id="48" w:name="_Toc21118"/>
      <w:r>
        <w:rPr>
          <w:rFonts w:hint="eastAsia"/>
          <w:color w:val="auto"/>
          <w:lang w:val="en-US" w:eastAsia="zh-CN"/>
        </w:rPr>
        <w:t>评价因子与评价标准</w:t>
      </w:r>
      <w:bookmarkEnd w:id="48"/>
    </w:p>
    <w:p w14:paraId="514A15F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环境影响因素识别</w:t>
      </w:r>
    </w:p>
    <w:p w14:paraId="2731051C">
      <w:pPr>
        <w:pageBreakBefore w:val="0"/>
        <w:wordWrap/>
        <w:bidi w:val="0"/>
        <w:adjustRightInd/>
        <w:snapToGrid/>
        <w:ind w:firstLine="480"/>
        <w:rPr>
          <w:color w:val="auto"/>
          <w:kern w:val="0"/>
        </w:rPr>
      </w:pPr>
      <w:r>
        <w:rPr>
          <w:color w:val="auto"/>
          <w:kern w:val="0"/>
        </w:rPr>
        <w:t>本项目对环境造成的影响主要分为施工期和运营期两个阶段，各阶段主要环境影响因素识别如下表：</w:t>
      </w:r>
    </w:p>
    <w:p w14:paraId="5A46CDC3">
      <w:pPr>
        <w:pStyle w:val="15"/>
        <w:numPr>
          <w:ilvl w:val="0"/>
          <w:numId w:val="7"/>
        </w:numPr>
        <w:bidi w:val="0"/>
        <w:ind w:left="0" w:leftChars="0" w:firstLine="0" w:firstLineChars="0"/>
        <w:rPr>
          <w:color w:val="auto"/>
        </w:rPr>
      </w:pPr>
      <w:r>
        <w:rPr>
          <w:color w:val="auto"/>
        </w:rPr>
        <w:t>环境影响因素识别表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46"/>
        <w:gridCol w:w="1106"/>
        <w:gridCol w:w="983"/>
        <w:gridCol w:w="996"/>
        <w:gridCol w:w="983"/>
        <w:gridCol w:w="982"/>
        <w:gridCol w:w="983"/>
        <w:gridCol w:w="982"/>
        <w:gridCol w:w="983"/>
      </w:tblGrid>
      <w:tr w14:paraId="0FF37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952" w:type="dxa"/>
            <w:gridSpan w:val="2"/>
            <w:vMerge w:val="restart"/>
            <w:tcBorders>
              <w:tl2br w:val="nil"/>
              <w:tr2bl w:val="nil"/>
            </w:tcBorders>
            <w:noWrap w:val="0"/>
            <w:vAlign w:val="center"/>
          </w:tcPr>
          <w:p w14:paraId="3E976506">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项目</w:t>
            </w:r>
          </w:p>
        </w:tc>
        <w:tc>
          <w:tcPr>
            <w:tcW w:w="1979" w:type="dxa"/>
            <w:gridSpan w:val="2"/>
            <w:tcBorders>
              <w:tl2br w:val="nil"/>
              <w:tr2bl w:val="nil"/>
            </w:tcBorders>
            <w:noWrap w:val="0"/>
            <w:vAlign w:val="center"/>
          </w:tcPr>
          <w:p w14:paraId="1357DA50">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建设期</w:t>
            </w:r>
          </w:p>
        </w:tc>
        <w:tc>
          <w:tcPr>
            <w:tcW w:w="4913" w:type="dxa"/>
            <w:gridSpan w:val="5"/>
            <w:tcBorders>
              <w:tl2br w:val="nil"/>
              <w:tr2bl w:val="nil"/>
            </w:tcBorders>
            <w:noWrap w:val="0"/>
            <w:vAlign w:val="center"/>
          </w:tcPr>
          <w:p w14:paraId="7EB9AA55">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运营期</w:t>
            </w:r>
          </w:p>
        </w:tc>
      </w:tr>
      <w:tr w14:paraId="1BAA3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952" w:type="dxa"/>
            <w:gridSpan w:val="2"/>
            <w:vMerge w:val="continue"/>
            <w:tcBorders>
              <w:tl2br w:val="nil"/>
              <w:tr2bl w:val="nil"/>
            </w:tcBorders>
            <w:noWrap w:val="0"/>
            <w:vAlign w:val="center"/>
          </w:tcPr>
          <w:p w14:paraId="3E23DFD6">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p>
        </w:tc>
        <w:tc>
          <w:tcPr>
            <w:tcW w:w="983" w:type="dxa"/>
            <w:tcBorders>
              <w:tl2br w:val="nil"/>
              <w:tr2bl w:val="nil"/>
            </w:tcBorders>
            <w:noWrap w:val="0"/>
            <w:vAlign w:val="center"/>
          </w:tcPr>
          <w:p w14:paraId="2283BEC0">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施工</w:t>
            </w:r>
          </w:p>
        </w:tc>
        <w:tc>
          <w:tcPr>
            <w:tcW w:w="996" w:type="dxa"/>
            <w:tcBorders>
              <w:tl2br w:val="nil"/>
              <w:tr2bl w:val="nil"/>
            </w:tcBorders>
            <w:noWrap w:val="0"/>
            <w:vAlign w:val="center"/>
          </w:tcPr>
          <w:p w14:paraId="4074F08C">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运输</w:t>
            </w:r>
          </w:p>
        </w:tc>
        <w:tc>
          <w:tcPr>
            <w:tcW w:w="983" w:type="dxa"/>
            <w:tcBorders>
              <w:tl2br w:val="nil"/>
              <w:tr2bl w:val="nil"/>
            </w:tcBorders>
            <w:noWrap w:val="0"/>
            <w:vAlign w:val="center"/>
          </w:tcPr>
          <w:p w14:paraId="50409DCD">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废水</w:t>
            </w:r>
          </w:p>
        </w:tc>
        <w:tc>
          <w:tcPr>
            <w:tcW w:w="982" w:type="dxa"/>
            <w:tcBorders>
              <w:tl2br w:val="nil"/>
              <w:tr2bl w:val="nil"/>
            </w:tcBorders>
            <w:noWrap w:val="0"/>
            <w:vAlign w:val="center"/>
          </w:tcPr>
          <w:p w14:paraId="60E977E4">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废气</w:t>
            </w:r>
          </w:p>
        </w:tc>
        <w:tc>
          <w:tcPr>
            <w:tcW w:w="983" w:type="dxa"/>
            <w:tcBorders>
              <w:tl2br w:val="nil"/>
              <w:tr2bl w:val="nil"/>
            </w:tcBorders>
            <w:noWrap w:val="0"/>
            <w:vAlign w:val="center"/>
          </w:tcPr>
          <w:p w14:paraId="12BE388C">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固废</w:t>
            </w:r>
          </w:p>
        </w:tc>
        <w:tc>
          <w:tcPr>
            <w:tcW w:w="982" w:type="dxa"/>
            <w:tcBorders>
              <w:tl2br w:val="nil"/>
              <w:tr2bl w:val="nil"/>
            </w:tcBorders>
            <w:noWrap w:val="0"/>
            <w:vAlign w:val="center"/>
          </w:tcPr>
          <w:p w14:paraId="3D877030">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噪声</w:t>
            </w:r>
          </w:p>
        </w:tc>
        <w:tc>
          <w:tcPr>
            <w:tcW w:w="983" w:type="dxa"/>
            <w:tcBorders>
              <w:tl2br w:val="nil"/>
              <w:tr2bl w:val="nil"/>
            </w:tcBorders>
            <w:noWrap w:val="0"/>
            <w:vAlign w:val="center"/>
          </w:tcPr>
          <w:p w14:paraId="3FFE44B3">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环境风险</w:t>
            </w:r>
          </w:p>
        </w:tc>
      </w:tr>
      <w:tr w14:paraId="0A40F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11E9BF24">
            <w:pPr>
              <w:pageBreakBefore w:val="0"/>
              <w:wordWrap/>
              <w:bidi w:val="0"/>
              <w:adjustRightInd/>
              <w:snapToGrid/>
              <w:spacing w:line="240" w:lineRule="auto"/>
              <w:ind w:firstLine="0" w:firstLineChars="0"/>
              <w:jc w:val="center"/>
              <w:rPr>
                <w:color w:val="auto"/>
                <w:sz w:val="21"/>
                <w:szCs w:val="21"/>
              </w:rPr>
            </w:pPr>
            <w:r>
              <w:rPr>
                <w:color w:val="auto"/>
                <w:sz w:val="21"/>
                <w:szCs w:val="21"/>
              </w:rPr>
              <w:t>自然环境</w:t>
            </w:r>
          </w:p>
        </w:tc>
        <w:tc>
          <w:tcPr>
            <w:tcW w:w="1106" w:type="dxa"/>
            <w:tcBorders>
              <w:tl2br w:val="nil"/>
              <w:tr2bl w:val="nil"/>
            </w:tcBorders>
            <w:noWrap w:val="0"/>
            <w:vAlign w:val="center"/>
          </w:tcPr>
          <w:p w14:paraId="2ADCA4A5">
            <w:pPr>
              <w:pageBreakBefore w:val="0"/>
              <w:wordWrap/>
              <w:bidi w:val="0"/>
              <w:adjustRightInd/>
              <w:snapToGrid/>
              <w:spacing w:line="240" w:lineRule="auto"/>
              <w:ind w:firstLine="0" w:firstLineChars="0"/>
              <w:jc w:val="center"/>
              <w:rPr>
                <w:color w:val="auto"/>
                <w:sz w:val="21"/>
                <w:szCs w:val="21"/>
              </w:rPr>
            </w:pPr>
            <w:r>
              <w:rPr>
                <w:color w:val="auto"/>
                <w:sz w:val="21"/>
                <w:szCs w:val="21"/>
              </w:rPr>
              <w:t>大气</w:t>
            </w:r>
          </w:p>
        </w:tc>
        <w:tc>
          <w:tcPr>
            <w:tcW w:w="983" w:type="dxa"/>
            <w:tcBorders>
              <w:tl2br w:val="nil"/>
              <w:tr2bl w:val="nil"/>
            </w:tcBorders>
            <w:noWrap w:val="0"/>
            <w:vAlign w:val="center"/>
          </w:tcPr>
          <w:p w14:paraId="2E89B83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511250D0">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22CA9412">
            <w:pPr>
              <w:pageBreakBefore w:val="0"/>
              <w:wordWrap/>
              <w:bidi w:val="0"/>
              <w:adjustRightInd/>
              <w:snapToGrid/>
              <w:spacing w:line="240" w:lineRule="auto"/>
              <w:ind w:firstLine="0" w:firstLineChars="0"/>
              <w:jc w:val="center"/>
              <w:rPr>
                <w:color w:val="auto"/>
                <w:kern w:val="0"/>
                <w:sz w:val="21"/>
                <w:szCs w:val="21"/>
              </w:rPr>
            </w:pPr>
          </w:p>
        </w:tc>
        <w:tc>
          <w:tcPr>
            <w:tcW w:w="982" w:type="dxa"/>
            <w:tcBorders>
              <w:tl2br w:val="nil"/>
              <w:tr2bl w:val="nil"/>
            </w:tcBorders>
            <w:noWrap w:val="0"/>
            <w:vAlign w:val="center"/>
          </w:tcPr>
          <w:p w14:paraId="6E0C99DE">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-1LP</w:t>
            </w:r>
          </w:p>
        </w:tc>
        <w:tc>
          <w:tcPr>
            <w:tcW w:w="983" w:type="dxa"/>
            <w:tcBorders>
              <w:tl2br w:val="nil"/>
              <w:tr2bl w:val="nil"/>
            </w:tcBorders>
            <w:noWrap w:val="0"/>
            <w:vAlign w:val="center"/>
          </w:tcPr>
          <w:p w14:paraId="507473F1">
            <w:pPr>
              <w:pageBreakBefore w:val="0"/>
              <w:wordWrap/>
              <w:bidi w:val="0"/>
              <w:adjustRightInd/>
              <w:snapToGrid/>
              <w:spacing w:line="240" w:lineRule="auto"/>
              <w:ind w:firstLine="0" w:firstLineChars="0"/>
              <w:jc w:val="center"/>
              <w:rPr>
                <w:color w:val="auto"/>
                <w:kern w:val="0"/>
                <w:sz w:val="21"/>
                <w:szCs w:val="21"/>
              </w:rPr>
            </w:pPr>
          </w:p>
        </w:tc>
        <w:tc>
          <w:tcPr>
            <w:tcW w:w="982" w:type="dxa"/>
            <w:tcBorders>
              <w:tl2br w:val="nil"/>
              <w:tr2bl w:val="nil"/>
            </w:tcBorders>
            <w:noWrap w:val="0"/>
            <w:vAlign w:val="center"/>
          </w:tcPr>
          <w:p w14:paraId="145A8E30">
            <w:pPr>
              <w:pageBreakBefore w:val="0"/>
              <w:wordWrap/>
              <w:bidi w:val="0"/>
              <w:adjustRightInd/>
              <w:snapToGrid/>
              <w:spacing w:line="240" w:lineRule="auto"/>
              <w:ind w:firstLine="0" w:firstLineChars="0"/>
              <w:jc w:val="center"/>
              <w:rPr>
                <w:color w:val="auto"/>
                <w:kern w:val="0"/>
                <w:sz w:val="21"/>
                <w:szCs w:val="21"/>
              </w:rPr>
            </w:pPr>
          </w:p>
        </w:tc>
        <w:tc>
          <w:tcPr>
            <w:tcW w:w="983" w:type="dxa"/>
            <w:tcBorders>
              <w:tl2br w:val="nil"/>
              <w:tr2bl w:val="nil"/>
            </w:tcBorders>
            <w:noWrap w:val="0"/>
            <w:vAlign w:val="center"/>
          </w:tcPr>
          <w:p w14:paraId="0920569A">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-1SP</w:t>
            </w:r>
          </w:p>
        </w:tc>
      </w:tr>
      <w:tr w14:paraId="30F70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1E4263F0">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10CEEEF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地表水</w:t>
            </w:r>
          </w:p>
        </w:tc>
        <w:tc>
          <w:tcPr>
            <w:tcW w:w="983" w:type="dxa"/>
            <w:tcBorders>
              <w:tl2br w:val="nil"/>
              <w:tr2bl w:val="nil"/>
            </w:tcBorders>
            <w:noWrap w:val="0"/>
            <w:vAlign w:val="center"/>
          </w:tcPr>
          <w:p w14:paraId="42BE06E6">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64C8D1A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EF12864">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-1LP</w:t>
            </w:r>
          </w:p>
        </w:tc>
        <w:tc>
          <w:tcPr>
            <w:tcW w:w="982" w:type="dxa"/>
            <w:tcBorders>
              <w:tl2br w:val="nil"/>
              <w:tr2bl w:val="nil"/>
            </w:tcBorders>
            <w:noWrap w:val="0"/>
            <w:vAlign w:val="center"/>
          </w:tcPr>
          <w:p w14:paraId="5D6AC860">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3E984C4">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30D723F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3456FA2">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-1SP</w:t>
            </w:r>
          </w:p>
        </w:tc>
      </w:tr>
      <w:tr w14:paraId="3FCE9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1015BB7B">
            <w:pPr>
              <w:pageBreakBefore w:val="0"/>
              <w:wordWrap/>
              <w:bidi w:val="0"/>
              <w:adjustRightInd/>
              <w:snapToGrid/>
              <w:spacing w:line="240" w:lineRule="auto"/>
              <w:ind w:firstLine="0" w:firstLineChars="0"/>
              <w:jc w:val="center"/>
              <w:rPr>
                <w:color w:val="auto"/>
                <w:sz w:val="21"/>
                <w:szCs w:val="21"/>
                <w:vertAlign w:val="subscript"/>
              </w:rPr>
            </w:pPr>
          </w:p>
        </w:tc>
        <w:tc>
          <w:tcPr>
            <w:tcW w:w="1106" w:type="dxa"/>
            <w:tcBorders>
              <w:tl2br w:val="nil"/>
              <w:tr2bl w:val="nil"/>
            </w:tcBorders>
            <w:noWrap w:val="0"/>
            <w:vAlign w:val="center"/>
          </w:tcPr>
          <w:p w14:paraId="4283621F">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地下水</w:t>
            </w:r>
          </w:p>
        </w:tc>
        <w:tc>
          <w:tcPr>
            <w:tcW w:w="983" w:type="dxa"/>
            <w:tcBorders>
              <w:tl2br w:val="nil"/>
              <w:tr2bl w:val="nil"/>
            </w:tcBorders>
            <w:noWrap w:val="0"/>
            <w:vAlign w:val="center"/>
          </w:tcPr>
          <w:p w14:paraId="7F6BBD9B">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0E65465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710A4B5B">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A86D249">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16C5D68">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0840A7D0">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E066B70">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-1SP</w:t>
            </w:r>
          </w:p>
        </w:tc>
      </w:tr>
      <w:tr w14:paraId="21893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3E476B6A">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49AD261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声环境</w:t>
            </w:r>
          </w:p>
        </w:tc>
        <w:tc>
          <w:tcPr>
            <w:tcW w:w="983" w:type="dxa"/>
            <w:tcBorders>
              <w:tl2br w:val="nil"/>
              <w:tr2bl w:val="nil"/>
            </w:tcBorders>
            <w:noWrap w:val="0"/>
            <w:vAlign w:val="center"/>
          </w:tcPr>
          <w:p w14:paraId="06A1FA9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50533509">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2772357A">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7A9F3067">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EA939C7">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5B96282F">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11083728">
            <w:pPr>
              <w:pageBreakBefore w:val="0"/>
              <w:wordWrap/>
              <w:bidi w:val="0"/>
              <w:adjustRightInd/>
              <w:snapToGrid/>
              <w:spacing w:line="240" w:lineRule="auto"/>
              <w:ind w:firstLine="0" w:firstLineChars="0"/>
              <w:jc w:val="center"/>
              <w:rPr>
                <w:color w:val="auto"/>
                <w:sz w:val="21"/>
                <w:szCs w:val="21"/>
              </w:rPr>
            </w:pPr>
          </w:p>
        </w:tc>
      </w:tr>
      <w:tr w14:paraId="3D004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23206236">
            <w:pPr>
              <w:pageBreakBefore w:val="0"/>
              <w:wordWrap/>
              <w:bidi w:val="0"/>
              <w:adjustRightInd/>
              <w:snapToGrid/>
              <w:spacing w:line="240" w:lineRule="auto"/>
              <w:ind w:firstLine="0" w:firstLineChars="0"/>
              <w:jc w:val="center"/>
              <w:rPr>
                <w:color w:val="auto"/>
                <w:sz w:val="21"/>
                <w:szCs w:val="21"/>
              </w:rPr>
            </w:pPr>
            <w:r>
              <w:rPr>
                <w:color w:val="auto"/>
                <w:sz w:val="21"/>
                <w:szCs w:val="21"/>
              </w:rPr>
              <w:t>生态环境</w:t>
            </w:r>
          </w:p>
        </w:tc>
        <w:tc>
          <w:tcPr>
            <w:tcW w:w="1106" w:type="dxa"/>
            <w:tcBorders>
              <w:tl2br w:val="nil"/>
              <w:tr2bl w:val="nil"/>
            </w:tcBorders>
            <w:noWrap w:val="0"/>
            <w:vAlign w:val="center"/>
          </w:tcPr>
          <w:p w14:paraId="6125D01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植被</w:t>
            </w:r>
          </w:p>
        </w:tc>
        <w:tc>
          <w:tcPr>
            <w:tcW w:w="983" w:type="dxa"/>
            <w:tcBorders>
              <w:tl2br w:val="nil"/>
              <w:tr2bl w:val="nil"/>
            </w:tcBorders>
            <w:noWrap w:val="0"/>
            <w:vAlign w:val="center"/>
          </w:tcPr>
          <w:p w14:paraId="2919DDE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170C8B37">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2995EA8">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FF318B9">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87EB5E1">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79D0C872">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2C19162">
            <w:pPr>
              <w:pageBreakBefore w:val="0"/>
              <w:wordWrap/>
              <w:bidi w:val="0"/>
              <w:adjustRightInd/>
              <w:snapToGrid/>
              <w:spacing w:line="240" w:lineRule="auto"/>
              <w:ind w:firstLine="0" w:firstLineChars="0"/>
              <w:jc w:val="center"/>
              <w:rPr>
                <w:color w:val="auto"/>
                <w:sz w:val="21"/>
                <w:szCs w:val="21"/>
              </w:rPr>
            </w:pPr>
          </w:p>
        </w:tc>
      </w:tr>
      <w:tr w14:paraId="5B1C2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42D67A75">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7B0CDA1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土壤</w:t>
            </w:r>
          </w:p>
        </w:tc>
        <w:tc>
          <w:tcPr>
            <w:tcW w:w="983" w:type="dxa"/>
            <w:tcBorders>
              <w:tl2br w:val="nil"/>
              <w:tr2bl w:val="nil"/>
            </w:tcBorders>
            <w:noWrap w:val="0"/>
            <w:vAlign w:val="center"/>
          </w:tcPr>
          <w:p w14:paraId="6EDCFF9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70F43F00">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243BCC4">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D3B42CB">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BBB416D">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302F36E">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7622AF2C">
            <w:pPr>
              <w:pageBreakBefore w:val="0"/>
              <w:wordWrap/>
              <w:bidi w:val="0"/>
              <w:adjustRightInd/>
              <w:snapToGrid/>
              <w:spacing w:line="240" w:lineRule="auto"/>
              <w:ind w:firstLine="0" w:firstLineChars="0"/>
              <w:jc w:val="center"/>
              <w:rPr>
                <w:color w:val="auto"/>
                <w:sz w:val="21"/>
                <w:szCs w:val="21"/>
              </w:rPr>
            </w:pPr>
          </w:p>
        </w:tc>
      </w:tr>
      <w:tr w14:paraId="18F55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094DF265">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64E55C66">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水土流失</w:t>
            </w:r>
          </w:p>
        </w:tc>
        <w:tc>
          <w:tcPr>
            <w:tcW w:w="983" w:type="dxa"/>
            <w:tcBorders>
              <w:tl2br w:val="nil"/>
              <w:tr2bl w:val="nil"/>
            </w:tcBorders>
            <w:noWrap w:val="0"/>
            <w:vAlign w:val="center"/>
          </w:tcPr>
          <w:p w14:paraId="3E7D83F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26BCD665">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72920C9">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2B2B75B">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27EA2A3">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339B43C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274A3299">
            <w:pPr>
              <w:pageBreakBefore w:val="0"/>
              <w:wordWrap/>
              <w:bidi w:val="0"/>
              <w:adjustRightInd/>
              <w:snapToGrid/>
              <w:spacing w:line="240" w:lineRule="auto"/>
              <w:ind w:firstLine="0" w:firstLineChars="0"/>
              <w:jc w:val="center"/>
              <w:rPr>
                <w:color w:val="auto"/>
                <w:sz w:val="21"/>
                <w:szCs w:val="21"/>
              </w:rPr>
            </w:pPr>
          </w:p>
        </w:tc>
      </w:tr>
      <w:tr w14:paraId="4F8E7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02E87B25">
            <w:pPr>
              <w:pageBreakBefore w:val="0"/>
              <w:wordWrap/>
              <w:bidi w:val="0"/>
              <w:adjustRightInd/>
              <w:snapToGrid/>
              <w:spacing w:line="240" w:lineRule="auto"/>
              <w:ind w:firstLine="0" w:firstLineChars="0"/>
              <w:jc w:val="center"/>
              <w:rPr>
                <w:color w:val="auto"/>
                <w:sz w:val="21"/>
                <w:szCs w:val="21"/>
              </w:rPr>
            </w:pPr>
            <w:r>
              <w:rPr>
                <w:color w:val="auto"/>
                <w:sz w:val="21"/>
                <w:szCs w:val="21"/>
              </w:rPr>
              <w:t>社会环境</w:t>
            </w:r>
          </w:p>
        </w:tc>
        <w:tc>
          <w:tcPr>
            <w:tcW w:w="1106" w:type="dxa"/>
            <w:tcBorders>
              <w:tl2br w:val="nil"/>
              <w:tr2bl w:val="nil"/>
            </w:tcBorders>
            <w:noWrap w:val="0"/>
            <w:vAlign w:val="center"/>
          </w:tcPr>
          <w:p w14:paraId="06710FB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工业生产</w:t>
            </w:r>
          </w:p>
        </w:tc>
        <w:tc>
          <w:tcPr>
            <w:tcW w:w="983" w:type="dxa"/>
            <w:tcBorders>
              <w:tl2br w:val="nil"/>
              <w:tr2bl w:val="nil"/>
            </w:tcBorders>
            <w:noWrap w:val="0"/>
            <w:vAlign w:val="center"/>
          </w:tcPr>
          <w:p w14:paraId="7B8FAD8A">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3221111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20DA8EC">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B9976EE">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999D1AC">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073B6E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27128DEA">
            <w:pPr>
              <w:pageBreakBefore w:val="0"/>
              <w:wordWrap/>
              <w:bidi w:val="0"/>
              <w:adjustRightInd/>
              <w:snapToGrid/>
              <w:spacing w:line="240" w:lineRule="auto"/>
              <w:ind w:firstLine="0" w:firstLineChars="0"/>
              <w:jc w:val="center"/>
              <w:rPr>
                <w:color w:val="auto"/>
                <w:sz w:val="21"/>
                <w:szCs w:val="21"/>
              </w:rPr>
            </w:pPr>
            <w:r>
              <w:rPr>
                <w:color w:val="auto"/>
                <w:sz w:val="21"/>
                <w:szCs w:val="21"/>
              </w:rPr>
              <w:t>-1SP</w:t>
            </w:r>
          </w:p>
        </w:tc>
      </w:tr>
      <w:tr w14:paraId="46B35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590F1362">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7AFDB8A6">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农业生产</w:t>
            </w:r>
          </w:p>
        </w:tc>
        <w:tc>
          <w:tcPr>
            <w:tcW w:w="983" w:type="dxa"/>
            <w:tcBorders>
              <w:tl2br w:val="nil"/>
              <w:tr2bl w:val="nil"/>
            </w:tcBorders>
            <w:noWrap w:val="0"/>
            <w:vAlign w:val="center"/>
          </w:tcPr>
          <w:p w14:paraId="7CE63D37">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4AEA433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AE8246E">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1CA8195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7B7BC65A">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72D1610">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8988E29">
            <w:pPr>
              <w:pageBreakBefore w:val="0"/>
              <w:tabs>
                <w:tab w:val="left" w:pos="377"/>
              </w:tabs>
              <w:wordWrap/>
              <w:bidi w:val="0"/>
              <w:adjustRightInd/>
              <w:snapToGrid/>
              <w:spacing w:line="240" w:lineRule="auto"/>
              <w:ind w:firstLine="0" w:firstLineChars="0"/>
              <w:jc w:val="center"/>
              <w:rPr>
                <w:color w:val="auto"/>
                <w:sz w:val="21"/>
                <w:szCs w:val="21"/>
              </w:rPr>
            </w:pPr>
            <w:r>
              <w:rPr>
                <w:color w:val="auto"/>
                <w:sz w:val="21"/>
                <w:szCs w:val="21"/>
              </w:rPr>
              <w:t>-1SP</w:t>
            </w:r>
          </w:p>
        </w:tc>
      </w:tr>
      <w:tr w14:paraId="5A502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211DA4AC">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234053C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交通运输</w:t>
            </w:r>
          </w:p>
        </w:tc>
        <w:tc>
          <w:tcPr>
            <w:tcW w:w="983" w:type="dxa"/>
            <w:tcBorders>
              <w:tl2br w:val="nil"/>
              <w:tr2bl w:val="nil"/>
            </w:tcBorders>
            <w:noWrap w:val="0"/>
            <w:vAlign w:val="center"/>
          </w:tcPr>
          <w:p w14:paraId="07BA695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50C707D9">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FA2A6CC">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76D69797">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4E78AD8">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C1A7147">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2CD0CF3">
            <w:pPr>
              <w:pageBreakBefore w:val="0"/>
              <w:wordWrap/>
              <w:bidi w:val="0"/>
              <w:adjustRightInd/>
              <w:snapToGrid/>
              <w:spacing w:line="240" w:lineRule="auto"/>
              <w:ind w:firstLine="0" w:firstLineChars="0"/>
              <w:jc w:val="center"/>
              <w:rPr>
                <w:color w:val="auto"/>
                <w:sz w:val="21"/>
                <w:szCs w:val="21"/>
              </w:rPr>
            </w:pPr>
          </w:p>
        </w:tc>
      </w:tr>
      <w:tr w14:paraId="46F58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2BFE0897">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4361604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就业</w:t>
            </w:r>
          </w:p>
        </w:tc>
        <w:tc>
          <w:tcPr>
            <w:tcW w:w="983" w:type="dxa"/>
            <w:tcBorders>
              <w:tl2br w:val="nil"/>
              <w:tr2bl w:val="nil"/>
            </w:tcBorders>
            <w:noWrap w:val="0"/>
            <w:vAlign w:val="center"/>
          </w:tcPr>
          <w:p w14:paraId="09EEEA3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473780E8">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3E343A6D">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067B8B2E">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9ADEC67">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37E67AC">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03DF15C">
            <w:pPr>
              <w:pageBreakBefore w:val="0"/>
              <w:wordWrap/>
              <w:bidi w:val="0"/>
              <w:adjustRightInd/>
              <w:snapToGrid/>
              <w:spacing w:line="240" w:lineRule="auto"/>
              <w:ind w:firstLine="0" w:firstLineChars="0"/>
              <w:jc w:val="center"/>
              <w:rPr>
                <w:color w:val="auto"/>
                <w:sz w:val="21"/>
                <w:szCs w:val="21"/>
              </w:rPr>
            </w:pPr>
          </w:p>
        </w:tc>
      </w:tr>
      <w:tr w14:paraId="2DA20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2CC335B9">
            <w:pPr>
              <w:pageBreakBefore w:val="0"/>
              <w:wordWrap/>
              <w:bidi w:val="0"/>
              <w:adjustRightInd/>
              <w:snapToGrid/>
              <w:spacing w:line="240" w:lineRule="auto"/>
              <w:ind w:firstLine="0" w:firstLineChars="0"/>
              <w:jc w:val="center"/>
              <w:rPr>
                <w:color w:val="auto"/>
                <w:sz w:val="21"/>
                <w:szCs w:val="21"/>
              </w:rPr>
            </w:pPr>
            <w:r>
              <w:rPr>
                <w:color w:val="auto"/>
                <w:sz w:val="21"/>
                <w:szCs w:val="21"/>
              </w:rPr>
              <w:t>生活质量</w:t>
            </w:r>
          </w:p>
        </w:tc>
        <w:tc>
          <w:tcPr>
            <w:tcW w:w="1106" w:type="dxa"/>
            <w:tcBorders>
              <w:tl2br w:val="nil"/>
              <w:tr2bl w:val="nil"/>
            </w:tcBorders>
            <w:noWrap w:val="0"/>
            <w:vAlign w:val="center"/>
          </w:tcPr>
          <w:p w14:paraId="69F3A0D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生活水平</w:t>
            </w:r>
          </w:p>
        </w:tc>
        <w:tc>
          <w:tcPr>
            <w:tcW w:w="983" w:type="dxa"/>
            <w:tcBorders>
              <w:tl2br w:val="nil"/>
              <w:tr2bl w:val="nil"/>
            </w:tcBorders>
            <w:noWrap w:val="0"/>
            <w:vAlign w:val="center"/>
          </w:tcPr>
          <w:p w14:paraId="1CC3DCC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0E026154">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27B9FF02">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336D461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0D72421">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667FFF37">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F1C95B9">
            <w:pPr>
              <w:pageBreakBefore w:val="0"/>
              <w:wordWrap/>
              <w:bidi w:val="0"/>
              <w:adjustRightInd/>
              <w:snapToGrid/>
              <w:spacing w:line="240" w:lineRule="auto"/>
              <w:ind w:firstLine="0" w:firstLineChars="0"/>
              <w:jc w:val="center"/>
              <w:rPr>
                <w:color w:val="auto"/>
                <w:sz w:val="21"/>
                <w:szCs w:val="21"/>
              </w:rPr>
            </w:pPr>
          </w:p>
        </w:tc>
      </w:tr>
      <w:tr w14:paraId="2D0D9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5EEEC94F">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1C861B3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人群健康</w:t>
            </w:r>
          </w:p>
        </w:tc>
        <w:tc>
          <w:tcPr>
            <w:tcW w:w="983" w:type="dxa"/>
            <w:tcBorders>
              <w:tl2br w:val="nil"/>
              <w:tr2bl w:val="nil"/>
            </w:tcBorders>
            <w:noWrap w:val="0"/>
            <w:vAlign w:val="center"/>
          </w:tcPr>
          <w:p w14:paraId="73EB17B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1A178FC4">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5FED504E">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20D21895">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21A75799">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77C692CE">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633AC9A2">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r>
    </w:tbl>
    <w:p w14:paraId="3C42AFC1">
      <w:pPr>
        <w:pageBreakBefore w:val="0"/>
        <w:wordWrap/>
        <w:bidi w:val="0"/>
        <w:adjustRightInd/>
        <w:snapToGrid/>
        <w:spacing w:line="240" w:lineRule="auto"/>
        <w:ind w:firstLine="0" w:firstLineChars="0"/>
        <w:rPr>
          <w:color w:val="auto"/>
          <w:sz w:val="21"/>
          <w:szCs w:val="21"/>
        </w:rPr>
      </w:pPr>
      <w:r>
        <w:rPr>
          <w:color w:val="auto"/>
          <w:sz w:val="21"/>
          <w:szCs w:val="21"/>
        </w:rPr>
        <w:t>注：+、-分别表示工程的正负效益：S—短期，L—长期，P—局部，1—影响较小，2—影响中等，3—显著影响。</w:t>
      </w:r>
    </w:p>
    <w:p w14:paraId="4203C616">
      <w:pPr>
        <w:bidi w:val="0"/>
        <w:rPr>
          <w:color w:val="auto"/>
        </w:rPr>
      </w:pPr>
      <w:r>
        <w:rPr>
          <w:color w:val="auto"/>
        </w:rPr>
        <w:t>根据项目特点，同时考虑区域环境状况，可以得出：项目在施工期对周围自然环境、生态环境和社会环境的影响是轻微、短暂和局部的；运营期产生的废气、废水、固废、噪声对周围环境将造成一定的不利影响。</w:t>
      </w:r>
    </w:p>
    <w:p w14:paraId="4843456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评价因子</w:t>
      </w:r>
    </w:p>
    <w:p w14:paraId="696AE2BA">
      <w:pPr>
        <w:bidi w:val="0"/>
        <w:rPr>
          <w:color w:val="auto"/>
        </w:rPr>
      </w:pPr>
      <w:r>
        <w:rPr>
          <w:color w:val="auto"/>
        </w:rPr>
        <w:t>依据环境影响因素识别结果，并结合区域环境功能要求或所确定的环境保护目标，筛选确定评价因子，应重点关注环境制约因素。</w:t>
      </w:r>
    </w:p>
    <w:p w14:paraId="28C5746A">
      <w:pPr>
        <w:pageBreakBefore w:val="0"/>
        <w:widowControl/>
        <w:wordWrap/>
        <w:bidi w:val="0"/>
        <w:adjustRightInd/>
        <w:snapToGrid/>
        <w:ind w:firstLine="480"/>
        <w:rPr>
          <w:color w:val="auto"/>
          <w:kern w:val="0"/>
        </w:rPr>
      </w:pPr>
      <w:r>
        <w:rPr>
          <w:color w:val="auto"/>
          <w:kern w:val="0"/>
        </w:rPr>
        <w:t>评价因子须能够反映环境影响的主要特征、区域环境的基本状况及建设项目的特点和排污特征。</w:t>
      </w:r>
    </w:p>
    <w:p w14:paraId="315BCEF9">
      <w:pPr>
        <w:pStyle w:val="140"/>
        <w:pageBreakBefore w:val="0"/>
        <w:wordWrap/>
        <w:bidi w:val="0"/>
        <w:adjustRightInd/>
        <w:snapToGrid/>
        <w:spacing w:line="360" w:lineRule="auto"/>
        <w:rPr>
          <w:b/>
          <w:bCs/>
          <w:color w:val="auto"/>
        </w:rPr>
      </w:pPr>
      <w:r>
        <w:rPr>
          <w:b/>
          <w:bCs/>
          <w:color w:val="auto"/>
        </w:rPr>
        <w:t>1、环境现状评价因子</w:t>
      </w:r>
    </w:p>
    <w:p w14:paraId="26BB261D">
      <w:pPr>
        <w:pageBreakBefore w:val="0"/>
        <w:wordWrap/>
        <w:bidi w:val="0"/>
        <w:adjustRightInd/>
        <w:snapToGrid/>
        <w:ind w:firstLine="480"/>
        <w:rPr>
          <w:rFonts w:hint="eastAsia" w:eastAsia="宋体"/>
          <w:color w:val="auto"/>
          <w:lang w:eastAsia="zh-CN"/>
        </w:rPr>
      </w:pPr>
      <w:r>
        <w:rPr>
          <w:color w:val="auto"/>
          <w:kern w:val="0"/>
        </w:rPr>
        <w:t>地表水环境：</w:t>
      </w:r>
      <w:r>
        <w:rPr>
          <w:rFonts w:hint="eastAsia"/>
          <w:color w:val="auto"/>
        </w:rPr>
        <w:t>pH、溶解氧、COD</w:t>
      </w:r>
      <w:r>
        <w:rPr>
          <w:rFonts w:hint="eastAsia"/>
          <w:color w:val="auto"/>
          <w:vertAlign w:val="subscript"/>
        </w:rPr>
        <w:t>Cr</w:t>
      </w:r>
      <w:r>
        <w:rPr>
          <w:rFonts w:hint="eastAsia"/>
          <w:color w:val="auto"/>
        </w:rPr>
        <w:t>、BOD</w:t>
      </w:r>
      <w:r>
        <w:rPr>
          <w:rFonts w:hint="eastAsia"/>
          <w:color w:val="auto"/>
          <w:vertAlign w:val="subscript"/>
        </w:rPr>
        <w:t>5</w:t>
      </w:r>
      <w:r>
        <w:rPr>
          <w:rFonts w:hint="eastAsia"/>
          <w:color w:val="auto"/>
        </w:rPr>
        <w:t>、NH</w:t>
      </w:r>
      <w:r>
        <w:rPr>
          <w:rFonts w:hint="eastAsia"/>
          <w:color w:val="auto"/>
          <w:vertAlign w:val="subscript"/>
        </w:rPr>
        <w:t>3</w:t>
      </w:r>
      <w:r>
        <w:rPr>
          <w:rFonts w:hint="eastAsia"/>
          <w:color w:val="auto"/>
        </w:rPr>
        <w:t>-N、总氮、总磷、悬浮物、硫化物、氰化物、氟化物、氯化物、挥发酚、硫酸盐、铁、铜、铅、锌、镉、镍、锰、砷、汞、六价铬、阴离子表面活性剂、粪大肠菌群数（个/L）、石油类、甲醛</w:t>
      </w:r>
      <w:r>
        <w:rPr>
          <w:rFonts w:hint="eastAsia"/>
          <w:color w:val="auto"/>
          <w:lang w:eastAsia="zh-CN"/>
        </w:rPr>
        <w:t>；</w:t>
      </w:r>
    </w:p>
    <w:p w14:paraId="74B5E05C">
      <w:pPr>
        <w:pageBreakBefore w:val="0"/>
        <w:wordWrap/>
        <w:bidi w:val="0"/>
        <w:adjustRightInd/>
        <w:snapToGrid/>
        <w:ind w:firstLine="480"/>
        <w:rPr>
          <w:color w:val="auto"/>
          <w:kern w:val="0"/>
        </w:rPr>
      </w:pPr>
      <w:r>
        <w:rPr>
          <w:color w:val="auto"/>
          <w:kern w:val="0"/>
        </w:rPr>
        <w:t>地下水环境：K</w:t>
      </w:r>
      <w:r>
        <w:rPr>
          <w:color w:val="auto"/>
          <w:kern w:val="0"/>
          <w:vertAlign w:val="superscript"/>
        </w:rPr>
        <w:t>+</w:t>
      </w:r>
      <w:r>
        <w:rPr>
          <w:color w:val="auto"/>
          <w:kern w:val="0"/>
        </w:rPr>
        <w:t>，Na</w:t>
      </w:r>
      <w:r>
        <w:rPr>
          <w:color w:val="auto"/>
          <w:kern w:val="0"/>
          <w:vertAlign w:val="superscript"/>
        </w:rPr>
        <w:t>+</w:t>
      </w:r>
      <w:r>
        <w:rPr>
          <w:color w:val="auto"/>
          <w:kern w:val="0"/>
        </w:rPr>
        <w:t>，Ca</w:t>
      </w:r>
      <w:r>
        <w:rPr>
          <w:color w:val="auto"/>
          <w:kern w:val="0"/>
          <w:vertAlign w:val="superscript"/>
        </w:rPr>
        <w:t>2+</w:t>
      </w:r>
      <w:r>
        <w:rPr>
          <w:color w:val="auto"/>
          <w:kern w:val="0"/>
        </w:rPr>
        <w:t>，Mg</w:t>
      </w:r>
      <w:r>
        <w:rPr>
          <w:color w:val="auto"/>
          <w:kern w:val="0"/>
          <w:vertAlign w:val="superscript"/>
        </w:rPr>
        <w:t>2+</w:t>
      </w:r>
      <w:r>
        <w:rPr>
          <w:color w:val="auto"/>
          <w:kern w:val="0"/>
        </w:rPr>
        <w:t>，CO</w:t>
      </w:r>
      <w:r>
        <w:rPr>
          <w:color w:val="auto"/>
          <w:kern w:val="0"/>
          <w:vertAlign w:val="subscript"/>
        </w:rPr>
        <w:t>3</w:t>
      </w:r>
      <w:r>
        <w:rPr>
          <w:color w:val="auto"/>
          <w:kern w:val="0"/>
          <w:vertAlign w:val="superscript"/>
        </w:rPr>
        <w:t>2-</w:t>
      </w:r>
      <w:r>
        <w:rPr>
          <w:color w:val="auto"/>
          <w:kern w:val="0"/>
        </w:rPr>
        <w:t>，HCO</w:t>
      </w:r>
      <w:r>
        <w:rPr>
          <w:color w:val="auto"/>
          <w:kern w:val="0"/>
          <w:vertAlign w:val="subscript"/>
        </w:rPr>
        <w:t>3</w:t>
      </w:r>
      <w:r>
        <w:rPr>
          <w:color w:val="auto"/>
          <w:kern w:val="0"/>
          <w:vertAlign w:val="superscript"/>
        </w:rPr>
        <w:t>-</w:t>
      </w:r>
      <w:r>
        <w:rPr>
          <w:color w:val="auto"/>
          <w:kern w:val="0"/>
        </w:rPr>
        <w:t>，Cl</w:t>
      </w:r>
      <w:r>
        <w:rPr>
          <w:color w:val="auto"/>
          <w:kern w:val="0"/>
          <w:vertAlign w:val="superscript"/>
        </w:rPr>
        <w:t>-</w:t>
      </w:r>
      <w:r>
        <w:rPr>
          <w:color w:val="auto"/>
          <w:kern w:val="0"/>
        </w:rPr>
        <w:t>，SO</w:t>
      </w:r>
      <w:r>
        <w:rPr>
          <w:color w:val="auto"/>
          <w:kern w:val="0"/>
          <w:vertAlign w:val="subscript"/>
        </w:rPr>
        <w:t>4</w:t>
      </w:r>
      <w:r>
        <w:rPr>
          <w:color w:val="auto"/>
          <w:kern w:val="0"/>
          <w:vertAlign w:val="superscript"/>
        </w:rPr>
        <w:t>2-</w:t>
      </w:r>
      <w:r>
        <w:rPr>
          <w:color w:val="auto"/>
        </w:rPr>
        <w:t>、</w:t>
      </w:r>
      <w:r>
        <w:rPr>
          <w:rFonts w:hint="eastAsia"/>
          <w:color w:val="auto"/>
          <w:kern w:val="0"/>
        </w:rPr>
        <w:t>pH、氨氮、硝酸盐、亚硝酸盐、挥发性酚类、氰化物、砷、汞、铬</w:t>
      </w:r>
      <w:r>
        <w:rPr>
          <w:rFonts w:hint="eastAsia"/>
          <w:color w:val="auto"/>
          <w:kern w:val="0"/>
          <w:lang w:eastAsia="zh-CN"/>
        </w:rPr>
        <w:t>（</w:t>
      </w:r>
      <w:r>
        <w:rPr>
          <w:rFonts w:hint="eastAsia"/>
          <w:color w:val="auto"/>
          <w:kern w:val="0"/>
        </w:rPr>
        <w:t>六价</w:t>
      </w:r>
      <w:r>
        <w:rPr>
          <w:rFonts w:hint="eastAsia"/>
          <w:color w:val="auto"/>
          <w:kern w:val="0"/>
          <w:lang w:eastAsia="zh-CN"/>
        </w:rPr>
        <w:t>）</w:t>
      </w:r>
      <w:r>
        <w:rPr>
          <w:rFonts w:hint="eastAsia"/>
          <w:color w:val="auto"/>
          <w:kern w:val="0"/>
        </w:rPr>
        <w:t>、总硬度、铅、氟、镉、铁、锰、溶解性总固体、高锰酸盐指数、硫酸盐、氯化物、总大肠菌群、细菌总数</w:t>
      </w:r>
      <w:r>
        <w:rPr>
          <w:color w:val="auto"/>
        </w:rPr>
        <w:t>；</w:t>
      </w:r>
    </w:p>
    <w:p w14:paraId="7686AF10">
      <w:pPr>
        <w:pageBreakBefore w:val="0"/>
        <w:wordWrap/>
        <w:bidi w:val="0"/>
        <w:adjustRightInd/>
        <w:snapToGrid/>
        <w:ind w:firstLine="480"/>
        <w:rPr>
          <w:color w:val="auto"/>
        </w:rPr>
      </w:pPr>
      <w:r>
        <w:rPr>
          <w:color w:val="auto"/>
          <w:kern w:val="0"/>
        </w:rPr>
        <w:t>空气环境：</w:t>
      </w: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w:t>
      </w:r>
      <w:r>
        <w:rPr>
          <w:rFonts w:hint="eastAsia"/>
          <w:color w:val="auto"/>
          <w:vertAlign w:val="subscript"/>
          <w:lang w:eastAsia="zh-CN"/>
        </w:rPr>
        <w:t>2.5</w:t>
      </w:r>
      <w:r>
        <w:rPr>
          <w:color w:val="auto"/>
        </w:rPr>
        <w:t>、O</w:t>
      </w:r>
      <w:r>
        <w:rPr>
          <w:color w:val="auto"/>
          <w:vertAlign w:val="subscript"/>
        </w:rPr>
        <w:t>3</w:t>
      </w:r>
      <w:r>
        <w:rPr>
          <w:color w:val="auto"/>
        </w:rPr>
        <w:t>、CO、NH</w:t>
      </w:r>
      <w:r>
        <w:rPr>
          <w:color w:val="auto"/>
          <w:vertAlign w:val="subscript"/>
        </w:rPr>
        <w:t>3</w:t>
      </w: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臭气浓度</w:t>
      </w:r>
      <w:r>
        <w:rPr>
          <w:color w:val="auto"/>
        </w:rPr>
        <w:t>；</w:t>
      </w:r>
    </w:p>
    <w:p w14:paraId="79F3AC24">
      <w:pPr>
        <w:pageBreakBefore w:val="0"/>
        <w:wordWrap/>
        <w:bidi w:val="0"/>
        <w:adjustRightInd/>
        <w:snapToGrid/>
        <w:ind w:firstLine="480"/>
        <w:rPr>
          <w:color w:val="auto"/>
        </w:rPr>
      </w:pPr>
      <w:r>
        <w:rPr>
          <w:color w:val="auto"/>
          <w:kern w:val="0"/>
        </w:rPr>
        <w:t>声环境：环境</w:t>
      </w:r>
      <w:r>
        <w:rPr>
          <w:color w:val="auto"/>
        </w:rPr>
        <w:t>噪声；</w:t>
      </w:r>
    </w:p>
    <w:p w14:paraId="564BCFB2">
      <w:pPr>
        <w:pageBreakBefore w:val="0"/>
        <w:wordWrap/>
        <w:bidi w:val="0"/>
        <w:adjustRightInd/>
        <w:snapToGrid/>
        <w:rPr>
          <w:color w:val="auto"/>
        </w:rPr>
      </w:pPr>
      <w:r>
        <w:rPr>
          <w:color w:val="auto"/>
        </w:rPr>
        <w:t>土壤：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b]荧蒽、苯并[k]荧蒽、䓛、二苯并[a</w:t>
      </w:r>
      <w:r>
        <w:rPr>
          <w:rFonts w:hint="eastAsia"/>
          <w:color w:val="auto"/>
          <w:lang w:eastAsia="zh-CN"/>
        </w:rPr>
        <w:t>，</w:t>
      </w:r>
      <w:r>
        <w:rPr>
          <w:color w:val="auto"/>
        </w:rPr>
        <w:t>h]蒽、茚并[1.2.3-cd]芘、萘），共46项</w:t>
      </w:r>
      <w:r>
        <w:rPr>
          <w:rFonts w:hint="eastAsia"/>
          <w:color w:val="auto"/>
          <w:lang w:eastAsia="zh-CN"/>
        </w:rPr>
        <w:t>；</w:t>
      </w:r>
      <w:r>
        <w:rPr>
          <w:rFonts w:hint="eastAsia"/>
          <w:color w:val="auto"/>
          <w:lang w:val="en-US" w:eastAsia="zh-CN"/>
        </w:rPr>
        <w:t>5#、6#监测点，镉、汞、砷、铅、铬、铜、镍、锌、六六六总量、滴滴涕总量、苯并[a]芘</w:t>
      </w:r>
      <w:r>
        <w:rPr>
          <w:color w:val="auto"/>
        </w:rPr>
        <w:t>。</w:t>
      </w:r>
    </w:p>
    <w:p w14:paraId="428B4DF9">
      <w:pPr>
        <w:pageBreakBefore w:val="0"/>
        <w:wordWrap/>
        <w:bidi w:val="0"/>
        <w:adjustRightInd/>
        <w:snapToGrid/>
        <w:rPr>
          <w:b/>
          <w:bCs/>
          <w:color w:val="auto"/>
        </w:rPr>
      </w:pPr>
      <w:r>
        <w:rPr>
          <w:b/>
          <w:bCs/>
          <w:color w:val="auto"/>
        </w:rPr>
        <w:t>2、环境影响评价因子</w:t>
      </w:r>
    </w:p>
    <w:p w14:paraId="44A3FDC0">
      <w:pPr>
        <w:pageBreakBefore w:val="0"/>
        <w:wordWrap/>
        <w:bidi w:val="0"/>
        <w:adjustRightInd/>
        <w:snapToGrid/>
        <w:ind w:firstLine="480"/>
        <w:rPr>
          <w:color w:val="auto"/>
        </w:rPr>
      </w:pPr>
      <w:r>
        <w:rPr>
          <w:color w:val="auto"/>
        </w:rPr>
        <w:t>（1）施工期</w:t>
      </w:r>
    </w:p>
    <w:p w14:paraId="171FAB88">
      <w:pPr>
        <w:pageBreakBefore w:val="0"/>
        <w:wordWrap/>
        <w:bidi w:val="0"/>
        <w:adjustRightInd/>
        <w:snapToGrid/>
        <w:ind w:firstLine="480"/>
        <w:rPr>
          <w:color w:val="auto"/>
        </w:rPr>
      </w:pPr>
      <w:r>
        <w:rPr>
          <w:color w:val="auto"/>
        </w:rPr>
        <w:t>地表水环境：pH、COD</w:t>
      </w:r>
      <w:r>
        <w:rPr>
          <w:color w:val="auto"/>
          <w:vertAlign w:val="subscript"/>
        </w:rPr>
        <w:t>Cr</w:t>
      </w:r>
      <w:r>
        <w:rPr>
          <w:color w:val="auto"/>
        </w:rPr>
        <w:t>、BOD</w:t>
      </w:r>
      <w:r>
        <w:rPr>
          <w:color w:val="auto"/>
          <w:vertAlign w:val="subscript"/>
        </w:rPr>
        <w:t>5</w:t>
      </w:r>
      <w:r>
        <w:rPr>
          <w:color w:val="auto"/>
        </w:rPr>
        <w:t>、氨氮、石油类、SS共6项。</w:t>
      </w:r>
    </w:p>
    <w:p w14:paraId="5AAE7378">
      <w:pPr>
        <w:pageBreakBefore w:val="0"/>
        <w:wordWrap/>
        <w:bidi w:val="0"/>
        <w:adjustRightInd/>
        <w:snapToGrid/>
        <w:ind w:firstLine="480"/>
        <w:rPr>
          <w:color w:val="auto"/>
        </w:rPr>
      </w:pPr>
      <w:r>
        <w:rPr>
          <w:color w:val="auto"/>
        </w:rPr>
        <w:t>空气环境：TSP、SO</w:t>
      </w:r>
      <w:r>
        <w:rPr>
          <w:color w:val="auto"/>
          <w:vertAlign w:val="subscript"/>
        </w:rPr>
        <w:t>2</w:t>
      </w:r>
      <w:r>
        <w:rPr>
          <w:color w:val="auto"/>
        </w:rPr>
        <w:t>、NO</w:t>
      </w:r>
      <w:r>
        <w:rPr>
          <w:color w:val="auto"/>
          <w:vertAlign w:val="subscript"/>
        </w:rPr>
        <w:t>2</w:t>
      </w:r>
      <w:r>
        <w:rPr>
          <w:color w:val="auto"/>
        </w:rPr>
        <w:t>。</w:t>
      </w:r>
    </w:p>
    <w:p w14:paraId="6E5C8DFA">
      <w:pPr>
        <w:pageBreakBefore w:val="0"/>
        <w:wordWrap/>
        <w:bidi w:val="0"/>
        <w:adjustRightInd/>
        <w:snapToGrid/>
        <w:ind w:firstLine="480"/>
        <w:rPr>
          <w:color w:val="auto"/>
        </w:rPr>
      </w:pPr>
      <w:r>
        <w:rPr>
          <w:color w:val="auto"/>
        </w:rPr>
        <w:t>声环境：施工噪声、运输车辆产生的交通噪声。</w:t>
      </w:r>
    </w:p>
    <w:p w14:paraId="0777065F">
      <w:pPr>
        <w:pageBreakBefore w:val="0"/>
        <w:wordWrap/>
        <w:bidi w:val="0"/>
        <w:adjustRightInd/>
        <w:snapToGrid/>
        <w:ind w:firstLine="480"/>
        <w:rPr>
          <w:color w:val="auto"/>
        </w:rPr>
      </w:pPr>
      <w:r>
        <w:rPr>
          <w:color w:val="auto"/>
        </w:rPr>
        <w:t>固体废物：建筑、装修、生活垃圾等。</w:t>
      </w:r>
    </w:p>
    <w:p w14:paraId="4D43F37B">
      <w:pPr>
        <w:pageBreakBefore w:val="0"/>
        <w:wordWrap/>
        <w:bidi w:val="0"/>
        <w:adjustRightInd/>
        <w:snapToGrid/>
        <w:ind w:firstLine="480"/>
        <w:rPr>
          <w:color w:val="auto"/>
        </w:rPr>
      </w:pPr>
      <w:r>
        <w:rPr>
          <w:color w:val="auto"/>
        </w:rPr>
        <w:t>生态环境：水土流失。</w:t>
      </w:r>
    </w:p>
    <w:p w14:paraId="1C7B322E">
      <w:pPr>
        <w:pageBreakBefore w:val="0"/>
        <w:wordWrap/>
        <w:autoSpaceDE w:val="0"/>
        <w:autoSpaceDN w:val="0"/>
        <w:bidi w:val="0"/>
        <w:adjustRightInd/>
        <w:snapToGrid/>
        <w:ind w:firstLine="480"/>
        <w:jc w:val="left"/>
        <w:rPr>
          <w:color w:val="auto"/>
          <w:kern w:val="0"/>
        </w:rPr>
      </w:pPr>
      <w:r>
        <w:rPr>
          <w:color w:val="auto"/>
          <w:kern w:val="0"/>
        </w:rPr>
        <w:t>（2）运营期</w:t>
      </w:r>
    </w:p>
    <w:p w14:paraId="3CFF2A31">
      <w:pPr>
        <w:pageBreakBefore w:val="0"/>
        <w:wordWrap/>
        <w:bidi w:val="0"/>
        <w:adjustRightInd/>
        <w:snapToGrid/>
        <w:ind w:firstLine="480"/>
        <w:rPr>
          <w:color w:val="auto"/>
        </w:rPr>
      </w:pPr>
      <w:r>
        <w:rPr>
          <w:color w:val="auto"/>
        </w:rPr>
        <w:t>环境空气：NH</w:t>
      </w:r>
      <w:r>
        <w:rPr>
          <w:color w:val="auto"/>
          <w:vertAlign w:val="subscript"/>
        </w:rPr>
        <w:t>3</w:t>
      </w: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臭气浓度</w:t>
      </w:r>
      <w:r>
        <w:rPr>
          <w:color w:val="auto"/>
        </w:rPr>
        <w:t>；</w:t>
      </w:r>
    </w:p>
    <w:p w14:paraId="10ACA7DF">
      <w:pPr>
        <w:pageBreakBefore w:val="0"/>
        <w:wordWrap/>
        <w:bidi w:val="0"/>
        <w:adjustRightInd/>
        <w:snapToGrid/>
        <w:ind w:firstLine="480"/>
        <w:rPr>
          <w:b w:val="0"/>
          <w:bCs w:val="0"/>
          <w:color w:val="auto"/>
        </w:rPr>
      </w:pPr>
      <w:r>
        <w:rPr>
          <w:b w:val="0"/>
          <w:bCs w:val="0"/>
          <w:color w:val="auto"/>
        </w:rPr>
        <w:t>地表水：COD</w:t>
      </w:r>
      <w:r>
        <w:rPr>
          <w:b w:val="0"/>
          <w:bCs w:val="0"/>
          <w:color w:val="auto"/>
          <w:vertAlign w:val="subscript"/>
        </w:rPr>
        <w:t>Cr</w:t>
      </w:r>
      <w:r>
        <w:rPr>
          <w:b w:val="0"/>
          <w:bCs w:val="0"/>
          <w:color w:val="auto"/>
        </w:rPr>
        <w:t>、NH</w:t>
      </w:r>
      <w:r>
        <w:rPr>
          <w:b w:val="0"/>
          <w:bCs w:val="0"/>
          <w:color w:val="auto"/>
          <w:vertAlign w:val="subscript"/>
        </w:rPr>
        <w:t>3</w:t>
      </w:r>
      <w:r>
        <w:rPr>
          <w:b w:val="0"/>
          <w:bCs w:val="0"/>
          <w:color w:val="auto"/>
        </w:rPr>
        <w:t>-N、TP、</w:t>
      </w:r>
      <w:r>
        <w:rPr>
          <w:rFonts w:hint="eastAsia"/>
          <w:b w:val="0"/>
          <w:bCs w:val="0"/>
          <w:color w:val="auto"/>
          <w:lang w:val="en-US" w:eastAsia="zh-CN"/>
        </w:rPr>
        <w:t>石油类、甲醛</w:t>
      </w:r>
      <w:r>
        <w:rPr>
          <w:b w:val="0"/>
          <w:bCs w:val="0"/>
          <w:color w:val="auto"/>
        </w:rPr>
        <w:t>；</w:t>
      </w:r>
    </w:p>
    <w:p w14:paraId="0E45C6C8">
      <w:pPr>
        <w:pageBreakBefore w:val="0"/>
        <w:wordWrap/>
        <w:bidi w:val="0"/>
        <w:adjustRightInd/>
        <w:snapToGrid/>
        <w:ind w:firstLine="480"/>
        <w:rPr>
          <w:color w:val="auto"/>
        </w:rPr>
      </w:pPr>
      <w:r>
        <w:rPr>
          <w:color w:val="auto"/>
        </w:rPr>
        <w:t>声环境：昼间、夜间等效声级，L</w:t>
      </w:r>
      <w:r>
        <w:rPr>
          <w:color w:val="auto"/>
          <w:vertAlign w:val="subscript"/>
        </w:rPr>
        <w:t>Aeq</w:t>
      </w:r>
      <w:r>
        <w:rPr>
          <w:color w:val="auto"/>
        </w:rPr>
        <w:t>；</w:t>
      </w:r>
    </w:p>
    <w:p w14:paraId="41B1173B">
      <w:pPr>
        <w:pageBreakBefore w:val="0"/>
        <w:wordWrap/>
        <w:bidi w:val="0"/>
        <w:adjustRightInd/>
        <w:snapToGrid/>
        <w:ind w:firstLine="480"/>
        <w:rPr>
          <w:color w:val="auto"/>
        </w:rPr>
      </w:pPr>
      <w:r>
        <w:rPr>
          <w:color w:val="auto"/>
        </w:rPr>
        <w:t>固体废弃物：一般固废、危险废物。</w:t>
      </w:r>
    </w:p>
    <w:p w14:paraId="29CB855A">
      <w:pPr>
        <w:pStyle w:val="140"/>
        <w:pageBreakBefore w:val="0"/>
        <w:wordWrap/>
        <w:bidi w:val="0"/>
        <w:adjustRightInd/>
        <w:snapToGrid/>
        <w:spacing w:line="360" w:lineRule="auto"/>
        <w:rPr>
          <w:color w:val="auto"/>
        </w:rPr>
      </w:pPr>
      <w:r>
        <w:rPr>
          <w:color w:val="auto"/>
        </w:rPr>
        <w:t>3、总量控制因子</w:t>
      </w:r>
    </w:p>
    <w:p w14:paraId="5A3FAC44">
      <w:pPr>
        <w:pageBreakBefore w:val="0"/>
        <w:wordWrap/>
        <w:bidi w:val="0"/>
        <w:adjustRightInd/>
        <w:snapToGrid/>
        <w:rPr>
          <w:color w:val="auto"/>
        </w:rPr>
      </w:pPr>
      <w:r>
        <w:rPr>
          <w:color w:val="auto"/>
        </w:rPr>
        <w:t>水污染物：COD、NH</w:t>
      </w:r>
      <w:r>
        <w:rPr>
          <w:color w:val="auto"/>
          <w:vertAlign w:val="subscript"/>
        </w:rPr>
        <w:t>3</w:t>
      </w:r>
      <w:r>
        <w:rPr>
          <w:color w:val="auto"/>
        </w:rPr>
        <w:t>-N、TP。</w:t>
      </w:r>
    </w:p>
    <w:p w14:paraId="1D272FC1">
      <w:pPr>
        <w:pStyle w:val="5"/>
        <w:bidi w:val="0"/>
        <w:rPr>
          <w:color w:val="auto"/>
        </w:rPr>
      </w:pPr>
      <w:bookmarkStart w:id="49" w:name="_Toc1367"/>
      <w:r>
        <w:rPr>
          <w:rFonts w:hint="eastAsia"/>
          <w:color w:val="auto"/>
        </w:rPr>
        <w:t xml:space="preserve"> </w:t>
      </w:r>
      <w:r>
        <w:rPr>
          <w:color w:val="auto"/>
        </w:rPr>
        <w:t>评价标准</w:t>
      </w:r>
    </w:p>
    <w:p w14:paraId="51AFF347">
      <w:pPr>
        <w:pageBreakBefore w:val="0"/>
        <w:wordWrap/>
        <w:bidi w:val="0"/>
        <w:adjustRightInd/>
        <w:snapToGrid/>
        <w:ind w:firstLine="480"/>
        <w:rPr>
          <w:color w:val="auto"/>
        </w:rPr>
      </w:pPr>
      <w:r>
        <w:rPr>
          <w:color w:val="auto"/>
        </w:rPr>
        <w:t>根据项目所在区域环境功能区划及相关排放要求，本次评价执行标准如下。</w:t>
      </w:r>
    </w:p>
    <w:p w14:paraId="5C849E18">
      <w:pPr>
        <w:pStyle w:val="6"/>
        <w:bidi w:val="0"/>
        <w:rPr>
          <w:color w:val="auto"/>
        </w:rPr>
      </w:pPr>
      <w:r>
        <w:rPr>
          <w:rFonts w:hint="eastAsia"/>
          <w:color w:val="auto"/>
        </w:rPr>
        <w:t xml:space="preserve"> </w:t>
      </w:r>
      <w:r>
        <w:rPr>
          <w:color w:val="auto"/>
        </w:rPr>
        <w:t>环境质量标准</w:t>
      </w:r>
    </w:p>
    <w:p w14:paraId="7B510D05">
      <w:pPr>
        <w:pageBreakBefore w:val="0"/>
        <w:wordWrap/>
        <w:bidi w:val="0"/>
        <w:adjustRightInd/>
        <w:snapToGrid/>
        <w:ind w:firstLine="480"/>
        <w:rPr>
          <w:b/>
          <w:bCs/>
          <w:color w:val="auto"/>
        </w:rPr>
      </w:pPr>
      <w:bookmarkStart w:id="50" w:name="_Toc374627704"/>
      <w:r>
        <w:rPr>
          <w:b/>
          <w:bCs/>
          <w:color w:val="auto"/>
        </w:rPr>
        <w:t>（1）大气环境</w:t>
      </w:r>
    </w:p>
    <w:p w14:paraId="61CD8E97">
      <w:pPr>
        <w:pageBreakBefore w:val="0"/>
        <w:wordWrap/>
        <w:bidi w:val="0"/>
        <w:adjustRightInd/>
        <w:snapToGrid/>
        <w:ind w:firstLine="480"/>
        <w:rPr>
          <w:color w:val="auto"/>
        </w:rPr>
      </w:pPr>
      <w:r>
        <w:rPr>
          <w:color w:val="auto"/>
        </w:rPr>
        <w:t>环境空气基本污染物SO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w:t>
      </w:r>
      <w:r>
        <w:rPr>
          <w:rFonts w:hint="eastAsia"/>
          <w:color w:val="auto"/>
          <w:vertAlign w:val="subscript"/>
          <w:lang w:eastAsia="zh-CN"/>
        </w:rPr>
        <w:t>2.5</w:t>
      </w:r>
      <w:r>
        <w:rPr>
          <w:color w:val="auto"/>
        </w:rPr>
        <w:t>、CO、O</w:t>
      </w:r>
      <w:r>
        <w:rPr>
          <w:color w:val="auto"/>
          <w:vertAlign w:val="subscript"/>
        </w:rPr>
        <w:t>3</w:t>
      </w:r>
      <w:r>
        <w:rPr>
          <w:color w:val="auto"/>
        </w:rPr>
        <w:t>执行《环境空气质量标准》（GB3095-2012）及其修改单中的二级标准；硫化氢、氨参照《环境影响评价技术导则 大气环境》（HJ 2.2-2018）中附录D中表D.1</w:t>
      </w:r>
      <w:r>
        <w:rPr>
          <w:rFonts w:hint="eastAsia"/>
          <w:color w:val="auto"/>
          <w:lang w:eastAsia="zh-CN"/>
        </w:rPr>
        <w:t>“</w:t>
      </w:r>
      <w:r>
        <w:rPr>
          <w:color w:val="auto"/>
        </w:rPr>
        <w:t>其他污染物空气质量浓度参考限值</w:t>
      </w:r>
      <w:r>
        <w:rPr>
          <w:rFonts w:hint="eastAsia"/>
          <w:color w:val="auto"/>
          <w:lang w:eastAsia="zh-CN"/>
        </w:rPr>
        <w:t>”</w:t>
      </w:r>
      <w:r>
        <w:rPr>
          <w:color w:val="auto"/>
        </w:rPr>
        <w:t>，标准限值见</w:t>
      </w:r>
      <w:r>
        <w:rPr>
          <w:rFonts w:hint="eastAsia"/>
          <w:color w:val="auto"/>
          <w:lang w:val="en-US" w:eastAsia="zh-CN"/>
        </w:rPr>
        <w:t>下表</w:t>
      </w:r>
      <w:r>
        <w:rPr>
          <w:color w:val="auto"/>
        </w:rPr>
        <w:t>。</w:t>
      </w:r>
    </w:p>
    <w:p w14:paraId="5B6C52A1">
      <w:pPr>
        <w:pStyle w:val="15"/>
        <w:numPr>
          <w:ilvl w:val="0"/>
          <w:numId w:val="7"/>
        </w:numPr>
        <w:bidi w:val="0"/>
        <w:ind w:left="0" w:leftChars="0" w:firstLine="0" w:firstLineChars="0"/>
        <w:rPr>
          <w:rFonts w:hint="eastAsia"/>
          <w:color w:val="auto"/>
          <w:lang w:eastAsia="zh-CN"/>
        </w:rPr>
      </w:pPr>
      <w:r>
        <w:rPr>
          <w:color w:val="auto"/>
        </w:rPr>
        <w:t>各类污染物浓度限值</w:t>
      </w:r>
      <w:r>
        <w:rPr>
          <w:rFonts w:hint="eastAsia"/>
          <w:color w:val="auto"/>
          <w:lang w:val="en-US" w:eastAsia="zh-CN"/>
        </w:rPr>
        <w:t xml:space="preserve"> </w:t>
      </w:r>
      <w:r>
        <w:rPr>
          <w:color w:val="auto"/>
        </w:rPr>
        <w:t xml:space="preserve"> 单位：μg/</w:t>
      </w:r>
      <w:r>
        <w:rPr>
          <w:rFonts w:hint="eastAsia"/>
          <w:color w:val="auto"/>
          <w:lang w:eastAsia="zh-CN"/>
        </w:rPr>
        <w:t>m³</w:t>
      </w:r>
    </w:p>
    <w:tbl>
      <w:tblPr>
        <w:tblStyle w:val="48"/>
        <w:tblW w:w="88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70"/>
        <w:gridCol w:w="1270"/>
        <w:gridCol w:w="1822"/>
        <w:gridCol w:w="1475"/>
        <w:gridCol w:w="3050"/>
      </w:tblGrid>
      <w:tr w14:paraId="1A5C4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540" w:type="dxa"/>
            <w:gridSpan w:val="2"/>
            <w:tcBorders>
              <w:tl2br w:val="nil"/>
              <w:tr2bl w:val="nil"/>
            </w:tcBorders>
            <w:noWrap w:val="0"/>
            <w:vAlign w:val="center"/>
          </w:tcPr>
          <w:p w14:paraId="5104A708">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污染物项目</w:t>
            </w:r>
          </w:p>
        </w:tc>
        <w:tc>
          <w:tcPr>
            <w:tcW w:w="1822" w:type="dxa"/>
            <w:tcBorders>
              <w:tl2br w:val="nil"/>
              <w:tr2bl w:val="nil"/>
            </w:tcBorders>
            <w:noWrap w:val="0"/>
            <w:vAlign w:val="center"/>
          </w:tcPr>
          <w:p w14:paraId="4993DF23">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取值时间</w:t>
            </w:r>
          </w:p>
        </w:tc>
        <w:tc>
          <w:tcPr>
            <w:tcW w:w="1475" w:type="dxa"/>
            <w:tcBorders>
              <w:tl2br w:val="nil"/>
              <w:tr2bl w:val="nil"/>
            </w:tcBorders>
            <w:noWrap w:val="0"/>
            <w:vAlign w:val="center"/>
          </w:tcPr>
          <w:p w14:paraId="6552980E">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浓度限值</w:t>
            </w:r>
          </w:p>
        </w:tc>
        <w:tc>
          <w:tcPr>
            <w:tcW w:w="3050" w:type="dxa"/>
            <w:tcBorders>
              <w:tl2br w:val="nil"/>
              <w:tr2bl w:val="nil"/>
            </w:tcBorders>
            <w:noWrap w:val="0"/>
            <w:vAlign w:val="center"/>
          </w:tcPr>
          <w:p w14:paraId="6DB5F0A6">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标准来源</w:t>
            </w:r>
          </w:p>
        </w:tc>
      </w:tr>
      <w:tr w14:paraId="359F3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restart"/>
            <w:tcBorders>
              <w:tl2br w:val="nil"/>
              <w:tr2bl w:val="nil"/>
            </w:tcBorders>
            <w:noWrap w:val="0"/>
            <w:vAlign w:val="center"/>
          </w:tcPr>
          <w:p w14:paraId="4FAE58CD">
            <w:pPr>
              <w:pageBreakBefore w:val="0"/>
              <w:wordWrap/>
              <w:bidi w:val="0"/>
              <w:adjustRightInd/>
              <w:snapToGrid/>
              <w:spacing w:line="240" w:lineRule="auto"/>
              <w:ind w:firstLine="0" w:firstLineChars="0"/>
              <w:jc w:val="center"/>
              <w:rPr>
                <w:color w:val="auto"/>
                <w:sz w:val="21"/>
                <w:szCs w:val="21"/>
              </w:rPr>
            </w:pPr>
            <w:r>
              <w:rPr>
                <w:color w:val="auto"/>
                <w:sz w:val="21"/>
                <w:szCs w:val="21"/>
              </w:rPr>
              <w:t>基本污染物</w:t>
            </w:r>
          </w:p>
        </w:tc>
        <w:tc>
          <w:tcPr>
            <w:tcW w:w="1270" w:type="dxa"/>
            <w:vMerge w:val="restart"/>
            <w:tcBorders>
              <w:tl2br w:val="nil"/>
              <w:tr2bl w:val="nil"/>
            </w:tcBorders>
            <w:noWrap w:val="0"/>
            <w:vAlign w:val="center"/>
          </w:tcPr>
          <w:p w14:paraId="5017CDAB">
            <w:pPr>
              <w:pageBreakBefore w:val="0"/>
              <w:wordWrap/>
              <w:bidi w:val="0"/>
              <w:adjustRightInd/>
              <w:snapToGrid/>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1822" w:type="dxa"/>
            <w:tcBorders>
              <w:tl2br w:val="nil"/>
              <w:tr2bl w:val="nil"/>
            </w:tcBorders>
            <w:noWrap w:val="0"/>
            <w:vAlign w:val="center"/>
          </w:tcPr>
          <w:p w14:paraId="1EFAD7A7">
            <w:pPr>
              <w:pageBreakBefore w:val="0"/>
              <w:wordWrap/>
              <w:bidi w:val="0"/>
              <w:adjustRightInd/>
              <w:snapToGrid/>
              <w:spacing w:line="240" w:lineRule="auto"/>
              <w:ind w:firstLine="0" w:firstLineChars="0"/>
              <w:jc w:val="center"/>
              <w:rPr>
                <w:color w:val="auto"/>
                <w:sz w:val="21"/>
                <w:szCs w:val="21"/>
              </w:rPr>
            </w:pPr>
            <w:r>
              <w:rPr>
                <w:color w:val="auto"/>
                <w:sz w:val="21"/>
                <w:szCs w:val="21"/>
              </w:rPr>
              <w:t>日平均</w:t>
            </w:r>
          </w:p>
        </w:tc>
        <w:tc>
          <w:tcPr>
            <w:tcW w:w="1475" w:type="dxa"/>
            <w:tcBorders>
              <w:tl2br w:val="nil"/>
              <w:tr2bl w:val="nil"/>
            </w:tcBorders>
            <w:noWrap w:val="0"/>
            <w:vAlign w:val="center"/>
          </w:tcPr>
          <w:p w14:paraId="65A6657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150</w:t>
            </w:r>
          </w:p>
        </w:tc>
        <w:tc>
          <w:tcPr>
            <w:tcW w:w="3050" w:type="dxa"/>
            <w:vMerge w:val="restart"/>
            <w:tcBorders>
              <w:tl2br w:val="nil"/>
              <w:tr2bl w:val="nil"/>
            </w:tcBorders>
            <w:noWrap w:val="0"/>
            <w:vAlign w:val="center"/>
          </w:tcPr>
          <w:p w14:paraId="0EF27795">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《环境空气质量标准》（GB3095-2012）</w:t>
            </w:r>
            <w:r>
              <w:rPr>
                <w:color w:val="auto"/>
                <w:sz w:val="21"/>
                <w:szCs w:val="21"/>
              </w:rPr>
              <w:t>中二级标准</w:t>
            </w:r>
          </w:p>
        </w:tc>
      </w:tr>
      <w:tr w14:paraId="25E55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370EBC8D">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5891B484">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120088A6">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46CC4F8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500</w:t>
            </w:r>
          </w:p>
        </w:tc>
        <w:tc>
          <w:tcPr>
            <w:tcW w:w="3050" w:type="dxa"/>
            <w:vMerge w:val="continue"/>
            <w:tcBorders>
              <w:tl2br w:val="nil"/>
              <w:tr2bl w:val="nil"/>
            </w:tcBorders>
            <w:noWrap w:val="0"/>
            <w:vAlign w:val="center"/>
          </w:tcPr>
          <w:p w14:paraId="1FD3D56A">
            <w:pPr>
              <w:pageBreakBefore w:val="0"/>
              <w:wordWrap/>
              <w:bidi w:val="0"/>
              <w:adjustRightInd/>
              <w:snapToGrid/>
              <w:spacing w:line="240" w:lineRule="auto"/>
              <w:ind w:firstLine="0" w:firstLineChars="0"/>
              <w:jc w:val="center"/>
              <w:rPr>
                <w:color w:val="auto"/>
                <w:sz w:val="21"/>
                <w:szCs w:val="21"/>
              </w:rPr>
            </w:pPr>
          </w:p>
        </w:tc>
      </w:tr>
      <w:tr w14:paraId="3AE36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643B078">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23069107">
            <w:pPr>
              <w:pageBreakBefore w:val="0"/>
              <w:wordWrap/>
              <w:bidi w:val="0"/>
              <w:adjustRightInd/>
              <w:snapToGrid/>
              <w:spacing w:line="240" w:lineRule="auto"/>
              <w:ind w:firstLine="0" w:firstLineChars="0"/>
              <w:jc w:val="center"/>
              <w:rPr>
                <w:color w:val="auto"/>
                <w:sz w:val="21"/>
                <w:szCs w:val="21"/>
                <w:vertAlign w:val="subscript"/>
              </w:rPr>
            </w:pPr>
            <w:r>
              <w:rPr>
                <w:color w:val="auto"/>
                <w:sz w:val="21"/>
                <w:szCs w:val="21"/>
              </w:rPr>
              <w:t>NO</w:t>
            </w:r>
            <w:r>
              <w:rPr>
                <w:color w:val="auto"/>
                <w:sz w:val="21"/>
                <w:szCs w:val="21"/>
                <w:vertAlign w:val="subscript"/>
              </w:rPr>
              <w:t>2</w:t>
            </w:r>
          </w:p>
        </w:tc>
        <w:tc>
          <w:tcPr>
            <w:tcW w:w="1822" w:type="dxa"/>
            <w:tcBorders>
              <w:tl2br w:val="nil"/>
              <w:tr2bl w:val="nil"/>
            </w:tcBorders>
            <w:noWrap w:val="0"/>
            <w:vAlign w:val="center"/>
          </w:tcPr>
          <w:p w14:paraId="01F7CF8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43FFD232">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80</w:t>
            </w:r>
          </w:p>
        </w:tc>
        <w:tc>
          <w:tcPr>
            <w:tcW w:w="3050" w:type="dxa"/>
            <w:vMerge w:val="continue"/>
            <w:tcBorders>
              <w:tl2br w:val="nil"/>
              <w:tr2bl w:val="nil"/>
            </w:tcBorders>
            <w:noWrap w:val="0"/>
            <w:vAlign w:val="center"/>
          </w:tcPr>
          <w:p w14:paraId="079A7525">
            <w:pPr>
              <w:pageBreakBefore w:val="0"/>
              <w:wordWrap/>
              <w:bidi w:val="0"/>
              <w:adjustRightInd/>
              <w:snapToGrid/>
              <w:spacing w:line="240" w:lineRule="auto"/>
              <w:ind w:firstLine="0" w:firstLineChars="0"/>
              <w:jc w:val="center"/>
              <w:rPr>
                <w:color w:val="auto"/>
                <w:sz w:val="21"/>
                <w:szCs w:val="21"/>
              </w:rPr>
            </w:pPr>
          </w:p>
        </w:tc>
      </w:tr>
      <w:tr w14:paraId="5645B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1616721A">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28E18D9D">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034DDBF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64B9EB4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6FE2A535">
            <w:pPr>
              <w:pageBreakBefore w:val="0"/>
              <w:wordWrap/>
              <w:bidi w:val="0"/>
              <w:adjustRightInd/>
              <w:snapToGrid/>
              <w:spacing w:line="240" w:lineRule="auto"/>
              <w:ind w:firstLine="0" w:firstLineChars="0"/>
              <w:jc w:val="center"/>
              <w:rPr>
                <w:color w:val="auto"/>
                <w:sz w:val="21"/>
                <w:szCs w:val="21"/>
              </w:rPr>
            </w:pPr>
          </w:p>
        </w:tc>
      </w:tr>
      <w:tr w14:paraId="6B421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1DEEF61A">
            <w:pPr>
              <w:pageBreakBefore w:val="0"/>
              <w:wordWrap/>
              <w:bidi w:val="0"/>
              <w:adjustRightInd/>
              <w:snapToGrid/>
              <w:spacing w:line="240" w:lineRule="auto"/>
              <w:ind w:firstLine="0" w:firstLineChars="0"/>
              <w:jc w:val="center"/>
              <w:rPr>
                <w:color w:val="auto"/>
                <w:sz w:val="21"/>
                <w:szCs w:val="21"/>
              </w:rPr>
            </w:pPr>
          </w:p>
        </w:tc>
        <w:tc>
          <w:tcPr>
            <w:tcW w:w="1270" w:type="dxa"/>
            <w:tcBorders>
              <w:tl2br w:val="nil"/>
              <w:tr2bl w:val="nil"/>
            </w:tcBorders>
            <w:noWrap w:val="0"/>
            <w:vAlign w:val="center"/>
          </w:tcPr>
          <w:p w14:paraId="3D2FDB4D">
            <w:pPr>
              <w:pageBreakBefore w:val="0"/>
              <w:wordWrap/>
              <w:bidi w:val="0"/>
              <w:adjustRightInd/>
              <w:snapToGrid/>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10</w:t>
            </w:r>
          </w:p>
        </w:tc>
        <w:tc>
          <w:tcPr>
            <w:tcW w:w="1822" w:type="dxa"/>
            <w:tcBorders>
              <w:tl2br w:val="nil"/>
              <w:tr2bl w:val="nil"/>
            </w:tcBorders>
            <w:noWrap w:val="0"/>
            <w:vAlign w:val="center"/>
          </w:tcPr>
          <w:p w14:paraId="098F0AC2">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1053864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150</w:t>
            </w:r>
          </w:p>
        </w:tc>
        <w:tc>
          <w:tcPr>
            <w:tcW w:w="3050" w:type="dxa"/>
            <w:vMerge w:val="continue"/>
            <w:tcBorders>
              <w:tl2br w:val="nil"/>
              <w:tr2bl w:val="nil"/>
            </w:tcBorders>
            <w:noWrap w:val="0"/>
            <w:vAlign w:val="center"/>
          </w:tcPr>
          <w:p w14:paraId="3661E6E5">
            <w:pPr>
              <w:pageBreakBefore w:val="0"/>
              <w:wordWrap/>
              <w:bidi w:val="0"/>
              <w:adjustRightInd/>
              <w:snapToGrid/>
              <w:spacing w:line="240" w:lineRule="auto"/>
              <w:ind w:firstLine="0" w:firstLineChars="0"/>
              <w:jc w:val="center"/>
              <w:rPr>
                <w:color w:val="auto"/>
                <w:sz w:val="21"/>
                <w:szCs w:val="21"/>
              </w:rPr>
            </w:pPr>
          </w:p>
        </w:tc>
      </w:tr>
      <w:tr w14:paraId="07065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93AD5F3">
            <w:pPr>
              <w:pageBreakBefore w:val="0"/>
              <w:wordWrap/>
              <w:bidi w:val="0"/>
              <w:adjustRightInd/>
              <w:snapToGrid/>
              <w:spacing w:line="240" w:lineRule="auto"/>
              <w:ind w:firstLine="0" w:firstLineChars="0"/>
              <w:jc w:val="center"/>
              <w:rPr>
                <w:color w:val="auto"/>
                <w:sz w:val="21"/>
                <w:szCs w:val="21"/>
              </w:rPr>
            </w:pPr>
          </w:p>
        </w:tc>
        <w:tc>
          <w:tcPr>
            <w:tcW w:w="1270" w:type="dxa"/>
            <w:tcBorders>
              <w:tl2br w:val="nil"/>
              <w:tr2bl w:val="nil"/>
            </w:tcBorders>
            <w:noWrap w:val="0"/>
            <w:vAlign w:val="center"/>
          </w:tcPr>
          <w:p w14:paraId="0C46D70D">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PM2.5</w:t>
            </w:r>
          </w:p>
        </w:tc>
        <w:tc>
          <w:tcPr>
            <w:tcW w:w="1822" w:type="dxa"/>
            <w:tcBorders>
              <w:tl2br w:val="nil"/>
              <w:tr2bl w:val="nil"/>
            </w:tcBorders>
            <w:noWrap w:val="0"/>
            <w:vAlign w:val="center"/>
          </w:tcPr>
          <w:p w14:paraId="0DDAF3C7">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2E457FD7">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75</w:t>
            </w:r>
          </w:p>
        </w:tc>
        <w:tc>
          <w:tcPr>
            <w:tcW w:w="3050" w:type="dxa"/>
            <w:vMerge w:val="continue"/>
            <w:tcBorders>
              <w:tl2br w:val="nil"/>
              <w:tr2bl w:val="nil"/>
            </w:tcBorders>
            <w:noWrap w:val="0"/>
            <w:vAlign w:val="center"/>
          </w:tcPr>
          <w:p w14:paraId="67D49D6C">
            <w:pPr>
              <w:pageBreakBefore w:val="0"/>
              <w:wordWrap/>
              <w:bidi w:val="0"/>
              <w:adjustRightInd/>
              <w:snapToGrid/>
              <w:spacing w:line="240" w:lineRule="auto"/>
              <w:ind w:firstLine="0" w:firstLineChars="0"/>
              <w:jc w:val="center"/>
              <w:rPr>
                <w:color w:val="auto"/>
                <w:sz w:val="21"/>
                <w:szCs w:val="21"/>
              </w:rPr>
            </w:pPr>
          </w:p>
        </w:tc>
      </w:tr>
      <w:tr w14:paraId="2A281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1F73ECC6">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1205BC92">
            <w:pPr>
              <w:pageBreakBefore w:val="0"/>
              <w:wordWrap/>
              <w:bidi w:val="0"/>
              <w:adjustRightInd/>
              <w:snapToGrid/>
              <w:spacing w:line="240" w:lineRule="auto"/>
              <w:ind w:firstLine="0" w:firstLineChars="0"/>
              <w:jc w:val="center"/>
              <w:rPr>
                <w:color w:val="auto"/>
                <w:sz w:val="21"/>
                <w:szCs w:val="21"/>
              </w:rPr>
            </w:pPr>
            <w:r>
              <w:rPr>
                <w:color w:val="auto"/>
                <w:sz w:val="21"/>
                <w:szCs w:val="21"/>
              </w:rPr>
              <w:t>CO</w:t>
            </w:r>
          </w:p>
        </w:tc>
        <w:tc>
          <w:tcPr>
            <w:tcW w:w="1822" w:type="dxa"/>
            <w:tcBorders>
              <w:tl2br w:val="nil"/>
              <w:tr2bl w:val="nil"/>
            </w:tcBorders>
            <w:noWrap w:val="0"/>
            <w:vAlign w:val="center"/>
          </w:tcPr>
          <w:p w14:paraId="78D95F4E">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5B4F9D0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4</w:t>
            </w:r>
            <w:r>
              <w:rPr>
                <w:color w:val="auto"/>
                <w:sz w:val="21"/>
                <w:szCs w:val="21"/>
              </w:rPr>
              <w:t>000</w:t>
            </w:r>
          </w:p>
        </w:tc>
        <w:tc>
          <w:tcPr>
            <w:tcW w:w="3050" w:type="dxa"/>
            <w:vMerge w:val="continue"/>
            <w:tcBorders>
              <w:tl2br w:val="nil"/>
              <w:tr2bl w:val="nil"/>
            </w:tcBorders>
            <w:noWrap w:val="0"/>
            <w:vAlign w:val="center"/>
          </w:tcPr>
          <w:p w14:paraId="52921E8F">
            <w:pPr>
              <w:pageBreakBefore w:val="0"/>
              <w:wordWrap/>
              <w:bidi w:val="0"/>
              <w:adjustRightInd/>
              <w:snapToGrid/>
              <w:spacing w:line="240" w:lineRule="auto"/>
              <w:ind w:firstLine="0" w:firstLineChars="0"/>
              <w:jc w:val="center"/>
              <w:rPr>
                <w:color w:val="auto"/>
                <w:sz w:val="21"/>
                <w:szCs w:val="21"/>
              </w:rPr>
            </w:pPr>
          </w:p>
        </w:tc>
      </w:tr>
      <w:tr w14:paraId="7C9F3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E489BEF">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67EF1D32">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0B24E83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4EBDB3BF">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10000</w:t>
            </w:r>
          </w:p>
        </w:tc>
        <w:tc>
          <w:tcPr>
            <w:tcW w:w="3050" w:type="dxa"/>
            <w:vMerge w:val="continue"/>
            <w:tcBorders>
              <w:tl2br w:val="nil"/>
              <w:tr2bl w:val="nil"/>
            </w:tcBorders>
            <w:noWrap w:val="0"/>
            <w:vAlign w:val="center"/>
          </w:tcPr>
          <w:p w14:paraId="0FE148A6">
            <w:pPr>
              <w:pageBreakBefore w:val="0"/>
              <w:wordWrap/>
              <w:bidi w:val="0"/>
              <w:adjustRightInd/>
              <w:snapToGrid/>
              <w:spacing w:line="240" w:lineRule="auto"/>
              <w:ind w:firstLine="0" w:firstLineChars="0"/>
              <w:jc w:val="center"/>
              <w:rPr>
                <w:color w:val="auto"/>
                <w:sz w:val="21"/>
                <w:szCs w:val="21"/>
              </w:rPr>
            </w:pPr>
          </w:p>
        </w:tc>
      </w:tr>
      <w:tr w14:paraId="6129E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3D91DE2F">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1C406DFD">
            <w:pPr>
              <w:pageBreakBefore w:val="0"/>
              <w:wordWrap/>
              <w:bidi w:val="0"/>
              <w:adjustRightInd/>
              <w:snapToGrid/>
              <w:spacing w:line="240" w:lineRule="auto"/>
              <w:ind w:firstLine="0" w:firstLineChars="0"/>
              <w:jc w:val="center"/>
              <w:rPr>
                <w:color w:val="auto"/>
                <w:sz w:val="21"/>
                <w:szCs w:val="21"/>
              </w:rPr>
            </w:pPr>
            <w:r>
              <w:rPr>
                <w:color w:val="auto"/>
                <w:sz w:val="21"/>
                <w:szCs w:val="21"/>
              </w:rPr>
              <w:t>O</w:t>
            </w:r>
            <w:r>
              <w:rPr>
                <w:color w:val="auto"/>
                <w:sz w:val="21"/>
                <w:szCs w:val="21"/>
                <w:vertAlign w:val="subscript"/>
              </w:rPr>
              <w:t>3</w:t>
            </w:r>
          </w:p>
        </w:tc>
        <w:tc>
          <w:tcPr>
            <w:tcW w:w="1822" w:type="dxa"/>
            <w:tcBorders>
              <w:tl2br w:val="nil"/>
              <w:tr2bl w:val="nil"/>
            </w:tcBorders>
            <w:noWrap w:val="0"/>
            <w:vAlign w:val="center"/>
          </w:tcPr>
          <w:p w14:paraId="15F9F072">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日最大8小时平均</w:t>
            </w:r>
          </w:p>
        </w:tc>
        <w:tc>
          <w:tcPr>
            <w:tcW w:w="1475" w:type="dxa"/>
            <w:tcBorders>
              <w:tl2br w:val="nil"/>
              <w:tr2bl w:val="nil"/>
            </w:tcBorders>
            <w:noWrap w:val="0"/>
            <w:vAlign w:val="center"/>
          </w:tcPr>
          <w:p w14:paraId="506266C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160</w:t>
            </w:r>
          </w:p>
        </w:tc>
        <w:tc>
          <w:tcPr>
            <w:tcW w:w="3050" w:type="dxa"/>
            <w:vMerge w:val="continue"/>
            <w:tcBorders>
              <w:tl2br w:val="nil"/>
              <w:tr2bl w:val="nil"/>
            </w:tcBorders>
            <w:noWrap w:val="0"/>
            <w:vAlign w:val="center"/>
          </w:tcPr>
          <w:p w14:paraId="0B4D4FB3">
            <w:pPr>
              <w:pageBreakBefore w:val="0"/>
              <w:wordWrap/>
              <w:bidi w:val="0"/>
              <w:adjustRightInd/>
              <w:snapToGrid/>
              <w:spacing w:line="240" w:lineRule="auto"/>
              <w:ind w:firstLine="0" w:firstLineChars="0"/>
              <w:jc w:val="center"/>
              <w:rPr>
                <w:color w:val="auto"/>
                <w:sz w:val="21"/>
                <w:szCs w:val="21"/>
              </w:rPr>
            </w:pPr>
          </w:p>
        </w:tc>
      </w:tr>
      <w:tr w14:paraId="63569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4000BE9A">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5B91DA90">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4D89F227">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064A1AE2">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757D882E">
            <w:pPr>
              <w:pageBreakBefore w:val="0"/>
              <w:wordWrap/>
              <w:bidi w:val="0"/>
              <w:adjustRightInd/>
              <w:snapToGrid/>
              <w:spacing w:line="240" w:lineRule="auto"/>
              <w:ind w:firstLine="0" w:firstLineChars="0"/>
              <w:jc w:val="center"/>
              <w:rPr>
                <w:color w:val="auto"/>
                <w:sz w:val="21"/>
                <w:szCs w:val="21"/>
              </w:rPr>
            </w:pPr>
          </w:p>
        </w:tc>
      </w:tr>
      <w:tr w14:paraId="3BB22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restart"/>
            <w:tcBorders>
              <w:tl2br w:val="nil"/>
              <w:tr2bl w:val="nil"/>
            </w:tcBorders>
            <w:noWrap w:val="0"/>
            <w:vAlign w:val="center"/>
          </w:tcPr>
          <w:p w14:paraId="3FAE9B7C">
            <w:pPr>
              <w:pageBreakBefore w:val="0"/>
              <w:wordWrap/>
              <w:bidi w:val="0"/>
              <w:adjustRightInd/>
              <w:snapToGrid/>
              <w:spacing w:line="240" w:lineRule="auto"/>
              <w:ind w:firstLine="0" w:firstLineChars="0"/>
              <w:jc w:val="center"/>
              <w:rPr>
                <w:color w:val="auto"/>
                <w:sz w:val="21"/>
                <w:szCs w:val="21"/>
              </w:rPr>
            </w:pPr>
            <w:r>
              <w:rPr>
                <w:color w:val="auto"/>
                <w:sz w:val="21"/>
                <w:szCs w:val="21"/>
              </w:rPr>
              <w:t>其他污染物</w:t>
            </w:r>
          </w:p>
        </w:tc>
        <w:tc>
          <w:tcPr>
            <w:tcW w:w="1270" w:type="dxa"/>
            <w:vMerge w:val="restart"/>
            <w:tcBorders>
              <w:tl2br w:val="nil"/>
              <w:tr2bl w:val="nil"/>
            </w:tcBorders>
            <w:noWrap w:val="0"/>
            <w:vAlign w:val="center"/>
          </w:tcPr>
          <w:p w14:paraId="63902E0C">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822" w:type="dxa"/>
            <w:tcBorders>
              <w:tl2br w:val="nil"/>
              <w:tr2bl w:val="nil"/>
            </w:tcBorders>
            <w:noWrap w:val="0"/>
            <w:vAlign w:val="center"/>
          </w:tcPr>
          <w:p w14:paraId="352DAB8E">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620CE227">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w:t>
            </w:r>
          </w:p>
        </w:tc>
        <w:tc>
          <w:tcPr>
            <w:tcW w:w="3050" w:type="dxa"/>
            <w:vMerge w:val="restart"/>
            <w:tcBorders>
              <w:tl2br w:val="nil"/>
              <w:tr2bl w:val="nil"/>
            </w:tcBorders>
            <w:noWrap w:val="0"/>
            <w:vAlign w:val="center"/>
          </w:tcPr>
          <w:p w14:paraId="4C45F9A4">
            <w:pPr>
              <w:pageBreakBefore w:val="0"/>
              <w:wordWrap/>
              <w:bidi w:val="0"/>
              <w:adjustRightInd/>
              <w:snapToGrid/>
              <w:spacing w:line="240" w:lineRule="auto"/>
              <w:ind w:firstLine="0" w:firstLineChars="0"/>
              <w:jc w:val="center"/>
              <w:rPr>
                <w:color w:val="auto"/>
                <w:sz w:val="21"/>
                <w:szCs w:val="21"/>
              </w:rPr>
            </w:pPr>
            <w:r>
              <w:rPr>
                <w:color w:val="auto"/>
                <w:sz w:val="21"/>
                <w:szCs w:val="21"/>
              </w:rPr>
              <w:t>《环境影响评价技术导则 大气环境》（HJ 2.2-2018）中附录D中表D.1</w:t>
            </w:r>
          </w:p>
        </w:tc>
      </w:tr>
      <w:tr w14:paraId="1E982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8E49AAC">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60976820">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2F97D93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00EE1BA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10</w:t>
            </w:r>
          </w:p>
        </w:tc>
        <w:tc>
          <w:tcPr>
            <w:tcW w:w="3050" w:type="dxa"/>
            <w:vMerge w:val="continue"/>
            <w:tcBorders>
              <w:tl2br w:val="nil"/>
              <w:tr2bl w:val="nil"/>
            </w:tcBorders>
            <w:noWrap w:val="0"/>
            <w:vAlign w:val="center"/>
          </w:tcPr>
          <w:p w14:paraId="6FA33D23">
            <w:pPr>
              <w:pageBreakBefore w:val="0"/>
              <w:wordWrap/>
              <w:bidi w:val="0"/>
              <w:adjustRightInd/>
              <w:snapToGrid/>
              <w:spacing w:line="240" w:lineRule="auto"/>
              <w:ind w:firstLine="0" w:firstLineChars="0"/>
              <w:jc w:val="center"/>
              <w:rPr>
                <w:color w:val="auto"/>
                <w:sz w:val="21"/>
                <w:szCs w:val="21"/>
              </w:rPr>
            </w:pPr>
          </w:p>
        </w:tc>
      </w:tr>
      <w:tr w14:paraId="78A70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0FF9C606">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579E2654">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822" w:type="dxa"/>
            <w:tcBorders>
              <w:tl2br w:val="nil"/>
              <w:tr2bl w:val="nil"/>
            </w:tcBorders>
            <w:noWrap w:val="0"/>
            <w:vAlign w:val="center"/>
          </w:tcPr>
          <w:p w14:paraId="44E0E3EA">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7127470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w:t>
            </w:r>
          </w:p>
        </w:tc>
        <w:tc>
          <w:tcPr>
            <w:tcW w:w="3050" w:type="dxa"/>
            <w:vMerge w:val="continue"/>
            <w:tcBorders>
              <w:tl2br w:val="nil"/>
              <w:tr2bl w:val="nil"/>
            </w:tcBorders>
            <w:noWrap w:val="0"/>
            <w:vAlign w:val="center"/>
          </w:tcPr>
          <w:p w14:paraId="06B9DF56">
            <w:pPr>
              <w:pageBreakBefore w:val="0"/>
              <w:wordWrap/>
              <w:bidi w:val="0"/>
              <w:adjustRightInd/>
              <w:snapToGrid/>
              <w:spacing w:line="240" w:lineRule="auto"/>
              <w:ind w:firstLine="0" w:firstLineChars="0"/>
              <w:jc w:val="center"/>
              <w:rPr>
                <w:color w:val="auto"/>
                <w:sz w:val="21"/>
                <w:szCs w:val="21"/>
              </w:rPr>
            </w:pPr>
          </w:p>
        </w:tc>
      </w:tr>
      <w:tr w14:paraId="7FCBE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5DD82B7">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047CD765">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5B33D1B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4B81E29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1DEB1D49">
            <w:pPr>
              <w:pageBreakBefore w:val="0"/>
              <w:wordWrap/>
              <w:bidi w:val="0"/>
              <w:adjustRightInd/>
              <w:snapToGrid/>
              <w:spacing w:line="240" w:lineRule="auto"/>
              <w:ind w:firstLine="0" w:firstLineChars="0"/>
              <w:jc w:val="center"/>
              <w:rPr>
                <w:color w:val="auto"/>
                <w:sz w:val="21"/>
                <w:szCs w:val="21"/>
              </w:rPr>
            </w:pPr>
          </w:p>
        </w:tc>
      </w:tr>
    </w:tbl>
    <w:p w14:paraId="4E70C6BD">
      <w:pPr>
        <w:pageBreakBefore w:val="0"/>
        <w:wordWrap/>
        <w:bidi w:val="0"/>
        <w:adjustRightInd/>
        <w:snapToGrid/>
        <w:spacing w:line="20" w:lineRule="exact"/>
        <w:ind w:firstLine="40"/>
        <w:rPr>
          <w:color w:val="auto"/>
          <w:sz w:val="2"/>
          <w:szCs w:val="2"/>
        </w:rPr>
      </w:pPr>
    </w:p>
    <w:p w14:paraId="5524C173">
      <w:pPr>
        <w:pageBreakBefore w:val="0"/>
        <w:wordWrap/>
        <w:bidi w:val="0"/>
        <w:adjustRightInd/>
        <w:snapToGrid/>
        <w:spacing w:before="120" w:beforeLines="50"/>
        <w:ind w:firstLine="480"/>
        <w:rPr>
          <w:b/>
          <w:bCs/>
          <w:color w:val="auto"/>
        </w:rPr>
      </w:pPr>
      <w:r>
        <w:rPr>
          <w:b/>
          <w:bCs/>
          <w:color w:val="auto"/>
        </w:rPr>
        <w:t>（2）地表水环境</w:t>
      </w:r>
    </w:p>
    <w:p w14:paraId="501CBCF9">
      <w:pPr>
        <w:pageBreakBefore w:val="0"/>
        <w:wordWrap/>
        <w:bidi w:val="0"/>
        <w:adjustRightInd/>
        <w:snapToGrid/>
        <w:ind w:firstLine="480"/>
        <w:rPr>
          <w:color w:val="auto"/>
        </w:rPr>
      </w:pPr>
      <w:r>
        <w:rPr>
          <w:color w:val="auto"/>
        </w:rPr>
        <w:t>项目受纳水体为</w:t>
      </w:r>
      <w:r>
        <w:rPr>
          <w:rFonts w:hint="eastAsia"/>
          <w:color w:val="auto"/>
          <w:lang w:eastAsia="zh-CN"/>
        </w:rPr>
        <w:t>巴河</w:t>
      </w:r>
      <w:r>
        <w:rPr>
          <w:color w:val="auto"/>
        </w:rPr>
        <w:t>，执行《地表水环境质量标准》</w:t>
      </w:r>
      <w:r>
        <w:rPr>
          <w:rFonts w:hint="eastAsia"/>
          <w:color w:val="auto"/>
          <w:lang w:eastAsia="zh-CN"/>
        </w:rPr>
        <w:t>（</w:t>
      </w:r>
      <w:r>
        <w:rPr>
          <w:color w:val="auto"/>
        </w:rPr>
        <w:t>GB3838-2002</w:t>
      </w:r>
      <w:r>
        <w:rPr>
          <w:rFonts w:hint="eastAsia"/>
          <w:color w:val="auto"/>
          <w:lang w:eastAsia="zh-CN"/>
        </w:rPr>
        <w:t>）</w:t>
      </w:r>
      <w:r>
        <w:rPr>
          <w:color w:val="auto"/>
        </w:rPr>
        <w:t>Ⅲ类水域标准，标准限值见</w:t>
      </w:r>
      <w:r>
        <w:rPr>
          <w:rFonts w:hint="eastAsia"/>
          <w:color w:val="auto"/>
          <w:lang w:val="en-US" w:eastAsia="zh-CN"/>
        </w:rPr>
        <w:t>下表</w:t>
      </w:r>
      <w:r>
        <w:rPr>
          <w:color w:val="auto"/>
        </w:rPr>
        <w:t>。</w:t>
      </w:r>
    </w:p>
    <w:p w14:paraId="0550B854">
      <w:pPr>
        <w:pStyle w:val="15"/>
        <w:numPr>
          <w:ilvl w:val="0"/>
          <w:numId w:val="7"/>
        </w:numPr>
        <w:bidi w:val="0"/>
        <w:ind w:left="0" w:leftChars="0" w:firstLine="0" w:firstLineChars="0"/>
        <w:rPr>
          <w:color w:val="auto"/>
        </w:rPr>
      </w:pPr>
      <w:r>
        <w:rPr>
          <w:color w:val="auto"/>
        </w:rPr>
        <w:t xml:space="preserve">地表水环境质量标准（GB3838-2002）   </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2234"/>
        <w:gridCol w:w="1333"/>
        <w:gridCol w:w="848"/>
        <w:gridCol w:w="2982"/>
      </w:tblGrid>
      <w:tr w14:paraId="5379F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54EA4D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2234" w:type="dxa"/>
            <w:tcBorders>
              <w:tl2br w:val="nil"/>
              <w:tr2bl w:val="nil"/>
            </w:tcBorders>
            <w:noWrap w:val="0"/>
            <w:vAlign w:val="center"/>
          </w:tcPr>
          <w:p w14:paraId="54AC50F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2181" w:type="dxa"/>
            <w:gridSpan w:val="2"/>
            <w:tcBorders>
              <w:tl2br w:val="nil"/>
              <w:tr2bl w:val="nil"/>
            </w:tcBorders>
            <w:noWrap w:val="0"/>
            <w:vAlign w:val="center"/>
          </w:tcPr>
          <w:p w14:paraId="2B39652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单位</w:t>
            </w:r>
          </w:p>
        </w:tc>
        <w:tc>
          <w:tcPr>
            <w:tcW w:w="2982" w:type="dxa"/>
            <w:tcBorders>
              <w:tl2br w:val="nil"/>
              <w:tr2bl w:val="nil"/>
            </w:tcBorders>
            <w:noWrap w:val="0"/>
            <w:vAlign w:val="center"/>
          </w:tcPr>
          <w:p w14:paraId="0BC1E8F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标准限值</w:t>
            </w:r>
          </w:p>
        </w:tc>
      </w:tr>
      <w:tr w14:paraId="08B96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BD967B7">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2234" w:type="dxa"/>
            <w:tcBorders>
              <w:tl2br w:val="nil"/>
              <w:tr2bl w:val="nil"/>
            </w:tcBorders>
            <w:noWrap w:val="0"/>
            <w:vAlign w:val="center"/>
          </w:tcPr>
          <w:p w14:paraId="4C14DE71">
            <w:pPr>
              <w:pageBreakBefore w:val="0"/>
              <w:tabs>
                <w:tab w:val="left" w:pos="4200"/>
              </w:tabs>
              <w:wordWrap/>
              <w:bidi w:val="0"/>
              <w:adjustRightInd/>
              <w:snapToGrid/>
              <w:spacing w:line="240" w:lineRule="auto"/>
              <w:ind w:firstLine="0" w:firstLineChars="0"/>
              <w:jc w:val="center"/>
              <w:rPr>
                <w:color w:val="auto"/>
                <w:sz w:val="21"/>
                <w:szCs w:val="21"/>
              </w:rPr>
            </w:pPr>
            <w:r>
              <w:rPr>
                <w:bCs/>
                <w:color w:val="auto"/>
                <w:kern w:val="0"/>
                <w:position w:val="-2"/>
                <w:sz w:val="21"/>
                <w:szCs w:val="21"/>
              </w:rPr>
              <w:t>pH</w:t>
            </w:r>
          </w:p>
        </w:tc>
        <w:tc>
          <w:tcPr>
            <w:tcW w:w="2181" w:type="dxa"/>
            <w:gridSpan w:val="2"/>
            <w:tcBorders>
              <w:tl2br w:val="nil"/>
              <w:tr2bl w:val="nil"/>
            </w:tcBorders>
            <w:noWrap w:val="0"/>
            <w:vAlign w:val="center"/>
          </w:tcPr>
          <w:p w14:paraId="55E788D4">
            <w:pPr>
              <w:pageBreakBefore w:val="0"/>
              <w:wordWrap/>
              <w:bidi w:val="0"/>
              <w:adjustRightInd/>
              <w:snapToGrid/>
              <w:spacing w:line="240" w:lineRule="auto"/>
              <w:ind w:firstLine="0" w:firstLineChars="0"/>
              <w:jc w:val="center"/>
              <w:rPr>
                <w:color w:val="auto"/>
                <w:sz w:val="21"/>
                <w:szCs w:val="21"/>
              </w:rPr>
            </w:pPr>
            <w:r>
              <w:rPr>
                <w:color w:val="auto"/>
                <w:sz w:val="21"/>
                <w:szCs w:val="21"/>
              </w:rPr>
              <w:t>无量纲</w:t>
            </w:r>
          </w:p>
        </w:tc>
        <w:tc>
          <w:tcPr>
            <w:tcW w:w="2982" w:type="dxa"/>
            <w:tcBorders>
              <w:tl2br w:val="nil"/>
              <w:tr2bl w:val="nil"/>
            </w:tcBorders>
            <w:noWrap w:val="0"/>
            <w:vAlign w:val="center"/>
          </w:tcPr>
          <w:p w14:paraId="553E843B">
            <w:pPr>
              <w:pageBreakBefore w:val="0"/>
              <w:wordWrap/>
              <w:bidi w:val="0"/>
              <w:adjustRightInd/>
              <w:snapToGrid/>
              <w:spacing w:line="240" w:lineRule="auto"/>
              <w:ind w:firstLine="0" w:firstLineChars="0"/>
              <w:jc w:val="center"/>
              <w:rPr>
                <w:color w:val="auto"/>
                <w:sz w:val="21"/>
                <w:szCs w:val="21"/>
              </w:rPr>
            </w:pPr>
            <w:r>
              <w:rPr>
                <w:color w:val="auto"/>
                <w:sz w:val="21"/>
                <w:szCs w:val="21"/>
              </w:rPr>
              <w:t>6</w:t>
            </w:r>
            <w:r>
              <w:rPr>
                <w:rFonts w:hint="eastAsia"/>
                <w:color w:val="auto"/>
                <w:sz w:val="21"/>
                <w:szCs w:val="21"/>
                <w:lang w:eastAsia="zh-CN"/>
              </w:rPr>
              <w:t>~</w:t>
            </w:r>
            <w:r>
              <w:rPr>
                <w:color w:val="auto"/>
                <w:sz w:val="21"/>
                <w:szCs w:val="21"/>
              </w:rPr>
              <w:t>9</w:t>
            </w:r>
          </w:p>
        </w:tc>
      </w:tr>
      <w:tr w14:paraId="0AA93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736AD4DD">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2234" w:type="dxa"/>
            <w:tcBorders>
              <w:tl2br w:val="nil"/>
              <w:tr2bl w:val="nil"/>
            </w:tcBorders>
            <w:noWrap w:val="0"/>
            <w:vAlign w:val="center"/>
          </w:tcPr>
          <w:p w14:paraId="6CF2762A">
            <w:pPr>
              <w:pageBreakBefore w:val="0"/>
              <w:tabs>
                <w:tab w:val="left" w:pos="4200"/>
              </w:tabs>
              <w:wordWrap/>
              <w:bidi w:val="0"/>
              <w:adjustRightInd/>
              <w:snapToGrid/>
              <w:spacing w:line="240" w:lineRule="auto"/>
              <w:ind w:firstLine="0" w:firstLineChars="0"/>
              <w:jc w:val="center"/>
              <w:rPr>
                <w:color w:val="auto"/>
                <w:sz w:val="21"/>
                <w:szCs w:val="21"/>
              </w:rPr>
            </w:pPr>
            <w:r>
              <w:rPr>
                <w:bCs/>
                <w:color w:val="auto"/>
                <w:kern w:val="0"/>
                <w:position w:val="-2"/>
                <w:sz w:val="21"/>
                <w:szCs w:val="21"/>
              </w:rPr>
              <w:t>溶解氧</w:t>
            </w:r>
          </w:p>
        </w:tc>
        <w:tc>
          <w:tcPr>
            <w:tcW w:w="1333" w:type="dxa"/>
            <w:tcBorders>
              <w:tl2br w:val="nil"/>
              <w:tr2bl w:val="nil"/>
            </w:tcBorders>
            <w:noWrap w:val="0"/>
            <w:vAlign w:val="center"/>
          </w:tcPr>
          <w:p w14:paraId="7FCDAC4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848" w:type="dxa"/>
            <w:tcBorders>
              <w:tl2br w:val="nil"/>
              <w:tr2bl w:val="nil"/>
            </w:tcBorders>
            <w:noWrap w:val="0"/>
            <w:vAlign w:val="center"/>
          </w:tcPr>
          <w:p w14:paraId="41EB452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575C0726">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r>
      <w:tr w14:paraId="32334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B0305A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2234" w:type="dxa"/>
            <w:tcBorders>
              <w:tl2br w:val="nil"/>
              <w:tr2bl w:val="nil"/>
            </w:tcBorders>
            <w:noWrap w:val="0"/>
            <w:vAlign w:val="center"/>
          </w:tcPr>
          <w:p w14:paraId="30726D5F">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COD</w:t>
            </w:r>
          </w:p>
        </w:tc>
        <w:tc>
          <w:tcPr>
            <w:tcW w:w="1333" w:type="dxa"/>
            <w:tcBorders>
              <w:tl2br w:val="nil"/>
              <w:tr2bl w:val="nil"/>
            </w:tcBorders>
            <w:noWrap w:val="0"/>
            <w:vAlign w:val="center"/>
          </w:tcPr>
          <w:p w14:paraId="23A7058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0234D5F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58AE0CB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20</w:t>
            </w:r>
          </w:p>
        </w:tc>
      </w:tr>
      <w:tr w14:paraId="1D3D6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D1CB47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2234" w:type="dxa"/>
            <w:tcBorders>
              <w:tl2br w:val="nil"/>
              <w:tr2bl w:val="nil"/>
            </w:tcBorders>
            <w:noWrap w:val="0"/>
            <w:vAlign w:val="center"/>
          </w:tcPr>
          <w:p w14:paraId="5D9D79D5">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BOD</w:t>
            </w:r>
            <w:r>
              <w:rPr>
                <w:bCs/>
                <w:color w:val="auto"/>
                <w:kern w:val="0"/>
                <w:position w:val="-2"/>
                <w:sz w:val="21"/>
                <w:szCs w:val="21"/>
                <w:vertAlign w:val="subscript"/>
              </w:rPr>
              <w:t>5</w:t>
            </w:r>
          </w:p>
        </w:tc>
        <w:tc>
          <w:tcPr>
            <w:tcW w:w="1333" w:type="dxa"/>
            <w:tcBorders>
              <w:tl2br w:val="nil"/>
              <w:tr2bl w:val="nil"/>
            </w:tcBorders>
            <w:noWrap w:val="0"/>
            <w:vAlign w:val="center"/>
          </w:tcPr>
          <w:p w14:paraId="7C01A09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4B4073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701EADC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w:t>
            </w:r>
          </w:p>
        </w:tc>
      </w:tr>
      <w:tr w14:paraId="14A3C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F1996C3">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2234" w:type="dxa"/>
            <w:tcBorders>
              <w:tl2br w:val="nil"/>
              <w:tr2bl w:val="nil"/>
            </w:tcBorders>
            <w:noWrap w:val="0"/>
            <w:vAlign w:val="center"/>
          </w:tcPr>
          <w:p w14:paraId="0DF9ADFD">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氨氮</w:t>
            </w:r>
          </w:p>
        </w:tc>
        <w:tc>
          <w:tcPr>
            <w:tcW w:w="1333" w:type="dxa"/>
            <w:tcBorders>
              <w:tl2br w:val="nil"/>
              <w:tr2bl w:val="nil"/>
            </w:tcBorders>
            <w:noWrap w:val="0"/>
            <w:vAlign w:val="center"/>
          </w:tcPr>
          <w:p w14:paraId="21DE4A3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6371942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9FEC59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2FA21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6D15950">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2234" w:type="dxa"/>
            <w:tcBorders>
              <w:tl2br w:val="nil"/>
              <w:tr2bl w:val="nil"/>
            </w:tcBorders>
            <w:noWrap w:val="0"/>
            <w:vAlign w:val="center"/>
          </w:tcPr>
          <w:p w14:paraId="19F771A4">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总氮</w:t>
            </w:r>
          </w:p>
        </w:tc>
        <w:tc>
          <w:tcPr>
            <w:tcW w:w="1333" w:type="dxa"/>
            <w:tcBorders>
              <w:tl2br w:val="nil"/>
              <w:tr2bl w:val="nil"/>
            </w:tcBorders>
            <w:noWrap w:val="0"/>
            <w:vAlign w:val="center"/>
          </w:tcPr>
          <w:p w14:paraId="512362C1">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4E1A998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04DEAA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2BE0E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07C3D5E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2234" w:type="dxa"/>
            <w:tcBorders>
              <w:tl2br w:val="nil"/>
              <w:tr2bl w:val="nil"/>
            </w:tcBorders>
            <w:noWrap w:val="0"/>
            <w:vAlign w:val="center"/>
          </w:tcPr>
          <w:p w14:paraId="5D8C12AC">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总磷</w:t>
            </w:r>
          </w:p>
        </w:tc>
        <w:tc>
          <w:tcPr>
            <w:tcW w:w="1333" w:type="dxa"/>
            <w:tcBorders>
              <w:tl2br w:val="nil"/>
              <w:tr2bl w:val="nil"/>
            </w:tcBorders>
            <w:noWrap w:val="0"/>
            <w:vAlign w:val="center"/>
          </w:tcPr>
          <w:p w14:paraId="784281E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2769892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2D20DE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0.2</w:t>
            </w:r>
          </w:p>
        </w:tc>
      </w:tr>
      <w:tr w14:paraId="69F17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48CD8F9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2234" w:type="dxa"/>
            <w:tcBorders>
              <w:tl2br w:val="nil"/>
              <w:tr2bl w:val="nil"/>
            </w:tcBorders>
            <w:noWrap w:val="0"/>
            <w:vAlign w:val="center"/>
          </w:tcPr>
          <w:p w14:paraId="3B9679B3">
            <w:pPr>
              <w:pageBreakBefore w:val="0"/>
              <w:tabs>
                <w:tab w:val="left" w:pos="4200"/>
              </w:tabs>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悬浮物</w:t>
            </w:r>
          </w:p>
        </w:tc>
        <w:tc>
          <w:tcPr>
            <w:tcW w:w="1333" w:type="dxa"/>
            <w:tcBorders>
              <w:tl2br w:val="nil"/>
              <w:tr2bl w:val="nil"/>
            </w:tcBorders>
            <w:noWrap w:val="0"/>
            <w:vAlign w:val="center"/>
          </w:tcPr>
          <w:p w14:paraId="35B097A0">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5103904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53386500">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r>
      <w:tr w14:paraId="0420F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ED1265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2234" w:type="dxa"/>
            <w:tcBorders>
              <w:tl2br w:val="nil"/>
              <w:tr2bl w:val="nil"/>
            </w:tcBorders>
            <w:noWrap w:val="0"/>
            <w:vAlign w:val="center"/>
          </w:tcPr>
          <w:p w14:paraId="08176083">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硫化物</w:t>
            </w:r>
          </w:p>
        </w:tc>
        <w:tc>
          <w:tcPr>
            <w:tcW w:w="1333" w:type="dxa"/>
            <w:tcBorders>
              <w:tl2br w:val="nil"/>
              <w:tr2bl w:val="nil"/>
            </w:tcBorders>
            <w:noWrap w:val="0"/>
            <w:vAlign w:val="center"/>
          </w:tcPr>
          <w:p w14:paraId="2F26CA7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7FC825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75329CE">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w:t>
            </w:r>
          </w:p>
        </w:tc>
      </w:tr>
      <w:tr w14:paraId="4B8FB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0FDE517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2234" w:type="dxa"/>
            <w:tcBorders>
              <w:tl2br w:val="nil"/>
              <w:tr2bl w:val="nil"/>
            </w:tcBorders>
            <w:noWrap w:val="0"/>
            <w:vAlign w:val="center"/>
          </w:tcPr>
          <w:p w14:paraId="6376A21D">
            <w:pPr>
              <w:pageBreakBefore w:val="0"/>
              <w:tabs>
                <w:tab w:val="left" w:pos="4200"/>
              </w:tabs>
              <w:wordWrap/>
              <w:bidi w:val="0"/>
              <w:adjustRightInd/>
              <w:snapToGrid/>
              <w:spacing w:line="240" w:lineRule="auto"/>
              <w:ind w:firstLine="0" w:firstLineChars="0"/>
              <w:jc w:val="center"/>
              <w:rPr>
                <w:rFonts w:hint="eastAsia" w:eastAsia="宋体"/>
                <w:bCs/>
                <w:color w:val="auto"/>
                <w:kern w:val="0"/>
                <w:position w:val="-2"/>
                <w:sz w:val="21"/>
                <w:szCs w:val="21"/>
                <w:lang w:val="en-US" w:eastAsia="zh-CN"/>
              </w:rPr>
            </w:pPr>
            <w:r>
              <w:rPr>
                <w:rFonts w:hint="eastAsia"/>
                <w:bCs/>
                <w:color w:val="auto"/>
                <w:kern w:val="0"/>
                <w:position w:val="-2"/>
                <w:sz w:val="21"/>
                <w:szCs w:val="21"/>
                <w:lang w:val="en-US" w:eastAsia="zh-CN"/>
              </w:rPr>
              <w:t>氰化物</w:t>
            </w:r>
          </w:p>
        </w:tc>
        <w:tc>
          <w:tcPr>
            <w:tcW w:w="1333" w:type="dxa"/>
            <w:tcBorders>
              <w:tl2br w:val="nil"/>
              <w:tr2bl w:val="nil"/>
            </w:tcBorders>
            <w:noWrap w:val="0"/>
            <w:vAlign w:val="center"/>
          </w:tcPr>
          <w:p w14:paraId="089A224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7AD0AE2A">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353F72D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w:t>
            </w:r>
          </w:p>
        </w:tc>
      </w:tr>
      <w:tr w14:paraId="4851B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655181F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2234" w:type="dxa"/>
            <w:tcBorders>
              <w:tl2br w:val="nil"/>
              <w:tr2bl w:val="nil"/>
            </w:tcBorders>
            <w:noWrap w:val="0"/>
            <w:vAlign w:val="center"/>
          </w:tcPr>
          <w:p w14:paraId="7B1D1D09">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氟化物</w:t>
            </w:r>
          </w:p>
        </w:tc>
        <w:tc>
          <w:tcPr>
            <w:tcW w:w="1333" w:type="dxa"/>
            <w:tcBorders>
              <w:tl2br w:val="nil"/>
              <w:tr2bl w:val="nil"/>
            </w:tcBorders>
            <w:noWrap w:val="0"/>
            <w:vAlign w:val="center"/>
          </w:tcPr>
          <w:p w14:paraId="2127D03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0B27F72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662502A1">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w:t>
            </w:r>
          </w:p>
        </w:tc>
      </w:tr>
      <w:tr w14:paraId="2BA51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78EE37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w:t>
            </w:r>
          </w:p>
        </w:tc>
        <w:tc>
          <w:tcPr>
            <w:tcW w:w="2234" w:type="dxa"/>
            <w:tcBorders>
              <w:tl2br w:val="nil"/>
              <w:tr2bl w:val="nil"/>
            </w:tcBorders>
            <w:noWrap w:val="0"/>
            <w:vAlign w:val="center"/>
          </w:tcPr>
          <w:p w14:paraId="22F45948">
            <w:pPr>
              <w:pageBreakBefore w:val="0"/>
              <w:tabs>
                <w:tab w:val="left" w:pos="4200"/>
              </w:tabs>
              <w:wordWrap/>
              <w:bidi w:val="0"/>
              <w:adjustRightInd/>
              <w:snapToGrid/>
              <w:spacing w:line="240" w:lineRule="auto"/>
              <w:ind w:firstLine="0" w:firstLineChars="0"/>
              <w:jc w:val="center"/>
              <w:rPr>
                <w:rFonts w:hint="eastAsia" w:eastAsia="宋体"/>
                <w:bCs/>
                <w:color w:val="auto"/>
                <w:kern w:val="0"/>
                <w:position w:val="-2"/>
                <w:sz w:val="21"/>
                <w:szCs w:val="21"/>
                <w:lang w:val="en-US" w:eastAsia="zh-CN"/>
              </w:rPr>
            </w:pPr>
            <w:r>
              <w:rPr>
                <w:rFonts w:hint="eastAsia"/>
                <w:bCs/>
                <w:color w:val="auto"/>
                <w:kern w:val="0"/>
                <w:position w:val="-2"/>
                <w:sz w:val="21"/>
                <w:szCs w:val="21"/>
                <w:lang w:val="en-US" w:eastAsia="zh-CN"/>
              </w:rPr>
              <w:t>氯化物</w:t>
            </w:r>
          </w:p>
        </w:tc>
        <w:tc>
          <w:tcPr>
            <w:tcW w:w="1333" w:type="dxa"/>
            <w:tcBorders>
              <w:tl2br w:val="nil"/>
              <w:tr2bl w:val="nil"/>
            </w:tcBorders>
            <w:noWrap w:val="0"/>
            <w:vAlign w:val="center"/>
          </w:tcPr>
          <w:p w14:paraId="2542EC8D">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145753C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6156E64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250</w:t>
            </w:r>
          </w:p>
        </w:tc>
      </w:tr>
      <w:tr w14:paraId="684D5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611A997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w:t>
            </w:r>
          </w:p>
        </w:tc>
        <w:tc>
          <w:tcPr>
            <w:tcW w:w="2234" w:type="dxa"/>
            <w:tcBorders>
              <w:tl2br w:val="nil"/>
              <w:tr2bl w:val="nil"/>
            </w:tcBorders>
            <w:noWrap w:val="0"/>
            <w:vAlign w:val="center"/>
          </w:tcPr>
          <w:p w14:paraId="7A567C9C">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挥发酚</w:t>
            </w:r>
          </w:p>
        </w:tc>
        <w:tc>
          <w:tcPr>
            <w:tcW w:w="1333" w:type="dxa"/>
            <w:tcBorders>
              <w:tl2br w:val="nil"/>
              <w:tr2bl w:val="nil"/>
            </w:tcBorders>
            <w:noWrap w:val="0"/>
            <w:vAlign w:val="center"/>
          </w:tcPr>
          <w:p w14:paraId="592BF5E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76229E7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767620C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0.005</w:t>
            </w:r>
          </w:p>
        </w:tc>
      </w:tr>
      <w:tr w14:paraId="14B51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60935D1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w:t>
            </w:r>
          </w:p>
        </w:tc>
        <w:tc>
          <w:tcPr>
            <w:tcW w:w="2234" w:type="dxa"/>
            <w:tcBorders>
              <w:tl2br w:val="nil"/>
              <w:tr2bl w:val="nil"/>
            </w:tcBorders>
            <w:noWrap w:val="0"/>
            <w:vAlign w:val="center"/>
          </w:tcPr>
          <w:p w14:paraId="64D5172D">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石油类</w:t>
            </w:r>
          </w:p>
        </w:tc>
        <w:tc>
          <w:tcPr>
            <w:tcW w:w="1333" w:type="dxa"/>
            <w:tcBorders>
              <w:tl2br w:val="nil"/>
              <w:tr2bl w:val="nil"/>
            </w:tcBorders>
            <w:noWrap w:val="0"/>
            <w:vAlign w:val="center"/>
          </w:tcPr>
          <w:p w14:paraId="695CC82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298E832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5E9F7EA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14158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794DF1F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2234" w:type="dxa"/>
            <w:tcBorders>
              <w:tl2br w:val="nil"/>
              <w:tr2bl w:val="nil"/>
            </w:tcBorders>
            <w:noWrap w:val="0"/>
            <w:vAlign w:val="center"/>
          </w:tcPr>
          <w:p w14:paraId="1E9BC56D">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硫酸盐</w:t>
            </w:r>
          </w:p>
        </w:tc>
        <w:tc>
          <w:tcPr>
            <w:tcW w:w="1333" w:type="dxa"/>
            <w:tcBorders>
              <w:tl2br w:val="nil"/>
              <w:tr2bl w:val="nil"/>
            </w:tcBorders>
            <w:noWrap w:val="0"/>
            <w:vAlign w:val="center"/>
          </w:tcPr>
          <w:p w14:paraId="5E2C8883">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7FA397C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09C57AB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250</w:t>
            </w:r>
          </w:p>
        </w:tc>
      </w:tr>
      <w:tr w14:paraId="0A85F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226902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w:t>
            </w:r>
          </w:p>
        </w:tc>
        <w:tc>
          <w:tcPr>
            <w:tcW w:w="2234" w:type="dxa"/>
            <w:tcBorders>
              <w:tl2br w:val="nil"/>
              <w:tr2bl w:val="nil"/>
            </w:tcBorders>
            <w:noWrap w:val="0"/>
            <w:vAlign w:val="center"/>
          </w:tcPr>
          <w:p w14:paraId="16B1F625">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铁</w:t>
            </w:r>
          </w:p>
        </w:tc>
        <w:tc>
          <w:tcPr>
            <w:tcW w:w="1333" w:type="dxa"/>
            <w:tcBorders>
              <w:tl2br w:val="nil"/>
              <w:tr2bl w:val="nil"/>
            </w:tcBorders>
            <w:noWrap w:val="0"/>
            <w:vAlign w:val="center"/>
          </w:tcPr>
          <w:p w14:paraId="367EACB3">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3A86A62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35DCDA2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0.3</w:t>
            </w:r>
          </w:p>
        </w:tc>
      </w:tr>
      <w:tr w14:paraId="5F0D87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44A45B4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w:t>
            </w:r>
          </w:p>
        </w:tc>
        <w:tc>
          <w:tcPr>
            <w:tcW w:w="2234" w:type="dxa"/>
            <w:tcBorders>
              <w:tl2br w:val="nil"/>
              <w:tr2bl w:val="nil"/>
            </w:tcBorders>
            <w:noWrap w:val="0"/>
            <w:vAlign w:val="center"/>
          </w:tcPr>
          <w:p w14:paraId="7E036E5A">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bCs/>
                <w:color w:val="auto"/>
                <w:kern w:val="0"/>
                <w:position w:val="-2"/>
                <w:sz w:val="21"/>
                <w:szCs w:val="21"/>
              </w:rPr>
              <w:t>铜</w:t>
            </w:r>
          </w:p>
        </w:tc>
        <w:tc>
          <w:tcPr>
            <w:tcW w:w="1333" w:type="dxa"/>
            <w:tcBorders>
              <w:tl2br w:val="nil"/>
              <w:tr2bl w:val="nil"/>
            </w:tcBorders>
            <w:noWrap w:val="0"/>
            <w:vAlign w:val="center"/>
          </w:tcPr>
          <w:p w14:paraId="51485E3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2E5BAB5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440E3805">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6D951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87C66B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18</w:t>
            </w:r>
          </w:p>
        </w:tc>
        <w:tc>
          <w:tcPr>
            <w:tcW w:w="2234" w:type="dxa"/>
            <w:tcBorders>
              <w:tl2br w:val="nil"/>
              <w:tr2bl w:val="nil"/>
            </w:tcBorders>
            <w:noWrap w:val="0"/>
            <w:vAlign w:val="center"/>
          </w:tcPr>
          <w:p w14:paraId="61E1C745">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铅</w:t>
            </w:r>
          </w:p>
        </w:tc>
        <w:tc>
          <w:tcPr>
            <w:tcW w:w="1333" w:type="dxa"/>
            <w:tcBorders>
              <w:tl2br w:val="nil"/>
              <w:tr2bl w:val="nil"/>
            </w:tcBorders>
            <w:noWrap w:val="0"/>
            <w:vAlign w:val="center"/>
          </w:tcPr>
          <w:p w14:paraId="2B364C5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4CC1452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E0947D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27ECE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AD799C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19</w:t>
            </w:r>
          </w:p>
        </w:tc>
        <w:tc>
          <w:tcPr>
            <w:tcW w:w="2234" w:type="dxa"/>
            <w:tcBorders>
              <w:tl2br w:val="nil"/>
              <w:tr2bl w:val="nil"/>
            </w:tcBorders>
            <w:noWrap w:val="0"/>
            <w:vAlign w:val="center"/>
          </w:tcPr>
          <w:p w14:paraId="6224FA97">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锌</w:t>
            </w:r>
          </w:p>
        </w:tc>
        <w:tc>
          <w:tcPr>
            <w:tcW w:w="1333" w:type="dxa"/>
            <w:tcBorders>
              <w:tl2br w:val="nil"/>
              <w:tr2bl w:val="nil"/>
            </w:tcBorders>
            <w:noWrap w:val="0"/>
            <w:vAlign w:val="center"/>
          </w:tcPr>
          <w:p w14:paraId="2260645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5A9D56D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4B419C6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r>
      <w:tr w14:paraId="12CA5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167D3A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w:t>
            </w:r>
          </w:p>
        </w:tc>
        <w:tc>
          <w:tcPr>
            <w:tcW w:w="2234" w:type="dxa"/>
            <w:tcBorders>
              <w:tl2br w:val="nil"/>
              <w:tr2bl w:val="nil"/>
            </w:tcBorders>
            <w:noWrap w:val="0"/>
            <w:vAlign w:val="center"/>
          </w:tcPr>
          <w:p w14:paraId="5105C720">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镉</w:t>
            </w:r>
          </w:p>
        </w:tc>
        <w:tc>
          <w:tcPr>
            <w:tcW w:w="1333" w:type="dxa"/>
            <w:tcBorders>
              <w:tl2br w:val="nil"/>
              <w:tr2bl w:val="nil"/>
            </w:tcBorders>
            <w:noWrap w:val="0"/>
            <w:vAlign w:val="center"/>
          </w:tcPr>
          <w:p w14:paraId="5196A8C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7F54C35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1FC0D5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0.005</w:t>
            </w:r>
          </w:p>
        </w:tc>
      </w:tr>
      <w:tr w14:paraId="3CB8E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0CB85B0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21</w:t>
            </w:r>
          </w:p>
        </w:tc>
        <w:tc>
          <w:tcPr>
            <w:tcW w:w="2234" w:type="dxa"/>
            <w:tcBorders>
              <w:tl2br w:val="nil"/>
              <w:tr2bl w:val="nil"/>
            </w:tcBorders>
            <w:noWrap w:val="0"/>
            <w:vAlign w:val="center"/>
          </w:tcPr>
          <w:p w14:paraId="56D92A85">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333" w:type="dxa"/>
            <w:tcBorders>
              <w:tl2br w:val="nil"/>
              <w:tr2bl w:val="nil"/>
            </w:tcBorders>
            <w:noWrap w:val="0"/>
            <w:vAlign w:val="center"/>
          </w:tcPr>
          <w:p w14:paraId="4B5CB52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699E445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6272AFC6">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w:t>
            </w:r>
          </w:p>
        </w:tc>
      </w:tr>
      <w:tr w14:paraId="1EF74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EE647A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22</w:t>
            </w:r>
          </w:p>
        </w:tc>
        <w:tc>
          <w:tcPr>
            <w:tcW w:w="2234" w:type="dxa"/>
            <w:tcBorders>
              <w:tl2br w:val="nil"/>
              <w:tr2bl w:val="nil"/>
            </w:tcBorders>
            <w:noWrap w:val="0"/>
            <w:vAlign w:val="center"/>
          </w:tcPr>
          <w:p w14:paraId="42526FF6">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bCs/>
                <w:color w:val="auto"/>
                <w:kern w:val="0"/>
                <w:position w:val="-2"/>
                <w:sz w:val="21"/>
                <w:szCs w:val="21"/>
              </w:rPr>
              <w:t>砷</w:t>
            </w:r>
          </w:p>
        </w:tc>
        <w:tc>
          <w:tcPr>
            <w:tcW w:w="1333" w:type="dxa"/>
            <w:tcBorders>
              <w:tl2br w:val="nil"/>
              <w:tr2bl w:val="nil"/>
            </w:tcBorders>
            <w:noWrap w:val="0"/>
            <w:vAlign w:val="center"/>
          </w:tcPr>
          <w:p w14:paraId="3F153A8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6EBA051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05CF31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0F0EC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FDE096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w:t>
            </w:r>
          </w:p>
        </w:tc>
        <w:tc>
          <w:tcPr>
            <w:tcW w:w="2234" w:type="dxa"/>
            <w:tcBorders>
              <w:tl2br w:val="nil"/>
              <w:tr2bl w:val="nil"/>
            </w:tcBorders>
            <w:noWrap w:val="0"/>
            <w:vAlign w:val="center"/>
          </w:tcPr>
          <w:p w14:paraId="74360ED7">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汞</w:t>
            </w:r>
          </w:p>
        </w:tc>
        <w:tc>
          <w:tcPr>
            <w:tcW w:w="1333" w:type="dxa"/>
            <w:tcBorders>
              <w:tl2br w:val="nil"/>
              <w:tr2bl w:val="nil"/>
            </w:tcBorders>
            <w:noWrap w:val="0"/>
            <w:vAlign w:val="center"/>
          </w:tcPr>
          <w:p w14:paraId="60DFB51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598EB61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4709CC8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0.0001</w:t>
            </w:r>
          </w:p>
        </w:tc>
      </w:tr>
      <w:tr w14:paraId="3F77A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4B55813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w:t>
            </w:r>
          </w:p>
        </w:tc>
        <w:tc>
          <w:tcPr>
            <w:tcW w:w="2234" w:type="dxa"/>
            <w:tcBorders>
              <w:tl2br w:val="nil"/>
              <w:tr2bl w:val="nil"/>
            </w:tcBorders>
            <w:noWrap w:val="0"/>
            <w:vAlign w:val="center"/>
          </w:tcPr>
          <w:p w14:paraId="2D78CC3E">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六价铬</w:t>
            </w:r>
          </w:p>
        </w:tc>
        <w:tc>
          <w:tcPr>
            <w:tcW w:w="1333" w:type="dxa"/>
            <w:tcBorders>
              <w:tl2br w:val="nil"/>
              <w:tr2bl w:val="nil"/>
            </w:tcBorders>
            <w:noWrap w:val="0"/>
            <w:vAlign w:val="center"/>
          </w:tcPr>
          <w:p w14:paraId="668CA84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B3244F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D25CB5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50D23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68C24CC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w:t>
            </w:r>
          </w:p>
        </w:tc>
        <w:tc>
          <w:tcPr>
            <w:tcW w:w="2234" w:type="dxa"/>
            <w:tcBorders>
              <w:tl2br w:val="nil"/>
              <w:tr2bl w:val="nil"/>
            </w:tcBorders>
            <w:noWrap w:val="0"/>
            <w:vAlign w:val="center"/>
          </w:tcPr>
          <w:p w14:paraId="438DF1E5">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阴离子表面活性剂</w:t>
            </w:r>
          </w:p>
        </w:tc>
        <w:tc>
          <w:tcPr>
            <w:tcW w:w="1333" w:type="dxa"/>
            <w:tcBorders>
              <w:tl2br w:val="nil"/>
              <w:tr2bl w:val="nil"/>
            </w:tcBorders>
            <w:noWrap w:val="0"/>
            <w:vAlign w:val="center"/>
          </w:tcPr>
          <w:p w14:paraId="78C4045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2AB2DFF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45C05F51">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0.2</w:t>
            </w:r>
          </w:p>
        </w:tc>
      </w:tr>
      <w:tr w14:paraId="25616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CA70E5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26</w:t>
            </w:r>
          </w:p>
        </w:tc>
        <w:tc>
          <w:tcPr>
            <w:tcW w:w="2234" w:type="dxa"/>
            <w:tcBorders>
              <w:tl2br w:val="nil"/>
              <w:tr2bl w:val="nil"/>
            </w:tcBorders>
            <w:noWrap w:val="0"/>
            <w:vAlign w:val="center"/>
          </w:tcPr>
          <w:p w14:paraId="58368F70">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粪大肠菌群</w:t>
            </w:r>
          </w:p>
        </w:tc>
        <w:tc>
          <w:tcPr>
            <w:tcW w:w="1333" w:type="dxa"/>
            <w:tcBorders>
              <w:tl2br w:val="nil"/>
              <w:tr2bl w:val="nil"/>
            </w:tcBorders>
            <w:noWrap w:val="0"/>
            <w:vAlign w:val="center"/>
          </w:tcPr>
          <w:p w14:paraId="65F918D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个/L</w:t>
            </w:r>
          </w:p>
        </w:tc>
        <w:tc>
          <w:tcPr>
            <w:tcW w:w="848" w:type="dxa"/>
            <w:tcBorders>
              <w:tl2br w:val="nil"/>
              <w:tr2bl w:val="nil"/>
            </w:tcBorders>
            <w:noWrap w:val="0"/>
            <w:vAlign w:val="center"/>
          </w:tcPr>
          <w:p w14:paraId="7993C27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2143AD0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10000</w:t>
            </w:r>
          </w:p>
        </w:tc>
      </w:tr>
      <w:tr w14:paraId="46F2A4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8AC330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27</w:t>
            </w:r>
          </w:p>
        </w:tc>
        <w:tc>
          <w:tcPr>
            <w:tcW w:w="2234" w:type="dxa"/>
            <w:tcBorders>
              <w:tl2br w:val="nil"/>
              <w:tr2bl w:val="nil"/>
            </w:tcBorders>
            <w:noWrap w:val="0"/>
            <w:vAlign w:val="center"/>
          </w:tcPr>
          <w:p w14:paraId="5BCF83B2">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甲醛</w:t>
            </w:r>
          </w:p>
        </w:tc>
        <w:tc>
          <w:tcPr>
            <w:tcW w:w="1333" w:type="dxa"/>
            <w:tcBorders>
              <w:tl2br w:val="nil"/>
              <w:tr2bl w:val="nil"/>
            </w:tcBorders>
            <w:noWrap w:val="0"/>
            <w:vAlign w:val="center"/>
          </w:tcPr>
          <w:p w14:paraId="335E600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18D147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B97C7F1">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0.9</w:t>
            </w:r>
          </w:p>
        </w:tc>
      </w:tr>
    </w:tbl>
    <w:p w14:paraId="3AB46D06">
      <w:pPr>
        <w:pageBreakBefore w:val="0"/>
        <w:wordWrap/>
        <w:bidi w:val="0"/>
        <w:adjustRightInd/>
        <w:snapToGrid/>
        <w:spacing w:before="120" w:beforeLines="50"/>
        <w:ind w:firstLine="480"/>
        <w:rPr>
          <w:b/>
          <w:bCs/>
          <w:color w:val="auto"/>
        </w:rPr>
      </w:pPr>
      <w:r>
        <w:rPr>
          <w:b/>
          <w:bCs/>
          <w:color w:val="auto"/>
        </w:rPr>
        <w:t>（3）声学环境</w:t>
      </w:r>
    </w:p>
    <w:p w14:paraId="0C5793FD">
      <w:pPr>
        <w:pageBreakBefore w:val="0"/>
        <w:wordWrap/>
        <w:bidi w:val="0"/>
        <w:adjustRightInd/>
        <w:snapToGrid/>
        <w:ind w:firstLine="480"/>
        <w:rPr>
          <w:color w:val="auto"/>
        </w:rPr>
      </w:pPr>
      <w:r>
        <w:rPr>
          <w:color w:val="auto"/>
        </w:rPr>
        <w:t>声学环境执行《声环境质量标准》（GB3096-2008）中的</w:t>
      </w:r>
      <w:r>
        <w:rPr>
          <w:rFonts w:hint="eastAsia"/>
          <w:color w:val="auto"/>
          <w:lang w:val="en-US" w:eastAsia="zh-CN"/>
        </w:rPr>
        <w:t>2</w:t>
      </w:r>
      <w:r>
        <w:rPr>
          <w:color w:val="auto"/>
        </w:rPr>
        <w:t>类</w:t>
      </w:r>
      <w:r>
        <w:rPr>
          <w:rFonts w:hint="eastAsia"/>
          <w:color w:val="auto"/>
          <w:lang w:val="en-US" w:eastAsia="zh-CN"/>
        </w:rPr>
        <w:t>和4a类</w:t>
      </w:r>
      <w:r>
        <w:rPr>
          <w:color w:val="auto"/>
        </w:rPr>
        <w:t>标准。标准限值见</w:t>
      </w:r>
      <w:r>
        <w:rPr>
          <w:rFonts w:hint="eastAsia"/>
          <w:color w:val="auto"/>
          <w:lang w:val="en-US" w:eastAsia="zh-CN"/>
        </w:rPr>
        <w:t>下表</w:t>
      </w:r>
      <w:r>
        <w:rPr>
          <w:color w:val="auto"/>
        </w:rPr>
        <w:t xml:space="preserve">。 </w:t>
      </w:r>
    </w:p>
    <w:p w14:paraId="51D8C045">
      <w:pPr>
        <w:pStyle w:val="15"/>
        <w:numPr>
          <w:ilvl w:val="0"/>
          <w:numId w:val="7"/>
        </w:numPr>
        <w:bidi w:val="0"/>
        <w:ind w:left="0" w:leftChars="0" w:firstLine="0" w:firstLineChars="0"/>
        <w:rPr>
          <w:rFonts w:hint="eastAsia"/>
          <w:color w:val="auto"/>
          <w:lang w:eastAsia="zh-CN"/>
        </w:rPr>
      </w:pPr>
      <w:r>
        <w:rPr>
          <w:color w:val="auto"/>
        </w:rPr>
        <w:t>声环境质量标准</w:t>
      </w:r>
      <w:r>
        <w:rPr>
          <w:rFonts w:hint="eastAsia"/>
          <w:color w:val="auto"/>
          <w:lang w:eastAsia="zh-CN"/>
        </w:rPr>
        <w:t>（</w:t>
      </w:r>
      <w:r>
        <w:rPr>
          <w:color w:val="auto"/>
        </w:rPr>
        <w:t>GB3096-2008</w:t>
      </w:r>
      <w:r>
        <w:rPr>
          <w:rFonts w:hint="eastAsia"/>
          <w:color w:val="auto"/>
          <w:lang w:eastAsia="zh-CN"/>
        </w:rPr>
        <w:t>）</w:t>
      </w:r>
    </w:p>
    <w:p w14:paraId="281BF3A5">
      <w:pPr>
        <w:pageBreakBefore w:val="0"/>
        <w:wordWrap/>
        <w:bidi w:val="0"/>
        <w:adjustRightInd/>
        <w:snapToGrid/>
        <w:spacing w:before="8" w:line="10" w:lineRule="exact"/>
        <w:ind w:firstLine="20"/>
        <w:rPr>
          <w:color w:val="auto"/>
          <w:sz w:val="1"/>
          <w:szCs w:val="1"/>
        </w:rPr>
      </w:pPr>
    </w:p>
    <w:tbl>
      <w:tblPr>
        <w:tblStyle w:val="48"/>
        <w:tblW w:w="5000" w:type="pct"/>
        <w:tblInd w:w="0" w:type="dxa"/>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3276"/>
        <w:gridCol w:w="2677"/>
        <w:gridCol w:w="2777"/>
      </w:tblGrid>
      <w:tr w14:paraId="22387E9D">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vMerge w:val="restart"/>
            <w:tcBorders>
              <w:tl2br w:val="nil"/>
              <w:tr2bl w:val="nil"/>
            </w:tcBorders>
            <w:noWrap w:val="0"/>
            <w:vAlign w:val="center"/>
          </w:tcPr>
          <w:p w14:paraId="0898AD22">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声环境功能区类别</w:t>
            </w:r>
          </w:p>
        </w:tc>
        <w:tc>
          <w:tcPr>
            <w:tcW w:w="3123" w:type="pct"/>
            <w:gridSpan w:val="2"/>
            <w:tcBorders>
              <w:tl2br w:val="nil"/>
              <w:tr2bl w:val="nil"/>
            </w:tcBorders>
            <w:noWrap w:val="0"/>
            <w:vAlign w:val="center"/>
          </w:tcPr>
          <w:p w14:paraId="5B8AAC0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等效声级</w:t>
            </w:r>
            <w:r>
              <w:rPr>
                <w:b/>
                <w:bCs/>
                <w:color w:val="auto"/>
                <w:spacing w:val="-52"/>
                <w:sz w:val="21"/>
                <w:szCs w:val="21"/>
              </w:rPr>
              <w:t xml:space="preserve"> </w:t>
            </w:r>
            <w:r>
              <w:rPr>
                <w:b/>
                <w:bCs/>
                <w:color w:val="auto"/>
                <w:spacing w:val="1"/>
                <w:sz w:val="21"/>
                <w:szCs w:val="21"/>
              </w:rPr>
              <w:t>L</w:t>
            </w:r>
            <w:r>
              <w:rPr>
                <w:b/>
                <w:bCs/>
                <w:color w:val="auto"/>
                <w:position w:val="-3"/>
                <w:sz w:val="21"/>
                <w:szCs w:val="21"/>
                <w:vertAlign w:val="subscript"/>
              </w:rPr>
              <w:t>A</w:t>
            </w:r>
            <w:r>
              <w:rPr>
                <w:b/>
                <w:bCs/>
                <w:color w:val="auto"/>
                <w:spacing w:val="1"/>
                <w:position w:val="-3"/>
                <w:sz w:val="21"/>
                <w:szCs w:val="21"/>
                <w:vertAlign w:val="subscript"/>
              </w:rPr>
              <w:t>e</w:t>
            </w:r>
            <w:r>
              <w:rPr>
                <w:b/>
                <w:bCs/>
                <w:color w:val="auto"/>
                <w:position w:val="-3"/>
                <w:sz w:val="21"/>
                <w:szCs w:val="21"/>
                <w:vertAlign w:val="subscript"/>
              </w:rPr>
              <w:t xml:space="preserve">q </w:t>
            </w:r>
            <w:r>
              <w:rPr>
                <w:b/>
                <w:bCs/>
                <w:color w:val="auto"/>
                <w:sz w:val="21"/>
                <w:szCs w:val="21"/>
              </w:rPr>
              <w:t>d</w:t>
            </w:r>
            <w:r>
              <w:rPr>
                <w:b/>
                <w:bCs/>
                <w:color w:val="auto"/>
                <w:spacing w:val="-2"/>
                <w:sz w:val="21"/>
                <w:szCs w:val="21"/>
              </w:rPr>
              <w:t>B</w:t>
            </w:r>
            <w:r>
              <w:rPr>
                <w:b/>
                <w:bCs/>
                <w:color w:val="auto"/>
                <w:sz w:val="21"/>
                <w:szCs w:val="21"/>
              </w:rPr>
              <w:t>（</w:t>
            </w:r>
            <w:r>
              <w:rPr>
                <w:b/>
                <w:bCs/>
                <w:color w:val="auto"/>
                <w:spacing w:val="-1"/>
                <w:sz w:val="21"/>
                <w:szCs w:val="21"/>
              </w:rPr>
              <w:t>A</w:t>
            </w:r>
            <w:r>
              <w:rPr>
                <w:b/>
                <w:bCs/>
                <w:color w:val="auto"/>
                <w:sz w:val="21"/>
                <w:szCs w:val="21"/>
              </w:rPr>
              <w:t>）</w:t>
            </w:r>
          </w:p>
        </w:tc>
      </w:tr>
      <w:tr w14:paraId="31B20767">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vMerge w:val="continue"/>
            <w:tcBorders>
              <w:tl2br w:val="nil"/>
              <w:tr2bl w:val="nil"/>
            </w:tcBorders>
            <w:noWrap w:val="0"/>
            <w:vAlign w:val="center"/>
          </w:tcPr>
          <w:p w14:paraId="52D10451">
            <w:pPr>
              <w:pageBreakBefore w:val="0"/>
              <w:wordWrap/>
              <w:bidi w:val="0"/>
              <w:adjustRightInd/>
              <w:snapToGrid/>
              <w:spacing w:line="240" w:lineRule="auto"/>
              <w:ind w:firstLine="0" w:firstLineChars="0"/>
              <w:jc w:val="center"/>
              <w:rPr>
                <w:b/>
                <w:bCs/>
                <w:color w:val="auto"/>
                <w:sz w:val="21"/>
                <w:szCs w:val="21"/>
              </w:rPr>
            </w:pPr>
          </w:p>
        </w:tc>
        <w:tc>
          <w:tcPr>
            <w:tcW w:w="1533" w:type="pct"/>
            <w:tcBorders>
              <w:tl2br w:val="nil"/>
              <w:tr2bl w:val="nil"/>
            </w:tcBorders>
            <w:noWrap w:val="0"/>
            <w:vAlign w:val="center"/>
          </w:tcPr>
          <w:p w14:paraId="0C9F30F1">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昼间</w:t>
            </w:r>
          </w:p>
        </w:tc>
        <w:tc>
          <w:tcPr>
            <w:tcW w:w="1590" w:type="pct"/>
            <w:tcBorders>
              <w:tl2br w:val="nil"/>
              <w:tr2bl w:val="nil"/>
            </w:tcBorders>
            <w:noWrap w:val="0"/>
            <w:vAlign w:val="center"/>
          </w:tcPr>
          <w:p w14:paraId="72342F99">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夜间</w:t>
            </w:r>
          </w:p>
        </w:tc>
      </w:tr>
      <w:tr w14:paraId="45E078E3">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PrEx>
        <w:trPr>
          <w:trHeight w:val="397" w:hRule="atLeast"/>
        </w:trPr>
        <w:tc>
          <w:tcPr>
            <w:tcW w:w="1876" w:type="pct"/>
            <w:tcBorders>
              <w:tl2br w:val="nil"/>
              <w:tr2bl w:val="nil"/>
            </w:tcBorders>
            <w:noWrap w:val="0"/>
            <w:vAlign w:val="center"/>
          </w:tcPr>
          <w:p w14:paraId="5772B726">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2</w:t>
            </w:r>
            <w:r>
              <w:rPr>
                <w:color w:val="auto"/>
                <w:sz w:val="21"/>
                <w:szCs w:val="21"/>
              </w:rPr>
              <w:t>类</w:t>
            </w:r>
          </w:p>
        </w:tc>
        <w:tc>
          <w:tcPr>
            <w:tcW w:w="1533" w:type="pct"/>
            <w:tcBorders>
              <w:tl2br w:val="nil"/>
              <w:tr2bl w:val="nil"/>
            </w:tcBorders>
            <w:noWrap w:val="0"/>
            <w:vAlign w:val="center"/>
          </w:tcPr>
          <w:p w14:paraId="79ECB2A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60</w:t>
            </w:r>
          </w:p>
        </w:tc>
        <w:tc>
          <w:tcPr>
            <w:tcW w:w="1590" w:type="pct"/>
            <w:tcBorders>
              <w:tl2br w:val="nil"/>
              <w:tr2bl w:val="nil"/>
            </w:tcBorders>
            <w:noWrap w:val="0"/>
            <w:vAlign w:val="center"/>
          </w:tcPr>
          <w:p w14:paraId="7281BC2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7A4250F5">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tcBorders>
              <w:tl2br w:val="nil"/>
              <w:tr2bl w:val="nil"/>
            </w:tcBorders>
            <w:noWrap w:val="0"/>
            <w:vAlign w:val="center"/>
          </w:tcPr>
          <w:p w14:paraId="3540F89E">
            <w:pPr>
              <w:pageBreakBefore w:val="0"/>
              <w:wordWrap/>
              <w:bidi w:val="0"/>
              <w:adjustRightInd/>
              <w:snapToGrid/>
              <w:spacing w:line="240" w:lineRule="auto"/>
              <w:ind w:firstLine="0" w:firstLineChars="0"/>
              <w:jc w:val="center"/>
              <w:rPr>
                <w:rFonts w:hint="default"/>
                <w:color w:val="auto"/>
                <w:sz w:val="21"/>
                <w:szCs w:val="21"/>
                <w:lang w:val="en-US" w:eastAsia="zh-CN"/>
              </w:rPr>
            </w:pPr>
            <w:bookmarkStart w:id="51" w:name="_Toc23476"/>
            <w:r>
              <w:rPr>
                <w:rFonts w:hint="eastAsia"/>
                <w:color w:val="auto"/>
                <w:sz w:val="21"/>
                <w:szCs w:val="21"/>
                <w:lang w:val="en-US" w:eastAsia="zh-CN"/>
              </w:rPr>
              <w:t>4a类（临路侧）</w:t>
            </w:r>
          </w:p>
        </w:tc>
        <w:tc>
          <w:tcPr>
            <w:tcW w:w="1533" w:type="pct"/>
            <w:tcBorders>
              <w:tl2br w:val="nil"/>
              <w:tr2bl w:val="nil"/>
            </w:tcBorders>
            <w:noWrap w:val="0"/>
            <w:vAlign w:val="center"/>
          </w:tcPr>
          <w:p w14:paraId="55E5397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1590" w:type="pct"/>
            <w:tcBorders>
              <w:tl2br w:val="nil"/>
              <w:tr2bl w:val="nil"/>
            </w:tcBorders>
            <w:noWrap w:val="0"/>
            <w:vAlign w:val="center"/>
          </w:tcPr>
          <w:p w14:paraId="480A1C8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w:t>
            </w:r>
          </w:p>
        </w:tc>
      </w:tr>
    </w:tbl>
    <w:p w14:paraId="372CF8E3">
      <w:pPr>
        <w:pageBreakBefore w:val="0"/>
        <w:wordWrap/>
        <w:bidi w:val="0"/>
        <w:adjustRightInd/>
        <w:snapToGrid/>
        <w:spacing w:before="120" w:beforeLines="50"/>
        <w:ind w:firstLine="480"/>
        <w:rPr>
          <w:b/>
          <w:bCs/>
          <w:color w:val="auto"/>
        </w:rPr>
      </w:pPr>
      <w:r>
        <w:rPr>
          <w:b/>
          <w:bCs/>
          <w:color w:val="auto"/>
        </w:rPr>
        <w:t>（4）地下水环境</w:t>
      </w:r>
    </w:p>
    <w:p w14:paraId="51A0326C">
      <w:pPr>
        <w:pageBreakBefore w:val="0"/>
        <w:wordWrap/>
        <w:bidi w:val="0"/>
        <w:adjustRightInd/>
        <w:snapToGrid/>
        <w:ind w:firstLine="480"/>
        <w:rPr>
          <w:color w:val="auto"/>
        </w:rPr>
      </w:pPr>
      <w:r>
        <w:rPr>
          <w:color w:val="auto"/>
        </w:rPr>
        <w:t>项目影响区域内地下水环境质量执行《地下水质量标准》（GB/T14848-2017）Ⅲ类水质标准限值要求。标准限值见</w:t>
      </w:r>
      <w:r>
        <w:rPr>
          <w:rFonts w:hint="eastAsia"/>
          <w:color w:val="auto"/>
          <w:lang w:val="en-US" w:eastAsia="zh-CN"/>
        </w:rPr>
        <w:t>下表</w:t>
      </w:r>
      <w:r>
        <w:rPr>
          <w:color w:val="auto"/>
        </w:rPr>
        <w:t xml:space="preserve">。 </w:t>
      </w:r>
    </w:p>
    <w:p w14:paraId="33B4BB9C">
      <w:pPr>
        <w:pStyle w:val="15"/>
        <w:numPr>
          <w:ilvl w:val="0"/>
          <w:numId w:val="7"/>
        </w:numPr>
        <w:bidi w:val="0"/>
        <w:ind w:left="0" w:leftChars="0" w:firstLine="0" w:firstLineChars="0"/>
        <w:rPr>
          <w:rFonts w:hint="eastAsia"/>
          <w:color w:val="auto"/>
          <w:lang w:eastAsia="zh-CN"/>
        </w:rPr>
      </w:pPr>
      <w:r>
        <w:rPr>
          <w:color w:val="auto"/>
        </w:rPr>
        <w:t>地下水质量标准</w:t>
      </w:r>
      <w:r>
        <w:rPr>
          <w:rFonts w:hint="eastAsia"/>
          <w:color w:val="auto"/>
          <w:lang w:eastAsia="zh-CN"/>
        </w:rPr>
        <w:t>（</w:t>
      </w:r>
      <w:r>
        <w:rPr>
          <w:color w:val="auto"/>
        </w:rPr>
        <w:t>GB/T14848-2017</w:t>
      </w:r>
      <w:r>
        <w:rPr>
          <w:rFonts w:hint="eastAsia"/>
          <w:color w:val="auto"/>
          <w:lang w:eastAsia="zh-CN"/>
        </w:rPr>
        <w:t>）</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851"/>
        <w:gridCol w:w="1286"/>
        <w:gridCol w:w="1279"/>
        <w:gridCol w:w="2984"/>
      </w:tblGrid>
      <w:tr w14:paraId="127C7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53921C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035" w:type="pct"/>
            <w:tcBorders>
              <w:tl2br w:val="nil"/>
              <w:tr2bl w:val="nil"/>
            </w:tcBorders>
            <w:noWrap w:val="0"/>
            <w:vAlign w:val="center"/>
          </w:tcPr>
          <w:p w14:paraId="382D87F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1434" w:type="pct"/>
            <w:gridSpan w:val="2"/>
            <w:tcBorders>
              <w:tl2br w:val="nil"/>
              <w:tr2bl w:val="nil"/>
            </w:tcBorders>
            <w:noWrap w:val="0"/>
            <w:vAlign w:val="center"/>
          </w:tcPr>
          <w:p w14:paraId="1171AE1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单位</w:t>
            </w:r>
          </w:p>
        </w:tc>
        <w:tc>
          <w:tcPr>
            <w:tcW w:w="1668" w:type="pct"/>
            <w:tcBorders>
              <w:tl2br w:val="nil"/>
              <w:tr2bl w:val="nil"/>
            </w:tcBorders>
            <w:noWrap w:val="0"/>
            <w:vAlign w:val="center"/>
          </w:tcPr>
          <w:p w14:paraId="4D99C50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Ⅲ类标准限值</w:t>
            </w:r>
          </w:p>
        </w:tc>
      </w:tr>
      <w:tr w14:paraId="12C97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5C6FCF96">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035" w:type="pct"/>
            <w:tcBorders>
              <w:tl2br w:val="nil"/>
              <w:tr2bl w:val="nil"/>
            </w:tcBorders>
            <w:noWrap w:val="0"/>
            <w:vAlign w:val="center"/>
          </w:tcPr>
          <w:p w14:paraId="7E809E39">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pH</w:t>
            </w:r>
          </w:p>
        </w:tc>
        <w:tc>
          <w:tcPr>
            <w:tcW w:w="1434" w:type="pct"/>
            <w:gridSpan w:val="2"/>
            <w:tcBorders>
              <w:tl2br w:val="nil"/>
              <w:tr2bl w:val="nil"/>
            </w:tcBorders>
            <w:noWrap w:val="0"/>
            <w:vAlign w:val="center"/>
          </w:tcPr>
          <w:p w14:paraId="3106AE2C">
            <w:pPr>
              <w:pageBreakBefore w:val="0"/>
              <w:wordWrap/>
              <w:bidi w:val="0"/>
              <w:adjustRightInd/>
              <w:snapToGrid/>
              <w:spacing w:line="240" w:lineRule="auto"/>
              <w:ind w:firstLine="0" w:firstLineChars="0"/>
              <w:jc w:val="center"/>
              <w:rPr>
                <w:color w:val="auto"/>
                <w:sz w:val="21"/>
                <w:szCs w:val="21"/>
              </w:rPr>
            </w:pPr>
            <w:r>
              <w:rPr>
                <w:color w:val="auto"/>
                <w:sz w:val="21"/>
                <w:szCs w:val="21"/>
              </w:rPr>
              <w:t>无量纲</w:t>
            </w:r>
          </w:p>
        </w:tc>
        <w:tc>
          <w:tcPr>
            <w:tcW w:w="1668" w:type="pct"/>
            <w:tcBorders>
              <w:tl2br w:val="nil"/>
              <w:tr2bl w:val="nil"/>
            </w:tcBorders>
            <w:noWrap w:val="0"/>
            <w:vAlign w:val="center"/>
          </w:tcPr>
          <w:p w14:paraId="4F5A323C">
            <w:pPr>
              <w:pageBreakBefore w:val="0"/>
              <w:wordWrap/>
              <w:bidi w:val="0"/>
              <w:adjustRightInd/>
              <w:snapToGrid/>
              <w:spacing w:line="240" w:lineRule="auto"/>
              <w:ind w:firstLine="0" w:firstLineChars="0"/>
              <w:jc w:val="center"/>
              <w:rPr>
                <w:color w:val="auto"/>
                <w:sz w:val="21"/>
                <w:szCs w:val="21"/>
              </w:rPr>
            </w:pPr>
            <w:r>
              <w:rPr>
                <w:bCs/>
                <w:color w:val="auto"/>
                <w:sz w:val="21"/>
                <w:szCs w:val="21"/>
              </w:rPr>
              <w:t>6.5~8.5</w:t>
            </w:r>
          </w:p>
        </w:tc>
      </w:tr>
      <w:tr w14:paraId="7D82E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DB5882D">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035" w:type="pct"/>
            <w:tcBorders>
              <w:tl2br w:val="nil"/>
              <w:tr2bl w:val="nil"/>
            </w:tcBorders>
            <w:noWrap w:val="0"/>
            <w:vAlign w:val="center"/>
          </w:tcPr>
          <w:p w14:paraId="7B636B5B">
            <w:pPr>
              <w:pageBreakBefore w:val="0"/>
              <w:wordWrap/>
              <w:bidi w:val="0"/>
              <w:adjustRightInd/>
              <w:snapToGrid/>
              <w:spacing w:line="240" w:lineRule="auto"/>
              <w:ind w:firstLine="0" w:firstLineChars="0"/>
              <w:jc w:val="center"/>
              <w:rPr>
                <w:bCs/>
                <w:color w:val="auto"/>
                <w:sz w:val="21"/>
                <w:szCs w:val="21"/>
              </w:rPr>
            </w:pPr>
            <w:r>
              <w:rPr>
                <w:color w:val="auto"/>
                <w:sz w:val="21"/>
                <w:szCs w:val="21"/>
              </w:rPr>
              <w:t>总硬度</w:t>
            </w:r>
          </w:p>
        </w:tc>
        <w:tc>
          <w:tcPr>
            <w:tcW w:w="719" w:type="pct"/>
            <w:tcBorders>
              <w:tl2br w:val="nil"/>
              <w:tr2bl w:val="nil"/>
            </w:tcBorders>
            <w:noWrap w:val="0"/>
            <w:vAlign w:val="center"/>
          </w:tcPr>
          <w:p w14:paraId="28B66F39">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1BFD682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5BFC1DE">
            <w:pPr>
              <w:pageBreakBefore w:val="0"/>
              <w:wordWrap/>
              <w:bidi w:val="0"/>
              <w:adjustRightInd/>
              <w:snapToGrid/>
              <w:spacing w:line="240" w:lineRule="auto"/>
              <w:ind w:firstLine="0" w:firstLineChars="0"/>
              <w:jc w:val="center"/>
              <w:rPr>
                <w:color w:val="auto"/>
                <w:sz w:val="21"/>
                <w:szCs w:val="21"/>
              </w:rPr>
            </w:pPr>
            <w:r>
              <w:rPr>
                <w:bCs/>
                <w:color w:val="auto"/>
                <w:sz w:val="21"/>
                <w:szCs w:val="21"/>
              </w:rPr>
              <w:t>450</w:t>
            </w:r>
          </w:p>
        </w:tc>
      </w:tr>
      <w:tr w14:paraId="37544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063A246">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035" w:type="pct"/>
            <w:tcBorders>
              <w:tl2br w:val="nil"/>
              <w:tr2bl w:val="nil"/>
            </w:tcBorders>
            <w:noWrap w:val="0"/>
            <w:vAlign w:val="center"/>
          </w:tcPr>
          <w:p w14:paraId="7EDBF744">
            <w:pPr>
              <w:pageBreakBefore w:val="0"/>
              <w:wordWrap/>
              <w:bidi w:val="0"/>
              <w:adjustRightInd/>
              <w:snapToGrid/>
              <w:spacing w:line="240" w:lineRule="auto"/>
              <w:ind w:firstLine="0" w:firstLineChars="0"/>
              <w:jc w:val="center"/>
              <w:rPr>
                <w:bCs/>
                <w:color w:val="auto"/>
                <w:sz w:val="21"/>
                <w:szCs w:val="21"/>
              </w:rPr>
            </w:pPr>
            <w:r>
              <w:rPr>
                <w:color w:val="auto"/>
                <w:sz w:val="21"/>
                <w:szCs w:val="21"/>
              </w:rPr>
              <w:t>溶解性总固体</w:t>
            </w:r>
          </w:p>
        </w:tc>
        <w:tc>
          <w:tcPr>
            <w:tcW w:w="719" w:type="pct"/>
            <w:tcBorders>
              <w:tl2br w:val="nil"/>
              <w:tr2bl w:val="nil"/>
            </w:tcBorders>
            <w:noWrap w:val="0"/>
            <w:vAlign w:val="center"/>
          </w:tcPr>
          <w:p w14:paraId="33300770">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C6B423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4848BCD">
            <w:pPr>
              <w:pageBreakBefore w:val="0"/>
              <w:wordWrap/>
              <w:bidi w:val="0"/>
              <w:adjustRightInd/>
              <w:snapToGrid/>
              <w:spacing w:line="240" w:lineRule="auto"/>
              <w:ind w:firstLine="0" w:firstLineChars="0"/>
              <w:jc w:val="center"/>
              <w:rPr>
                <w:color w:val="auto"/>
                <w:sz w:val="21"/>
                <w:szCs w:val="21"/>
              </w:rPr>
            </w:pPr>
            <w:r>
              <w:rPr>
                <w:bCs/>
                <w:color w:val="auto"/>
                <w:sz w:val="21"/>
                <w:szCs w:val="21"/>
              </w:rPr>
              <w:t>1000</w:t>
            </w:r>
          </w:p>
        </w:tc>
      </w:tr>
      <w:tr w14:paraId="282C8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71A5860">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1035" w:type="pct"/>
            <w:tcBorders>
              <w:tl2br w:val="nil"/>
              <w:tr2bl w:val="nil"/>
            </w:tcBorders>
            <w:noWrap w:val="0"/>
            <w:vAlign w:val="center"/>
          </w:tcPr>
          <w:p w14:paraId="705F3A9E">
            <w:pPr>
              <w:pageBreakBefore w:val="0"/>
              <w:wordWrap/>
              <w:bidi w:val="0"/>
              <w:adjustRightInd/>
              <w:snapToGrid/>
              <w:spacing w:line="240" w:lineRule="auto"/>
              <w:ind w:firstLine="0" w:firstLineChars="0"/>
              <w:jc w:val="center"/>
              <w:rPr>
                <w:bCs/>
                <w:color w:val="auto"/>
                <w:sz w:val="21"/>
                <w:szCs w:val="21"/>
              </w:rPr>
            </w:pPr>
            <w:r>
              <w:rPr>
                <w:color w:val="auto"/>
                <w:sz w:val="21"/>
                <w:szCs w:val="21"/>
              </w:rPr>
              <w:t>氨氮</w:t>
            </w:r>
          </w:p>
        </w:tc>
        <w:tc>
          <w:tcPr>
            <w:tcW w:w="719" w:type="pct"/>
            <w:tcBorders>
              <w:tl2br w:val="nil"/>
              <w:tr2bl w:val="nil"/>
            </w:tcBorders>
            <w:noWrap w:val="0"/>
            <w:vAlign w:val="center"/>
          </w:tcPr>
          <w:p w14:paraId="360E21F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EF63F3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C668E6B">
            <w:pPr>
              <w:pageBreakBefore w:val="0"/>
              <w:wordWrap/>
              <w:bidi w:val="0"/>
              <w:adjustRightInd/>
              <w:snapToGrid/>
              <w:spacing w:line="240" w:lineRule="auto"/>
              <w:ind w:firstLine="0" w:firstLineChars="0"/>
              <w:jc w:val="center"/>
              <w:rPr>
                <w:color w:val="auto"/>
                <w:sz w:val="21"/>
                <w:szCs w:val="21"/>
              </w:rPr>
            </w:pPr>
            <w:r>
              <w:rPr>
                <w:bCs/>
                <w:color w:val="auto"/>
                <w:sz w:val="21"/>
                <w:szCs w:val="21"/>
              </w:rPr>
              <w:t>0.50</w:t>
            </w:r>
          </w:p>
        </w:tc>
      </w:tr>
      <w:tr w14:paraId="0B347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DCE9295">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1035" w:type="pct"/>
            <w:tcBorders>
              <w:tl2br w:val="nil"/>
              <w:tr2bl w:val="nil"/>
            </w:tcBorders>
            <w:noWrap w:val="0"/>
            <w:vAlign w:val="center"/>
          </w:tcPr>
          <w:p w14:paraId="40E4799E">
            <w:pPr>
              <w:pageBreakBefore w:val="0"/>
              <w:wordWrap/>
              <w:bidi w:val="0"/>
              <w:adjustRightInd/>
              <w:snapToGrid/>
              <w:spacing w:line="240" w:lineRule="auto"/>
              <w:ind w:firstLine="0" w:firstLineChars="0"/>
              <w:jc w:val="center"/>
              <w:rPr>
                <w:bCs/>
                <w:color w:val="auto"/>
                <w:sz w:val="21"/>
                <w:szCs w:val="21"/>
              </w:rPr>
            </w:pPr>
            <w:r>
              <w:rPr>
                <w:color w:val="auto"/>
                <w:sz w:val="21"/>
                <w:szCs w:val="21"/>
              </w:rPr>
              <w:t>耗氧量</w:t>
            </w:r>
          </w:p>
        </w:tc>
        <w:tc>
          <w:tcPr>
            <w:tcW w:w="719" w:type="pct"/>
            <w:tcBorders>
              <w:tl2br w:val="nil"/>
              <w:tr2bl w:val="nil"/>
            </w:tcBorders>
            <w:noWrap w:val="0"/>
            <w:vAlign w:val="center"/>
          </w:tcPr>
          <w:p w14:paraId="70B99C38">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5604A6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13F5A57">
            <w:pPr>
              <w:pageBreakBefore w:val="0"/>
              <w:wordWrap/>
              <w:bidi w:val="0"/>
              <w:adjustRightInd/>
              <w:snapToGrid/>
              <w:spacing w:line="240" w:lineRule="auto"/>
              <w:ind w:firstLine="0" w:firstLineChars="0"/>
              <w:jc w:val="center"/>
              <w:rPr>
                <w:color w:val="auto"/>
                <w:sz w:val="21"/>
                <w:szCs w:val="21"/>
              </w:rPr>
            </w:pPr>
            <w:r>
              <w:rPr>
                <w:bCs/>
                <w:color w:val="auto"/>
                <w:sz w:val="21"/>
                <w:szCs w:val="21"/>
              </w:rPr>
              <w:t>3.0</w:t>
            </w:r>
          </w:p>
        </w:tc>
      </w:tr>
      <w:tr w14:paraId="66E4B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EE8F19D">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1035" w:type="pct"/>
            <w:tcBorders>
              <w:tl2br w:val="nil"/>
              <w:tr2bl w:val="nil"/>
            </w:tcBorders>
            <w:noWrap w:val="0"/>
            <w:vAlign w:val="center"/>
          </w:tcPr>
          <w:p w14:paraId="7C3D7279">
            <w:pPr>
              <w:pageBreakBefore w:val="0"/>
              <w:wordWrap/>
              <w:bidi w:val="0"/>
              <w:adjustRightInd/>
              <w:snapToGrid/>
              <w:spacing w:line="240" w:lineRule="auto"/>
              <w:ind w:firstLine="0" w:firstLineChars="0"/>
              <w:jc w:val="center"/>
              <w:rPr>
                <w:color w:val="auto"/>
                <w:sz w:val="21"/>
                <w:szCs w:val="21"/>
              </w:rPr>
            </w:pPr>
            <w:r>
              <w:rPr>
                <w:color w:val="auto"/>
                <w:sz w:val="21"/>
                <w:szCs w:val="21"/>
              </w:rPr>
              <w:t>六价铬</w:t>
            </w:r>
          </w:p>
        </w:tc>
        <w:tc>
          <w:tcPr>
            <w:tcW w:w="719" w:type="pct"/>
            <w:tcBorders>
              <w:tl2br w:val="nil"/>
              <w:tr2bl w:val="nil"/>
            </w:tcBorders>
            <w:noWrap w:val="0"/>
            <w:vAlign w:val="center"/>
          </w:tcPr>
          <w:p w14:paraId="0A911998">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590377D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74702EA2">
            <w:pPr>
              <w:pageBreakBefore w:val="0"/>
              <w:wordWrap/>
              <w:bidi w:val="0"/>
              <w:adjustRightInd/>
              <w:snapToGrid/>
              <w:spacing w:line="240" w:lineRule="auto"/>
              <w:ind w:firstLine="0" w:firstLineChars="0"/>
              <w:jc w:val="center"/>
              <w:rPr>
                <w:color w:val="auto"/>
                <w:sz w:val="21"/>
                <w:szCs w:val="21"/>
              </w:rPr>
            </w:pPr>
            <w:r>
              <w:rPr>
                <w:bCs/>
                <w:color w:val="auto"/>
                <w:sz w:val="21"/>
                <w:szCs w:val="21"/>
              </w:rPr>
              <w:t>0.05</w:t>
            </w:r>
          </w:p>
        </w:tc>
      </w:tr>
      <w:tr w14:paraId="0D0B7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02D2A73">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1035" w:type="pct"/>
            <w:tcBorders>
              <w:tl2br w:val="nil"/>
              <w:tr2bl w:val="nil"/>
            </w:tcBorders>
            <w:noWrap w:val="0"/>
            <w:vAlign w:val="center"/>
          </w:tcPr>
          <w:p w14:paraId="472D024A">
            <w:pPr>
              <w:pageBreakBefore w:val="0"/>
              <w:wordWrap/>
              <w:bidi w:val="0"/>
              <w:adjustRightInd/>
              <w:snapToGrid/>
              <w:spacing w:line="240" w:lineRule="auto"/>
              <w:ind w:firstLine="0" w:firstLineChars="0"/>
              <w:jc w:val="center"/>
              <w:rPr>
                <w:color w:val="auto"/>
                <w:sz w:val="21"/>
                <w:szCs w:val="21"/>
              </w:rPr>
            </w:pPr>
            <w:r>
              <w:rPr>
                <w:color w:val="auto"/>
                <w:sz w:val="21"/>
                <w:szCs w:val="21"/>
              </w:rPr>
              <w:t>挥发酚</w:t>
            </w:r>
          </w:p>
        </w:tc>
        <w:tc>
          <w:tcPr>
            <w:tcW w:w="719" w:type="pct"/>
            <w:tcBorders>
              <w:tl2br w:val="nil"/>
              <w:tr2bl w:val="nil"/>
            </w:tcBorders>
            <w:noWrap w:val="0"/>
            <w:vAlign w:val="center"/>
          </w:tcPr>
          <w:p w14:paraId="40D5036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30DF330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7B20756">
            <w:pPr>
              <w:pageBreakBefore w:val="0"/>
              <w:wordWrap/>
              <w:bidi w:val="0"/>
              <w:adjustRightInd/>
              <w:snapToGrid/>
              <w:spacing w:line="240" w:lineRule="auto"/>
              <w:ind w:firstLine="0" w:firstLineChars="0"/>
              <w:jc w:val="center"/>
              <w:rPr>
                <w:color w:val="auto"/>
                <w:sz w:val="21"/>
                <w:szCs w:val="21"/>
              </w:rPr>
            </w:pPr>
            <w:r>
              <w:rPr>
                <w:bCs/>
                <w:color w:val="auto"/>
                <w:sz w:val="21"/>
                <w:szCs w:val="21"/>
              </w:rPr>
              <w:t>0.002</w:t>
            </w:r>
          </w:p>
        </w:tc>
      </w:tr>
      <w:tr w14:paraId="1BF38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B76216A">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1035" w:type="pct"/>
            <w:tcBorders>
              <w:tl2br w:val="nil"/>
              <w:tr2bl w:val="nil"/>
            </w:tcBorders>
            <w:noWrap w:val="0"/>
            <w:vAlign w:val="center"/>
          </w:tcPr>
          <w:p w14:paraId="49F306B8">
            <w:pPr>
              <w:pageBreakBefore w:val="0"/>
              <w:wordWrap/>
              <w:bidi w:val="0"/>
              <w:adjustRightInd/>
              <w:snapToGrid/>
              <w:spacing w:line="240" w:lineRule="auto"/>
              <w:ind w:firstLine="0" w:firstLineChars="0"/>
              <w:jc w:val="center"/>
              <w:rPr>
                <w:color w:val="auto"/>
                <w:sz w:val="21"/>
                <w:szCs w:val="21"/>
              </w:rPr>
            </w:pPr>
            <w:r>
              <w:rPr>
                <w:color w:val="auto"/>
                <w:sz w:val="21"/>
                <w:szCs w:val="21"/>
              </w:rPr>
              <w:t>氟化物</w:t>
            </w:r>
          </w:p>
        </w:tc>
        <w:tc>
          <w:tcPr>
            <w:tcW w:w="719" w:type="pct"/>
            <w:tcBorders>
              <w:tl2br w:val="nil"/>
              <w:tr2bl w:val="nil"/>
            </w:tcBorders>
            <w:noWrap w:val="0"/>
            <w:vAlign w:val="center"/>
          </w:tcPr>
          <w:p w14:paraId="1A167866">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E25A16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76CA618">
            <w:pPr>
              <w:pageBreakBefore w:val="0"/>
              <w:wordWrap/>
              <w:bidi w:val="0"/>
              <w:adjustRightInd/>
              <w:snapToGrid/>
              <w:spacing w:line="240" w:lineRule="auto"/>
              <w:ind w:firstLine="0" w:firstLineChars="0"/>
              <w:jc w:val="center"/>
              <w:rPr>
                <w:color w:val="auto"/>
                <w:sz w:val="21"/>
                <w:szCs w:val="21"/>
              </w:rPr>
            </w:pPr>
            <w:r>
              <w:rPr>
                <w:bCs/>
                <w:color w:val="auto"/>
                <w:sz w:val="21"/>
                <w:szCs w:val="21"/>
              </w:rPr>
              <w:t>1.0</w:t>
            </w:r>
          </w:p>
        </w:tc>
      </w:tr>
      <w:tr w14:paraId="21980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1E6FEA1">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1035" w:type="pct"/>
            <w:tcBorders>
              <w:tl2br w:val="nil"/>
              <w:tr2bl w:val="nil"/>
            </w:tcBorders>
            <w:noWrap w:val="0"/>
            <w:vAlign w:val="center"/>
          </w:tcPr>
          <w:p w14:paraId="7A29D9A5">
            <w:pPr>
              <w:pageBreakBefore w:val="0"/>
              <w:wordWrap/>
              <w:bidi w:val="0"/>
              <w:adjustRightInd/>
              <w:snapToGrid/>
              <w:spacing w:line="240" w:lineRule="auto"/>
              <w:ind w:firstLine="0" w:firstLineChars="0"/>
              <w:jc w:val="center"/>
              <w:rPr>
                <w:color w:val="auto"/>
                <w:sz w:val="21"/>
                <w:szCs w:val="21"/>
              </w:rPr>
            </w:pPr>
            <w:r>
              <w:rPr>
                <w:color w:val="auto"/>
                <w:sz w:val="21"/>
                <w:szCs w:val="21"/>
              </w:rPr>
              <w:t>氯化物</w:t>
            </w:r>
          </w:p>
        </w:tc>
        <w:tc>
          <w:tcPr>
            <w:tcW w:w="719" w:type="pct"/>
            <w:tcBorders>
              <w:tl2br w:val="nil"/>
              <w:tr2bl w:val="nil"/>
            </w:tcBorders>
            <w:noWrap w:val="0"/>
            <w:vAlign w:val="center"/>
          </w:tcPr>
          <w:p w14:paraId="6A12A364">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702315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A172634">
            <w:pPr>
              <w:pageBreakBefore w:val="0"/>
              <w:wordWrap/>
              <w:bidi w:val="0"/>
              <w:adjustRightInd/>
              <w:snapToGrid/>
              <w:spacing w:line="240" w:lineRule="auto"/>
              <w:ind w:firstLine="0" w:firstLineChars="0"/>
              <w:jc w:val="center"/>
              <w:rPr>
                <w:color w:val="auto"/>
                <w:sz w:val="21"/>
                <w:szCs w:val="21"/>
              </w:rPr>
            </w:pPr>
            <w:r>
              <w:rPr>
                <w:bCs/>
                <w:color w:val="auto"/>
                <w:sz w:val="21"/>
                <w:szCs w:val="21"/>
              </w:rPr>
              <w:t>250</w:t>
            </w:r>
          </w:p>
        </w:tc>
      </w:tr>
      <w:tr w14:paraId="3AE01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F3D8016">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1035" w:type="pct"/>
            <w:tcBorders>
              <w:tl2br w:val="nil"/>
              <w:tr2bl w:val="nil"/>
            </w:tcBorders>
            <w:noWrap w:val="0"/>
            <w:vAlign w:val="center"/>
          </w:tcPr>
          <w:p w14:paraId="0CCA536D">
            <w:pPr>
              <w:pageBreakBefore w:val="0"/>
              <w:wordWrap/>
              <w:bidi w:val="0"/>
              <w:adjustRightInd/>
              <w:snapToGrid/>
              <w:spacing w:line="240" w:lineRule="auto"/>
              <w:ind w:firstLine="0" w:firstLineChars="0"/>
              <w:jc w:val="center"/>
              <w:rPr>
                <w:color w:val="auto"/>
                <w:sz w:val="21"/>
                <w:szCs w:val="21"/>
              </w:rPr>
            </w:pPr>
            <w:r>
              <w:rPr>
                <w:color w:val="auto"/>
                <w:sz w:val="21"/>
                <w:szCs w:val="21"/>
              </w:rPr>
              <w:t>硝酸盐</w:t>
            </w:r>
          </w:p>
        </w:tc>
        <w:tc>
          <w:tcPr>
            <w:tcW w:w="719" w:type="pct"/>
            <w:tcBorders>
              <w:tl2br w:val="nil"/>
              <w:tr2bl w:val="nil"/>
            </w:tcBorders>
            <w:noWrap w:val="0"/>
            <w:vAlign w:val="center"/>
          </w:tcPr>
          <w:p w14:paraId="0DEEEEF0">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3AE192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DF1F6DF">
            <w:pPr>
              <w:pageBreakBefore w:val="0"/>
              <w:wordWrap/>
              <w:bidi w:val="0"/>
              <w:adjustRightInd/>
              <w:snapToGrid/>
              <w:spacing w:line="240" w:lineRule="auto"/>
              <w:ind w:firstLine="0" w:firstLineChars="0"/>
              <w:jc w:val="center"/>
              <w:rPr>
                <w:color w:val="auto"/>
                <w:sz w:val="21"/>
                <w:szCs w:val="21"/>
              </w:rPr>
            </w:pPr>
            <w:r>
              <w:rPr>
                <w:bCs/>
                <w:color w:val="auto"/>
                <w:sz w:val="21"/>
                <w:szCs w:val="21"/>
              </w:rPr>
              <w:t>20.0</w:t>
            </w:r>
          </w:p>
        </w:tc>
      </w:tr>
      <w:tr w14:paraId="4AEF7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978F2C1">
            <w:pPr>
              <w:pageBreakBefore w:val="0"/>
              <w:wordWrap/>
              <w:bidi w:val="0"/>
              <w:adjustRightInd/>
              <w:snapToGrid/>
              <w:spacing w:line="240" w:lineRule="auto"/>
              <w:ind w:firstLine="0" w:firstLineChars="0"/>
              <w:jc w:val="center"/>
              <w:rPr>
                <w:color w:val="auto"/>
                <w:sz w:val="21"/>
                <w:szCs w:val="21"/>
              </w:rPr>
            </w:pPr>
            <w:r>
              <w:rPr>
                <w:color w:val="auto"/>
                <w:sz w:val="21"/>
                <w:szCs w:val="21"/>
              </w:rPr>
              <w:t>11</w:t>
            </w:r>
          </w:p>
        </w:tc>
        <w:tc>
          <w:tcPr>
            <w:tcW w:w="1035" w:type="pct"/>
            <w:tcBorders>
              <w:tl2br w:val="nil"/>
              <w:tr2bl w:val="nil"/>
            </w:tcBorders>
            <w:noWrap w:val="0"/>
            <w:vAlign w:val="center"/>
          </w:tcPr>
          <w:p w14:paraId="082D13DE">
            <w:pPr>
              <w:pageBreakBefore w:val="0"/>
              <w:wordWrap/>
              <w:bidi w:val="0"/>
              <w:adjustRightInd/>
              <w:snapToGrid/>
              <w:spacing w:line="240" w:lineRule="auto"/>
              <w:ind w:firstLine="0" w:firstLineChars="0"/>
              <w:jc w:val="center"/>
              <w:rPr>
                <w:color w:val="auto"/>
                <w:sz w:val="21"/>
                <w:szCs w:val="21"/>
              </w:rPr>
            </w:pPr>
            <w:r>
              <w:rPr>
                <w:color w:val="auto"/>
                <w:sz w:val="21"/>
                <w:szCs w:val="21"/>
              </w:rPr>
              <w:t>亚硝酸盐</w:t>
            </w:r>
          </w:p>
        </w:tc>
        <w:tc>
          <w:tcPr>
            <w:tcW w:w="719" w:type="pct"/>
            <w:tcBorders>
              <w:tl2br w:val="nil"/>
              <w:tr2bl w:val="nil"/>
            </w:tcBorders>
            <w:noWrap w:val="0"/>
            <w:vAlign w:val="center"/>
          </w:tcPr>
          <w:p w14:paraId="56719A8D">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B050BD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77916321">
            <w:pPr>
              <w:pageBreakBefore w:val="0"/>
              <w:wordWrap/>
              <w:bidi w:val="0"/>
              <w:adjustRightInd/>
              <w:snapToGrid/>
              <w:spacing w:line="240" w:lineRule="auto"/>
              <w:ind w:firstLine="0" w:firstLineChars="0"/>
              <w:jc w:val="center"/>
              <w:rPr>
                <w:color w:val="auto"/>
                <w:sz w:val="21"/>
                <w:szCs w:val="21"/>
              </w:rPr>
            </w:pPr>
            <w:r>
              <w:rPr>
                <w:bCs/>
                <w:color w:val="auto"/>
                <w:sz w:val="21"/>
                <w:szCs w:val="21"/>
              </w:rPr>
              <w:t>1.00</w:t>
            </w:r>
          </w:p>
        </w:tc>
      </w:tr>
      <w:tr w14:paraId="132B0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C63F2A2">
            <w:pPr>
              <w:pageBreakBefore w:val="0"/>
              <w:wordWrap/>
              <w:bidi w:val="0"/>
              <w:adjustRightInd/>
              <w:snapToGrid/>
              <w:spacing w:line="240" w:lineRule="auto"/>
              <w:ind w:firstLine="0" w:firstLineChars="0"/>
              <w:jc w:val="center"/>
              <w:rPr>
                <w:color w:val="auto"/>
                <w:sz w:val="21"/>
                <w:szCs w:val="21"/>
              </w:rPr>
            </w:pPr>
            <w:r>
              <w:rPr>
                <w:color w:val="auto"/>
                <w:sz w:val="21"/>
                <w:szCs w:val="21"/>
              </w:rPr>
              <w:t>12</w:t>
            </w:r>
          </w:p>
        </w:tc>
        <w:tc>
          <w:tcPr>
            <w:tcW w:w="1035" w:type="pct"/>
            <w:tcBorders>
              <w:tl2br w:val="nil"/>
              <w:tr2bl w:val="nil"/>
            </w:tcBorders>
            <w:noWrap w:val="0"/>
            <w:vAlign w:val="center"/>
          </w:tcPr>
          <w:p w14:paraId="4DA36EC0">
            <w:pPr>
              <w:pageBreakBefore w:val="0"/>
              <w:wordWrap/>
              <w:bidi w:val="0"/>
              <w:adjustRightInd/>
              <w:snapToGrid/>
              <w:spacing w:line="240" w:lineRule="auto"/>
              <w:ind w:firstLine="0" w:firstLineChars="0"/>
              <w:jc w:val="center"/>
              <w:rPr>
                <w:color w:val="auto"/>
                <w:sz w:val="21"/>
                <w:szCs w:val="21"/>
              </w:rPr>
            </w:pPr>
            <w:r>
              <w:rPr>
                <w:color w:val="auto"/>
                <w:sz w:val="21"/>
                <w:szCs w:val="21"/>
              </w:rPr>
              <w:t>硫酸盐</w:t>
            </w:r>
          </w:p>
        </w:tc>
        <w:tc>
          <w:tcPr>
            <w:tcW w:w="719" w:type="pct"/>
            <w:tcBorders>
              <w:tl2br w:val="nil"/>
              <w:tr2bl w:val="nil"/>
            </w:tcBorders>
            <w:noWrap w:val="0"/>
            <w:vAlign w:val="center"/>
          </w:tcPr>
          <w:p w14:paraId="4AE12EFD">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5395789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4D6826C">
            <w:pPr>
              <w:pageBreakBefore w:val="0"/>
              <w:wordWrap/>
              <w:bidi w:val="0"/>
              <w:adjustRightInd/>
              <w:snapToGrid/>
              <w:spacing w:line="240" w:lineRule="auto"/>
              <w:ind w:firstLine="0" w:firstLineChars="0"/>
              <w:jc w:val="center"/>
              <w:rPr>
                <w:color w:val="auto"/>
                <w:sz w:val="21"/>
                <w:szCs w:val="21"/>
              </w:rPr>
            </w:pPr>
            <w:r>
              <w:rPr>
                <w:bCs/>
                <w:color w:val="auto"/>
                <w:sz w:val="21"/>
                <w:szCs w:val="21"/>
              </w:rPr>
              <w:t>250</w:t>
            </w:r>
          </w:p>
        </w:tc>
      </w:tr>
      <w:tr w14:paraId="399DC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4FF7D2B">
            <w:pPr>
              <w:pageBreakBefore w:val="0"/>
              <w:wordWrap/>
              <w:bidi w:val="0"/>
              <w:adjustRightInd/>
              <w:snapToGrid/>
              <w:spacing w:line="240" w:lineRule="auto"/>
              <w:ind w:firstLine="0" w:firstLineChars="0"/>
              <w:jc w:val="center"/>
              <w:rPr>
                <w:color w:val="auto"/>
                <w:sz w:val="21"/>
                <w:szCs w:val="21"/>
              </w:rPr>
            </w:pPr>
            <w:r>
              <w:rPr>
                <w:color w:val="auto"/>
                <w:sz w:val="21"/>
                <w:szCs w:val="21"/>
              </w:rPr>
              <w:t>13</w:t>
            </w:r>
          </w:p>
        </w:tc>
        <w:tc>
          <w:tcPr>
            <w:tcW w:w="1035" w:type="pct"/>
            <w:tcBorders>
              <w:tl2br w:val="nil"/>
              <w:tr2bl w:val="nil"/>
            </w:tcBorders>
            <w:noWrap w:val="0"/>
            <w:vAlign w:val="center"/>
          </w:tcPr>
          <w:p w14:paraId="4E3DB273">
            <w:pPr>
              <w:pageBreakBefore w:val="0"/>
              <w:wordWrap/>
              <w:bidi w:val="0"/>
              <w:adjustRightInd/>
              <w:snapToGrid/>
              <w:spacing w:line="240" w:lineRule="auto"/>
              <w:ind w:firstLine="0" w:firstLineChars="0"/>
              <w:jc w:val="center"/>
              <w:rPr>
                <w:color w:val="auto"/>
                <w:sz w:val="21"/>
                <w:szCs w:val="21"/>
              </w:rPr>
            </w:pPr>
            <w:r>
              <w:rPr>
                <w:color w:val="auto"/>
                <w:sz w:val="21"/>
                <w:szCs w:val="21"/>
              </w:rPr>
              <w:t>氰化物</w:t>
            </w:r>
          </w:p>
        </w:tc>
        <w:tc>
          <w:tcPr>
            <w:tcW w:w="719" w:type="pct"/>
            <w:tcBorders>
              <w:tl2br w:val="nil"/>
              <w:tr2bl w:val="nil"/>
            </w:tcBorders>
            <w:noWrap w:val="0"/>
            <w:vAlign w:val="center"/>
          </w:tcPr>
          <w:p w14:paraId="1C9C45D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8F1C3E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FCA498E">
            <w:pPr>
              <w:pageBreakBefore w:val="0"/>
              <w:wordWrap/>
              <w:bidi w:val="0"/>
              <w:adjustRightInd/>
              <w:snapToGrid/>
              <w:spacing w:line="240" w:lineRule="auto"/>
              <w:ind w:firstLine="0" w:firstLineChars="0"/>
              <w:jc w:val="center"/>
              <w:rPr>
                <w:color w:val="auto"/>
                <w:sz w:val="21"/>
                <w:szCs w:val="21"/>
              </w:rPr>
            </w:pPr>
            <w:r>
              <w:rPr>
                <w:bCs/>
                <w:color w:val="auto"/>
                <w:sz w:val="21"/>
                <w:szCs w:val="21"/>
              </w:rPr>
              <w:t>0.05</w:t>
            </w:r>
          </w:p>
        </w:tc>
      </w:tr>
      <w:tr w14:paraId="13625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A9EFBD2">
            <w:pPr>
              <w:pageBreakBefore w:val="0"/>
              <w:wordWrap/>
              <w:bidi w:val="0"/>
              <w:adjustRightInd/>
              <w:snapToGrid/>
              <w:spacing w:line="240" w:lineRule="auto"/>
              <w:ind w:firstLine="0" w:firstLineChars="0"/>
              <w:jc w:val="center"/>
              <w:rPr>
                <w:color w:val="auto"/>
                <w:sz w:val="21"/>
                <w:szCs w:val="21"/>
              </w:rPr>
            </w:pPr>
            <w:r>
              <w:rPr>
                <w:color w:val="auto"/>
                <w:sz w:val="21"/>
                <w:szCs w:val="21"/>
              </w:rPr>
              <w:t>14</w:t>
            </w:r>
          </w:p>
        </w:tc>
        <w:tc>
          <w:tcPr>
            <w:tcW w:w="1035" w:type="pct"/>
            <w:tcBorders>
              <w:tl2br w:val="nil"/>
              <w:tr2bl w:val="nil"/>
            </w:tcBorders>
            <w:noWrap w:val="0"/>
            <w:vAlign w:val="center"/>
          </w:tcPr>
          <w:p w14:paraId="01A2378E">
            <w:pPr>
              <w:pageBreakBefore w:val="0"/>
              <w:wordWrap/>
              <w:bidi w:val="0"/>
              <w:adjustRightInd/>
              <w:snapToGrid/>
              <w:spacing w:line="240" w:lineRule="auto"/>
              <w:ind w:firstLine="0" w:firstLineChars="0"/>
              <w:jc w:val="center"/>
              <w:rPr>
                <w:color w:val="auto"/>
                <w:sz w:val="21"/>
                <w:szCs w:val="21"/>
              </w:rPr>
            </w:pPr>
            <w:r>
              <w:rPr>
                <w:color w:val="auto"/>
                <w:sz w:val="21"/>
                <w:szCs w:val="21"/>
              </w:rPr>
              <w:t>铁</w:t>
            </w:r>
          </w:p>
        </w:tc>
        <w:tc>
          <w:tcPr>
            <w:tcW w:w="719" w:type="pct"/>
            <w:tcBorders>
              <w:tl2br w:val="nil"/>
              <w:tr2bl w:val="nil"/>
            </w:tcBorders>
            <w:noWrap w:val="0"/>
            <w:vAlign w:val="center"/>
          </w:tcPr>
          <w:p w14:paraId="25793A24">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7931F0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D95D35C">
            <w:pPr>
              <w:pageBreakBefore w:val="0"/>
              <w:wordWrap/>
              <w:bidi w:val="0"/>
              <w:adjustRightInd/>
              <w:snapToGrid/>
              <w:spacing w:line="240" w:lineRule="auto"/>
              <w:ind w:firstLine="0" w:firstLineChars="0"/>
              <w:jc w:val="center"/>
              <w:rPr>
                <w:color w:val="auto"/>
                <w:sz w:val="21"/>
                <w:szCs w:val="21"/>
              </w:rPr>
            </w:pPr>
            <w:r>
              <w:rPr>
                <w:bCs/>
                <w:color w:val="auto"/>
                <w:sz w:val="21"/>
                <w:szCs w:val="21"/>
              </w:rPr>
              <w:t>0.3</w:t>
            </w:r>
          </w:p>
        </w:tc>
      </w:tr>
      <w:tr w14:paraId="5748B5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D9D6290">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035" w:type="pct"/>
            <w:tcBorders>
              <w:tl2br w:val="nil"/>
              <w:tr2bl w:val="nil"/>
            </w:tcBorders>
            <w:noWrap w:val="0"/>
            <w:vAlign w:val="center"/>
          </w:tcPr>
          <w:p w14:paraId="359F78BD">
            <w:pPr>
              <w:pageBreakBefore w:val="0"/>
              <w:wordWrap/>
              <w:bidi w:val="0"/>
              <w:adjustRightInd/>
              <w:snapToGrid/>
              <w:spacing w:line="240" w:lineRule="auto"/>
              <w:ind w:firstLine="0" w:firstLineChars="0"/>
              <w:jc w:val="center"/>
              <w:rPr>
                <w:color w:val="auto"/>
                <w:sz w:val="21"/>
                <w:szCs w:val="21"/>
              </w:rPr>
            </w:pPr>
            <w:r>
              <w:rPr>
                <w:color w:val="auto"/>
                <w:sz w:val="21"/>
                <w:szCs w:val="21"/>
              </w:rPr>
              <w:t>锰</w:t>
            </w:r>
          </w:p>
        </w:tc>
        <w:tc>
          <w:tcPr>
            <w:tcW w:w="719" w:type="pct"/>
            <w:tcBorders>
              <w:tl2br w:val="nil"/>
              <w:tr2bl w:val="nil"/>
            </w:tcBorders>
            <w:noWrap w:val="0"/>
            <w:vAlign w:val="center"/>
          </w:tcPr>
          <w:p w14:paraId="352333B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712EA2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A0C3A10">
            <w:pPr>
              <w:pageBreakBefore w:val="0"/>
              <w:wordWrap/>
              <w:bidi w:val="0"/>
              <w:adjustRightInd/>
              <w:snapToGrid/>
              <w:spacing w:line="240" w:lineRule="auto"/>
              <w:ind w:firstLine="0" w:firstLineChars="0"/>
              <w:jc w:val="center"/>
              <w:rPr>
                <w:color w:val="auto"/>
                <w:sz w:val="21"/>
                <w:szCs w:val="21"/>
              </w:rPr>
            </w:pPr>
            <w:r>
              <w:rPr>
                <w:bCs/>
                <w:color w:val="auto"/>
                <w:sz w:val="21"/>
                <w:szCs w:val="21"/>
              </w:rPr>
              <w:t>0.10</w:t>
            </w:r>
          </w:p>
        </w:tc>
      </w:tr>
      <w:tr w14:paraId="523EE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9BBE692">
            <w:pPr>
              <w:pageBreakBefore w:val="0"/>
              <w:wordWrap/>
              <w:bidi w:val="0"/>
              <w:adjustRightInd/>
              <w:snapToGrid/>
              <w:spacing w:line="240" w:lineRule="auto"/>
              <w:ind w:firstLine="0" w:firstLineChars="0"/>
              <w:jc w:val="center"/>
              <w:rPr>
                <w:color w:val="auto"/>
                <w:sz w:val="21"/>
                <w:szCs w:val="21"/>
              </w:rPr>
            </w:pPr>
            <w:r>
              <w:rPr>
                <w:color w:val="auto"/>
                <w:sz w:val="21"/>
                <w:szCs w:val="21"/>
              </w:rPr>
              <w:t>16</w:t>
            </w:r>
          </w:p>
        </w:tc>
        <w:tc>
          <w:tcPr>
            <w:tcW w:w="1035" w:type="pct"/>
            <w:tcBorders>
              <w:tl2br w:val="nil"/>
              <w:tr2bl w:val="nil"/>
            </w:tcBorders>
            <w:noWrap w:val="0"/>
            <w:vAlign w:val="center"/>
          </w:tcPr>
          <w:p w14:paraId="3A327FFC">
            <w:pPr>
              <w:pageBreakBefore w:val="0"/>
              <w:wordWrap/>
              <w:bidi w:val="0"/>
              <w:adjustRightInd/>
              <w:snapToGrid/>
              <w:spacing w:line="240" w:lineRule="auto"/>
              <w:ind w:firstLine="0" w:firstLineChars="0"/>
              <w:jc w:val="center"/>
              <w:rPr>
                <w:color w:val="auto"/>
                <w:sz w:val="21"/>
                <w:szCs w:val="21"/>
              </w:rPr>
            </w:pPr>
            <w:r>
              <w:rPr>
                <w:color w:val="auto"/>
                <w:sz w:val="21"/>
                <w:szCs w:val="21"/>
              </w:rPr>
              <w:t>铅</w:t>
            </w:r>
          </w:p>
        </w:tc>
        <w:tc>
          <w:tcPr>
            <w:tcW w:w="719" w:type="pct"/>
            <w:tcBorders>
              <w:tl2br w:val="nil"/>
              <w:tr2bl w:val="nil"/>
            </w:tcBorders>
            <w:noWrap w:val="0"/>
            <w:vAlign w:val="center"/>
          </w:tcPr>
          <w:p w14:paraId="190AD224">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CAE6DA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77F4F425">
            <w:pPr>
              <w:pageBreakBefore w:val="0"/>
              <w:wordWrap/>
              <w:bidi w:val="0"/>
              <w:adjustRightInd/>
              <w:snapToGrid/>
              <w:spacing w:line="240" w:lineRule="auto"/>
              <w:ind w:firstLine="0" w:firstLineChars="0"/>
              <w:jc w:val="center"/>
              <w:rPr>
                <w:color w:val="auto"/>
                <w:sz w:val="21"/>
                <w:szCs w:val="21"/>
              </w:rPr>
            </w:pPr>
            <w:r>
              <w:rPr>
                <w:bCs/>
                <w:color w:val="auto"/>
                <w:sz w:val="21"/>
                <w:szCs w:val="21"/>
              </w:rPr>
              <w:t>0.01</w:t>
            </w:r>
          </w:p>
        </w:tc>
      </w:tr>
      <w:tr w14:paraId="75FB2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742CDE8">
            <w:pPr>
              <w:pageBreakBefore w:val="0"/>
              <w:wordWrap/>
              <w:bidi w:val="0"/>
              <w:adjustRightInd/>
              <w:snapToGrid/>
              <w:spacing w:line="240" w:lineRule="auto"/>
              <w:ind w:firstLine="0" w:firstLineChars="0"/>
              <w:jc w:val="center"/>
              <w:rPr>
                <w:color w:val="auto"/>
                <w:sz w:val="21"/>
                <w:szCs w:val="21"/>
              </w:rPr>
            </w:pPr>
            <w:r>
              <w:rPr>
                <w:color w:val="auto"/>
                <w:sz w:val="21"/>
                <w:szCs w:val="21"/>
              </w:rPr>
              <w:t>17</w:t>
            </w:r>
          </w:p>
        </w:tc>
        <w:tc>
          <w:tcPr>
            <w:tcW w:w="1035" w:type="pct"/>
            <w:tcBorders>
              <w:tl2br w:val="nil"/>
              <w:tr2bl w:val="nil"/>
            </w:tcBorders>
            <w:noWrap w:val="0"/>
            <w:vAlign w:val="center"/>
          </w:tcPr>
          <w:p w14:paraId="4B491ED7">
            <w:pPr>
              <w:pageBreakBefore w:val="0"/>
              <w:wordWrap/>
              <w:bidi w:val="0"/>
              <w:adjustRightInd/>
              <w:snapToGrid/>
              <w:spacing w:line="240" w:lineRule="auto"/>
              <w:ind w:firstLine="0" w:firstLineChars="0"/>
              <w:jc w:val="center"/>
              <w:rPr>
                <w:color w:val="auto"/>
                <w:sz w:val="21"/>
                <w:szCs w:val="21"/>
              </w:rPr>
            </w:pPr>
            <w:r>
              <w:rPr>
                <w:color w:val="auto"/>
                <w:sz w:val="21"/>
                <w:szCs w:val="21"/>
              </w:rPr>
              <w:t>镉</w:t>
            </w:r>
          </w:p>
        </w:tc>
        <w:tc>
          <w:tcPr>
            <w:tcW w:w="719" w:type="pct"/>
            <w:tcBorders>
              <w:tl2br w:val="nil"/>
              <w:tr2bl w:val="nil"/>
            </w:tcBorders>
            <w:noWrap w:val="0"/>
            <w:vAlign w:val="center"/>
          </w:tcPr>
          <w:p w14:paraId="39E4797E">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6C1E51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E0512C8">
            <w:pPr>
              <w:pageBreakBefore w:val="0"/>
              <w:wordWrap/>
              <w:bidi w:val="0"/>
              <w:adjustRightInd/>
              <w:snapToGrid/>
              <w:spacing w:line="240" w:lineRule="auto"/>
              <w:ind w:firstLine="0" w:firstLineChars="0"/>
              <w:jc w:val="center"/>
              <w:rPr>
                <w:color w:val="auto"/>
                <w:sz w:val="21"/>
                <w:szCs w:val="21"/>
              </w:rPr>
            </w:pPr>
            <w:r>
              <w:rPr>
                <w:bCs/>
                <w:color w:val="auto"/>
                <w:sz w:val="21"/>
                <w:szCs w:val="21"/>
              </w:rPr>
              <w:t>0.005</w:t>
            </w:r>
          </w:p>
        </w:tc>
      </w:tr>
      <w:tr w14:paraId="1524F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3A135DC">
            <w:pPr>
              <w:pageBreakBefore w:val="0"/>
              <w:wordWrap/>
              <w:bidi w:val="0"/>
              <w:adjustRightInd/>
              <w:snapToGrid/>
              <w:spacing w:line="240" w:lineRule="auto"/>
              <w:ind w:firstLine="0" w:firstLineChars="0"/>
              <w:jc w:val="center"/>
              <w:rPr>
                <w:color w:val="auto"/>
                <w:sz w:val="21"/>
                <w:szCs w:val="21"/>
              </w:rPr>
            </w:pPr>
            <w:r>
              <w:rPr>
                <w:color w:val="auto"/>
                <w:sz w:val="21"/>
                <w:szCs w:val="21"/>
              </w:rPr>
              <w:t>18</w:t>
            </w:r>
          </w:p>
        </w:tc>
        <w:tc>
          <w:tcPr>
            <w:tcW w:w="1035" w:type="pct"/>
            <w:tcBorders>
              <w:tl2br w:val="nil"/>
              <w:tr2bl w:val="nil"/>
            </w:tcBorders>
            <w:noWrap w:val="0"/>
            <w:vAlign w:val="center"/>
          </w:tcPr>
          <w:p w14:paraId="766D04EE">
            <w:pPr>
              <w:pageBreakBefore w:val="0"/>
              <w:wordWrap/>
              <w:bidi w:val="0"/>
              <w:adjustRightInd/>
              <w:snapToGrid/>
              <w:spacing w:line="240" w:lineRule="auto"/>
              <w:ind w:firstLine="0" w:firstLineChars="0"/>
              <w:jc w:val="center"/>
              <w:rPr>
                <w:color w:val="auto"/>
                <w:sz w:val="21"/>
                <w:szCs w:val="21"/>
              </w:rPr>
            </w:pPr>
            <w:r>
              <w:rPr>
                <w:color w:val="auto"/>
                <w:sz w:val="21"/>
                <w:szCs w:val="21"/>
              </w:rPr>
              <w:t>砷</w:t>
            </w:r>
          </w:p>
        </w:tc>
        <w:tc>
          <w:tcPr>
            <w:tcW w:w="719" w:type="pct"/>
            <w:tcBorders>
              <w:tl2br w:val="nil"/>
              <w:tr2bl w:val="nil"/>
            </w:tcBorders>
            <w:noWrap w:val="0"/>
            <w:vAlign w:val="center"/>
          </w:tcPr>
          <w:p w14:paraId="0E7E9C28">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3DA09E3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7CD28F6">
            <w:pPr>
              <w:pageBreakBefore w:val="0"/>
              <w:wordWrap/>
              <w:bidi w:val="0"/>
              <w:adjustRightInd/>
              <w:snapToGrid/>
              <w:spacing w:line="240" w:lineRule="auto"/>
              <w:ind w:firstLine="0" w:firstLineChars="0"/>
              <w:jc w:val="center"/>
              <w:rPr>
                <w:color w:val="auto"/>
                <w:sz w:val="21"/>
                <w:szCs w:val="21"/>
              </w:rPr>
            </w:pPr>
            <w:r>
              <w:rPr>
                <w:bCs/>
                <w:color w:val="auto"/>
                <w:sz w:val="21"/>
                <w:szCs w:val="21"/>
              </w:rPr>
              <w:t>0.01</w:t>
            </w:r>
          </w:p>
        </w:tc>
      </w:tr>
      <w:tr w14:paraId="5D4B5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E29E9A5">
            <w:pPr>
              <w:pageBreakBefore w:val="0"/>
              <w:wordWrap/>
              <w:bidi w:val="0"/>
              <w:adjustRightInd/>
              <w:snapToGrid/>
              <w:spacing w:line="240" w:lineRule="auto"/>
              <w:ind w:firstLine="0" w:firstLineChars="0"/>
              <w:jc w:val="center"/>
              <w:rPr>
                <w:color w:val="auto"/>
                <w:sz w:val="21"/>
                <w:szCs w:val="21"/>
              </w:rPr>
            </w:pPr>
            <w:r>
              <w:rPr>
                <w:color w:val="auto"/>
                <w:sz w:val="21"/>
                <w:szCs w:val="21"/>
              </w:rPr>
              <w:t>19</w:t>
            </w:r>
          </w:p>
        </w:tc>
        <w:tc>
          <w:tcPr>
            <w:tcW w:w="1035" w:type="pct"/>
            <w:tcBorders>
              <w:tl2br w:val="nil"/>
              <w:tr2bl w:val="nil"/>
            </w:tcBorders>
            <w:noWrap w:val="0"/>
            <w:vAlign w:val="center"/>
          </w:tcPr>
          <w:p w14:paraId="4BDE6255">
            <w:pPr>
              <w:pageBreakBefore w:val="0"/>
              <w:wordWrap/>
              <w:bidi w:val="0"/>
              <w:adjustRightInd/>
              <w:snapToGrid/>
              <w:spacing w:line="240" w:lineRule="auto"/>
              <w:ind w:firstLine="0" w:firstLineChars="0"/>
              <w:jc w:val="center"/>
              <w:rPr>
                <w:color w:val="auto"/>
                <w:sz w:val="21"/>
                <w:szCs w:val="21"/>
              </w:rPr>
            </w:pPr>
            <w:r>
              <w:rPr>
                <w:color w:val="auto"/>
                <w:sz w:val="21"/>
                <w:szCs w:val="21"/>
              </w:rPr>
              <w:t>汞</w:t>
            </w:r>
          </w:p>
        </w:tc>
        <w:tc>
          <w:tcPr>
            <w:tcW w:w="719" w:type="pct"/>
            <w:tcBorders>
              <w:tl2br w:val="nil"/>
              <w:tr2bl w:val="nil"/>
            </w:tcBorders>
            <w:noWrap w:val="0"/>
            <w:vAlign w:val="center"/>
          </w:tcPr>
          <w:p w14:paraId="2D17D553">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173C38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88A3227">
            <w:pPr>
              <w:pageBreakBefore w:val="0"/>
              <w:wordWrap/>
              <w:bidi w:val="0"/>
              <w:adjustRightInd/>
              <w:snapToGrid/>
              <w:spacing w:line="240" w:lineRule="auto"/>
              <w:ind w:firstLine="0" w:firstLineChars="0"/>
              <w:jc w:val="center"/>
              <w:rPr>
                <w:color w:val="auto"/>
                <w:sz w:val="21"/>
                <w:szCs w:val="21"/>
              </w:rPr>
            </w:pPr>
            <w:r>
              <w:rPr>
                <w:bCs/>
                <w:color w:val="auto"/>
                <w:sz w:val="21"/>
                <w:szCs w:val="21"/>
              </w:rPr>
              <w:t>0.001</w:t>
            </w:r>
          </w:p>
        </w:tc>
      </w:tr>
      <w:tr w14:paraId="55DD3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4E3F5DA2">
            <w:pPr>
              <w:pageBreakBefore w:val="0"/>
              <w:wordWrap/>
              <w:bidi w:val="0"/>
              <w:adjustRightInd/>
              <w:snapToGrid/>
              <w:spacing w:line="240" w:lineRule="auto"/>
              <w:ind w:firstLine="0" w:firstLineChars="0"/>
              <w:jc w:val="center"/>
              <w:rPr>
                <w:color w:val="auto"/>
                <w:sz w:val="21"/>
                <w:szCs w:val="21"/>
              </w:rPr>
            </w:pPr>
            <w:r>
              <w:rPr>
                <w:color w:val="auto"/>
                <w:sz w:val="21"/>
                <w:szCs w:val="21"/>
              </w:rPr>
              <w:t>20</w:t>
            </w:r>
          </w:p>
        </w:tc>
        <w:tc>
          <w:tcPr>
            <w:tcW w:w="1035" w:type="pct"/>
            <w:tcBorders>
              <w:tl2br w:val="nil"/>
              <w:tr2bl w:val="nil"/>
            </w:tcBorders>
            <w:noWrap w:val="0"/>
            <w:vAlign w:val="center"/>
          </w:tcPr>
          <w:p w14:paraId="61C62433">
            <w:pPr>
              <w:pageBreakBefore w:val="0"/>
              <w:wordWrap/>
              <w:bidi w:val="0"/>
              <w:adjustRightInd/>
              <w:snapToGrid/>
              <w:spacing w:line="240" w:lineRule="auto"/>
              <w:ind w:firstLine="0" w:firstLineChars="0"/>
              <w:jc w:val="center"/>
              <w:rPr>
                <w:color w:val="auto"/>
                <w:sz w:val="21"/>
                <w:szCs w:val="21"/>
              </w:rPr>
            </w:pPr>
            <w:r>
              <w:rPr>
                <w:color w:val="auto"/>
                <w:sz w:val="21"/>
                <w:szCs w:val="21"/>
              </w:rPr>
              <w:t>石油类</w:t>
            </w:r>
          </w:p>
        </w:tc>
        <w:tc>
          <w:tcPr>
            <w:tcW w:w="719" w:type="pct"/>
            <w:tcBorders>
              <w:tl2br w:val="nil"/>
              <w:tr2bl w:val="nil"/>
            </w:tcBorders>
            <w:noWrap w:val="0"/>
            <w:vAlign w:val="center"/>
          </w:tcPr>
          <w:p w14:paraId="3E0801CC">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2CE75B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0851320A">
            <w:pPr>
              <w:pageBreakBefore w:val="0"/>
              <w:wordWrap/>
              <w:bidi w:val="0"/>
              <w:adjustRightInd/>
              <w:snapToGrid/>
              <w:spacing w:line="240" w:lineRule="auto"/>
              <w:ind w:firstLine="0" w:firstLineChars="0"/>
              <w:jc w:val="center"/>
              <w:rPr>
                <w:color w:val="auto"/>
                <w:sz w:val="21"/>
                <w:szCs w:val="21"/>
              </w:rPr>
            </w:pPr>
            <w:r>
              <w:rPr>
                <w:bCs/>
                <w:color w:val="auto"/>
                <w:sz w:val="21"/>
                <w:szCs w:val="21"/>
              </w:rPr>
              <w:t>/</w:t>
            </w:r>
          </w:p>
        </w:tc>
      </w:tr>
      <w:tr w14:paraId="4AE7E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5DCA442A">
            <w:pPr>
              <w:pageBreakBefore w:val="0"/>
              <w:wordWrap/>
              <w:bidi w:val="0"/>
              <w:adjustRightInd/>
              <w:snapToGrid/>
              <w:spacing w:line="240" w:lineRule="auto"/>
              <w:ind w:firstLine="0" w:firstLineChars="0"/>
              <w:jc w:val="center"/>
              <w:rPr>
                <w:color w:val="auto"/>
                <w:sz w:val="21"/>
                <w:szCs w:val="21"/>
              </w:rPr>
            </w:pPr>
            <w:r>
              <w:rPr>
                <w:color w:val="auto"/>
                <w:sz w:val="21"/>
                <w:szCs w:val="21"/>
              </w:rPr>
              <w:t>21</w:t>
            </w:r>
          </w:p>
        </w:tc>
        <w:tc>
          <w:tcPr>
            <w:tcW w:w="1035" w:type="pct"/>
            <w:tcBorders>
              <w:tl2br w:val="nil"/>
              <w:tr2bl w:val="nil"/>
            </w:tcBorders>
            <w:noWrap w:val="0"/>
            <w:vAlign w:val="center"/>
          </w:tcPr>
          <w:p w14:paraId="252EDE04">
            <w:pPr>
              <w:pageBreakBefore w:val="0"/>
              <w:wordWrap/>
              <w:bidi w:val="0"/>
              <w:adjustRightInd/>
              <w:snapToGrid/>
              <w:spacing w:line="240" w:lineRule="auto"/>
              <w:ind w:firstLine="0" w:firstLineChars="0"/>
              <w:jc w:val="center"/>
              <w:rPr>
                <w:color w:val="auto"/>
                <w:sz w:val="21"/>
                <w:szCs w:val="21"/>
              </w:rPr>
            </w:pPr>
            <w:r>
              <w:rPr>
                <w:color w:val="auto"/>
                <w:sz w:val="21"/>
                <w:szCs w:val="21"/>
              </w:rPr>
              <w:t>总大肠菌群</w:t>
            </w:r>
          </w:p>
        </w:tc>
        <w:tc>
          <w:tcPr>
            <w:tcW w:w="719" w:type="pct"/>
            <w:tcBorders>
              <w:tl2br w:val="nil"/>
              <w:tr2bl w:val="nil"/>
            </w:tcBorders>
            <w:noWrap w:val="0"/>
            <w:vAlign w:val="center"/>
          </w:tcPr>
          <w:p w14:paraId="11C4B947">
            <w:pPr>
              <w:pageBreakBefore w:val="0"/>
              <w:wordWrap/>
              <w:bidi w:val="0"/>
              <w:adjustRightInd/>
              <w:snapToGrid/>
              <w:spacing w:line="240" w:lineRule="auto"/>
              <w:ind w:firstLine="0" w:firstLineChars="0"/>
              <w:jc w:val="center"/>
              <w:rPr>
                <w:color w:val="auto"/>
                <w:sz w:val="21"/>
                <w:szCs w:val="21"/>
              </w:rPr>
            </w:pPr>
            <w:r>
              <w:rPr>
                <w:bCs/>
                <w:color w:val="auto"/>
                <w:sz w:val="21"/>
                <w:szCs w:val="21"/>
              </w:rPr>
              <w:t>MPN/L</w:t>
            </w:r>
          </w:p>
        </w:tc>
        <w:tc>
          <w:tcPr>
            <w:tcW w:w="715" w:type="pct"/>
            <w:tcBorders>
              <w:tl2br w:val="nil"/>
              <w:tr2bl w:val="nil"/>
            </w:tcBorders>
            <w:noWrap w:val="0"/>
            <w:vAlign w:val="center"/>
          </w:tcPr>
          <w:p w14:paraId="36FDF6B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9DEBEC9">
            <w:pPr>
              <w:pageBreakBefore w:val="0"/>
              <w:wordWrap/>
              <w:bidi w:val="0"/>
              <w:adjustRightInd/>
              <w:snapToGrid/>
              <w:spacing w:line="240" w:lineRule="auto"/>
              <w:ind w:firstLine="0" w:firstLineChars="0"/>
              <w:jc w:val="center"/>
              <w:rPr>
                <w:color w:val="auto"/>
                <w:sz w:val="21"/>
                <w:szCs w:val="21"/>
              </w:rPr>
            </w:pPr>
            <w:r>
              <w:rPr>
                <w:bCs/>
                <w:color w:val="auto"/>
                <w:sz w:val="21"/>
                <w:szCs w:val="21"/>
              </w:rPr>
              <w:t>3000</w:t>
            </w:r>
          </w:p>
        </w:tc>
      </w:tr>
      <w:tr w14:paraId="7788E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3829D0C">
            <w:pPr>
              <w:pageBreakBefore w:val="0"/>
              <w:wordWrap/>
              <w:bidi w:val="0"/>
              <w:adjustRightInd/>
              <w:snapToGrid/>
              <w:spacing w:line="240" w:lineRule="auto"/>
              <w:ind w:firstLine="0" w:firstLineChars="0"/>
              <w:jc w:val="center"/>
              <w:rPr>
                <w:color w:val="auto"/>
                <w:sz w:val="21"/>
                <w:szCs w:val="21"/>
              </w:rPr>
            </w:pPr>
            <w:r>
              <w:rPr>
                <w:color w:val="auto"/>
                <w:sz w:val="21"/>
                <w:szCs w:val="21"/>
              </w:rPr>
              <w:t>22</w:t>
            </w:r>
          </w:p>
        </w:tc>
        <w:tc>
          <w:tcPr>
            <w:tcW w:w="1035" w:type="pct"/>
            <w:tcBorders>
              <w:tl2br w:val="nil"/>
              <w:tr2bl w:val="nil"/>
            </w:tcBorders>
            <w:noWrap w:val="0"/>
            <w:vAlign w:val="center"/>
          </w:tcPr>
          <w:p w14:paraId="4357D2D0">
            <w:pPr>
              <w:pageBreakBefore w:val="0"/>
              <w:wordWrap/>
              <w:bidi w:val="0"/>
              <w:adjustRightInd/>
              <w:snapToGrid/>
              <w:spacing w:line="240" w:lineRule="auto"/>
              <w:ind w:firstLine="0" w:firstLineChars="0"/>
              <w:jc w:val="center"/>
              <w:rPr>
                <w:color w:val="auto"/>
                <w:sz w:val="21"/>
                <w:szCs w:val="21"/>
              </w:rPr>
            </w:pPr>
            <w:r>
              <w:rPr>
                <w:color w:val="auto"/>
                <w:sz w:val="21"/>
                <w:szCs w:val="21"/>
              </w:rPr>
              <w:t>细菌总数</w:t>
            </w:r>
          </w:p>
        </w:tc>
        <w:tc>
          <w:tcPr>
            <w:tcW w:w="719" w:type="pct"/>
            <w:tcBorders>
              <w:tl2br w:val="nil"/>
              <w:tr2bl w:val="nil"/>
            </w:tcBorders>
            <w:noWrap w:val="0"/>
            <w:vAlign w:val="center"/>
          </w:tcPr>
          <w:p w14:paraId="050C2C01">
            <w:pPr>
              <w:pageBreakBefore w:val="0"/>
              <w:wordWrap/>
              <w:bidi w:val="0"/>
              <w:adjustRightInd/>
              <w:snapToGrid/>
              <w:spacing w:line="240" w:lineRule="auto"/>
              <w:ind w:firstLine="0" w:firstLineChars="0"/>
              <w:jc w:val="center"/>
              <w:rPr>
                <w:color w:val="auto"/>
                <w:sz w:val="21"/>
                <w:szCs w:val="21"/>
              </w:rPr>
            </w:pPr>
            <w:r>
              <w:rPr>
                <w:color w:val="auto"/>
                <w:sz w:val="21"/>
                <w:szCs w:val="21"/>
              </w:rPr>
              <w:t>CPU</w:t>
            </w:r>
            <w:r>
              <w:rPr>
                <w:bCs/>
                <w:color w:val="auto"/>
                <w:sz w:val="21"/>
                <w:szCs w:val="21"/>
              </w:rPr>
              <w:t>/mL</w:t>
            </w:r>
          </w:p>
        </w:tc>
        <w:tc>
          <w:tcPr>
            <w:tcW w:w="715" w:type="pct"/>
            <w:tcBorders>
              <w:tl2br w:val="nil"/>
              <w:tr2bl w:val="nil"/>
            </w:tcBorders>
            <w:noWrap w:val="0"/>
            <w:vAlign w:val="center"/>
          </w:tcPr>
          <w:p w14:paraId="187D979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0F6B5569">
            <w:pPr>
              <w:pageBreakBefore w:val="0"/>
              <w:wordWrap/>
              <w:bidi w:val="0"/>
              <w:adjustRightInd/>
              <w:snapToGrid/>
              <w:spacing w:line="240" w:lineRule="auto"/>
              <w:ind w:firstLine="0" w:firstLineChars="0"/>
              <w:jc w:val="center"/>
              <w:rPr>
                <w:color w:val="auto"/>
                <w:sz w:val="21"/>
                <w:szCs w:val="21"/>
              </w:rPr>
            </w:pPr>
            <w:r>
              <w:rPr>
                <w:bCs/>
                <w:color w:val="auto"/>
                <w:sz w:val="21"/>
                <w:szCs w:val="21"/>
              </w:rPr>
              <w:t>100</w:t>
            </w:r>
          </w:p>
        </w:tc>
      </w:tr>
      <w:tr w14:paraId="246FB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9F9FC84">
            <w:pPr>
              <w:pageBreakBefore w:val="0"/>
              <w:wordWrap/>
              <w:bidi w:val="0"/>
              <w:adjustRightInd/>
              <w:snapToGrid/>
              <w:spacing w:line="240" w:lineRule="auto"/>
              <w:ind w:firstLine="0" w:firstLineChars="0"/>
              <w:jc w:val="center"/>
              <w:rPr>
                <w:color w:val="auto"/>
                <w:sz w:val="21"/>
                <w:szCs w:val="21"/>
              </w:rPr>
            </w:pPr>
            <w:r>
              <w:rPr>
                <w:color w:val="auto"/>
                <w:sz w:val="21"/>
                <w:szCs w:val="21"/>
              </w:rPr>
              <w:t>23</w:t>
            </w:r>
          </w:p>
        </w:tc>
        <w:tc>
          <w:tcPr>
            <w:tcW w:w="1035" w:type="pct"/>
            <w:tcBorders>
              <w:tl2br w:val="nil"/>
              <w:tr2bl w:val="nil"/>
            </w:tcBorders>
            <w:noWrap w:val="0"/>
            <w:vAlign w:val="center"/>
          </w:tcPr>
          <w:p w14:paraId="6A295713">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K</w:t>
            </w:r>
            <w:r>
              <w:rPr>
                <w:color w:val="auto"/>
                <w:sz w:val="21"/>
                <w:szCs w:val="21"/>
                <w:vertAlign w:val="superscript"/>
              </w:rPr>
              <w:t>+</w:t>
            </w:r>
          </w:p>
        </w:tc>
        <w:tc>
          <w:tcPr>
            <w:tcW w:w="719" w:type="pct"/>
            <w:tcBorders>
              <w:tl2br w:val="nil"/>
              <w:tr2bl w:val="nil"/>
            </w:tcBorders>
            <w:noWrap w:val="0"/>
            <w:vAlign w:val="center"/>
          </w:tcPr>
          <w:p w14:paraId="6A60239A">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5A3BCE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31477CC">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1D9F74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9549638">
            <w:pPr>
              <w:pageBreakBefore w:val="0"/>
              <w:wordWrap/>
              <w:bidi w:val="0"/>
              <w:adjustRightInd/>
              <w:snapToGrid/>
              <w:spacing w:line="240" w:lineRule="auto"/>
              <w:ind w:firstLine="0" w:firstLineChars="0"/>
              <w:jc w:val="center"/>
              <w:rPr>
                <w:color w:val="auto"/>
                <w:sz w:val="21"/>
                <w:szCs w:val="21"/>
              </w:rPr>
            </w:pPr>
            <w:r>
              <w:rPr>
                <w:color w:val="auto"/>
                <w:sz w:val="21"/>
                <w:szCs w:val="21"/>
              </w:rPr>
              <w:t>24</w:t>
            </w:r>
          </w:p>
        </w:tc>
        <w:tc>
          <w:tcPr>
            <w:tcW w:w="1035" w:type="pct"/>
            <w:tcBorders>
              <w:tl2br w:val="nil"/>
              <w:tr2bl w:val="nil"/>
            </w:tcBorders>
            <w:noWrap w:val="0"/>
            <w:vAlign w:val="center"/>
          </w:tcPr>
          <w:p w14:paraId="1038C140">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Na</w:t>
            </w:r>
            <w:r>
              <w:rPr>
                <w:color w:val="auto"/>
                <w:sz w:val="21"/>
                <w:szCs w:val="21"/>
                <w:vertAlign w:val="superscript"/>
              </w:rPr>
              <w:t>+</w:t>
            </w:r>
          </w:p>
        </w:tc>
        <w:tc>
          <w:tcPr>
            <w:tcW w:w="719" w:type="pct"/>
            <w:tcBorders>
              <w:tl2br w:val="nil"/>
              <w:tr2bl w:val="nil"/>
            </w:tcBorders>
            <w:noWrap w:val="0"/>
            <w:vAlign w:val="center"/>
          </w:tcPr>
          <w:p w14:paraId="6531EF63">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3C7A13E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6CB2C8E">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13A18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5BC4F11E">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1035" w:type="pct"/>
            <w:tcBorders>
              <w:tl2br w:val="nil"/>
              <w:tr2bl w:val="nil"/>
            </w:tcBorders>
            <w:noWrap w:val="0"/>
            <w:vAlign w:val="center"/>
          </w:tcPr>
          <w:p w14:paraId="26CD3858">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Ca</w:t>
            </w:r>
            <w:r>
              <w:rPr>
                <w:color w:val="auto"/>
                <w:sz w:val="21"/>
                <w:szCs w:val="21"/>
                <w:vertAlign w:val="superscript"/>
              </w:rPr>
              <w:t>2+</w:t>
            </w:r>
          </w:p>
        </w:tc>
        <w:tc>
          <w:tcPr>
            <w:tcW w:w="719" w:type="pct"/>
            <w:tcBorders>
              <w:tl2br w:val="nil"/>
              <w:tr2bl w:val="nil"/>
            </w:tcBorders>
            <w:noWrap w:val="0"/>
            <w:vAlign w:val="center"/>
          </w:tcPr>
          <w:p w14:paraId="6C7497DA">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379424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B00EDF6">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3CF9D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9E12C6C">
            <w:pPr>
              <w:pageBreakBefore w:val="0"/>
              <w:wordWrap/>
              <w:bidi w:val="0"/>
              <w:adjustRightInd/>
              <w:snapToGrid/>
              <w:spacing w:line="240" w:lineRule="auto"/>
              <w:ind w:firstLine="0" w:firstLineChars="0"/>
              <w:jc w:val="center"/>
              <w:rPr>
                <w:color w:val="auto"/>
                <w:sz w:val="21"/>
                <w:szCs w:val="21"/>
              </w:rPr>
            </w:pPr>
            <w:r>
              <w:rPr>
                <w:color w:val="auto"/>
                <w:sz w:val="21"/>
                <w:szCs w:val="21"/>
              </w:rPr>
              <w:t>26</w:t>
            </w:r>
          </w:p>
        </w:tc>
        <w:tc>
          <w:tcPr>
            <w:tcW w:w="1035" w:type="pct"/>
            <w:tcBorders>
              <w:tl2br w:val="nil"/>
              <w:tr2bl w:val="nil"/>
            </w:tcBorders>
            <w:noWrap w:val="0"/>
            <w:vAlign w:val="center"/>
          </w:tcPr>
          <w:p w14:paraId="2C611509">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Mg</w:t>
            </w:r>
            <w:r>
              <w:rPr>
                <w:color w:val="auto"/>
                <w:sz w:val="21"/>
                <w:szCs w:val="21"/>
                <w:vertAlign w:val="superscript"/>
              </w:rPr>
              <w:t>2+</w:t>
            </w:r>
          </w:p>
        </w:tc>
        <w:tc>
          <w:tcPr>
            <w:tcW w:w="719" w:type="pct"/>
            <w:tcBorders>
              <w:tl2br w:val="nil"/>
              <w:tr2bl w:val="nil"/>
            </w:tcBorders>
            <w:noWrap w:val="0"/>
            <w:vAlign w:val="center"/>
          </w:tcPr>
          <w:p w14:paraId="6DC0C9A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18413E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711306D9">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449FE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A8AF13B">
            <w:pPr>
              <w:pageBreakBefore w:val="0"/>
              <w:wordWrap/>
              <w:bidi w:val="0"/>
              <w:adjustRightInd/>
              <w:snapToGrid/>
              <w:spacing w:line="240" w:lineRule="auto"/>
              <w:ind w:firstLine="0" w:firstLineChars="0"/>
              <w:jc w:val="center"/>
              <w:rPr>
                <w:color w:val="auto"/>
                <w:sz w:val="21"/>
                <w:szCs w:val="21"/>
              </w:rPr>
            </w:pPr>
            <w:r>
              <w:rPr>
                <w:color w:val="auto"/>
                <w:sz w:val="21"/>
                <w:szCs w:val="21"/>
              </w:rPr>
              <w:t>27</w:t>
            </w:r>
          </w:p>
        </w:tc>
        <w:tc>
          <w:tcPr>
            <w:tcW w:w="1035" w:type="pct"/>
            <w:tcBorders>
              <w:tl2br w:val="nil"/>
              <w:tr2bl w:val="nil"/>
            </w:tcBorders>
            <w:noWrap w:val="0"/>
            <w:vAlign w:val="center"/>
          </w:tcPr>
          <w:p w14:paraId="4F326124">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CO</w:t>
            </w:r>
            <w:r>
              <w:rPr>
                <w:color w:val="auto"/>
                <w:sz w:val="21"/>
                <w:szCs w:val="21"/>
                <w:vertAlign w:val="subscript"/>
              </w:rPr>
              <w:t>3</w:t>
            </w:r>
            <w:r>
              <w:rPr>
                <w:rFonts w:hint="eastAsia"/>
                <w:color w:val="auto"/>
                <w:sz w:val="21"/>
                <w:szCs w:val="21"/>
                <w:vertAlign w:val="superscript"/>
                <w:lang w:val="en-US" w:eastAsia="zh-CN"/>
              </w:rPr>
              <w:t>2</w:t>
            </w:r>
            <w:r>
              <w:rPr>
                <w:color w:val="auto"/>
                <w:sz w:val="21"/>
                <w:szCs w:val="21"/>
                <w:vertAlign w:val="superscript"/>
              </w:rPr>
              <w:t>-</w:t>
            </w:r>
          </w:p>
        </w:tc>
        <w:tc>
          <w:tcPr>
            <w:tcW w:w="719" w:type="pct"/>
            <w:tcBorders>
              <w:tl2br w:val="nil"/>
              <w:tr2bl w:val="nil"/>
            </w:tcBorders>
            <w:noWrap w:val="0"/>
            <w:vAlign w:val="center"/>
          </w:tcPr>
          <w:p w14:paraId="5E8FA486">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180EA2A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8250DB9">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2DCF9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6FDCCD3">
            <w:pPr>
              <w:pageBreakBefore w:val="0"/>
              <w:wordWrap/>
              <w:bidi w:val="0"/>
              <w:adjustRightInd/>
              <w:snapToGrid/>
              <w:spacing w:line="240" w:lineRule="auto"/>
              <w:ind w:firstLine="0" w:firstLineChars="0"/>
              <w:jc w:val="center"/>
              <w:rPr>
                <w:color w:val="auto"/>
                <w:sz w:val="21"/>
                <w:szCs w:val="21"/>
              </w:rPr>
            </w:pPr>
            <w:r>
              <w:rPr>
                <w:color w:val="auto"/>
                <w:sz w:val="21"/>
                <w:szCs w:val="21"/>
              </w:rPr>
              <w:t>28</w:t>
            </w:r>
          </w:p>
        </w:tc>
        <w:tc>
          <w:tcPr>
            <w:tcW w:w="1035" w:type="pct"/>
            <w:tcBorders>
              <w:tl2br w:val="nil"/>
              <w:tr2bl w:val="nil"/>
            </w:tcBorders>
            <w:noWrap w:val="0"/>
            <w:vAlign w:val="center"/>
          </w:tcPr>
          <w:p w14:paraId="3C0BFFB6">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HCO</w:t>
            </w:r>
            <w:r>
              <w:rPr>
                <w:color w:val="auto"/>
                <w:sz w:val="21"/>
                <w:szCs w:val="21"/>
                <w:vertAlign w:val="subscript"/>
              </w:rPr>
              <w:t>3</w:t>
            </w:r>
            <w:r>
              <w:rPr>
                <w:color w:val="auto"/>
                <w:sz w:val="21"/>
                <w:szCs w:val="21"/>
                <w:vertAlign w:val="superscript"/>
              </w:rPr>
              <w:t>-</w:t>
            </w:r>
          </w:p>
        </w:tc>
        <w:tc>
          <w:tcPr>
            <w:tcW w:w="719" w:type="pct"/>
            <w:tcBorders>
              <w:tl2br w:val="nil"/>
              <w:tr2bl w:val="nil"/>
            </w:tcBorders>
            <w:noWrap w:val="0"/>
            <w:vAlign w:val="center"/>
          </w:tcPr>
          <w:p w14:paraId="4CE1129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5A8039C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8451B1E">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3C960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C939646">
            <w:pPr>
              <w:pageBreakBefore w:val="0"/>
              <w:wordWrap/>
              <w:bidi w:val="0"/>
              <w:adjustRightInd/>
              <w:snapToGrid/>
              <w:spacing w:line="240" w:lineRule="auto"/>
              <w:ind w:firstLine="0" w:firstLineChars="0"/>
              <w:jc w:val="center"/>
              <w:rPr>
                <w:color w:val="auto"/>
                <w:sz w:val="21"/>
                <w:szCs w:val="21"/>
              </w:rPr>
            </w:pPr>
            <w:r>
              <w:rPr>
                <w:color w:val="auto"/>
                <w:sz w:val="21"/>
                <w:szCs w:val="21"/>
              </w:rPr>
              <w:t>29</w:t>
            </w:r>
          </w:p>
        </w:tc>
        <w:tc>
          <w:tcPr>
            <w:tcW w:w="1035" w:type="pct"/>
            <w:tcBorders>
              <w:tl2br w:val="nil"/>
              <w:tr2bl w:val="nil"/>
            </w:tcBorders>
            <w:noWrap w:val="0"/>
            <w:vAlign w:val="center"/>
          </w:tcPr>
          <w:p w14:paraId="32265A2E">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Cl</w:t>
            </w:r>
            <w:r>
              <w:rPr>
                <w:color w:val="auto"/>
                <w:sz w:val="21"/>
                <w:szCs w:val="21"/>
                <w:vertAlign w:val="superscript"/>
              </w:rPr>
              <w:t>-</w:t>
            </w:r>
          </w:p>
        </w:tc>
        <w:tc>
          <w:tcPr>
            <w:tcW w:w="719" w:type="pct"/>
            <w:tcBorders>
              <w:tl2br w:val="nil"/>
              <w:tr2bl w:val="nil"/>
            </w:tcBorders>
            <w:noWrap w:val="0"/>
            <w:vAlign w:val="center"/>
          </w:tcPr>
          <w:p w14:paraId="2180502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141F9FF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6B7CF4B">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250</w:t>
            </w:r>
          </w:p>
        </w:tc>
      </w:tr>
      <w:tr w14:paraId="1959C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87504F9">
            <w:pPr>
              <w:pageBreakBefore w:val="0"/>
              <w:wordWrap/>
              <w:bidi w:val="0"/>
              <w:adjustRightInd/>
              <w:snapToGrid/>
              <w:spacing w:line="240" w:lineRule="auto"/>
              <w:ind w:firstLine="0" w:firstLineChars="0"/>
              <w:jc w:val="center"/>
              <w:rPr>
                <w:color w:val="auto"/>
                <w:sz w:val="21"/>
                <w:szCs w:val="21"/>
              </w:rPr>
            </w:pPr>
            <w:r>
              <w:rPr>
                <w:color w:val="auto"/>
                <w:sz w:val="21"/>
                <w:szCs w:val="21"/>
              </w:rPr>
              <w:t>30</w:t>
            </w:r>
          </w:p>
        </w:tc>
        <w:tc>
          <w:tcPr>
            <w:tcW w:w="1035" w:type="pct"/>
            <w:tcBorders>
              <w:tl2br w:val="nil"/>
              <w:tr2bl w:val="nil"/>
            </w:tcBorders>
            <w:noWrap w:val="0"/>
            <w:vAlign w:val="center"/>
          </w:tcPr>
          <w:p w14:paraId="0265B71A">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4</w:t>
            </w:r>
            <w:r>
              <w:rPr>
                <w:color w:val="auto"/>
                <w:sz w:val="21"/>
                <w:szCs w:val="21"/>
                <w:vertAlign w:val="superscript"/>
              </w:rPr>
              <w:t>2-</w:t>
            </w:r>
          </w:p>
        </w:tc>
        <w:tc>
          <w:tcPr>
            <w:tcW w:w="719" w:type="pct"/>
            <w:tcBorders>
              <w:tl2br w:val="nil"/>
              <w:tr2bl w:val="nil"/>
            </w:tcBorders>
            <w:noWrap w:val="0"/>
            <w:vAlign w:val="center"/>
          </w:tcPr>
          <w:p w14:paraId="063EB25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19A68FE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335B5A9">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250</w:t>
            </w:r>
          </w:p>
        </w:tc>
      </w:tr>
    </w:tbl>
    <w:p w14:paraId="2B5A1472">
      <w:pPr>
        <w:keepNext w:val="0"/>
        <w:keepLines w:val="0"/>
        <w:pageBreakBefore w:val="0"/>
        <w:widowControl w:val="0"/>
        <w:kinsoku/>
        <w:wordWrap/>
        <w:overflowPunct/>
        <w:topLinePunct w:val="0"/>
        <w:autoSpaceDE/>
        <w:autoSpaceDN/>
        <w:bidi w:val="0"/>
        <w:adjustRightInd/>
        <w:snapToGrid/>
        <w:spacing w:before="120" w:beforeLines="50"/>
        <w:ind w:firstLine="480"/>
        <w:textAlignment w:val="auto"/>
        <w:rPr>
          <w:b/>
          <w:bCs/>
          <w:color w:val="auto"/>
        </w:rPr>
      </w:pPr>
      <w:r>
        <w:rPr>
          <w:b/>
          <w:bCs/>
          <w:color w:val="auto"/>
        </w:rPr>
        <w:t>（5）土壤环境</w:t>
      </w:r>
    </w:p>
    <w:p w14:paraId="5A0F1CA1">
      <w:pPr>
        <w:pageBreakBefore w:val="0"/>
        <w:wordWrap/>
        <w:bidi w:val="0"/>
        <w:adjustRightInd/>
        <w:snapToGrid/>
        <w:ind w:firstLine="480"/>
        <w:rPr>
          <w:color w:val="auto"/>
        </w:rPr>
      </w:pPr>
      <w:r>
        <w:rPr>
          <w:color w:val="auto"/>
        </w:rPr>
        <w:t>项目影响区域内土壤环境质量执行</w:t>
      </w:r>
      <w:r>
        <w:rPr>
          <w:color w:val="auto"/>
          <w:kern w:val="0"/>
        </w:rPr>
        <w:t>《土壤环境质量 建设用地土壤污染风险管控标准（试行）》（GB36600-2018）中第二类用地限值要求</w:t>
      </w:r>
      <w:r>
        <w:rPr>
          <w:color w:val="auto"/>
        </w:rPr>
        <w:t>。标准限值见</w:t>
      </w:r>
      <w:r>
        <w:rPr>
          <w:rFonts w:hint="eastAsia"/>
          <w:color w:val="auto"/>
          <w:lang w:val="en-US" w:eastAsia="zh-CN"/>
        </w:rPr>
        <w:t>下表</w:t>
      </w:r>
      <w:r>
        <w:rPr>
          <w:color w:val="auto"/>
        </w:rPr>
        <w:t xml:space="preserve">。 </w:t>
      </w:r>
    </w:p>
    <w:p w14:paraId="6FC26BF9">
      <w:pPr>
        <w:pStyle w:val="15"/>
        <w:numPr>
          <w:ilvl w:val="0"/>
          <w:numId w:val="7"/>
        </w:numPr>
        <w:bidi w:val="0"/>
        <w:ind w:left="0" w:leftChars="0" w:firstLine="0" w:firstLineChars="0"/>
        <w:rPr>
          <w:color w:val="auto"/>
        </w:rPr>
      </w:pPr>
      <w:r>
        <w:rPr>
          <w:color w:val="auto"/>
        </w:rPr>
        <w:t>土壤环境质量限值</w:t>
      </w:r>
      <w:r>
        <w:rPr>
          <w:rFonts w:hint="eastAsia"/>
          <w:color w:val="auto"/>
        </w:rPr>
        <w:t xml:space="preserve"> </w:t>
      </w:r>
      <w:r>
        <w:rPr>
          <w:color w:val="auto"/>
        </w:rPr>
        <w:t>单位：mg/kg</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031"/>
        <w:gridCol w:w="3555"/>
        <w:gridCol w:w="3200"/>
      </w:tblGrid>
      <w:tr w14:paraId="077260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vMerge w:val="restart"/>
            <w:tcBorders>
              <w:tl2br w:val="nil"/>
              <w:tr2bl w:val="nil"/>
            </w:tcBorders>
            <w:noWrap w:val="0"/>
            <w:vAlign w:val="center"/>
          </w:tcPr>
          <w:p w14:paraId="5A4F64BB">
            <w:pPr>
              <w:pStyle w:val="458"/>
              <w:pageBreakBefore w:val="0"/>
              <w:wordWrap/>
              <w:bidi w:val="0"/>
              <w:adjustRightInd/>
              <w:snapToGrid/>
              <w:rPr>
                <w:b/>
                <w:bCs/>
                <w:color w:val="auto"/>
                <w:szCs w:val="21"/>
              </w:rPr>
            </w:pPr>
            <w:r>
              <w:rPr>
                <w:b/>
                <w:bCs/>
                <w:color w:val="auto"/>
                <w:szCs w:val="21"/>
              </w:rPr>
              <w:t>指标</w:t>
            </w:r>
          </w:p>
        </w:tc>
        <w:tc>
          <w:tcPr>
            <w:tcW w:w="6755" w:type="dxa"/>
            <w:gridSpan w:val="2"/>
            <w:tcBorders>
              <w:tl2br w:val="nil"/>
              <w:tr2bl w:val="nil"/>
            </w:tcBorders>
            <w:noWrap w:val="0"/>
            <w:vAlign w:val="center"/>
          </w:tcPr>
          <w:p w14:paraId="5C9954B5">
            <w:pPr>
              <w:pStyle w:val="458"/>
              <w:pageBreakBefore w:val="0"/>
              <w:wordWrap/>
              <w:bidi w:val="0"/>
              <w:adjustRightInd/>
              <w:snapToGrid/>
              <w:rPr>
                <w:b/>
                <w:bCs/>
                <w:color w:val="auto"/>
                <w:szCs w:val="21"/>
              </w:rPr>
            </w:pPr>
            <w:r>
              <w:rPr>
                <w:b/>
                <w:bCs/>
                <w:color w:val="auto"/>
                <w:szCs w:val="21"/>
              </w:rPr>
              <w:t>标准值</w:t>
            </w:r>
          </w:p>
        </w:tc>
      </w:tr>
      <w:tr w14:paraId="3D931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vMerge w:val="continue"/>
            <w:tcBorders>
              <w:tl2br w:val="nil"/>
              <w:tr2bl w:val="nil"/>
            </w:tcBorders>
            <w:noWrap w:val="0"/>
            <w:vAlign w:val="center"/>
          </w:tcPr>
          <w:p w14:paraId="4EC34377">
            <w:pPr>
              <w:pStyle w:val="458"/>
              <w:pageBreakBefore w:val="0"/>
              <w:wordWrap/>
              <w:bidi w:val="0"/>
              <w:adjustRightInd/>
              <w:snapToGrid/>
              <w:rPr>
                <w:b/>
                <w:bCs/>
                <w:color w:val="auto"/>
                <w:szCs w:val="21"/>
              </w:rPr>
            </w:pPr>
          </w:p>
        </w:tc>
        <w:tc>
          <w:tcPr>
            <w:tcW w:w="3555" w:type="dxa"/>
            <w:tcBorders>
              <w:tl2br w:val="nil"/>
              <w:tr2bl w:val="nil"/>
            </w:tcBorders>
            <w:noWrap w:val="0"/>
            <w:vAlign w:val="center"/>
          </w:tcPr>
          <w:p w14:paraId="23EAF3E8">
            <w:pPr>
              <w:pStyle w:val="458"/>
              <w:pageBreakBefore w:val="0"/>
              <w:wordWrap/>
              <w:bidi w:val="0"/>
              <w:adjustRightInd/>
              <w:snapToGrid/>
              <w:rPr>
                <w:b/>
                <w:bCs/>
                <w:color w:val="auto"/>
                <w:szCs w:val="21"/>
              </w:rPr>
            </w:pPr>
            <w:r>
              <w:rPr>
                <w:b/>
                <w:bCs/>
                <w:color w:val="auto"/>
                <w:szCs w:val="21"/>
              </w:rPr>
              <w:t>《土壤环境质量 建设用地土壤污染风险管控标准（试行）》（GB36600-2018）中筛选值第二类用地</w:t>
            </w:r>
          </w:p>
        </w:tc>
        <w:tc>
          <w:tcPr>
            <w:tcW w:w="3200" w:type="dxa"/>
            <w:tcBorders>
              <w:tl2br w:val="nil"/>
              <w:tr2bl w:val="nil"/>
            </w:tcBorders>
            <w:noWrap w:val="0"/>
            <w:vAlign w:val="center"/>
          </w:tcPr>
          <w:p w14:paraId="3437FBE1">
            <w:pPr>
              <w:pStyle w:val="458"/>
              <w:pageBreakBefore w:val="0"/>
              <w:wordWrap/>
              <w:bidi w:val="0"/>
              <w:adjustRightInd/>
              <w:snapToGrid/>
              <w:rPr>
                <w:b/>
                <w:bCs/>
                <w:color w:val="auto"/>
                <w:szCs w:val="21"/>
              </w:rPr>
            </w:pPr>
            <w:r>
              <w:rPr>
                <w:b/>
                <w:bCs/>
                <w:color w:val="auto"/>
                <w:szCs w:val="21"/>
              </w:rPr>
              <w:t>《土壤环境质量 建设用地土壤污染风险管控标准（试行）》（GB36600-2018）中管制值第二类用地</w:t>
            </w:r>
          </w:p>
        </w:tc>
      </w:tr>
      <w:tr w14:paraId="5B142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4FC7B57">
            <w:pPr>
              <w:pStyle w:val="458"/>
              <w:pageBreakBefore w:val="0"/>
              <w:wordWrap/>
              <w:bidi w:val="0"/>
              <w:adjustRightInd/>
              <w:snapToGrid/>
              <w:rPr>
                <w:color w:val="auto"/>
                <w:szCs w:val="21"/>
              </w:rPr>
            </w:pPr>
            <w:r>
              <w:rPr>
                <w:color w:val="auto"/>
                <w:szCs w:val="21"/>
              </w:rPr>
              <w:t>砷</w:t>
            </w:r>
          </w:p>
        </w:tc>
        <w:tc>
          <w:tcPr>
            <w:tcW w:w="3555" w:type="dxa"/>
            <w:tcBorders>
              <w:tl2br w:val="nil"/>
              <w:tr2bl w:val="nil"/>
            </w:tcBorders>
            <w:noWrap w:val="0"/>
            <w:vAlign w:val="center"/>
          </w:tcPr>
          <w:p w14:paraId="4F4FB7F2">
            <w:pPr>
              <w:pStyle w:val="458"/>
              <w:pageBreakBefore w:val="0"/>
              <w:wordWrap/>
              <w:bidi w:val="0"/>
              <w:adjustRightInd/>
              <w:snapToGrid/>
              <w:rPr>
                <w:color w:val="auto"/>
                <w:szCs w:val="21"/>
              </w:rPr>
            </w:pPr>
            <w:r>
              <w:rPr>
                <w:color w:val="auto"/>
                <w:szCs w:val="21"/>
              </w:rPr>
              <w:t>60</w:t>
            </w:r>
          </w:p>
        </w:tc>
        <w:tc>
          <w:tcPr>
            <w:tcW w:w="3200" w:type="dxa"/>
            <w:tcBorders>
              <w:tl2br w:val="nil"/>
              <w:tr2bl w:val="nil"/>
            </w:tcBorders>
            <w:noWrap w:val="0"/>
            <w:vAlign w:val="center"/>
          </w:tcPr>
          <w:p w14:paraId="048AB7FC">
            <w:pPr>
              <w:pStyle w:val="458"/>
              <w:pageBreakBefore w:val="0"/>
              <w:wordWrap/>
              <w:bidi w:val="0"/>
              <w:adjustRightInd/>
              <w:snapToGrid/>
              <w:rPr>
                <w:color w:val="auto"/>
                <w:szCs w:val="21"/>
              </w:rPr>
            </w:pPr>
            <w:r>
              <w:rPr>
                <w:color w:val="auto"/>
                <w:szCs w:val="21"/>
              </w:rPr>
              <w:t>140</w:t>
            </w:r>
          </w:p>
        </w:tc>
      </w:tr>
      <w:tr w14:paraId="64516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453D276">
            <w:pPr>
              <w:pStyle w:val="458"/>
              <w:pageBreakBefore w:val="0"/>
              <w:wordWrap/>
              <w:bidi w:val="0"/>
              <w:adjustRightInd/>
              <w:snapToGrid/>
              <w:rPr>
                <w:color w:val="auto"/>
                <w:szCs w:val="21"/>
              </w:rPr>
            </w:pPr>
            <w:r>
              <w:rPr>
                <w:color w:val="auto"/>
                <w:szCs w:val="21"/>
              </w:rPr>
              <w:t>汞</w:t>
            </w:r>
          </w:p>
        </w:tc>
        <w:tc>
          <w:tcPr>
            <w:tcW w:w="3555" w:type="dxa"/>
            <w:tcBorders>
              <w:tl2br w:val="nil"/>
              <w:tr2bl w:val="nil"/>
            </w:tcBorders>
            <w:noWrap w:val="0"/>
            <w:vAlign w:val="center"/>
          </w:tcPr>
          <w:p w14:paraId="631A081D">
            <w:pPr>
              <w:pStyle w:val="458"/>
              <w:pageBreakBefore w:val="0"/>
              <w:wordWrap/>
              <w:bidi w:val="0"/>
              <w:adjustRightInd/>
              <w:snapToGrid/>
              <w:rPr>
                <w:color w:val="auto"/>
                <w:szCs w:val="21"/>
              </w:rPr>
            </w:pPr>
            <w:r>
              <w:rPr>
                <w:color w:val="auto"/>
                <w:szCs w:val="21"/>
              </w:rPr>
              <w:t>38</w:t>
            </w:r>
          </w:p>
        </w:tc>
        <w:tc>
          <w:tcPr>
            <w:tcW w:w="3200" w:type="dxa"/>
            <w:tcBorders>
              <w:tl2br w:val="nil"/>
              <w:tr2bl w:val="nil"/>
            </w:tcBorders>
            <w:noWrap w:val="0"/>
            <w:vAlign w:val="center"/>
          </w:tcPr>
          <w:p w14:paraId="608282D1">
            <w:pPr>
              <w:pStyle w:val="458"/>
              <w:pageBreakBefore w:val="0"/>
              <w:wordWrap/>
              <w:bidi w:val="0"/>
              <w:adjustRightInd/>
              <w:snapToGrid/>
              <w:rPr>
                <w:color w:val="auto"/>
                <w:szCs w:val="21"/>
              </w:rPr>
            </w:pPr>
            <w:r>
              <w:rPr>
                <w:color w:val="auto"/>
                <w:szCs w:val="21"/>
              </w:rPr>
              <w:t>82</w:t>
            </w:r>
          </w:p>
        </w:tc>
      </w:tr>
      <w:tr w14:paraId="131FE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462FDDF">
            <w:pPr>
              <w:pStyle w:val="458"/>
              <w:pageBreakBefore w:val="0"/>
              <w:wordWrap/>
              <w:bidi w:val="0"/>
              <w:adjustRightInd/>
              <w:snapToGrid/>
              <w:rPr>
                <w:color w:val="auto"/>
                <w:szCs w:val="21"/>
              </w:rPr>
            </w:pPr>
            <w:r>
              <w:rPr>
                <w:color w:val="auto"/>
                <w:szCs w:val="21"/>
              </w:rPr>
              <w:t>铜</w:t>
            </w:r>
          </w:p>
        </w:tc>
        <w:tc>
          <w:tcPr>
            <w:tcW w:w="3555" w:type="dxa"/>
            <w:tcBorders>
              <w:tl2br w:val="nil"/>
              <w:tr2bl w:val="nil"/>
            </w:tcBorders>
            <w:noWrap w:val="0"/>
            <w:vAlign w:val="center"/>
          </w:tcPr>
          <w:p w14:paraId="47D486C3">
            <w:pPr>
              <w:pStyle w:val="458"/>
              <w:pageBreakBefore w:val="0"/>
              <w:wordWrap/>
              <w:bidi w:val="0"/>
              <w:adjustRightInd/>
              <w:snapToGrid/>
              <w:rPr>
                <w:color w:val="auto"/>
                <w:szCs w:val="21"/>
              </w:rPr>
            </w:pPr>
            <w:r>
              <w:rPr>
                <w:color w:val="auto"/>
                <w:szCs w:val="21"/>
              </w:rPr>
              <w:t>18000</w:t>
            </w:r>
          </w:p>
        </w:tc>
        <w:tc>
          <w:tcPr>
            <w:tcW w:w="3200" w:type="dxa"/>
            <w:tcBorders>
              <w:tl2br w:val="nil"/>
              <w:tr2bl w:val="nil"/>
            </w:tcBorders>
            <w:noWrap w:val="0"/>
            <w:vAlign w:val="center"/>
          </w:tcPr>
          <w:p w14:paraId="7AF88AF0">
            <w:pPr>
              <w:pStyle w:val="458"/>
              <w:pageBreakBefore w:val="0"/>
              <w:wordWrap/>
              <w:bidi w:val="0"/>
              <w:adjustRightInd/>
              <w:snapToGrid/>
              <w:rPr>
                <w:color w:val="auto"/>
                <w:szCs w:val="21"/>
              </w:rPr>
            </w:pPr>
            <w:r>
              <w:rPr>
                <w:color w:val="auto"/>
                <w:szCs w:val="21"/>
              </w:rPr>
              <w:t>36000</w:t>
            </w:r>
          </w:p>
        </w:tc>
      </w:tr>
      <w:tr w14:paraId="65167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AEBF571">
            <w:pPr>
              <w:pStyle w:val="458"/>
              <w:pageBreakBefore w:val="0"/>
              <w:wordWrap/>
              <w:bidi w:val="0"/>
              <w:adjustRightInd/>
              <w:snapToGrid/>
              <w:rPr>
                <w:color w:val="auto"/>
                <w:szCs w:val="21"/>
              </w:rPr>
            </w:pPr>
            <w:r>
              <w:rPr>
                <w:color w:val="auto"/>
                <w:szCs w:val="21"/>
              </w:rPr>
              <w:t>铬</w:t>
            </w:r>
          </w:p>
        </w:tc>
        <w:tc>
          <w:tcPr>
            <w:tcW w:w="3555" w:type="dxa"/>
            <w:tcBorders>
              <w:tl2br w:val="nil"/>
              <w:tr2bl w:val="nil"/>
            </w:tcBorders>
            <w:noWrap w:val="0"/>
            <w:vAlign w:val="center"/>
          </w:tcPr>
          <w:p w14:paraId="1B1E6727">
            <w:pPr>
              <w:pStyle w:val="458"/>
              <w:pageBreakBefore w:val="0"/>
              <w:wordWrap/>
              <w:bidi w:val="0"/>
              <w:adjustRightInd/>
              <w:snapToGrid/>
              <w:rPr>
                <w:color w:val="auto"/>
                <w:szCs w:val="21"/>
              </w:rPr>
            </w:pPr>
            <w:r>
              <w:rPr>
                <w:color w:val="auto"/>
                <w:szCs w:val="21"/>
              </w:rPr>
              <w:t>5.7</w:t>
            </w:r>
          </w:p>
        </w:tc>
        <w:tc>
          <w:tcPr>
            <w:tcW w:w="3200" w:type="dxa"/>
            <w:tcBorders>
              <w:tl2br w:val="nil"/>
              <w:tr2bl w:val="nil"/>
            </w:tcBorders>
            <w:noWrap w:val="0"/>
            <w:vAlign w:val="center"/>
          </w:tcPr>
          <w:p w14:paraId="32C88F04">
            <w:pPr>
              <w:pStyle w:val="458"/>
              <w:pageBreakBefore w:val="0"/>
              <w:wordWrap/>
              <w:bidi w:val="0"/>
              <w:adjustRightInd/>
              <w:snapToGrid/>
              <w:rPr>
                <w:color w:val="auto"/>
                <w:szCs w:val="21"/>
              </w:rPr>
            </w:pPr>
            <w:r>
              <w:rPr>
                <w:color w:val="auto"/>
                <w:szCs w:val="21"/>
              </w:rPr>
              <w:t>78</w:t>
            </w:r>
          </w:p>
        </w:tc>
      </w:tr>
      <w:tr w14:paraId="6E7F5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E527D5D">
            <w:pPr>
              <w:pStyle w:val="458"/>
              <w:pageBreakBefore w:val="0"/>
              <w:wordWrap/>
              <w:bidi w:val="0"/>
              <w:adjustRightInd/>
              <w:snapToGrid/>
              <w:rPr>
                <w:color w:val="auto"/>
                <w:szCs w:val="21"/>
              </w:rPr>
            </w:pPr>
            <w:r>
              <w:rPr>
                <w:color w:val="auto"/>
                <w:szCs w:val="21"/>
              </w:rPr>
              <w:t>镍</w:t>
            </w:r>
          </w:p>
        </w:tc>
        <w:tc>
          <w:tcPr>
            <w:tcW w:w="3555" w:type="dxa"/>
            <w:tcBorders>
              <w:tl2br w:val="nil"/>
              <w:tr2bl w:val="nil"/>
            </w:tcBorders>
            <w:noWrap w:val="0"/>
            <w:vAlign w:val="center"/>
          </w:tcPr>
          <w:p w14:paraId="12224E79">
            <w:pPr>
              <w:pStyle w:val="458"/>
              <w:pageBreakBefore w:val="0"/>
              <w:wordWrap/>
              <w:bidi w:val="0"/>
              <w:adjustRightInd/>
              <w:snapToGrid/>
              <w:rPr>
                <w:color w:val="auto"/>
                <w:szCs w:val="21"/>
              </w:rPr>
            </w:pPr>
            <w:r>
              <w:rPr>
                <w:color w:val="auto"/>
                <w:szCs w:val="21"/>
              </w:rPr>
              <w:t>900</w:t>
            </w:r>
          </w:p>
        </w:tc>
        <w:tc>
          <w:tcPr>
            <w:tcW w:w="3200" w:type="dxa"/>
            <w:tcBorders>
              <w:tl2br w:val="nil"/>
              <w:tr2bl w:val="nil"/>
            </w:tcBorders>
            <w:noWrap w:val="0"/>
            <w:vAlign w:val="center"/>
          </w:tcPr>
          <w:p w14:paraId="7935AB04">
            <w:pPr>
              <w:pStyle w:val="458"/>
              <w:pageBreakBefore w:val="0"/>
              <w:wordWrap/>
              <w:bidi w:val="0"/>
              <w:adjustRightInd/>
              <w:snapToGrid/>
              <w:rPr>
                <w:color w:val="auto"/>
                <w:szCs w:val="21"/>
              </w:rPr>
            </w:pPr>
            <w:r>
              <w:rPr>
                <w:color w:val="auto"/>
                <w:szCs w:val="21"/>
              </w:rPr>
              <w:t>2000</w:t>
            </w:r>
          </w:p>
        </w:tc>
      </w:tr>
      <w:tr w14:paraId="093BD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983665D">
            <w:pPr>
              <w:pStyle w:val="458"/>
              <w:pageBreakBefore w:val="0"/>
              <w:wordWrap/>
              <w:bidi w:val="0"/>
              <w:adjustRightInd/>
              <w:snapToGrid/>
              <w:rPr>
                <w:color w:val="auto"/>
                <w:szCs w:val="21"/>
              </w:rPr>
            </w:pPr>
            <w:r>
              <w:rPr>
                <w:color w:val="auto"/>
                <w:szCs w:val="21"/>
              </w:rPr>
              <w:t>铅</w:t>
            </w:r>
          </w:p>
        </w:tc>
        <w:tc>
          <w:tcPr>
            <w:tcW w:w="3555" w:type="dxa"/>
            <w:tcBorders>
              <w:tl2br w:val="nil"/>
              <w:tr2bl w:val="nil"/>
            </w:tcBorders>
            <w:noWrap w:val="0"/>
            <w:vAlign w:val="center"/>
          </w:tcPr>
          <w:p w14:paraId="68C0909E">
            <w:pPr>
              <w:pStyle w:val="458"/>
              <w:pageBreakBefore w:val="0"/>
              <w:wordWrap/>
              <w:bidi w:val="0"/>
              <w:adjustRightInd/>
              <w:snapToGrid/>
              <w:rPr>
                <w:color w:val="auto"/>
                <w:szCs w:val="21"/>
              </w:rPr>
            </w:pPr>
            <w:r>
              <w:rPr>
                <w:color w:val="auto"/>
                <w:szCs w:val="21"/>
              </w:rPr>
              <w:t>800</w:t>
            </w:r>
          </w:p>
        </w:tc>
        <w:tc>
          <w:tcPr>
            <w:tcW w:w="3200" w:type="dxa"/>
            <w:tcBorders>
              <w:tl2br w:val="nil"/>
              <w:tr2bl w:val="nil"/>
            </w:tcBorders>
            <w:noWrap w:val="0"/>
            <w:vAlign w:val="center"/>
          </w:tcPr>
          <w:p w14:paraId="316912C8">
            <w:pPr>
              <w:pStyle w:val="458"/>
              <w:pageBreakBefore w:val="0"/>
              <w:wordWrap/>
              <w:bidi w:val="0"/>
              <w:adjustRightInd/>
              <w:snapToGrid/>
              <w:rPr>
                <w:color w:val="auto"/>
                <w:szCs w:val="21"/>
              </w:rPr>
            </w:pPr>
            <w:r>
              <w:rPr>
                <w:color w:val="auto"/>
                <w:szCs w:val="21"/>
              </w:rPr>
              <w:t>2500</w:t>
            </w:r>
          </w:p>
        </w:tc>
      </w:tr>
      <w:tr w14:paraId="2FAA7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1B348E4">
            <w:pPr>
              <w:pStyle w:val="458"/>
              <w:pageBreakBefore w:val="0"/>
              <w:wordWrap/>
              <w:bidi w:val="0"/>
              <w:adjustRightInd/>
              <w:snapToGrid/>
              <w:rPr>
                <w:color w:val="auto"/>
                <w:szCs w:val="21"/>
              </w:rPr>
            </w:pPr>
            <w:r>
              <w:rPr>
                <w:color w:val="auto"/>
                <w:szCs w:val="21"/>
              </w:rPr>
              <w:t>镉</w:t>
            </w:r>
          </w:p>
        </w:tc>
        <w:tc>
          <w:tcPr>
            <w:tcW w:w="3555" w:type="dxa"/>
            <w:tcBorders>
              <w:tl2br w:val="nil"/>
              <w:tr2bl w:val="nil"/>
            </w:tcBorders>
            <w:noWrap w:val="0"/>
            <w:vAlign w:val="center"/>
          </w:tcPr>
          <w:p w14:paraId="500D2712">
            <w:pPr>
              <w:pStyle w:val="458"/>
              <w:pageBreakBefore w:val="0"/>
              <w:wordWrap/>
              <w:bidi w:val="0"/>
              <w:adjustRightInd/>
              <w:snapToGrid/>
              <w:rPr>
                <w:color w:val="auto"/>
                <w:szCs w:val="21"/>
              </w:rPr>
            </w:pPr>
            <w:r>
              <w:rPr>
                <w:color w:val="auto"/>
                <w:szCs w:val="21"/>
              </w:rPr>
              <w:t>65</w:t>
            </w:r>
          </w:p>
        </w:tc>
        <w:tc>
          <w:tcPr>
            <w:tcW w:w="3200" w:type="dxa"/>
            <w:tcBorders>
              <w:tl2br w:val="nil"/>
              <w:tr2bl w:val="nil"/>
            </w:tcBorders>
            <w:noWrap w:val="0"/>
            <w:vAlign w:val="center"/>
          </w:tcPr>
          <w:p w14:paraId="46F8B94B">
            <w:pPr>
              <w:pStyle w:val="458"/>
              <w:pageBreakBefore w:val="0"/>
              <w:wordWrap/>
              <w:bidi w:val="0"/>
              <w:adjustRightInd/>
              <w:snapToGrid/>
              <w:rPr>
                <w:color w:val="auto"/>
                <w:szCs w:val="21"/>
              </w:rPr>
            </w:pPr>
            <w:r>
              <w:rPr>
                <w:color w:val="auto"/>
                <w:szCs w:val="21"/>
              </w:rPr>
              <w:t>172</w:t>
            </w:r>
          </w:p>
        </w:tc>
      </w:tr>
      <w:tr w14:paraId="3EB26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41A639C">
            <w:pPr>
              <w:pStyle w:val="458"/>
              <w:pageBreakBefore w:val="0"/>
              <w:wordWrap/>
              <w:bidi w:val="0"/>
              <w:adjustRightInd/>
              <w:snapToGrid/>
              <w:rPr>
                <w:color w:val="auto"/>
                <w:szCs w:val="21"/>
              </w:rPr>
            </w:pPr>
            <w:r>
              <w:rPr>
                <w:color w:val="auto"/>
                <w:szCs w:val="21"/>
              </w:rPr>
              <w:t>苯</w:t>
            </w:r>
          </w:p>
        </w:tc>
        <w:tc>
          <w:tcPr>
            <w:tcW w:w="3555" w:type="dxa"/>
            <w:tcBorders>
              <w:tl2br w:val="nil"/>
              <w:tr2bl w:val="nil"/>
            </w:tcBorders>
            <w:noWrap w:val="0"/>
            <w:vAlign w:val="center"/>
          </w:tcPr>
          <w:p w14:paraId="3223F69D">
            <w:pPr>
              <w:pStyle w:val="458"/>
              <w:pageBreakBefore w:val="0"/>
              <w:wordWrap/>
              <w:bidi w:val="0"/>
              <w:adjustRightInd/>
              <w:snapToGrid/>
              <w:rPr>
                <w:color w:val="auto"/>
                <w:szCs w:val="21"/>
              </w:rPr>
            </w:pPr>
            <w:r>
              <w:rPr>
                <w:color w:val="auto"/>
                <w:szCs w:val="21"/>
              </w:rPr>
              <w:t>4</w:t>
            </w:r>
          </w:p>
        </w:tc>
        <w:tc>
          <w:tcPr>
            <w:tcW w:w="3200" w:type="dxa"/>
            <w:tcBorders>
              <w:tl2br w:val="nil"/>
              <w:tr2bl w:val="nil"/>
            </w:tcBorders>
            <w:noWrap w:val="0"/>
            <w:vAlign w:val="center"/>
          </w:tcPr>
          <w:p w14:paraId="189B0CB9">
            <w:pPr>
              <w:pStyle w:val="458"/>
              <w:pageBreakBefore w:val="0"/>
              <w:wordWrap/>
              <w:bidi w:val="0"/>
              <w:adjustRightInd/>
              <w:snapToGrid/>
              <w:rPr>
                <w:color w:val="auto"/>
                <w:szCs w:val="21"/>
              </w:rPr>
            </w:pPr>
            <w:r>
              <w:rPr>
                <w:color w:val="auto"/>
                <w:szCs w:val="21"/>
              </w:rPr>
              <w:t>40</w:t>
            </w:r>
          </w:p>
        </w:tc>
      </w:tr>
      <w:tr w14:paraId="6D200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F040B7E">
            <w:pPr>
              <w:pStyle w:val="458"/>
              <w:pageBreakBefore w:val="0"/>
              <w:wordWrap/>
              <w:bidi w:val="0"/>
              <w:adjustRightInd/>
              <w:snapToGrid/>
              <w:rPr>
                <w:color w:val="auto"/>
                <w:szCs w:val="21"/>
              </w:rPr>
            </w:pPr>
            <w:r>
              <w:rPr>
                <w:color w:val="auto"/>
                <w:szCs w:val="21"/>
              </w:rPr>
              <w:t>甲苯</w:t>
            </w:r>
          </w:p>
        </w:tc>
        <w:tc>
          <w:tcPr>
            <w:tcW w:w="3555" w:type="dxa"/>
            <w:tcBorders>
              <w:tl2br w:val="nil"/>
              <w:tr2bl w:val="nil"/>
            </w:tcBorders>
            <w:noWrap w:val="0"/>
            <w:vAlign w:val="center"/>
          </w:tcPr>
          <w:p w14:paraId="71434464">
            <w:pPr>
              <w:pStyle w:val="458"/>
              <w:pageBreakBefore w:val="0"/>
              <w:wordWrap/>
              <w:bidi w:val="0"/>
              <w:adjustRightInd/>
              <w:snapToGrid/>
              <w:rPr>
                <w:color w:val="auto"/>
                <w:szCs w:val="21"/>
              </w:rPr>
            </w:pPr>
            <w:r>
              <w:rPr>
                <w:color w:val="auto"/>
                <w:szCs w:val="21"/>
              </w:rPr>
              <w:t>1200</w:t>
            </w:r>
          </w:p>
        </w:tc>
        <w:tc>
          <w:tcPr>
            <w:tcW w:w="3200" w:type="dxa"/>
            <w:tcBorders>
              <w:tl2br w:val="nil"/>
              <w:tr2bl w:val="nil"/>
            </w:tcBorders>
            <w:noWrap w:val="0"/>
            <w:vAlign w:val="center"/>
          </w:tcPr>
          <w:p w14:paraId="481CF7F4">
            <w:pPr>
              <w:pStyle w:val="458"/>
              <w:pageBreakBefore w:val="0"/>
              <w:wordWrap/>
              <w:bidi w:val="0"/>
              <w:adjustRightInd/>
              <w:snapToGrid/>
              <w:rPr>
                <w:color w:val="auto"/>
                <w:szCs w:val="21"/>
              </w:rPr>
            </w:pPr>
            <w:r>
              <w:rPr>
                <w:color w:val="auto"/>
                <w:szCs w:val="21"/>
              </w:rPr>
              <w:t>1200</w:t>
            </w:r>
          </w:p>
        </w:tc>
      </w:tr>
      <w:tr w14:paraId="2FE5B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DC4E5D0">
            <w:pPr>
              <w:pStyle w:val="458"/>
              <w:pageBreakBefore w:val="0"/>
              <w:wordWrap/>
              <w:bidi w:val="0"/>
              <w:adjustRightInd/>
              <w:snapToGrid/>
              <w:rPr>
                <w:color w:val="auto"/>
                <w:szCs w:val="21"/>
              </w:rPr>
            </w:pPr>
            <w:r>
              <w:rPr>
                <w:color w:val="auto"/>
                <w:szCs w:val="21"/>
              </w:rPr>
              <w:t>乙苯</w:t>
            </w:r>
          </w:p>
        </w:tc>
        <w:tc>
          <w:tcPr>
            <w:tcW w:w="3555" w:type="dxa"/>
            <w:tcBorders>
              <w:tl2br w:val="nil"/>
              <w:tr2bl w:val="nil"/>
            </w:tcBorders>
            <w:noWrap w:val="0"/>
            <w:vAlign w:val="center"/>
          </w:tcPr>
          <w:p w14:paraId="63D8080B">
            <w:pPr>
              <w:pStyle w:val="458"/>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63B3384A">
            <w:pPr>
              <w:pStyle w:val="458"/>
              <w:pageBreakBefore w:val="0"/>
              <w:wordWrap/>
              <w:bidi w:val="0"/>
              <w:adjustRightInd/>
              <w:snapToGrid/>
              <w:rPr>
                <w:color w:val="auto"/>
                <w:szCs w:val="21"/>
              </w:rPr>
            </w:pPr>
            <w:r>
              <w:rPr>
                <w:color w:val="auto"/>
                <w:szCs w:val="21"/>
              </w:rPr>
              <w:t>280</w:t>
            </w:r>
          </w:p>
        </w:tc>
      </w:tr>
      <w:tr w14:paraId="1CD12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C08165B">
            <w:pPr>
              <w:pStyle w:val="458"/>
              <w:pageBreakBefore w:val="0"/>
              <w:wordWrap/>
              <w:bidi w:val="0"/>
              <w:adjustRightInd/>
              <w:snapToGrid/>
              <w:rPr>
                <w:color w:val="auto"/>
                <w:szCs w:val="21"/>
              </w:rPr>
            </w:pPr>
            <w:r>
              <w:rPr>
                <w:color w:val="auto"/>
                <w:szCs w:val="21"/>
              </w:rPr>
              <w:t>间&amp;对-二甲苯</w:t>
            </w:r>
          </w:p>
        </w:tc>
        <w:tc>
          <w:tcPr>
            <w:tcW w:w="3555" w:type="dxa"/>
            <w:tcBorders>
              <w:tl2br w:val="nil"/>
              <w:tr2bl w:val="nil"/>
            </w:tcBorders>
            <w:noWrap w:val="0"/>
            <w:vAlign w:val="center"/>
          </w:tcPr>
          <w:p w14:paraId="50E85D32">
            <w:pPr>
              <w:pStyle w:val="458"/>
              <w:pageBreakBefore w:val="0"/>
              <w:wordWrap/>
              <w:bidi w:val="0"/>
              <w:adjustRightInd/>
              <w:snapToGrid/>
              <w:rPr>
                <w:color w:val="auto"/>
                <w:szCs w:val="21"/>
              </w:rPr>
            </w:pPr>
            <w:r>
              <w:rPr>
                <w:color w:val="auto"/>
                <w:szCs w:val="21"/>
              </w:rPr>
              <w:t>570</w:t>
            </w:r>
          </w:p>
        </w:tc>
        <w:tc>
          <w:tcPr>
            <w:tcW w:w="3200" w:type="dxa"/>
            <w:tcBorders>
              <w:tl2br w:val="nil"/>
              <w:tr2bl w:val="nil"/>
            </w:tcBorders>
            <w:noWrap w:val="0"/>
            <w:vAlign w:val="center"/>
          </w:tcPr>
          <w:p w14:paraId="38AB5872">
            <w:pPr>
              <w:pStyle w:val="458"/>
              <w:pageBreakBefore w:val="0"/>
              <w:wordWrap/>
              <w:bidi w:val="0"/>
              <w:adjustRightInd/>
              <w:snapToGrid/>
              <w:rPr>
                <w:color w:val="auto"/>
                <w:szCs w:val="21"/>
              </w:rPr>
            </w:pPr>
            <w:r>
              <w:rPr>
                <w:color w:val="auto"/>
                <w:szCs w:val="21"/>
              </w:rPr>
              <w:t>570</w:t>
            </w:r>
          </w:p>
        </w:tc>
      </w:tr>
      <w:tr w14:paraId="1E96F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022BFAE">
            <w:pPr>
              <w:pStyle w:val="458"/>
              <w:pageBreakBefore w:val="0"/>
              <w:wordWrap/>
              <w:bidi w:val="0"/>
              <w:adjustRightInd/>
              <w:snapToGrid/>
              <w:rPr>
                <w:color w:val="auto"/>
                <w:szCs w:val="21"/>
              </w:rPr>
            </w:pPr>
            <w:r>
              <w:rPr>
                <w:color w:val="auto"/>
                <w:szCs w:val="21"/>
              </w:rPr>
              <w:t>苯乙烯</w:t>
            </w:r>
          </w:p>
        </w:tc>
        <w:tc>
          <w:tcPr>
            <w:tcW w:w="3555" w:type="dxa"/>
            <w:tcBorders>
              <w:tl2br w:val="nil"/>
              <w:tr2bl w:val="nil"/>
            </w:tcBorders>
            <w:noWrap w:val="0"/>
            <w:vAlign w:val="center"/>
          </w:tcPr>
          <w:p w14:paraId="40C6EF7D">
            <w:pPr>
              <w:pStyle w:val="458"/>
              <w:pageBreakBefore w:val="0"/>
              <w:wordWrap/>
              <w:bidi w:val="0"/>
              <w:adjustRightInd/>
              <w:snapToGrid/>
              <w:rPr>
                <w:color w:val="auto"/>
                <w:szCs w:val="21"/>
              </w:rPr>
            </w:pPr>
            <w:r>
              <w:rPr>
                <w:color w:val="auto"/>
                <w:szCs w:val="21"/>
              </w:rPr>
              <w:t>1290</w:t>
            </w:r>
          </w:p>
        </w:tc>
        <w:tc>
          <w:tcPr>
            <w:tcW w:w="3200" w:type="dxa"/>
            <w:tcBorders>
              <w:tl2br w:val="nil"/>
              <w:tr2bl w:val="nil"/>
            </w:tcBorders>
            <w:noWrap w:val="0"/>
            <w:vAlign w:val="center"/>
          </w:tcPr>
          <w:p w14:paraId="7990B783">
            <w:pPr>
              <w:pStyle w:val="458"/>
              <w:pageBreakBefore w:val="0"/>
              <w:wordWrap/>
              <w:bidi w:val="0"/>
              <w:adjustRightInd/>
              <w:snapToGrid/>
              <w:rPr>
                <w:color w:val="auto"/>
                <w:szCs w:val="21"/>
              </w:rPr>
            </w:pPr>
            <w:r>
              <w:rPr>
                <w:color w:val="auto"/>
                <w:szCs w:val="21"/>
              </w:rPr>
              <w:t>1290</w:t>
            </w:r>
          </w:p>
        </w:tc>
      </w:tr>
      <w:tr w14:paraId="74236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BAFB69C">
            <w:pPr>
              <w:pStyle w:val="458"/>
              <w:pageBreakBefore w:val="0"/>
              <w:wordWrap/>
              <w:bidi w:val="0"/>
              <w:adjustRightInd/>
              <w:snapToGrid/>
              <w:rPr>
                <w:color w:val="auto"/>
                <w:szCs w:val="21"/>
              </w:rPr>
            </w:pPr>
            <w:r>
              <w:rPr>
                <w:color w:val="auto"/>
                <w:szCs w:val="21"/>
              </w:rPr>
              <w:t>邻二甲苯</w:t>
            </w:r>
          </w:p>
        </w:tc>
        <w:tc>
          <w:tcPr>
            <w:tcW w:w="3555" w:type="dxa"/>
            <w:tcBorders>
              <w:tl2br w:val="nil"/>
              <w:tr2bl w:val="nil"/>
            </w:tcBorders>
            <w:noWrap w:val="0"/>
            <w:vAlign w:val="center"/>
          </w:tcPr>
          <w:p w14:paraId="729ACE33">
            <w:pPr>
              <w:pStyle w:val="458"/>
              <w:pageBreakBefore w:val="0"/>
              <w:wordWrap/>
              <w:bidi w:val="0"/>
              <w:adjustRightInd/>
              <w:snapToGrid/>
              <w:rPr>
                <w:color w:val="auto"/>
                <w:szCs w:val="21"/>
              </w:rPr>
            </w:pPr>
            <w:r>
              <w:rPr>
                <w:color w:val="auto"/>
                <w:szCs w:val="21"/>
              </w:rPr>
              <w:t>640</w:t>
            </w:r>
          </w:p>
        </w:tc>
        <w:tc>
          <w:tcPr>
            <w:tcW w:w="3200" w:type="dxa"/>
            <w:tcBorders>
              <w:tl2br w:val="nil"/>
              <w:tr2bl w:val="nil"/>
            </w:tcBorders>
            <w:noWrap w:val="0"/>
            <w:vAlign w:val="center"/>
          </w:tcPr>
          <w:p w14:paraId="0A824609">
            <w:pPr>
              <w:pStyle w:val="458"/>
              <w:pageBreakBefore w:val="0"/>
              <w:wordWrap/>
              <w:bidi w:val="0"/>
              <w:adjustRightInd/>
              <w:snapToGrid/>
              <w:rPr>
                <w:color w:val="auto"/>
                <w:szCs w:val="21"/>
              </w:rPr>
            </w:pPr>
            <w:r>
              <w:rPr>
                <w:color w:val="auto"/>
                <w:szCs w:val="21"/>
              </w:rPr>
              <w:t>640</w:t>
            </w:r>
          </w:p>
        </w:tc>
      </w:tr>
      <w:tr w14:paraId="39EB5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F80E38A">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2-二氯丙烷</w:t>
            </w:r>
          </w:p>
        </w:tc>
        <w:tc>
          <w:tcPr>
            <w:tcW w:w="3555" w:type="dxa"/>
            <w:tcBorders>
              <w:tl2br w:val="nil"/>
              <w:tr2bl w:val="nil"/>
            </w:tcBorders>
            <w:noWrap w:val="0"/>
            <w:vAlign w:val="center"/>
          </w:tcPr>
          <w:p w14:paraId="2B50DBC6">
            <w:pPr>
              <w:pStyle w:val="458"/>
              <w:pageBreakBefore w:val="0"/>
              <w:wordWrap/>
              <w:bidi w:val="0"/>
              <w:adjustRightInd/>
              <w:snapToGrid/>
              <w:rPr>
                <w:color w:val="auto"/>
                <w:szCs w:val="21"/>
              </w:rPr>
            </w:pPr>
            <w:r>
              <w:rPr>
                <w:color w:val="auto"/>
                <w:szCs w:val="21"/>
              </w:rPr>
              <w:t>5</w:t>
            </w:r>
          </w:p>
        </w:tc>
        <w:tc>
          <w:tcPr>
            <w:tcW w:w="3200" w:type="dxa"/>
            <w:tcBorders>
              <w:tl2br w:val="nil"/>
              <w:tr2bl w:val="nil"/>
            </w:tcBorders>
            <w:noWrap w:val="0"/>
            <w:vAlign w:val="center"/>
          </w:tcPr>
          <w:p w14:paraId="738DE41F">
            <w:pPr>
              <w:pStyle w:val="458"/>
              <w:pageBreakBefore w:val="0"/>
              <w:wordWrap/>
              <w:bidi w:val="0"/>
              <w:adjustRightInd/>
              <w:snapToGrid/>
              <w:rPr>
                <w:color w:val="auto"/>
                <w:szCs w:val="21"/>
              </w:rPr>
            </w:pPr>
            <w:r>
              <w:rPr>
                <w:color w:val="auto"/>
                <w:szCs w:val="21"/>
              </w:rPr>
              <w:t>47</w:t>
            </w:r>
          </w:p>
        </w:tc>
      </w:tr>
      <w:tr w14:paraId="247ADC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33282F2">
            <w:pPr>
              <w:pStyle w:val="458"/>
              <w:pageBreakBefore w:val="0"/>
              <w:wordWrap/>
              <w:bidi w:val="0"/>
              <w:adjustRightInd/>
              <w:snapToGrid/>
              <w:rPr>
                <w:color w:val="auto"/>
                <w:szCs w:val="21"/>
              </w:rPr>
            </w:pPr>
            <w:r>
              <w:rPr>
                <w:color w:val="auto"/>
                <w:szCs w:val="21"/>
              </w:rPr>
              <w:t>氯甲烷</w:t>
            </w:r>
          </w:p>
        </w:tc>
        <w:tc>
          <w:tcPr>
            <w:tcW w:w="3555" w:type="dxa"/>
            <w:tcBorders>
              <w:tl2br w:val="nil"/>
              <w:tr2bl w:val="nil"/>
            </w:tcBorders>
            <w:noWrap w:val="0"/>
            <w:vAlign w:val="center"/>
          </w:tcPr>
          <w:p w14:paraId="704156A7">
            <w:pPr>
              <w:pStyle w:val="458"/>
              <w:pageBreakBefore w:val="0"/>
              <w:wordWrap/>
              <w:bidi w:val="0"/>
              <w:adjustRightInd/>
              <w:snapToGrid/>
              <w:rPr>
                <w:color w:val="auto"/>
                <w:szCs w:val="21"/>
              </w:rPr>
            </w:pPr>
            <w:r>
              <w:rPr>
                <w:color w:val="auto"/>
                <w:szCs w:val="21"/>
              </w:rPr>
              <w:t>37</w:t>
            </w:r>
          </w:p>
        </w:tc>
        <w:tc>
          <w:tcPr>
            <w:tcW w:w="3200" w:type="dxa"/>
            <w:tcBorders>
              <w:tl2br w:val="nil"/>
              <w:tr2bl w:val="nil"/>
            </w:tcBorders>
            <w:noWrap w:val="0"/>
            <w:vAlign w:val="center"/>
          </w:tcPr>
          <w:p w14:paraId="54BB0D22">
            <w:pPr>
              <w:pStyle w:val="458"/>
              <w:pageBreakBefore w:val="0"/>
              <w:wordWrap/>
              <w:bidi w:val="0"/>
              <w:adjustRightInd/>
              <w:snapToGrid/>
              <w:rPr>
                <w:color w:val="auto"/>
                <w:szCs w:val="21"/>
              </w:rPr>
            </w:pPr>
            <w:r>
              <w:rPr>
                <w:color w:val="auto"/>
                <w:szCs w:val="21"/>
              </w:rPr>
              <w:t>120</w:t>
            </w:r>
          </w:p>
        </w:tc>
      </w:tr>
      <w:tr w14:paraId="07E2A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E0D41B6">
            <w:pPr>
              <w:pStyle w:val="458"/>
              <w:pageBreakBefore w:val="0"/>
              <w:wordWrap/>
              <w:bidi w:val="0"/>
              <w:adjustRightInd/>
              <w:snapToGrid/>
              <w:rPr>
                <w:color w:val="auto"/>
                <w:szCs w:val="21"/>
              </w:rPr>
            </w:pPr>
            <w:r>
              <w:rPr>
                <w:color w:val="auto"/>
                <w:szCs w:val="21"/>
              </w:rPr>
              <w:t>氯乙烯</w:t>
            </w:r>
          </w:p>
        </w:tc>
        <w:tc>
          <w:tcPr>
            <w:tcW w:w="3555" w:type="dxa"/>
            <w:tcBorders>
              <w:tl2br w:val="nil"/>
              <w:tr2bl w:val="nil"/>
            </w:tcBorders>
            <w:noWrap w:val="0"/>
            <w:vAlign w:val="center"/>
          </w:tcPr>
          <w:p w14:paraId="37DB239E">
            <w:pPr>
              <w:pStyle w:val="458"/>
              <w:pageBreakBefore w:val="0"/>
              <w:wordWrap/>
              <w:bidi w:val="0"/>
              <w:adjustRightInd/>
              <w:snapToGrid/>
              <w:rPr>
                <w:color w:val="auto"/>
                <w:szCs w:val="21"/>
              </w:rPr>
            </w:pPr>
            <w:r>
              <w:rPr>
                <w:color w:val="auto"/>
                <w:szCs w:val="21"/>
              </w:rPr>
              <w:t>0.43</w:t>
            </w:r>
          </w:p>
        </w:tc>
        <w:tc>
          <w:tcPr>
            <w:tcW w:w="3200" w:type="dxa"/>
            <w:tcBorders>
              <w:tl2br w:val="nil"/>
              <w:tr2bl w:val="nil"/>
            </w:tcBorders>
            <w:noWrap w:val="0"/>
            <w:vAlign w:val="center"/>
          </w:tcPr>
          <w:p w14:paraId="239ABEF9">
            <w:pPr>
              <w:pStyle w:val="458"/>
              <w:pageBreakBefore w:val="0"/>
              <w:wordWrap/>
              <w:bidi w:val="0"/>
              <w:adjustRightInd/>
              <w:snapToGrid/>
              <w:rPr>
                <w:color w:val="auto"/>
                <w:szCs w:val="21"/>
              </w:rPr>
            </w:pPr>
            <w:r>
              <w:rPr>
                <w:color w:val="auto"/>
                <w:szCs w:val="21"/>
              </w:rPr>
              <w:t>4.3</w:t>
            </w:r>
          </w:p>
        </w:tc>
      </w:tr>
      <w:tr w14:paraId="6CF78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6CEAF086">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1-二氯乙烯</w:t>
            </w:r>
          </w:p>
        </w:tc>
        <w:tc>
          <w:tcPr>
            <w:tcW w:w="3555" w:type="dxa"/>
            <w:tcBorders>
              <w:tl2br w:val="nil"/>
              <w:tr2bl w:val="nil"/>
            </w:tcBorders>
            <w:noWrap w:val="0"/>
            <w:vAlign w:val="center"/>
          </w:tcPr>
          <w:p w14:paraId="5BA0BC04">
            <w:pPr>
              <w:pStyle w:val="458"/>
              <w:pageBreakBefore w:val="0"/>
              <w:wordWrap/>
              <w:bidi w:val="0"/>
              <w:adjustRightInd/>
              <w:snapToGrid/>
              <w:rPr>
                <w:color w:val="auto"/>
                <w:szCs w:val="21"/>
              </w:rPr>
            </w:pPr>
            <w:r>
              <w:rPr>
                <w:color w:val="auto"/>
                <w:szCs w:val="21"/>
              </w:rPr>
              <w:t>66</w:t>
            </w:r>
          </w:p>
        </w:tc>
        <w:tc>
          <w:tcPr>
            <w:tcW w:w="3200" w:type="dxa"/>
            <w:tcBorders>
              <w:tl2br w:val="nil"/>
              <w:tr2bl w:val="nil"/>
            </w:tcBorders>
            <w:noWrap w:val="0"/>
            <w:vAlign w:val="center"/>
          </w:tcPr>
          <w:p w14:paraId="08A22E04">
            <w:pPr>
              <w:pStyle w:val="458"/>
              <w:pageBreakBefore w:val="0"/>
              <w:wordWrap/>
              <w:bidi w:val="0"/>
              <w:adjustRightInd/>
              <w:snapToGrid/>
              <w:rPr>
                <w:color w:val="auto"/>
                <w:szCs w:val="21"/>
              </w:rPr>
            </w:pPr>
            <w:r>
              <w:rPr>
                <w:color w:val="auto"/>
                <w:szCs w:val="21"/>
              </w:rPr>
              <w:t>200</w:t>
            </w:r>
          </w:p>
        </w:tc>
      </w:tr>
      <w:tr w14:paraId="5414E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CC1FDC0">
            <w:pPr>
              <w:pStyle w:val="458"/>
              <w:pageBreakBefore w:val="0"/>
              <w:wordWrap/>
              <w:bidi w:val="0"/>
              <w:adjustRightInd/>
              <w:snapToGrid/>
              <w:rPr>
                <w:color w:val="auto"/>
                <w:szCs w:val="21"/>
              </w:rPr>
            </w:pPr>
            <w:r>
              <w:rPr>
                <w:color w:val="auto"/>
                <w:szCs w:val="21"/>
              </w:rPr>
              <w:t>二氯甲烷</w:t>
            </w:r>
          </w:p>
        </w:tc>
        <w:tc>
          <w:tcPr>
            <w:tcW w:w="3555" w:type="dxa"/>
            <w:tcBorders>
              <w:tl2br w:val="nil"/>
              <w:tr2bl w:val="nil"/>
            </w:tcBorders>
            <w:noWrap w:val="0"/>
            <w:vAlign w:val="center"/>
          </w:tcPr>
          <w:p w14:paraId="6DF3A7D1">
            <w:pPr>
              <w:pStyle w:val="458"/>
              <w:pageBreakBefore w:val="0"/>
              <w:wordWrap/>
              <w:bidi w:val="0"/>
              <w:adjustRightInd/>
              <w:snapToGrid/>
              <w:rPr>
                <w:color w:val="auto"/>
                <w:szCs w:val="21"/>
              </w:rPr>
            </w:pPr>
            <w:r>
              <w:rPr>
                <w:color w:val="auto"/>
                <w:szCs w:val="21"/>
              </w:rPr>
              <w:t>616</w:t>
            </w:r>
          </w:p>
        </w:tc>
        <w:tc>
          <w:tcPr>
            <w:tcW w:w="3200" w:type="dxa"/>
            <w:tcBorders>
              <w:tl2br w:val="nil"/>
              <w:tr2bl w:val="nil"/>
            </w:tcBorders>
            <w:noWrap w:val="0"/>
            <w:vAlign w:val="center"/>
          </w:tcPr>
          <w:p w14:paraId="467D2D5B">
            <w:pPr>
              <w:pStyle w:val="458"/>
              <w:pageBreakBefore w:val="0"/>
              <w:wordWrap/>
              <w:bidi w:val="0"/>
              <w:adjustRightInd/>
              <w:snapToGrid/>
              <w:rPr>
                <w:color w:val="auto"/>
                <w:szCs w:val="21"/>
              </w:rPr>
            </w:pPr>
            <w:r>
              <w:rPr>
                <w:color w:val="auto"/>
                <w:szCs w:val="21"/>
              </w:rPr>
              <w:t>2000</w:t>
            </w:r>
          </w:p>
        </w:tc>
      </w:tr>
      <w:tr w14:paraId="2D8DA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4CB8343">
            <w:pPr>
              <w:pStyle w:val="458"/>
              <w:pageBreakBefore w:val="0"/>
              <w:wordWrap/>
              <w:bidi w:val="0"/>
              <w:adjustRightInd/>
              <w:snapToGrid/>
              <w:rPr>
                <w:color w:val="auto"/>
                <w:szCs w:val="21"/>
              </w:rPr>
            </w:pPr>
            <w:r>
              <w:rPr>
                <w:color w:val="auto"/>
                <w:szCs w:val="21"/>
              </w:rPr>
              <w:t>反-1、2-二氯乙烯</w:t>
            </w:r>
          </w:p>
        </w:tc>
        <w:tc>
          <w:tcPr>
            <w:tcW w:w="3555" w:type="dxa"/>
            <w:tcBorders>
              <w:tl2br w:val="nil"/>
              <w:tr2bl w:val="nil"/>
            </w:tcBorders>
            <w:noWrap w:val="0"/>
            <w:vAlign w:val="center"/>
          </w:tcPr>
          <w:p w14:paraId="6FF3CB87">
            <w:pPr>
              <w:pStyle w:val="458"/>
              <w:pageBreakBefore w:val="0"/>
              <w:wordWrap/>
              <w:bidi w:val="0"/>
              <w:adjustRightInd/>
              <w:snapToGrid/>
              <w:rPr>
                <w:color w:val="auto"/>
                <w:szCs w:val="21"/>
              </w:rPr>
            </w:pPr>
            <w:r>
              <w:rPr>
                <w:color w:val="auto"/>
                <w:szCs w:val="21"/>
              </w:rPr>
              <w:t>54</w:t>
            </w:r>
          </w:p>
        </w:tc>
        <w:tc>
          <w:tcPr>
            <w:tcW w:w="3200" w:type="dxa"/>
            <w:tcBorders>
              <w:tl2br w:val="nil"/>
              <w:tr2bl w:val="nil"/>
            </w:tcBorders>
            <w:noWrap w:val="0"/>
            <w:vAlign w:val="center"/>
          </w:tcPr>
          <w:p w14:paraId="0411B399">
            <w:pPr>
              <w:pStyle w:val="458"/>
              <w:pageBreakBefore w:val="0"/>
              <w:wordWrap/>
              <w:bidi w:val="0"/>
              <w:adjustRightInd/>
              <w:snapToGrid/>
              <w:rPr>
                <w:color w:val="auto"/>
                <w:szCs w:val="21"/>
              </w:rPr>
            </w:pPr>
            <w:r>
              <w:rPr>
                <w:color w:val="auto"/>
                <w:szCs w:val="21"/>
              </w:rPr>
              <w:t>163</w:t>
            </w:r>
          </w:p>
        </w:tc>
      </w:tr>
      <w:tr w14:paraId="26984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58D78FB">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1-二氯乙烷</w:t>
            </w:r>
          </w:p>
        </w:tc>
        <w:tc>
          <w:tcPr>
            <w:tcW w:w="3555" w:type="dxa"/>
            <w:tcBorders>
              <w:tl2br w:val="nil"/>
              <w:tr2bl w:val="nil"/>
            </w:tcBorders>
            <w:noWrap w:val="0"/>
            <w:vAlign w:val="center"/>
          </w:tcPr>
          <w:p w14:paraId="7F9E55F3">
            <w:pPr>
              <w:pStyle w:val="458"/>
              <w:pageBreakBefore w:val="0"/>
              <w:wordWrap/>
              <w:bidi w:val="0"/>
              <w:adjustRightInd/>
              <w:snapToGrid/>
              <w:rPr>
                <w:color w:val="auto"/>
                <w:szCs w:val="21"/>
              </w:rPr>
            </w:pPr>
            <w:r>
              <w:rPr>
                <w:color w:val="auto"/>
                <w:szCs w:val="21"/>
              </w:rPr>
              <w:t>9</w:t>
            </w:r>
          </w:p>
        </w:tc>
        <w:tc>
          <w:tcPr>
            <w:tcW w:w="3200" w:type="dxa"/>
            <w:tcBorders>
              <w:tl2br w:val="nil"/>
              <w:tr2bl w:val="nil"/>
            </w:tcBorders>
            <w:noWrap w:val="0"/>
            <w:vAlign w:val="center"/>
          </w:tcPr>
          <w:p w14:paraId="47B4CAA2">
            <w:pPr>
              <w:pStyle w:val="458"/>
              <w:pageBreakBefore w:val="0"/>
              <w:wordWrap/>
              <w:bidi w:val="0"/>
              <w:adjustRightInd/>
              <w:snapToGrid/>
              <w:rPr>
                <w:color w:val="auto"/>
                <w:szCs w:val="21"/>
              </w:rPr>
            </w:pPr>
            <w:r>
              <w:rPr>
                <w:color w:val="auto"/>
                <w:szCs w:val="21"/>
              </w:rPr>
              <w:t>100</w:t>
            </w:r>
          </w:p>
        </w:tc>
      </w:tr>
      <w:tr w14:paraId="25CFD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1FD8F66">
            <w:pPr>
              <w:pStyle w:val="458"/>
              <w:pageBreakBefore w:val="0"/>
              <w:wordWrap/>
              <w:bidi w:val="0"/>
              <w:adjustRightInd/>
              <w:snapToGrid/>
              <w:rPr>
                <w:color w:val="auto"/>
                <w:szCs w:val="21"/>
              </w:rPr>
            </w:pPr>
            <w:r>
              <w:rPr>
                <w:color w:val="auto"/>
                <w:szCs w:val="21"/>
              </w:rPr>
              <w:t>顺-1</w:t>
            </w:r>
            <w:r>
              <w:rPr>
                <w:rFonts w:hint="eastAsia"/>
                <w:color w:val="auto"/>
                <w:szCs w:val="21"/>
                <w:lang w:eastAsia="zh-CN"/>
              </w:rPr>
              <w:t>，</w:t>
            </w:r>
            <w:r>
              <w:rPr>
                <w:color w:val="auto"/>
                <w:szCs w:val="21"/>
              </w:rPr>
              <w:t>2-二氯乙烯</w:t>
            </w:r>
          </w:p>
        </w:tc>
        <w:tc>
          <w:tcPr>
            <w:tcW w:w="3555" w:type="dxa"/>
            <w:tcBorders>
              <w:tl2br w:val="nil"/>
              <w:tr2bl w:val="nil"/>
            </w:tcBorders>
            <w:noWrap w:val="0"/>
            <w:vAlign w:val="center"/>
          </w:tcPr>
          <w:p w14:paraId="53C22A37">
            <w:pPr>
              <w:pStyle w:val="458"/>
              <w:pageBreakBefore w:val="0"/>
              <w:wordWrap/>
              <w:bidi w:val="0"/>
              <w:adjustRightInd/>
              <w:snapToGrid/>
              <w:rPr>
                <w:color w:val="auto"/>
                <w:szCs w:val="21"/>
              </w:rPr>
            </w:pPr>
            <w:r>
              <w:rPr>
                <w:color w:val="auto"/>
                <w:szCs w:val="21"/>
              </w:rPr>
              <w:t>596</w:t>
            </w:r>
          </w:p>
        </w:tc>
        <w:tc>
          <w:tcPr>
            <w:tcW w:w="3200" w:type="dxa"/>
            <w:tcBorders>
              <w:tl2br w:val="nil"/>
              <w:tr2bl w:val="nil"/>
            </w:tcBorders>
            <w:noWrap w:val="0"/>
            <w:vAlign w:val="center"/>
          </w:tcPr>
          <w:p w14:paraId="36C67DF0">
            <w:pPr>
              <w:pStyle w:val="458"/>
              <w:pageBreakBefore w:val="0"/>
              <w:wordWrap/>
              <w:bidi w:val="0"/>
              <w:adjustRightInd/>
              <w:snapToGrid/>
              <w:rPr>
                <w:color w:val="auto"/>
                <w:szCs w:val="21"/>
              </w:rPr>
            </w:pPr>
            <w:r>
              <w:rPr>
                <w:color w:val="auto"/>
                <w:szCs w:val="21"/>
              </w:rPr>
              <w:t>2000</w:t>
            </w:r>
          </w:p>
        </w:tc>
      </w:tr>
      <w:tr w14:paraId="7EB48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86222F2">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1-三氯乙烷</w:t>
            </w:r>
          </w:p>
        </w:tc>
        <w:tc>
          <w:tcPr>
            <w:tcW w:w="3555" w:type="dxa"/>
            <w:tcBorders>
              <w:tl2br w:val="nil"/>
              <w:tr2bl w:val="nil"/>
            </w:tcBorders>
            <w:noWrap w:val="0"/>
            <w:vAlign w:val="center"/>
          </w:tcPr>
          <w:p w14:paraId="047852BA">
            <w:pPr>
              <w:pStyle w:val="458"/>
              <w:pageBreakBefore w:val="0"/>
              <w:wordWrap/>
              <w:bidi w:val="0"/>
              <w:adjustRightInd/>
              <w:snapToGrid/>
              <w:rPr>
                <w:color w:val="auto"/>
                <w:szCs w:val="21"/>
              </w:rPr>
            </w:pPr>
            <w:r>
              <w:rPr>
                <w:color w:val="auto"/>
                <w:szCs w:val="21"/>
              </w:rPr>
              <w:t>840</w:t>
            </w:r>
          </w:p>
        </w:tc>
        <w:tc>
          <w:tcPr>
            <w:tcW w:w="3200" w:type="dxa"/>
            <w:tcBorders>
              <w:tl2br w:val="nil"/>
              <w:tr2bl w:val="nil"/>
            </w:tcBorders>
            <w:noWrap w:val="0"/>
            <w:vAlign w:val="center"/>
          </w:tcPr>
          <w:p w14:paraId="5CF8D94B">
            <w:pPr>
              <w:pStyle w:val="458"/>
              <w:pageBreakBefore w:val="0"/>
              <w:wordWrap/>
              <w:bidi w:val="0"/>
              <w:adjustRightInd/>
              <w:snapToGrid/>
              <w:rPr>
                <w:color w:val="auto"/>
                <w:szCs w:val="21"/>
              </w:rPr>
            </w:pPr>
            <w:r>
              <w:rPr>
                <w:color w:val="auto"/>
                <w:szCs w:val="21"/>
              </w:rPr>
              <w:t>840</w:t>
            </w:r>
          </w:p>
        </w:tc>
      </w:tr>
      <w:tr w14:paraId="1D0A3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EBCDB69">
            <w:pPr>
              <w:pStyle w:val="458"/>
              <w:pageBreakBefore w:val="0"/>
              <w:wordWrap/>
              <w:bidi w:val="0"/>
              <w:adjustRightInd/>
              <w:snapToGrid/>
              <w:rPr>
                <w:color w:val="auto"/>
                <w:szCs w:val="21"/>
              </w:rPr>
            </w:pPr>
            <w:r>
              <w:rPr>
                <w:color w:val="auto"/>
                <w:szCs w:val="21"/>
              </w:rPr>
              <w:t>四氯化碳</w:t>
            </w:r>
          </w:p>
        </w:tc>
        <w:tc>
          <w:tcPr>
            <w:tcW w:w="3555" w:type="dxa"/>
            <w:tcBorders>
              <w:tl2br w:val="nil"/>
              <w:tr2bl w:val="nil"/>
            </w:tcBorders>
            <w:noWrap w:val="0"/>
            <w:vAlign w:val="center"/>
          </w:tcPr>
          <w:p w14:paraId="3E200166">
            <w:pPr>
              <w:pStyle w:val="458"/>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365EBAED">
            <w:pPr>
              <w:pStyle w:val="458"/>
              <w:pageBreakBefore w:val="0"/>
              <w:wordWrap/>
              <w:bidi w:val="0"/>
              <w:adjustRightInd/>
              <w:snapToGrid/>
              <w:rPr>
                <w:color w:val="auto"/>
                <w:szCs w:val="21"/>
              </w:rPr>
            </w:pPr>
            <w:r>
              <w:rPr>
                <w:color w:val="auto"/>
                <w:szCs w:val="21"/>
              </w:rPr>
              <w:t>36</w:t>
            </w:r>
          </w:p>
        </w:tc>
      </w:tr>
      <w:tr w14:paraId="5B80D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1187B4A">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2-二氯乙烷</w:t>
            </w:r>
          </w:p>
        </w:tc>
        <w:tc>
          <w:tcPr>
            <w:tcW w:w="3555" w:type="dxa"/>
            <w:tcBorders>
              <w:tl2br w:val="nil"/>
              <w:tr2bl w:val="nil"/>
            </w:tcBorders>
            <w:noWrap w:val="0"/>
            <w:vAlign w:val="center"/>
          </w:tcPr>
          <w:p w14:paraId="6630B1C2">
            <w:pPr>
              <w:pStyle w:val="458"/>
              <w:pageBreakBefore w:val="0"/>
              <w:wordWrap/>
              <w:bidi w:val="0"/>
              <w:adjustRightInd/>
              <w:snapToGrid/>
              <w:rPr>
                <w:color w:val="auto"/>
                <w:szCs w:val="21"/>
              </w:rPr>
            </w:pPr>
            <w:r>
              <w:rPr>
                <w:color w:val="auto"/>
                <w:szCs w:val="21"/>
              </w:rPr>
              <w:t>5</w:t>
            </w:r>
          </w:p>
        </w:tc>
        <w:tc>
          <w:tcPr>
            <w:tcW w:w="3200" w:type="dxa"/>
            <w:tcBorders>
              <w:tl2br w:val="nil"/>
              <w:tr2bl w:val="nil"/>
            </w:tcBorders>
            <w:noWrap w:val="0"/>
            <w:vAlign w:val="center"/>
          </w:tcPr>
          <w:p w14:paraId="01A6B6E6">
            <w:pPr>
              <w:pStyle w:val="458"/>
              <w:pageBreakBefore w:val="0"/>
              <w:wordWrap/>
              <w:bidi w:val="0"/>
              <w:adjustRightInd/>
              <w:snapToGrid/>
              <w:rPr>
                <w:color w:val="auto"/>
                <w:szCs w:val="21"/>
              </w:rPr>
            </w:pPr>
            <w:r>
              <w:rPr>
                <w:color w:val="auto"/>
                <w:szCs w:val="21"/>
              </w:rPr>
              <w:t>21</w:t>
            </w:r>
          </w:p>
        </w:tc>
      </w:tr>
      <w:tr w14:paraId="53EAB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1264D86">
            <w:pPr>
              <w:pStyle w:val="458"/>
              <w:pageBreakBefore w:val="0"/>
              <w:wordWrap/>
              <w:bidi w:val="0"/>
              <w:adjustRightInd/>
              <w:snapToGrid/>
              <w:rPr>
                <w:color w:val="auto"/>
                <w:szCs w:val="21"/>
              </w:rPr>
            </w:pPr>
            <w:r>
              <w:rPr>
                <w:color w:val="auto"/>
                <w:szCs w:val="21"/>
              </w:rPr>
              <w:t>三氯乙烯</w:t>
            </w:r>
          </w:p>
        </w:tc>
        <w:tc>
          <w:tcPr>
            <w:tcW w:w="3555" w:type="dxa"/>
            <w:tcBorders>
              <w:tl2br w:val="nil"/>
              <w:tr2bl w:val="nil"/>
            </w:tcBorders>
            <w:noWrap w:val="0"/>
            <w:vAlign w:val="center"/>
          </w:tcPr>
          <w:p w14:paraId="74AD74D9">
            <w:pPr>
              <w:pStyle w:val="458"/>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1C978B58">
            <w:pPr>
              <w:pStyle w:val="458"/>
              <w:pageBreakBefore w:val="0"/>
              <w:wordWrap/>
              <w:bidi w:val="0"/>
              <w:adjustRightInd/>
              <w:snapToGrid/>
              <w:rPr>
                <w:color w:val="auto"/>
                <w:szCs w:val="21"/>
              </w:rPr>
            </w:pPr>
            <w:r>
              <w:rPr>
                <w:color w:val="auto"/>
                <w:szCs w:val="21"/>
              </w:rPr>
              <w:t>20</w:t>
            </w:r>
          </w:p>
        </w:tc>
      </w:tr>
      <w:tr w14:paraId="6771B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601A42B9">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2-三氯乙烷</w:t>
            </w:r>
          </w:p>
        </w:tc>
        <w:tc>
          <w:tcPr>
            <w:tcW w:w="3555" w:type="dxa"/>
            <w:tcBorders>
              <w:tl2br w:val="nil"/>
              <w:tr2bl w:val="nil"/>
            </w:tcBorders>
            <w:noWrap w:val="0"/>
            <w:vAlign w:val="center"/>
          </w:tcPr>
          <w:p w14:paraId="3DDE9F6B">
            <w:pPr>
              <w:pStyle w:val="458"/>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1608E35C">
            <w:pPr>
              <w:pStyle w:val="458"/>
              <w:pageBreakBefore w:val="0"/>
              <w:wordWrap/>
              <w:bidi w:val="0"/>
              <w:adjustRightInd/>
              <w:snapToGrid/>
              <w:rPr>
                <w:color w:val="auto"/>
                <w:szCs w:val="21"/>
              </w:rPr>
            </w:pPr>
            <w:r>
              <w:rPr>
                <w:color w:val="auto"/>
                <w:szCs w:val="21"/>
              </w:rPr>
              <w:t>15</w:t>
            </w:r>
          </w:p>
        </w:tc>
      </w:tr>
      <w:tr w14:paraId="61566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C7AEB74">
            <w:pPr>
              <w:pStyle w:val="458"/>
              <w:pageBreakBefore w:val="0"/>
              <w:wordWrap/>
              <w:bidi w:val="0"/>
              <w:adjustRightInd/>
              <w:snapToGrid/>
              <w:rPr>
                <w:color w:val="auto"/>
                <w:szCs w:val="21"/>
              </w:rPr>
            </w:pPr>
            <w:r>
              <w:rPr>
                <w:color w:val="auto"/>
                <w:szCs w:val="21"/>
              </w:rPr>
              <w:t>四氯乙烯</w:t>
            </w:r>
          </w:p>
        </w:tc>
        <w:tc>
          <w:tcPr>
            <w:tcW w:w="3555" w:type="dxa"/>
            <w:tcBorders>
              <w:tl2br w:val="nil"/>
              <w:tr2bl w:val="nil"/>
            </w:tcBorders>
            <w:noWrap w:val="0"/>
            <w:vAlign w:val="center"/>
          </w:tcPr>
          <w:p w14:paraId="1D38D70E">
            <w:pPr>
              <w:pStyle w:val="458"/>
              <w:pageBreakBefore w:val="0"/>
              <w:wordWrap/>
              <w:bidi w:val="0"/>
              <w:adjustRightInd/>
              <w:snapToGrid/>
              <w:rPr>
                <w:color w:val="auto"/>
                <w:szCs w:val="21"/>
              </w:rPr>
            </w:pPr>
            <w:r>
              <w:rPr>
                <w:color w:val="auto"/>
                <w:szCs w:val="21"/>
              </w:rPr>
              <w:t>53</w:t>
            </w:r>
          </w:p>
        </w:tc>
        <w:tc>
          <w:tcPr>
            <w:tcW w:w="3200" w:type="dxa"/>
            <w:tcBorders>
              <w:tl2br w:val="nil"/>
              <w:tr2bl w:val="nil"/>
            </w:tcBorders>
            <w:noWrap w:val="0"/>
            <w:vAlign w:val="center"/>
          </w:tcPr>
          <w:p w14:paraId="50272A78">
            <w:pPr>
              <w:pStyle w:val="458"/>
              <w:pageBreakBefore w:val="0"/>
              <w:wordWrap/>
              <w:bidi w:val="0"/>
              <w:adjustRightInd/>
              <w:snapToGrid/>
              <w:rPr>
                <w:color w:val="auto"/>
                <w:szCs w:val="21"/>
              </w:rPr>
            </w:pPr>
            <w:r>
              <w:rPr>
                <w:color w:val="auto"/>
                <w:szCs w:val="21"/>
              </w:rPr>
              <w:t>183</w:t>
            </w:r>
          </w:p>
        </w:tc>
      </w:tr>
      <w:tr w14:paraId="786FA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6E6CE4C2">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2-四氯乙烷</w:t>
            </w:r>
          </w:p>
        </w:tc>
        <w:tc>
          <w:tcPr>
            <w:tcW w:w="3555" w:type="dxa"/>
            <w:tcBorders>
              <w:tl2br w:val="nil"/>
              <w:tr2bl w:val="nil"/>
            </w:tcBorders>
            <w:noWrap w:val="0"/>
            <w:vAlign w:val="center"/>
          </w:tcPr>
          <w:p w14:paraId="5BF5F9DF">
            <w:pPr>
              <w:pStyle w:val="458"/>
              <w:pageBreakBefore w:val="0"/>
              <w:wordWrap/>
              <w:bidi w:val="0"/>
              <w:adjustRightInd/>
              <w:snapToGrid/>
              <w:rPr>
                <w:color w:val="auto"/>
                <w:szCs w:val="21"/>
              </w:rPr>
            </w:pPr>
            <w:r>
              <w:rPr>
                <w:color w:val="auto"/>
                <w:szCs w:val="21"/>
              </w:rPr>
              <w:t>10</w:t>
            </w:r>
          </w:p>
        </w:tc>
        <w:tc>
          <w:tcPr>
            <w:tcW w:w="3200" w:type="dxa"/>
            <w:tcBorders>
              <w:tl2br w:val="nil"/>
              <w:tr2bl w:val="nil"/>
            </w:tcBorders>
            <w:noWrap w:val="0"/>
            <w:vAlign w:val="center"/>
          </w:tcPr>
          <w:p w14:paraId="479DEA6F">
            <w:pPr>
              <w:pStyle w:val="458"/>
              <w:pageBreakBefore w:val="0"/>
              <w:wordWrap/>
              <w:bidi w:val="0"/>
              <w:adjustRightInd/>
              <w:snapToGrid/>
              <w:rPr>
                <w:color w:val="auto"/>
                <w:szCs w:val="21"/>
              </w:rPr>
            </w:pPr>
            <w:r>
              <w:rPr>
                <w:color w:val="auto"/>
                <w:szCs w:val="21"/>
              </w:rPr>
              <w:t>100</w:t>
            </w:r>
          </w:p>
        </w:tc>
      </w:tr>
      <w:tr w14:paraId="6DCCE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EB8CFA4">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2-四氯乙烷</w:t>
            </w:r>
          </w:p>
        </w:tc>
        <w:tc>
          <w:tcPr>
            <w:tcW w:w="3555" w:type="dxa"/>
            <w:tcBorders>
              <w:tl2br w:val="nil"/>
              <w:tr2bl w:val="nil"/>
            </w:tcBorders>
            <w:noWrap w:val="0"/>
            <w:vAlign w:val="center"/>
          </w:tcPr>
          <w:p w14:paraId="7F1AF271">
            <w:pPr>
              <w:pStyle w:val="458"/>
              <w:pageBreakBefore w:val="0"/>
              <w:wordWrap/>
              <w:bidi w:val="0"/>
              <w:adjustRightInd/>
              <w:snapToGrid/>
              <w:rPr>
                <w:color w:val="auto"/>
                <w:szCs w:val="21"/>
              </w:rPr>
            </w:pPr>
            <w:r>
              <w:rPr>
                <w:color w:val="auto"/>
                <w:szCs w:val="21"/>
              </w:rPr>
              <w:t>6.8</w:t>
            </w:r>
          </w:p>
        </w:tc>
        <w:tc>
          <w:tcPr>
            <w:tcW w:w="3200" w:type="dxa"/>
            <w:tcBorders>
              <w:tl2br w:val="nil"/>
              <w:tr2bl w:val="nil"/>
            </w:tcBorders>
            <w:noWrap w:val="0"/>
            <w:vAlign w:val="center"/>
          </w:tcPr>
          <w:p w14:paraId="1B270739">
            <w:pPr>
              <w:pStyle w:val="458"/>
              <w:pageBreakBefore w:val="0"/>
              <w:wordWrap/>
              <w:bidi w:val="0"/>
              <w:adjustRightInd/>
              <w:snapToGrid/>
              <w:rPr>
                <w:color w:val="auto"/>
                <w:szCs w:val="21"/>
              </w:rPr>
            </w:pPr>
            <w:r>
              <w:rPr>
                <w:color w:val="auto"/>
                <w:szCs w:val="21"/>
              </w:rPr>
              <w:t>50</w:t>
            </w:r>
          </w:p>
        </w:tc>
      </w:tr>
      <w:tr w14:paraId="61305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1E62FA6">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3-三氯丙烷</w:t>
            </w:r>
          </w:p>
        </w:tc>
        <w:tc>
          <w:tcPr>
            <w:tcW w:w="3555" w:type="dxa"/>
            <w:tcBorders>
              <w:tl2br w:val="nil"/>
              <w:tr2bl w:val="nil"/>
            </w:tcBorders>
            <w:noWrap w:val="0"/>
            <w:vAlign w:val="center"/>
          </w:tcPr>
          <w:p w14:paraId="2B304693">
            <w:pPr>
              <w:pStyle w:val="458"/>
              <w:pageBreakBefore w:val="0"/>
              <w:wordWrap/>
              <w:bidi w:val="0"/>
              <w:adjustRightInd/>
              <w:snapToGrid/>
              <w:rPr>
                <w:color w:val="auto"/>
                <w:szCs w:val="21"/>
              </w:rPr>
            </w:pPr>
            <w:r>
              <w:rPr>
                <w:color w:val="auto"/>
                <w:szCs w:val="21"/>
              </w:rPr>
              <w:t>0.5</w:t>
            </w:r>
          </w:p>
        </w:tc>
        <w:tc>
          <w:tcPr>
            <w:tcW w:w="3200" w:type="dxa"/>
            <w:tcBorders>
              <w:tl2br w:val="nil"/>
              <w:tr2bl w:val="nil"/>
            </w:tcBorders>
            <w:noWrap w:val="0"/>
            <w:vAlign w:val="center"/>
          </w:tcPr>
          <w:p w14:paraId="177CFB23">
            <w:pPr>
              <w:pStyle w:val="458"/>
              <w:pageBreakBefore w:val="0"/>
              <w:wordWrap/>
              <w:bidi w:val="0"/>
              <w:adjustRightInd/>
              <w:snapToGrid/>
              <w:rPr>
                <w:color w:val="auto"/>
                <w:szCs w:val="21"/>
              </w:rPr>
            </w:pPr>
            <w:r>
              <w:rPr>
                <w:color w:val="auto"/>
                <w:szCs w:val="21"/>
              </w:rPr>
              <w:t>5</w:t>
            </w:r>
          </w:p>
        </w:tc>
      </w:tr>
      <w:tr w14:paraId="07152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C123535">
            <w:pPr>
              <w:pStyle w:val="458"/>
              <w:pageBreakBefore w:val="0"/>
              <w:wordWrap/>
              <w:bidi w:val="0"/>
              <w:adjustRightInd/>
              <w:snapToGrid/>
              <w:rPr>
                <w:color w:val="auto"/>
                <w:szCs w:val="21"/>
              </w:rPr>
            </w:pPr>
            <w:r>
              <w:rPr>
                <w:color w:val="auto"/>
                <w:szCs w:val="21"/>
              </w:rPr>
              <w:t>氯苯</w:t>
            </w:r>
          </w:p>
        </w:tc>
        <w:tc>
          <w:tcPr>
            <w:tcW w:w="3555" w:type="dxa"/>
            <w:tcBorders>
              <w:tl2br w:val="nil"/>
              <w:tr2bl w:val="nil"/>
            </w:tcBorders>
            <w:noWrap w:val="0"/>
            <w:vAlign w:val="center"/>
          </w:tcPr>
          <w:p w14:paraId="1C97698A">
            <w:pPr>
              <w:pStyle w:val="458"/>
              <w:pageBreakBefore w:val="0"/>
              <w:wordWrap/>
              <w:bidi w:val="0"/>
              <w:adjustRightInd/>
              <w:snapToGrid/>
              <w:rPr>
                <w:color w:val="auto"/>
                <w:szCs w:val="21"/>
              </w:rPr>
            </w:pPr>
            <w:r>
              <w:rPr>
                <w:color w:val="auto"/>
                <w:szCs w:val="21"/>
              </w:rPr>
              <w:t>270</w:t>
            </w:r>
          </w:p>
        </w:tc>
        <w:tc>
          <w:tcPr>
            <w:tcW w:w="3200" w:type="dxa"/>
            <w:tcBorders>
              <w:tl2br w:val="nil"/>
              <w:tr2bl w:val="nil"/>
            </w:tcBorders>
            <w:noWrap w:val="0"/>
            <w:vAlign w:val="center"/>
          </w:tcPr>
          <w:p w14:paraId="2AF0F2F2">
            <w:pPr>
              <w:pStyle w:val="458"/>
              <w:pageBreakBefore w:val="0"/>
              <w:wordWrap/>
              <w:bidi w:val="0"/>
              <w:adjustRightInd/>
              <w:snapToGrid/>
              <w:rPr>
                <w:color w:val="auto"/>
                <w:szCs w:val="21"/>
              </w:rPr>
            </w:pPr>
            <w:r>
              <w:rPr>
                <w:color w:val="auto"/>
                <w:szCs w:val="21"/>
              </w:rPr>
              <w:t>1000</w:t>
            </w:r>
          </w:p>
        </w:tc>
      </w:tr>
      <w:tr w14:paraId="323E61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077D800">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4-二氯苯</w:t>
            </w:r>
          </w:p>
        </w:tc>
        <w:tc>
          <w:tcPr>
            <w:tcW w:w="3555" w:type="dxa"/>
            <w:tcBorders>
              <w:tl2br w:val="nil"/>
              <w:tr2bl w:val="nil"/>
            </w:tcBorders>
            <w:noWrap w:val="0"/>
            <w:vAlign w:val="center"/>
          </w:tcPr>
          <w:p w14:paraId="25169D4B">
            <w:pPr>
              <w:pStyle w:val="458"/>
              <w:pageBreakBefore w:val="0"/>
              <w:wordWrap/>
              <w:bidi w:val="0"/>
              <w:adjustRightInd/>
              <w:snapToGrid/>
              <w:rPr>
                <w:color w:val="auto"/>
                <w:szCs w:val="21"/>
              </w:rPr>
            </w:pPr>
            <w:r>
              <w:rPr>
                <w:color w:val="auto"/>
                <w:szCs w:val="21"/>
              </w:rPr>
              <w:t>20</w:t>
            </w:r>
          </w:p>
        </w:tc>
        <w:tc>
          <w:tcPr>
            <w:tcW w:w="3200" w:type="dxa"/>
            <w:tcBorders>
              <w:tl2br w:val="nil"/>
              <w:tr2bl w:val="nil"/>
            </w:tcBorders>
            <w:noWrap w:val="0"/>
            <w:vAlign w:val="center"/>
          </w:tcPr>
          <w:p w14:paraId="753B531D">
            <w:pPr>
              <w:pStyle w:val="458"/>
              <w:pageBreakBefore w:val="0"/>
              <w:wordWrap/>
              <w:bidi w:val="0"/>
              <w:adjustRightInd/>
              <w:snapToGrid/>
              <w:rPr>
                <w:color w:val="auto"/>
                <w:szCs w:val="21"/>
              </w:rPr>
            </w:pPr>
            <w:r>
              <w:rPr>
                <w:color w:val="auto"/>
                <w:szCs w:val="21"/>
              </w:rPr>
              <w:t>200</w:t>
            </w:r>
          </w:p>
        </w:tc>
      </w:tr>
      <w:tr w14:paraId="29D26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4F91E65">
            <w:pPr>
              <w:pStyle w:val="458"/>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2-二氯苯</w:t>
            </w:r>
          </w:p>
        </w:tc>
        <w:tc>
          <w:tcPr>
            <w:tcW w:w="3555" w:type="dxa"/>
            <w:tcBorders>
              <w:tl2br w:val="nil"/>
              <w:tr2bl w:val="nil"/>
            </w:tcBorders>
            <w:noWrap w:val="0"/>
            <w:vAlign w:val="center"/>
          </w:tcPr>
          <w:p w14:paraId="5C2C0695">
            <w:pPr>
              <w:pStyle w:val="458"/>
              <w:pageBreakBefore w:val="0"/>
              <w:wordWrap/>
              <w:bidi w:val="0"/>
              <w:adjustRightInd/>
              <w:snapToGrid/>
              <w:rPr>
                <w:color w:val="auto"/>
                <w:szCs w:val="21"/>
              </w:rPr>
            </w:pPr>
            <w:r>
              <w:rPr>
                <w:color w:val="auto"/>
                <w:szCs w:val="21"/>
              </w:rPr>
              <w:t>560</w:t>
            </w:r>
          </w:p>
        </w:tc>
        <w:tc>
          <w:tcPr>
            <w:tcW w:w="3200" w:type="dxa"/>
            <w:tcBorders>
              <w:tl2br w:val="nil"/>
              <w:tr2bl w:val="nil"/>
            </w:tcBorders>
            <w:noWrap w:val="0"/>
            <w:vAlign w:val="center"/>
          </w:tcPr>
          <w:p w14:paraId="36037BD0">
            <w:pPr>
              <w:pStyle w:val="458"/>
              <w:pageBreakBefore w:val="0"/>
              <w:wordWrap/>
              <w:bidi w:val="0"/>
              <w:adjustRightInd/>
              <w:snapToGrid/>
              <w:rPr>
                <w:color w:val="auto"/>
                <w:szCs w:val="21"/>
              </w:rPr>
            </w:pPr>
            <w:r>
              <w:rPr>
                <w:color w:val="auto"/>
                <w:szCs w:val="21"/>
              </w:rPr>
              <w:t>560</w:t>
            </w:r>
          </w:p>
        </w:tc>
      </w:tr>
      <w:tr w14:paraId="219DE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99647F7">
            <w:pPr>
              <w:pStyle w:val="458"/>
              <w:pageBreakBefore w:val="0"/>
              <w:wordWrap/>
              <w:bidi w:val="0"/>
              <w:adjustRightInd/>
              <w:snapToGrid/>
              <w:rPr>
                <w:color w:val="auto"/>
                <w:szCs w:val="21"/>
              </w:rPr>
            </w:pPr>
            <w:r>
              <w:rPr>
                <w:color w:val="auto"/>
                <w:szCs w:val="21"/>
              </w:rPr>
              <w:t>氯仿</w:t>
            </w:r>
          </w:p>
        </w:tc>
        <w:tc>
          <w:tcPr>
            <w:tcW w:w="3555" w:type="dxa"/>
            <w:tcBorders>
              <w:tl2br w:val="nil"/>
              <w:tr2bl w:val="nil"/>
            </w:tcBorders>
            <w:noWrap w:val="0"/>
            <w:vAlign w:val="center"/>
          </w:tcPr>
          <w:p w14:paraId="3694C520">
            <w:pPr>
              <w:pStyle w:val="458"/>
              <w:pageBreakBefore w:val="0"/>
              <w:wordWrap/>
              <w:bidi w:val="0"/>
              <w:adjustRightInd/>
              <w:snapToGrid/>
              <w:rPr>
                <w:color w:val="auto"/>
                <w:szCs w:val="21"/>
              </w:rPr>
            </w:pPr>
            <w:r>
              <w:rPr>
                <w:color w:val="auto"/>
                <w:szCs w:val="21"/>
              </w:rPr>
              <w:t>0.9</w:t>
            </w:r>
          </w:p>
        </w:tc>
        <w:tc>
          <w:tcPr>
            <w:tcW w:w="3200" w:type="dxa"/>
            <w:tcBorders>
              <w:tl2br w:val="nil"/>
              <w:tr2bl w:val="nil"/>
            </w:tcBorders>
            <w:noWrap w:val="0"/>
            <w:vAlign w:val="center"/>
          </w:tcPr>
          <w:p w14:paraId="05BC8855">
            <w:pPr>
              <w:pStyle w:val="458"/>
              <w:pageBreakBefore w:val="0"/>
              <w:wordWrap/>
              <w:bidi w:val="0"/>
              <w:adjustRightInd/>
              <w:snapToGrid/>
              <w:rPr>
                <w:color w:val="auto"/>
                <w:szCs w:val="21"/>
              </w:rPr>
            </w:pPr>
            <w:r>
              <w:rPr>
                <w:color w:val="auto"/>
                <w:szCs w:val="21"/>
              </w:rPr>
              <w:t>10</w:t>
            </w:r>
          </w:p>
        </w:tc>
      </w:tr>
      <w:tr w14:paraId="40910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0EF3739">
            <w:pPr>
              <w:pStyle w:val="458"/>
              <w:pageBreakBefore w:val="0"/>
              <w:wordWrap/>
              <w:bidi w:val="0"/>
              <w:adjustRightInd/>
              <w:snapToGrid/>
              <w:rPr>
                <w:color w:val="auto"/>
                <w:szCs w:val="21"/>
              </w:rPr>
            </w:pPr>
            <w:r>
              <w:rPr>
                <w:color w:val="auto"/>
                <w:szCs w:val="21"/>
              </w:rPr>
              <w:t>2-氯苯酚</w:t>
            </w:r>
          </w:p>
        </w:tc>
        <w:tc>
          <w:tcPr>
            <w:tcW w:w="3555" w:type="dxa"/>
            <w:tcBorders>
              <w:tl2br w:val="nil"/>
              <w:tr2bl w:val="nil"/>
            </w:tcBorders>
            <w:noWrap w:val="0"/>
            <w:vAlign w:val="center"/>
          </w:tcPr>
          <w:p w14:paraId="14325F4E">
            <w:pPr>
              <w:pStyle w:val="458"/>
              <w:pageBreakBefore w:val="0"/>
              <w:wordWrap/>
              <w:bidi w:val="0"/>
              <w:adjustRightInd/>
              <w:snapToGrid/>
              <w:rPr>
                <w:color w:val="auto"/>
                <w:szCs w:val="21"/>
              </w:rPr>
            </w:pPr>
            <w:r>
              <w:rPr>
                <w:color w:val="auto"/>
                <w:szCs w:val="21"/>
              </w:rPr>
              <w:t>2256</w:t>
            </w:r>
          </w:p>
        </w:tc>
        <w:tc>
          <w:tcPr>
            <w:tcW w:w="3200" w:type="dxa"/>
            <w:tcBorders>
              <w:tl2br w:val="nil"/>
              <w:tr2bl w:val="nil"/>
            </w:tcBorders>
            <w:noWrap w:val="0"/>
            <w:vAlign w:val="center"/>
          </w:tcPr>
          <w:p w14:paraId="1E11F96A">
            <w:pPr>
              <w:pStyle w:val="458"/>
              <w:pageBreakBefore w:val="0"/>
              <w:wordWrap/>
              <w:bidi w:val="0"/>
              <w:adjustRightInd/>
              <w:snapToGrid/>
              <w:rPr>
                <w:color w:val="auto"/>
                <w:szCs w:val="21"/>
              </w:rPr>
            </w:pPr>
            <w:r>
              <w:rPr>
                <w:color w:val="auto"/>
                <w:szCs w:val="21"/>
              </w:rPr>
              <w:t>4500</w:t>
            </w:r>
          </w:p>
        </w:tc>
      </w:tr>
      <w:tr w14:paraId="52112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E6CD9F3">
            <w:pPr>
              <w:pStyle w:val="458"/>
              <w:pageBreakBefore w:val="0"/>
              <w:wordWrap/>
              <w:bidi w:val="0"/>
              <w:adjustRightInd/>
              <w:snapToGrid/>
              <w:rPr>
                <w:color w:val="auto"/>
                <w:szCs w:val="21"/>
              </w:rPr>
            </w:pPr>
            <w:r>
              <w:rPr>
                <w:color w:val="auto"/>
                <w:szCs w:val="21"/>
              </w:rPr>
              <w:t>萘</w:t>
            </w:r>
          </w:p>
        </w:tc>
        <w:tc>
          <w:tcPr>
            <w:tcW w:w="3555" w:type="dxa"/>
            <w:tcBorders>
              <w:tl2br w:val="nil"/>
              <w:tr2bl w:val="nil"/>
            </w:tcBorders>
            <w:noWrap w:val="0"/>
            <w:vAlign w:val="center"/>
          </w:tcPr>
          <w:p w14:paraId="2C656E85">
            <w:pPr>
              <w:pStyle w:val="458"/>
              <w:pageBreakBefore w:val="0"/>
              <w:wordWrap/>
              <w:bidi w:val="0"/>
              <w:adjustRightInd/>
              <w:snapToGrid/>
              <w:rPr>
                <w:color w:val="auto"/>
                <w:szCs w:val="21"/>
              </w:rPr>
            </w:pPr>
            <w:r>
              <w:rPr>
                <w:color w:val="auto"/>
                <w:szCs w:val="21"/>
              </w:rPr>
              <w:t>70</w:t>
            </w:r>
          </w:p>
        </w:tc>
        <w:tc>
          <w:tcPr>
            <w:tcW w:w="3200" w:type="dxa"/>
            <w:tcBorders>
              <w:tl2br w:val="nil"/>
              <w:tr2bl w:val="nil"/>
            </w:tcBorders>
            <w:noWrap w:val="0"/>
            <w:vAlign w:val="center"/>
          </w:tcPr>
          <w:p w14:paraId="19378806">
            <w:pPr>
              <w:pStyle w:val="458"/>
              <w:pageBreakBefore w:val="0"/>
              <w:wordWrap/>
              <w:bidi w:val="0"/>
              <w:adjustRightInd/>
              <w:snapToGrid/>
              <w:rPr>
                <w:color w:val="auto"/>
                <w:szCs w:val="21"/>
              </w:rPr>
            </w:pPr>
            <w:r>
              <w:rPr>
                <w:color w:val="auto"/>
                <w:szCs w:val="21"/>
              </w:rPr>
              <w:t>700</w:t>
            </w:r>
          </w:p>
        </w:tc>
      </w:tr>
      <w:tr w14:paraId="13BE8D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68C09078">
            <w:pPr>
              <w:pStyle w:val="458"/>
              <w:pageBreakBefore w:val="0"/>
              <w:wordWrap/>
              <w:bidi w:val="0"/>
              <w:adjustRightInd/>
              <w:snapToGrid/>
              <w:rPr>
                <w:color w:val="auto"/>
                <w:szCs w:val="21"/>
              </w:rPr>
            </w:pPr>
            <w:r>
              <w:rPr>
                <w:color w:val="auto"/>
                <w:szCs w:val="21"/>
              </w:rPr>
              <w:t>苯并（a）蒽</w:t>
            </w:r>
          </w:p>
        </w:tc>
        <w:tc>
          <w:tcPr>
            <w:tcW w:w="3555" w:type="dxa"/>
            <w:tcBorders>
              <w:tl2br w:val="nil"/>
              <w:tr2bl w:val="nil"/>
            </w:tcBorders>
            <w:noWrap w:val="0"/>
            <w:vAlign w:val="center"/>
          </w:tcPr>
          <w:p w14:paraId="26A6B05E">
            <w:pPr>
              <w:pStyle w:val="458"/>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1CE02591">
            <w:pPr>
              <w:pStyle w:val="458"/>
              <w:pageBreakBefore w:val="0"/>
              <w:wordWrap/>
              <w:bidi w:val="0"/>
              <w:adjustRightInd/>
              <w:snapToGrid/>
              <w:rPr>
                <w:color w:val="auto"/>
                <w:szCs w:val="21"/>
              </w:rPr>
            </w:pPr>
            <w:r>
              <w:rPr>
                <w:color w:val="auto"/>
                <w:szCs w:val="21"/>
              </w:rPr>
              <w:t>151</w:t>
            </w:r>
          </w:p>
        </w:tc>
      </w:tr>
      <w:tr w14:paraId="0180F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5C5D82F">
            <w:pPr>
              <w:pStyle w:val="458"/>
              <w:pageBreakBefore w:val="0"/>
              <w:wordWrap/>
              <w:bidi w:val="0"/>
              <w:adjustRightInd/>
              <w:snapToGrid/>
              <w:rPr>
                <w:color w:val="auto"/>
                <w:szCs w:val="21"/>
              </w:rPr>
            </w:pPr>
            <w:r>
              <w:rPr>
                <w:color w:val="auto"/>
                <w:szCs w:val="21"/>
              </w:rPr>
              <w:t>䓛</w:t>
            </w:r>
          </w:p>
        </w:tc>
        <w:tc>
          <w:tcPr>
            <w:tcW w:w="3555" w:type="dxa"/>
            <w:tcBorders>
              <w:tl2br w:val="nil"/>
              <w:tr2bl w:val="nil"/>
            </w:tcBorders>
            <w:noWrap w:val="0"/>
            <w:vAlign w:val="center"/>
          </w:tcPr>
          <w:p w14:paraId="625E5E78">
            <w:pPr>
              <w:pStyle w:val="458"/>
              <w:pageBreakBefore w:val="0"/>
              <w:wordWrap/>
              <w:bidi w:val="0"/>
              <w:adjustRightInd/>
              <w:snapToGrid/>
              <w:rPr>
                <w:color w:val="auto"/>
                <w:szCs w:val="21"/>
              </w:rPr>
            </w:pPr>
            <w:r>
              <w:rPr>
                <w:color w:val="auto"/>
                <w:szCs w:val="21"/>
              </w:rPr>
              <w:t>1293</w:t>
            </w:r>
          </w:p>
        </w:tc>
        <w:tc>
          <w:tcPr>
            <w:tcW w:w="3200" w:type="dxa"/>
            <w:tcBorders>
              <w:tl2br w:val="nil"/>
              <w:tr2bl w:val="nil"/>
            </w:tcBorders>
            <w:noWrap w:val="0"/>
            <w:vAlign w:val="center"/>
          </w:tcPr>
          <w:p w14:paraId="50F79D6D">
            <w:pPr>
              <w:pStyle w:val="458"/>
              <w:pageBreakBefore w:val="0"/>
              <w:wordWrap/>
              <w:bidi w:val="0"/>
              <w:adjustRightInd/>
              <w:snapToGrid/>
              <w:rPr>
                <w:color w:val="auto"/>
                <w:szCs w:val="21"/>
              </w:rPr>
            </w:pPr>
            <w:r>
              <w:rPr>
                <w:color w:val="auto"/>
                <w:szCs w:val="21"/>
              </w:rPr>
              <w:t>12900</w:t>
            </w:r>
          </w:p>
        </w:tc>
      </w:tr>
      <w:tr w14:paraId="2C98B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8C030E2">
            <w:pPr>
              <w:pStyle w:val="458"/>
              <w:pageBreakBefore w:val="0"/>
              <w:wordWrap/>
              <w:bidi w:val="0"/>
              <w:adjustRightInd/>
              <w:snapToGrid/>
              <w:rPr>
                <w:color w:val="auto"/>
                <w:szCs w:val="21"/>
              </w:rPr>
            </w:pPr>
            <w:r>
              <w:rPr>
                <w:color w:val="auto"/>
                <w:szCs w:val="21"/>
              </w:rPr>
              <w:t>苯并（b）荧蒽</w:t>
            </w:r>
          </w:p>
        </w:tc>
        <w:tc>
          <w:tcPr>
            <w:tcW w:w="3555" w:type="dxa"/>
            <w:tcBorders>
              <w:tl2br w:val="nil"/>
              <w:tr2bl w:val="nil"/>
            </w:tcBorders>
            <w:noWrap w:val="0"/>
            <w:vAlign w:val="center"/>
          </w:tcPr>
          <w:p w14:paraId="0A80FA04">
            <w:pPr>
              <w:pStyle w:val="458"/>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3B2CE79D">
            <w:pPr>
              <w:pStyle w:val="458"/>
              <w:pageBreakBefore w:val="0"/>
              <w:wordWrap/>
              <w:bidi w:val="0"/>
              <w:adjustRightInd/>
              <w:snapToGrid/>
              <w:rPr>
                <w:color w:val="auto"/>
                <w:szCs w:val="21"/>
              </w:rPr>
            </w:pPr>
            <w:r>
              <w:rPr>
                <w:color w:val="auto"/>
                <w:szCs w:val="21"/>
              </w:rPr>
              <w:t>151</w:t>
            </w:r>
          </w:p>
        </w:tc>
      </w:tr>
      <w:tr w14:paraId="2FAC68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6D7073F">
            <w:pPr>
              <w:pStyle w:val="458"/>
              <w:pageBreakBefore w:val="0"/>
              <w:wordWrap/>
              <w:bidi w:val="0"/>
              <w:adjustRightInd/>
              <w:snapToGrid/>
              <w:rPr>
                <w:color w:val="auto"/>
                <w:szCs w:val="21"/>
              </w:rPr>
            </w:pPr>
            <w:r>
              <w:rPr>
                <w:color w:val="auto"/>
                <w:szCs w:val="21"/>
              </w:rPr>
              <w:t>苯并（k）荧蒽</w:t>
            </w:r>
          </w:p>
        </w:tc>
        <w:tc>
          <w:tcPr>
            <w:tcW w:w="3555" w:type="dxa"/>
            <w:tcBorders>
              <w:tl2br w:val="nil"/>
              <w:tr2bl w:val="nil"/>
            </w:tcBorders>
            <w:noWrap w:val="0"/>
            <w:vAlign w:val="center"/>
          </w:tcPr>
          <w:p w14:paraId="4768CDAB">
            <w:pPr>
              <w:pStyle w:val="458"/>
              <w:pageBreakBefore w:val="0"/>
              <w:wordWrap/>
              <w:bidi w:val="0"/>
              <w:adjustRightInd/>
              <w:snapToGrid/>
              <w:rPr>
                <w:color w:val="auto"/>
                <w:szCs w:val="21"/>
              </w:rPr>
            </w:pPr>
            <w:r>
              <w:rPr>
                <w:color w:val="auto"/>
                <w:szCs w:val="21"/>
              </w:rPr>
              <w:t>151</w:t>
            </w:r>
          </w:p>
        </w:tc>
        <w:tc>
          <w:tcPr>
            <w:tcW w:w="3200" w:type="dxa"/>
            <w:tcBorders>
              <w:tl2br w:val="nil"/>
              <w:tr2bl w:val="nil"/>
            </w:tcBorders>
            <w:noWrap w:val="0"/>
            <w:vAlign w:val="center"/>
          </w:tcPr>
          <w:p w14:paraId="6B0A4B86">
            <w:pPr>
              <w:pStyle w:val="458"/>
              <w:pageBreakBefore w:val="0"/>
              <w:wordWrap/>
              <w:bidi w:val="0"/>
              <w:adjustRightInd/>
              <w:snapToGrid/>
              <w:rPr>
                <w:color w:val="auto"/>
                <w:szCs w:val="21"/>
              </w:rPr>
            </w:pPr>
            <w:r>
              <w:rPr>
                <w:color w:val="auto"/>
                <w:szCs w:val="21"/>
              </w:rPr>
              <w:t>1500</w:t>
            </w:r>
          </w:p>
        </w:tc>
      </w:tr>
      <w:tr w14:paraId="11DC8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98CEBBD">
            <w:pPr>
              <w:pStyle w:val="458"/>
              <w:pageBreakBefore w:val="0"/>
              <w:wordWrap/>
              <w:bidi w:val="0"/>
              <w:adjustRightInd/>
              <w:snapToGrid/>
              <w:rPr>
                <w:color w:val="auto"/>
                <w:szCs w:val="21"/>
              </w:rPr>
            </w:pPr>
            <w:r>
              <w:rPr>
                <w:color w:val="auto"/>
                <w:szCs w:val="21"/>
              </w:rPr>
              <w:t>苯并（a）芘</w:t>
            </w:r>
          </w:p>
        </w:tc>
        <w:tc>
          <w:tcPr>
            <w:tcW w:w="3555" w:type="dxa"/>
            <w:tcBorders>
              <w:tl2br w:val="nil"/>
              <w:tr2bl w:val="nil"/>
            </w:tcBorders>
            <w:noWrap w:val="0"/>
            <w:vAlign w:val="center"/>
          </w:tcPr>
          <w:p w14:paraId="54A65491">
            <w:pPr>
              <w:pStyle w:val="458"/>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4A3E70F5">
            <w:pPr>
              <w:pStyle w:val="458"/>
              <w:pageBreakBefore w:val="0"/>
              <w:wordWrap/>
              <w:bidi w:val="0"/>
              <w:adjustRightInd/>
              <w:snapToGrid/>
              <w:rPr>
                <w:color w:val="auto"/>
                <w:szCs w:val="21"/>
              </w:rPr>
            </w:pPr>
            <w:r>
              <w:rPr>
                <w:color w:val="auto"/>
                <w:szCs w:val="21"/>
              </w:rPr>
              <w:t>15</w:t>
            </w:r>
          </w:p>
        </w:tc>
      </w:tr>
      <w:tr w14:paraId="66CDE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BE5AACD">
            <w:pPr>
              <w:pStyle w:val="458"/>
              <w:pageBreakBefore w:val="0"/>
              <w:wordWrap/>
              <w:bidi w:val="0"/>
              <w:adjustRightInd/>
              <w:snapToGrid/>
              <w:rPr>
                <w:color w:val="auto"/>
                <w:szCs w:val="21"/>
              </w:rPr>
            </w:pPr>
            <w:r>
              <w:rPr>
                <w:color w:val="auto"/>
                <w:szCs w:val="21"/>
              </w:rPr>
              <w:t>茚并（1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3-cd）芘</w:t>
            </w:r>
          </w:p>
        </w:tc>
        <w:tc>
          <w:tcPr>
            <w:tcW w:w="3555" w:type="dxa"/>
            <w:tcBorders>
              <w:tl2br w:val="nil"/>
              <w:tr2bl w:val="nil"/>
            </w:tcBorders>
            <w:noWrap w:val="0"/>
            <w:vAlign w:val="center"/>
          </w:tcPr>
          <w:p w14:paraId="0FCC7EE1">
            <w:pPr>
              <w:pStyle w:val="458"/>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63FD4E53">
            <w:pPr>
              <w:pStyle w:val="458"/>
              <w:pageBreakBefore w:val="0"/>
              <w:wordWrap/>
              <w:bidi w:val="0"/>
              <w:adjustRightInd/>
              <w:snapToGrid/>
              <w:rPr>
                <w:color w:val="auto"/>
                <w:szCs w:val="21"/>
              </w:rPr>
            </w:pPr>
            <w:r>
              <w:rPr>
                <w:color w:val="auto"/>
                <w:szCs w:val="21"/>
              </w:rPr>
              <w:t>151</w:t>
            </w:r>
          </w:p>
        </w:tc>
      </w:tr>
      <w:tr w14:paraId="7744F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579D36D">
            <w:pPr>
              <w:pStyle w:val="458"/>
              <w:pageBreakBefore w:val="0"/>
              <w:wordWrap/>
              <w:bidi w:val="0"/>
              <w:adjustRightInd/>
              <w:snapToGrid/>
              <w:rPr>
                <w:color w:val="auto"/>
                <w:szCs w:val="21"/>
              </w:rPr>
            </w:pPr>
            <w:r>
              <w:rPr>
                <w:color w:val="auto"/>
                <w:szCs w:val="21"/>
              </w:rPr>
              <w:t>二苯并（a.h）蒽</w:t>
            </w:r>
          </w:p>
        </w:tc>
        <w:tc>
          <w:tcPr>
            <w:tcW w:w="3555" w:type="dxa"/>
            <w:tcBorders>
              <w:tl2br w:val="nil"/>
              <w:tr2bl w:val="nil"/>
            </w:tcBorders>
            <w:noWrap w:val="0"/>
            <w:vAlign w:val="center"/>
          </w:tcPr>
          <w:p w14:paraId="58DE77BA">
            <w:pPr>
              <w:pStyle w:val="458"/>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56A3F7A5">
            <w:pPr>
              <w:pStyle w:val="458"/>
              <w:pageBreakBefore w:val="0"/>
              <w:wordWrap/>
              <w:bidi w:val="0"/>
              <w:adjustRightInd/>
              <w:snapToGrid/>
              <w:rPr>
                <w:color w:val="auto"/>
                <w:szCs w:val="21"/>
              </w:rPr>
            </w:pPr>
            <w:r>
              <w:rPr>
                <w:color w:val="auto"/>
                <w:szCs w:val="21"/>
              </w:rPr>
              <w:t>15</w:t>
            </w:r>
          </w:p>
        </w:tc>
      </w:tr>
      <w:tr w14:paraId="24C3A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909EFDF">
            <w:pPr>
              <w:pStyle w:val="458"/>
              <w:pageBreakBefore w:val="0"/>
              <w:wordWrap/>
              <w:bidi w:val="0"/>
              <w:adjustRightInd/>
              <w:snapToGrid/>
              <w:rPr>
                <w:color w:val="auto"/>
                <w:szCs w:val="21"/>
              </w:rPr>
            </w:pPr>
            <w:r>
              <w:rPr>
                <w:color w:val="auto"/>
                <w:szCs w:val="21"/>
              </w:rPr>
              <w:t>硝基苯</w:t>
            </w:r>
          </w:p>
        </w:tc>
        <w:tc>
          <w:tcPr>
            <w:tcW w:w="3555" w:type="dxa"/>
            <w:tcBorders>
              <w:tl2br w:val="nil"/>
              <w:tr2bl w:val="nil"/>
            </w:tcBorders>
            <w:noWrap w:val="0"/>
            <w:vAlign w:val="center"/>
          </w:tcPr>
          <w:p w14:paraId="2B1693A5">
            <w:pPr>
              <w:pStyle w:val="458"/>
              <w:pageBreakBefore w:val="0"/>
              <w:wordWrap/>
              <w:bidi w:val="0"/>
              <w:adjustRightInd/>
              <w:snapToGrid/>
              <w:rPr>
                <w:color w:val="auto"/>
                <w:szCs w:val="21"/>
              </w:rPr>
            </w:pPr>
            <w:r>
              <w:rPr>
                <w:color w:val="auto"/>
                <w:szCs w:val="21"/>
              </w:rPr>
              <w:t>76</w:t>
            </w:r>
          </w:p>
        </w:tc>
        <w:tc>
          <w:tcPr>
            <w:tcW w:w="3200" w:type="dxa"/>
            <w:tcBorders>
              <w:tl2br w:val="nil"/>
              <w:tr2bl w:val="nil"/>
            </w:tcBorders>
            <w:noWrap w:val="0"/>
            <w:vAlign w:val="center"/>
          </w:tcPr>
          <w:p w14:paraId="73AB179E">
            <w:pPr>
              <w:pStyle w:val="458"/>
              <w:pageBreakBefore w:val="0"/>
              <w:wordWrap/>
              <w:bidi w:val="0"/>
              <w:adjustRightInd/>
              <w:snapToGrid/>
              <w:rPr>
                <w:color w:val="auto"/>
                <w:szCs w:val="21"/>
              </w:rPr>
            </w:pPr>
            <w:r>
              <w:rPr>
                <w:color w:val="auto"/>
                <w:szCs w:val="21"/>
              </w:rPr>
              <w:t>760</w:t>
            </w:r>
          </w:p>
        </w:tc>
      </w:tr>
      <w:tr w14:paraId="14B83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2234595">
            <w:pPr>
              <w:pStyle w:val="458"/>
              <w:pageBreakBefore w:val="0"/>
              <w:wordWrap/>
              <w:bidi w:val="0"/>
              <w:adjustRightInd/>
              <w:snapToGrid/>
              <w:rPr>
                <w:color w:val="auto"/>
                <w:szCs w:val="21"/>
              </w:rPr>
            </w:pPr>
            <w:r>
              <w:rPr>
                <w:color w:val="auto"/>
                <w:szCs w:val="21"/>
              </w:rPr>
              <w:t>苯胺</w:t>
            </w:r>
          </w:p>
        </w:tc>
        <w:tc>
          <w:tcPr>
            <w:tcW w:w="3555" w:type="dxa"/>
            <w:tcBorders>
              <w:tl2br w:val="nil"/>
              <w:tr2bl w:val="nil"/>
            </w:tcBorders>
            <w:noWrap w:val="0"/>
            <w:vAlign w:val="center"/>
          </w:tcPr>
          <w:p w14:paraId="2EB86C89">
            <w:pPr>
              <w:pStyle w:val="458"/>
              <w:pageBreakBefore w:val="0"/>
              <w:wordWrap/>
              <w:bidi w:val="0"/>
              <w:adjustRightInd/>
              <w:snapToGrid/>
              <w:rPr>
                <w:color w:val="auto"/>
                <w:szCs w:val="21"/>
              </w:rPr>
            </w:pPr>
            <w:r>
              <w:rPr>
                <w:color w:val="auto"/>
                <w:szCs w:val="21"/>
              </w:rPr>
              <w:t>260</w:t>
            </w:r>
          </w:p>
        </w:tc>
        <w:tc>
          <w:tcPr>
            <w:tcW w:w="3200" w:type="dxa"/>
            <w:tcBorders>
              <w:tl2br w:val="nil"/>
              <w:tr2bl w:val="nil"/>
            </w:tcBorders>
            <w:noWrap w:val="0"/>
            <w:vAlign w:val="center"/>
          </w:tcPr>
          <w:p w14:paraId="656F84FE">
            <w:pPr>
              <w:pStyle w:val="458"/>
              <w:pageBreakBefore w:val="0"/>
              <w:wordWrap/>
              <w:bidi w:val="0"/>
              <w:adjustRightInd/>
              <w:snapToGrid/>
              <w:rPr>
                <w:color w:val="auto"/>
                <w:szCs w:val="21"/>
              </w:rPr>
            </w:pPr>
            <w:r>
              <w:rPr>
                <w:color w:val="auto"/>
                <w:szCs w:val="21"/>
              </w:rPr>
              <w:t>663</w:t>
            </w:r>
          </w:p>
        </w:tc>
      </w:tr>
    </w:tbl>
    <w:p w14:paraId="7C956483">
      <w:pPr>
        <w:pStyle w:val="6"/>
        <w:keepNext/>
        <w:keepLines/>
        <w:pageBreakBefore w:val="0"/>
        <w:widowControl w:val="0"/>
        <w:kinsoku/>
        <w:wordWrap/>
        <w:overflowPunct/>
        <w:topLinePunct w:val="0"/>
        <w:autoSpaceDE/>
        <w:autoSpaceDN/>
        <w:bidi w:val="0"/>
        <w:adjustRightInd/>
        <w:snapToGrid/>
        <w:spacing w:before="0" w:beforeLines="50"/>
        <w:textAlignment w:val="auto"/>
        <w:rPr>
          <w:color w:val="auto"/>
        </w:rPr>
      </w:pPr>
      <w:r>
        <w:rPr>
          <w:rFonts w:hint="eastAsia"/>
          <w:color w:val="auto"/>
        </w:rPr>
        <w:t xml:space="preserve"> </w:t>
      </w:r>
      <w:r>
        <w:rPr>
          <w:color w:val="auto"/>
        </w:rPr>
        <w:t>污染物排放标准</w:t>
      </w:r>
    </w:p>
    <w:bookmarkEnd w:id="50"/>
    <w:bookmarkEnd w:id="51"/>
    <w:p w14:paraId="44038EEA">
      <w:pPr>
        <w:pageBreakBefore w:val="0"/>
        <w:wordWrap/>
        <w:bidi w:val="0"/>
        <w:adjustRightInd/>
        <w:snapToGrid/>
        <w:ind w:firstLine="480"/>
        <w:rPr>
          <w:b/>
          <w:bCs/>
          <w:color w:val="auto"/>
        </w:rPr>
      </w:pPr>
      <w:r>
        <w:rPr>
          <w:b/>
          <w:bCs/>
          <w:color w:val="auto"/>
        </w:rPr>
        <w:t>（1）废水</w:t>
      </w:r>
    </w:p>
    <w:p w14:paraId="6ED56859">
      <w:pPr>
        <w:pageBreakBefore w:val="0"/>
        <w:wordWrap/>
        <w:bidi w:val="0"/>
        <w:adjustRightInd/>
        <w:snapToGrid/>
        <w:rPr>
          <w:rFonts w:hint="default"/>
          <w:color w:val="auto"/>
          <w:lang w:val="en-US" w:eastAsia="zh-CN"/>
        </w:rPr>
      </w:pPr>
      <w:r>
        <w:rPr>
          <w:rFonts w:hint="eastAsia"/>
          <w:color w:val="auto"/>
          <w:lang w:val="en-US" w:eastAsia="zh-CN"/>
        </w:rPr>
        <w:t>本项目</w:t>
      </w:r>
      <w:r>
        <w:rPr>
          <w:rFonts w:hint="eastAsia"/>
          <w:color w:val="auto"/>
          <w:szCs w:val="24"/>
          <w:lang w:val="en-US" w:eastAsia="zh-CN" w:bidi="ar"/>
        </w:rPr>
        <w:t>出水水质指标执行《城镇污水处理厂污染物排放标准》（GB18918-2002）一级A标准。根据项目需求，回用水为总规模的20%，本项目回用水出水水质参照《城市污水再生利用工业用水水质》（GB/T19923-2005）工艺与产品用水、敞开式循环冷却水系统补充水标准或《城市污水再生利用城市杂用水水质》（GB18920-2020）中的城市绿化、道路清扫用水指标要求。</w:t>
      </w:r>
    </w:p>
    <w:p w14:paraId="3B1A008F">
      <w:pPr>
        <w:pStyle w:val="15"/>
        <w:numPr>
          <w:ilvl w:val="0"/>
          <w:numId w:val="7"/>
        </w:numPr>
        <w:bidi w:val="0"/>
        <w:ind w:left="0" w:leftChars="0" w:firstLine="0" w:firstLineChars="0"/>
        <w:rPr>
          <w:rFonts w:hint="default"/>
          <w:color w:val="auto"/>
          <w:lang w:val="en-US" w:eastAsia="zh-CN"/>
        </w:rPr>
      </w:pPr>
      <w:r>
        <w:rPr>
          <w:rFonts w:hint="eastAsia"/>
          <w:color w:val="auto"/>
          <w:lang w:val="en-US" w:eastAsia="zh-CN"/>
        </w:rPr>
        <w:t>设计出水水质表</w:t>
      </w:r>
    </w:p>
    <w:tbl>
      <w:tblPr>
        <w:tblStyle w:val="49"/>
        <w:tblW w:w="87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80"/>
        <w:gridCol w:w="1335"/>
        <w:gridCol w:w="765"/>
        <w:gridCol w:w="1991"/>
        <w:gridCol w:w="1922"/>
        <w:gridCol w:w="2225"/>
      </w:tblGrid>
      <w:tr w14:paraId="5DEF2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vMerge w:val="restart"/>
            <w:tcBorders>
              <w:tl2br w:val="nil"/>
              <w:tr2bl w:val="nil"/>
            </w:tcBorders>
            <w:noWrap w:val="0"/>
            <w:vAlign w:val="center"/>
          </w:tcPr>
          <w:p w14:paraId="1C69A1C6">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100" w:type="dxa"/>
            <w:gridSpan w:val="2"/>
            <w:tcBorders>
              <w:tl2br w:val="nil"/>
              <w:tr2bl w:val="nil"/>
            </w:tcBorders>
            <w:noWrap w:val="0"/>
            <w:vAlign w:val="center"/>
          </w:tcPr>
          <w:p w14:paraId="07C7A919">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6138" w:type="dxa"/>
            <w:gridSpan w:val="3"/>
            <w:tcBorders>
              <w:tl2br w:val="nil"/>
              <w:tr2bl w:val="nil"/>
            </w:tcBorders>
            <w:noWrap w:val="0"/>
            <w:vAlign w:val="center"/>
          </w:tcPr>
          <w:p w14:paraId="3DE9027A">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出水水质</w:t>
            </w:r>
          </w:p>
        </w:tc>
      </w:tr>
      <w:tr w14:paraId="7EF3B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vMerge w:val="continue"/>
            <w:tcBorders>
              <w:tl2br w:val="nil"/>
              <w:tr2bl w:val="nil"/>
            </w:tcBorders>
            <w:noWrap w:val="0"/>
            <w:vAlign w:val="center"/>
          </w:tcPr>
          <w:p w14:paraId="7505F4AC">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335" w:type="dxa"/>
            <w:tcBorders>
              <w:tl2br w:val="nil"/>
              <w:tr2bl w:val="nil"/>
            </w:tcBorders>
            <w:noWrap w:val="0"/>
            <w:vAlign w:val="center"/>
          </w:tcPr>
          <w:p w14:paraId="16775793">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765" w:type="dxa"/>
            <w:tcBorders>
              <w:tl2br w:val="nil"/>
              <w:tr2bl w:val="nil"/>
            </w:tcBorders>
            <w:noWrap w:val="0"/>
            <w:vAlign w:val="center"/>
          </w:tcPr>
          <w:p w14:paraId="6AC13590">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1991" w:type="dxa"/>
            <w:tcBorders>
              <w:tl2br w:val="nil"/>
              <w:tr2bl w:val="nil"/>
            </w:tcBorders>
            <w:noWrap w:val="0"/>
            <w:vAlign w:val="center"/>
          </w:tcPr>
          <w:p w14:paraId="6EF966D9">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c>
          <w:tcPr>
            <w:tcW w:w="1922" w:type="dxa"/>
            <w:tcBorders>
              <w:tl2br w:val="nil"/>
              <w:tr2bl w:val="nil"/>
            </w:tcBorders>
            <w:noWrap w:val="0"/>
            <w:vAlign w:val="center"/>
          </w:tcPr>
          <w:p w14:paraId="1CF6E80B">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《城市污水再生利用城市杂用水水质GB18920-2020》标准中的城市绿化、道路清扫用水指标要求</w:t>
            </w:r>
          </w:p>
        </w:tc>
        <w:tc>
          <w:tcPr>
            <w:tcW w:w="2225" w:type="dxa"/>
            <w:tcBorders>
              <w:tl2br w:val="nil"/>
              <w:tr2bl w:val="nil"/>
            </w:tcBorders>
            <w:noWrap w:val="0"/>
            <w:vAlign w:val="center"/>
          </w:tcPr>
          <w:p w14:paraId="6F432DBB">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《城市污水再生利用工业用水水质GB/T19923- 2005》标准中的工艺与产品用水、敞开式循环冷却水系统补充水指标要求</w:t>
            </w:r>
          </w:p>
        </w:tc>
      </w:tr>
      <w:tr w14:paraId="5E8C4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4191AD1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335" w:type="dxa"/>
            <w:tcBorders>
              <w:tl2br w:val="nil"/>
              <w:tr2bl w:val="nil"/>
            </w:tcBorders>
            <w:noWrap w:val="0"/>
            <w:vAlign w:val="center"/>
          </w:tcPr>
          <w:p w14:paraId="0F14C91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765" w:type="dxa"/>
            <w:tcBorders>
              <w:tl2br w:val="nil"/>
              <w:tr2bl w:val="nil"/>
            </w:tcBorders>
            <w:noWrap w:val="0"/>
            <w:vAlign w:val="center"/>
          </w:tcPr>
          <w:p w14:paraId="679A0F1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1991" w:type="dxa"/>
            <w:tcBorders>
              <w:tl2br w:val="nil"/>
              <w:tr2bl w:val="nil"/>
            </w:tcBorders>
            <w:noWrap w:val="0"/>
            <w:vAlign w:val="center"/>
          </w:tcPr>
          <w:p w14:paraId="1523759F">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c>
          <w:tcPr>
            <w:tcW w:w="1922" w:type="dxa"/>
            <w:tcBorders>
              <w:tl2br w:val="nil"/>
              <w:tr2bl w:val="nil"/>
            </w:tcBorders>
            <w:noWrap w:val="0"/>
            <w:vAlign w:val="center"/>
          </w:tcPr>
          <w:p w14:paraId="2D20573A">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6~9</w:t>
            </w:r>
          </w:p>
        </w:tc>
        <w:tc>
          <w:tcPr>
            <w:tcW w:w="2225" w:type="dxa"/>
            <w:tcBorders>
              <w:tl2br w:val="nil"/>
              <w:tr2bl w:val="nil"/>
            </w:tcBorders>
            <w:noWrap w:val="0"/>
            <w:vAlign w:val="center"/>
          </w:tcPr>
          <w:p w14:paraId="5EFBC85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6.5~8.5</w:t>
            </w:r>
          </w:p>
        </w:tc>
      </w:tr>
      <w:tr w14:paraId="774ED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228146E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335" w:type="dxa"/>
            <w:tcBorders>
              <w:tl2br w:val="nil"/>
              <w:tr2bl w:val="nil"/>
            </w:tcBorders>
            <w:noWrap w:val="0"/>
            <w:vAlign w:val="center"/>
          </w:tcPr>
          <w:p w14:paraId="50F88E4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765" w:type="dxa"/>
            <w:tcBorders>
              <w:tl2br w:val="nil"/>
              <w:tr2bl w:val="nil"/>
            </w:tcBorders>
            <w:noWrap w:val="0"/>
            <w:vAlign w:val="center"/>
          </w:tcPr>
          <w:p w14:paraId="4C52E0B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91" w:type="dxa"/>
            <w:tcBorders>
              <w:tl2br w:val="nil"/>
              <w:tr2bl w:val="nil"/>
            </w:tcBorders>
            <w:noWrap w:val="0"/>
            <w:vAlign w:val="center"/>
          </w:tcPr>
          <w:p w14:paraId="1F052EC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c>
          <w:tcPr>
            <w:tcW w:w="1922" w:type="dxa"/>
            <w:tcBorders>
              <w:tl2br w:val="nil"/>
              <w:tr2bl w:val="nil"/>
            </w:tcBorders>
            <w:noWrap w:val="0"/>
            <w:vAlign w:val="center"/>
          </w:tcPr>
          <w:p w14:paraId="1AD6944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c>
          <w:tcPr>
            <w:tcW w:w="2225" w:type="dxa"/>
            <w:tcBorders>
              <w:tl2br w:val="nil"/>
              <w:tr2bl w:val="nil"/>
            </w:tcBorders>
            <w:noWrap w:val="0"/>
            <w:vAlign w:val="center"/>
          </w:tcPr>
          <w:p w14:paraId="0334F7F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7F8EB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7A200FE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335" w:type="dxa"/>
            <w:tcBorders>
              <w:tl2br w:val="nil"/>
              <w:tr2bl w:val="nil"/>
            </w:tcBorders>
            <w:noWrap w:val="0"/>
            <w:vAlign w:val="center"/>
          </w:tcPr>
          <w:p w14:paraId="5080A41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浊度</w:t>
            </w:r>
          </w:p>
        </w:tc>
        <w:tc>
          <w:tcPr>
            <w:tcW w:w="765" w:type="dxa"/>
            <w:tcBorders>
              <w:tl2br w:val="nil"/>
              <w:tr2bl w:val="nil"/>
            </w:tcBorders>
            <w:noWrap w:val="0"/>
            <w:vAlign w:val="center"/>
          </w:tcPr>
          <w:p w14:paraId="4D09E89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91" w:type="dxa"/>
            <w:tcBorders>
              <w:tl2br w:val="nil"/>
              <w:tr2bl w:val="nil"/>
            </w:tcBorders>
            <w:noWrap w:val="0"/>
            <w:vAlign w:val="center"/>
          </w:tcPr>
          <w:p w14:paraId="1252230B">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C7237C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58E5002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r>
      <w:tr w14:paraId="047D9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B8B4E7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335" w:type="dxa"/>
            <w:tcBorders>
              <w:tl2br w:val="nil"/>
              <w:tr2bl w:val="nil"/>
            </w:tcBorders>
            <w:noWrap w:val="0"/>
            <w:vAlign w:val="center"/>
          </w:tcPr>
          <w:p w14:paraId="2A5FA4E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COD</w:t>
            </w:r>
          </w:p>
        </w:tc>
        <w:tc>
          <w:tcPr>
            <w:tcW w:w="765" w:type="dxa"/>
            <w:tcBorders>
              <w:tl2br w:val="nil"/>
              <w:tr2bl w:val="nil"/>
            </w:tcBorders>
            <w:noWrap w:val="0"/>
            <w:vAlign w:val="center"/>
          </w:tcPr>
          <w:p w14:paraId="466596F9">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2E5B266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50</w:t>
            </w:r>
          </w:p>
        </w:tc>
        <w:tc>
          <w:tcPr>
            <w:tcW w:w="1922" w:type="dxa"/>
            <w:tcBorders>
              <w:tl2br w:val="nil"/>
              <w:tr2bl w:val="nil"/>
            </w:tcBorders>
            <w:noWrap w:val="0"/>
            <w:vAlign w:val="center"/>
          </w:tcPr>
          <w:p w14:paraId="25D275A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51BB007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w:t>
            </w:r>
          </w:p>
        </w:tc>
      </w:tr>
      <w:tr w14:paraId="02ACB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5567CC6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335" w:type="dxa"/>
            <w:tcBorders>
              <w:tl2br w:val="nil"/>
              <w:tr2bl w:val="nil"/>
            </w:tcBorders>
            <w:noWrap w:val="0"/>
            <w:vAlign w:val="center"/>
          </w:tcPr>
          <w:p w14:paraId="294C2A9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765" w:type="dxa"/>
            <w:tcBorders>
              <w:tl2br w:val="nil"/>
              <w:tr2bl w:val="nil"/>
            </w:tcBorders>
            <w:noWrap w:val="0"/>
            <w:vAlign w:val="center"/>
          </w:tcPr>
          <w:p w14:paraId="2EFE84F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30DB900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701D13A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5E376CB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7C584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550FE0C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335" w:type="dxa"/>
            <w:tcBorders>
              <w:tl2br w:val="nil"/>
              <w:tr2bl w:val="nil"/>
            </w:tcBorders>
            <w:noWrap w:val="0"/>
            <w:vAlign w:val="center"/>
          </w:tcPr>
          <w:p w14:paraId="58872DB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氨氮</w:t>
            </w:r>
          </w:p>
        </w:tc>
        <w:tc>
          <w:tcPr>
            <w:tcW w:w="765" w:type="dxa"/>
            <w:tcBorders>
              <w:tl2br w:val="nil"/>
              <w:tr2bl w:val="nil"/>
            </w:tcBorders>
            <w:noWrap w:val="0"/>
            <w:vAlign w:val="center"/>
          </w:tcPr>
          <w:p w14:paraId="36F8B86F">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7C6BF4A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5（8）</w:t>
            </w:r>
          </w:p>
        </w:tc>
        <w:tc>
          <w:tcPr>
            <w:tcW w:w="1922" w:type="dxa"/>
            <w:tcBorders>
              <w:tl2br w:val="nil"/>
              <w:tr2bl w:val="nil"/>
            </w:tcBorders>
            <w:noWrap w:val="0"/>
            <w:vAlign w:val="center"/>
          </w:tcPr>
          <w:p w14:paraId="398D632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225" w:type="dxa"/>
            <w:tcBorders>
              <w:tl2br w:val="nil"/>
              <w:tr2bl w:val="nil"/>
            </w:tcBorders>
            <w:noWrap w:val="0"/>
            <w:vAlign w:val="center"/>
          </w:tcPr>
          <w:p w14:paraId="771A48B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47377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1DBAF53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w:t>
            </w:r>
          </w:p>
        </w:tc>
        <w:tc>
          <w:tcPr>
            <w:tcW w:w="1335" w:type="dxa"/>
            <w:tcBorders>
              <w:tl2br w:val="nil"/>
              <w:tr2bl w:val="nil"/>
            </w:tcBorders>
            <w:noWrap w:val="0"/>
            <w:vAlign w:val="center"/>
          </w:tcPr>
          <w:p w14:paraId="1B0AF4E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总氮</w:t>
            </w:r>
          </w:p>
        </w:tc>
        <w:tc>
          <w:tcPr>
            <w:tcW w:w="765" w:type="dxa"/>
            <w:tcBorders>
              <w:tl2br w:val="nil"/>
              <w:tr2bl w:val="nil"/>
            </w:tcBorders>
            <w:noWrap w:val="0"/>
            <w:vAlign w:val="center"/>
          </w:tcPr>
          <w:p w14:paraId="4B8D1964">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7DE4FB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15</w:t>
            </w:r>
          </w:p>
        </w:tc>
        <w:tc>
          <w:tcPr>
            <w:tcW w:w="1922" w:type="dxa"/>
            <w:tcBorders>
              <w:tl2br w:val="nil"/>
              <w:tr2bl w:val="nil"/>
            </w:tcBorders>
            <w:noWrap w:val="0"/>
            <w:vAlign w:val="center"/>
          </w:tcPr>
          <w:p w14:paraId="7F98870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4FE5A47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r>
      <w:tr w14:paraId="597E3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39500DC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w:t>
            </w:r>
          </w:p>
        </w:tc>
        <w:tc>
          <w:tcPr>
            <w:tcW w:w="1335" w:type="dxa"/>
            <w:tcBorders>
              <w:tl2br w:val="nil"/>
              <w:tr2bl w:val="nil"/>
            </w:tcBorders>
            <w:noWrap w:val="0"/>
            <w:vAlign w:val="center"/>
          </w:tcPr>
          <w:p w14:paraId="3166B46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总磷</w:t>
            </w:r>
          </w:p>
        </w:tc>
        <w:tc>
          <w:tcPr>
            <w:tcW w:w="765" w:type="dxa"/>
            <w:tcBorders>
              <w:tl2br w:val="nil"/>
              <w:tr2bl w:val="nil"/>
            </w:tcBorders>
            <w:noWrap w:val="0"/>
            <w:vAlign w:val="center"/>
          </w:tcPr>
          <w:p w14:paraId="44EB3E19">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564464A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3F05FC7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17D833F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46A1A4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60CDC59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w:t>
            </w:r>
          </w:p>
        </w:tc>
        <w:tc>
          <w:tcPr>
            <w:tcW w:w="1335" w:type="dxa"/>
            <w:tcBorders>
              <w:tl2br w:val="nil"/>
              <w:tr2bl w:val="nil"/>
            </w:tcBorders>
            <w:noWrap w:val="0"/>
            <w:vAlign w:val="center"/>
          </w:tcPr>
          <w:p w14:paraId="6E29051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氰化物</w:t>
            </w:r>
          </w:p>
        </w:tc>
        <w:tc>
          <w:tcPr>
            <w:tcW w:w="765" w:type="dxa"/>
            <w:tcBorders>
              <w:tl2br w:val="nil"/>
              <w:tr2bl w:val="nil"/>
            </w:tcBorders>
            <w:noWrap w:val="0"/>
            <w:vAlign w:val="center"/>
          </w:tcPr>
          <w:p w14:paraId="34E32974">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67EB72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DFF653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41CE49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0.2</w:t>
            </w:r>
          </w:p>
        </w:tc>
      </w:tr>
      <w:tr w14:paraId="40FC6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34C3FF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c>
          <w:tcPr>
            <w:tcW w:w="1335" w:type="dxa"/>
            <w:tcBorders>
              <w:tl2br w:val="nil"/>
              <w:tr2bl w:val="nil"/>
            </w:tcBorders>
            <w:noWrap w:val="0"/>
            <w:vAlign w:val="center"/>
          </w:tcPr>
          <w:p w14:paraId="389BECF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挥发酚</w:t>
            </w:r>
          </w:p>
        </w:tc>
        <w:tc>
          <w:tcPr>
            <w:tcW w:w="765" w:type="dxa"/>
            <w:tcBorders>
              <w:tl2br w:val="nil"/>
              <w:tr2bl w:val="nil"/>
            </w:tcBorders>
            <w:noWrap w:val="0"/>
            <w:vAlign w:val="center"/>
          </w:tcPr>
          <w:p w14:paraId="0282F37F">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4AFCB14">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919573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22CFF7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0.005</w:t>
            </w:r>
          </w:p>
        </w:tc>
      </w:tr>
      <w:tr w14:paraId="19F88C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28156B3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11</w:t>
            </w:r>
          </w:p>
        </w:tc>
        <w:tc>
          <w:tcPr>
            <w:tcW w:w="1335" w:type="dxa"/>
            <w:tcBorders>
              <w:tl2br w:val="nil"/>
              <w:tr2bl w:val="nil"/>
            </w:tcBorders>
            <w:noWrap w:val="0"/>
            <w:vAlign w:val="center"/>
          </w:tcPr>
          <w:p w14:paraId="3B9CF49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石油类</w:t>
            </w:r>
          </w:p>
        </w:tc>
        <w:tc>
          <w:tcPr>
            <w:tcW w:w="765" w:type="dxa"/>
            <w:tcBorders>
              <w:tl2br w:val="nil"/>
              <w:tr2bl w:val="nil"/>
            </w:tcBorders>
            <w:noWrap w:val="0"/>
            <w:vAlign w:val="center"/>
          </w:tcPr>
          <w:p w14:paraId="4EC0DC2C">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0513F36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w:t>
            </w:r>
          </w:p>
        </w:tc>
        <w:tc>
          <w:tcPr>
            <w:tcW w:w="1922" w:type="dxa"/>
            <w:tcBorders>
              <w:tl2br w:val="nil"/>
              <w:tr2bl w:val="nil"/>
            </w:tcBorders>
            <w:noWrap w:val="0"/>
            <w:vAlign w:val="center"/>
          </w:tcPr>
          <w:p w14:paraId="68082BC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796832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2F8C1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CB3661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w:t>
            </w:r>
          </w:p>
        </w:tc>
        <w:tc>
          <w:tcPr>
            <w:tcW w:w="1335" w:type="dxa"/>
            <w:tcBorders>
              <w:tl2br w:val="nil"/>
              <w:tr2bl w:val="nil"/>
            </w:tcBorders>
            <w:noWrap w:val="0"/>
            <w:vAlign w:val="center"/>
          </w:tcPr>
          <w:p w14:paraId="43191C1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阴离子表面活性剂</w:t>
            </w:r>
          </w:p>
        </w:tc>
        <w:tc>
          <w:tcPr>
            <w:tcW w:w="765" w:type="dxa"/>
            <w:tcBorders>
              <w:tl2br w:val="nil"/>
              <w:tr2bl w:val="nil"/>
            </w:tcBorders>
            <w:noWrap w:val="0"/>
            <w:vAlign w:val="center"/>
          </w:tcPr>
          <w:p w14:paraId="0B80679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3EF907F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7241254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c>
          <w:tcPr>
            <w:tcW w:w="2225" w:type="dxa"/>
            <w:tcBorders>
              <w:tl2br w:val="nil"/>
              <w:tr2bl w:val="nil"/>
            </w:tcBorders>
            <w:noWrap w:val="0"/>
            <w:vAlign w:val="center"/>
          </w:tcPr>
          <w:p w14:paraId="7608BD2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r>
      <w:tr w14:paraId="68E3D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7586DD5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13</w:t>
            </w:r>
          </w:p>
        </w:tc>
        <w:tc>
          <w:tcPr>
            <w:tcW w:w="1335" w:type="dxa"/>
            <w:tcBorders>
              <w:tl2br w:val="nil"/>
              <w:tr2bl w:val="nil"/>
            </w:tcBorders>
            <w:noWrap w:val="0"/>
            <w:vAlign w:val="center"/>
          </w:tcPr>
          <w:p w14:paraId="5C68AD7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铁</w:t>
            </w:r>
          </w:p>
        </w:tc>
        <w:tc>
          <w:tcPr>
            <w:tcW w:w="765" w:type="dxa"/>
            <w:tcBorders>
              <w:tl2br w:val="nil"/>
              <w:tr2bl w:val="nil"/>
            </w:tcBorders>
            <w:noWrap w:val="0"/>
            <w:vAlign w:val="center"/>
          </w:tcPr>
          <w:p w14:paraId="36541258">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EC2BCD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00912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87A5CB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0.3</w:t>
            </w:r>
          </w:p>
        </w:tc>
      </w:tr>
      <w:tr w14:paraId="1E946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4132A99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14</w:t>
            </w:r>
          </w:p>
        </w:tc>
        <w:tc>
          <w:tcPr>
            <w:tcW w:w="1335" w:type="dxa"/>
            <w:tcBorders>
              <w:tl2br w:val="nil"/>
              <w:tr2bl w:val="nil"/>
            </w:tcBorders>
            <w:noWrap w:val="0"/>
            <w:vAlign w:val="center"/>
          </w:tcPr>
          <w:p w14:paraId="4FB8BFE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锰</w:t>
            </w:r>
          </w:p>
        </w:tc>
        <w:tc>
          <w:tcPr>
            <w:tcW w:w="765" w:type="dxa"/>
            <w:tcBorders>
              <w:tl2br w:val="nil"/>
              <w:tr2bl w:val="nil"/>
            </w:tcBorders>
            <w:noWrap w:val="0"/>
            <w:vAlign w:val="center"/>
          </w:tcPr>
          <w:p w14:paraId="6691AAE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26C557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E43782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D60021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w:t>
            </w:r>
          </w:p>
        </w:tc>
      </w:tr>
      <w:tr w14:paraId="383BA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7EDA523">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w:t>
            </w:r>
          </w:p>
        </w:tc>
        <w:tc>
          <w:tcPr>
            <w:tcW w:w="1335" w:type="dxa"/>
            <w:tcBorders>
              <w:tl2br w:val="nil"/>
              <w:tr2bl w:val="nil"/>
            </w:tcBorders>
            <w:noWrap w:val="0"/>
            <w:vAlign w:val="center"/>
          </w:tcPr>
          <w:p w14:paraId="053FE5E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氯离子</w:t>
            </w:r>
          </w:p>
        </w:tc>
        <w:tc>
          <w:tcPr>
            <w:tcW w:w="765" w:type="dxa"/>
            <w:tcBorders>
              <w:tl2br w:val="nil"/>
              <w:tr2bl w:val="nil"/>
            </w:tcBorders>
            <w:noWrap w:val="0"/>
            <w:vAlign w:val="center"/>
          </w:tcPr>
          <w:p w14:paraId="150B7B5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313E869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3AE75F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c>
          <w:tcPr>
            <w:tcW w:w="2225" w:type="dxa"/>
            <w:tcBorders>
              <w:tl2br w:val="nil"/>
              <w:tr2bl w:val="nil"/>
            </w:tcBorders>
            <w:noWrap w:val="0"/>
            <w:vAlign w:val="center"/>
          </w:tcPr>
          <w:p w14:paraId="3EB4891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6F99B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7D58CDA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16</w:t>
            </w:r>
          </w:p>
        </w:tc>
        <w:tc>
          <w:tcPr>
            <w:tcW w:w="1335" w:type="dxa"/>
            <w:tcBorders>
              <w:tl2br w:val="nil"/>
              <w:tr2bl w:val="nil"/>
            </w:tcBorders>
            <w:noWrap w:val="0"/>
            <w:vAlign w:val="center"/>
          </w:tcPr>
          <w:p w14:paraId="6A01D0F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硫酸盐</w:t>
            </w:r>
          </w:p>
        </w:tc>
        <w:tc>
          <w:tcPr>
            <w:tcW w:w="765" w:type="dxa"/>
            <w:tcBorders>
              <w:tl2br w:val="nil"/>
              <w:tr2bl w:val="nil"/>
            </w:tcBorders>
            <w:noWrap w:val="0"/>
            <w:vAlign w:val="center"/>
          </w:tcPr>
          <w:p w14:paraId="10B32A1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5CA3D72">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8601D0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500</w:t>
            </w:r>
          </w:p>
        </w:tc>
        <w:tc>
          <w:tcPr>
            <w:tcW w:w="2225" w:type="dxa"/>
            <w:tcBorders>
              <w:tl2br w:val="nil"/>
              <w:tr2bl w:val="nil"/>
            </w:tcBorders>
            <w:noWrap w:val="0"/>
            <w:vAlign w:val="center"/>
          </w:tcPr>
          <w:p w14:paraId="7554BA0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4BD69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6AB7BDE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17</w:t>
            </w:r>
          </w:p>
        </w:tc>
        <w:tc>
          <w:tcPr>
            <w:tcW w:w="1335" w:type="dxa"/>
            <w:tcBorders>
              <w:tl2br w:val="nil"/>
              <w:tr2bl w:val="nil"/>
            </w:tcBorders>
            <w:noWrap w:val="0"/>
            <w:vAlign w:val="center"/>
          </w:tcPr>
          <w:p w14:paraId="36CC47D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悬浮物</w:t>
            </w:r>
          </w:p>
        </w:tc>
        <w:tc>
          <w:tcPr>
            <w:tcW w:w="765" w:type="dxa"/>
            <w:tcBorders>
              <w:tl2br w:val="nil"/>
              <w:tr2bl w:val="nil"/>
            </w:tcBorders>
            <w:noWrap w:val="0"/>
            <w:vAlign w:val="center"/>
          </w:tcPr>
          <w:p w14:paraId="0E7F3B9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2CC3873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63CAF1B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1371AE7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0D08F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6C18F42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w:t>
            </w:r>
          </w:p>
        </w:tc>
        <w:tc>
          <w:tcPr>
            <w:tcW w:w="1335" w:type="dxa"/>
            <w:tcBorders>
              <w:tl2br w:val="nil"/>
              <w:tr2bl w:val="nil"/>
            </w:tcBorders>
            <w:noWrap w:val="0"/>
            <w:vAlign w:val="center"/>
          </w:tcPr>
          <w:p w14:paraId="136046D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二氧化硅</w:t>
            </w:r>
          </w:p>
        </w:tc>
        <w:tc>
          <w:tcPr>
            <w:tcW w:w="765" w:type="dxa"/>
            <w:tcBorders>
              <w:tl2br w:val="nil"/>
              <w:tr2bl w:val="nil"/>
            </w:tcBorders>
            <w:noWrap w:val="0"/>
            <w:vAlign w:val="center"/>
          </w:tcPr>
          <w:p w14:paraId="0E19AC37">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5378EAA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645BA5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40C40B7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71045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7A52FD4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19</w:t>
            </w:r>
          </w:p>
        </w:tc>
        <w:tc>
          <w:tcPr>
            <w:tcW w:w="1335" w:type="dxa"/>
            <w:tcBorders>
              <w:tl2br w:val="nil"/>
              <w:tr2bl w:val="nil"/>
            </w:tcBorders>
            <w:noWrap w:val="0"/>
            <w:vAlign w:val="center"/>
          </w:tcPr>
          <w:p w14:paraId="1FDCAFE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总碱度（以CaCO计）</w:t>
            </w:r>
          </w:p>
        </w:tc>
        <w:tc>
          <w:tcPr>
            <w:tcW w:w="765" w:type="dxa"/>
            <w:tcBorders>
              <w:tl2br w:val="nil"/>
              <w:tr2bl w:val="nil"/>
            </w:tcBorders>
            <w:noWrap w:val="0"/>
            <w:vAlign w:val="center"/>
          </w:tcPr>
          <w:p w14:paraId="2F5ABA1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2A218D04">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6C5A0D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074936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r>
      <w:tr w14:paraId="64F21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7CF251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c>
          <w:tcPr>
            <w:tcW w:w="1335" w:type="dxa"/>
            <w:tcBorders>
              <w:tl2br w:val="nil"/>
              <w:tr2bl w:val="nil"/>
            </w:tcBorders>
            <w:noWrap w:val="0"/>
            <w:vAlign w:val="center"/>
          </w:tcPr>
          <w:p w14:paraId="37B3808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总硬度（以CaCO</w:t>
            </w:r>
            <w:r>
              <w:rPr>
                <w:rFonts w:hint="eastAsia"/>
                <w:color w:val="auto"/>
                <w:vertAlign w:val="subscript"/>
                <w:lang w:val="en-US" w:eastAsia="zh-CN"/>
              </w:rPr>
              <w:t>2</w:t>
            </w:r>
            <w:r>
              <w:rPr>
                <w:rFonts w:hint="eastAsia"/>
                <w:color w:val="auto"/>
                <w:lang w:val="en-US" w:eastAsia="zh-CN"/>
              </w:rPr>
              <w:t>计）</w:t>
            </w:r>
          </w:p>
        </w:tc>
        <w:tc>
          <w:tcPr>
            <w:tcW w:w="765" w:type="dxa"/>
            <w:tcBorders>
              <w:tl2br w:val="nil"/>
              <w:tr2bl w:val="nil"/>
            </w:tcBorders>
            <w:noWrap w:val="0"/>
            <w:vAlign w:val="center"/>
          </w:tcPr>
          <w:p w14:paraId="5928A5B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815192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48C055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9581E3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450</w:t>
            </w:r>
          </w:p>
        </w:tc>
      </w:tr>
      <w:tr w14:paraId="45F81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2E14C2D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21</w:t>
            </w:r>
          </w:p>
        </w:tc>
        <w:tc>
          <w:tcPr>
            <w:tcW w:w="1335" w:type="dxa"/>
            <w:tcBorders>
              <w:tl2br w:val="nil"/>
              <w:tr2bl w:val="nil"/>
            </w:tcBorders>
            <w:noWrap w:val="0"/>
            <w:vAlign w:val="center"/>
          </w:tcPr>
          <w:p w14:paraId="31D1562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溶解性总固体</w:t>
            </w:r>
          </w:p>
        </w:tc>
        <w:tc>
          <w:tcPr>
            <w:tcW w:w="765" w:type="dxa"/>
            <w:tcBorders>
              <w:tl2br w:val="nil"/>
              <w:tr2bl w:val="nil"/>
            </w:tcBorders>
            <w:noWrap w:val="0"/>
            <w:vAlign w:val="center"/>
          </w:tcPr>
          <w:p w14:paraId="4B8655C6">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7A29F3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621A60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1000（2000）a</w:t>
            </w:r>
          </w:p>
        </w:tc>
        <w:tc>
          <w:tcPr>
            <w:tcW w:w="2225" w:type="dxa"/>
            <w:tcBorders>
              <w:tl2br w:val="nil"/>
              <w:tr2bl w:val="nil"/>
            </w:tcBorders>
            <w:noWrap w:val="0"/>
            <w:vAlign w:val="center"/>
          </w:tcPr>
          <w:p w14:paraId="07767A3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w:t>
            </w:r>
          </w:p>
        </w:tc>
      </w:tr>
      <w:tr w14:paraId="01067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080C828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22</w:t>
            </w:r>
          </w:p>
        </w:tc>
        <w:tc>
          <w:tcPr>
            <w:tcW w:w="1335" w:type="dxa"/>
            <w:tcBorders>
              <w:tl2br w:val="nil"/>
              <w:tr2bl w:val="nil"/>
            </w:tcBorders>
            <w:noWrap w:val="0"/>
            <w:vAlign w:val="center"/>
          </w:tcPr>
          <w:p w14:paraId="125940F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余氯</w:t>
            </w:r>
          </w:p>
        </w:tc>
        <w:tc>
          <w:tcPr>
            <w:tcW w:w="765" w:type="dxa"/>
            <w:tcBorders>
              <w:tl2br w:val="nil"/>
              <w:tr2bl w:val="nil"/>
            </w:tcBorders>
            <w:noWrap w:val="0"/>
            <w:vAlign w:val="center"/>
          </w:tcPr>
          <w:p w14:paraId="1715154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4420C35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21BE503D">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 xml:space="preserve"> 1.0（出厂），0.2（管网末端）</w:t>
            </w:r>
          </w:p>
        </w:tc>
        <w:tc>
          <w:tcPr>
            <w:tcW w:w="2225" w:type="dxa"/>
            <w:tcBorders>
              <w:tl2br w:val="nil"/>
              <w:tr2bl w:val="nil"/>
            </w:tcBorders>
            <w:noWrap w:val="0"/>
            <w:vAlign w:val="center"/>
          </w:tcPr>
          <w:p w14:paraId="72001A5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≥0.05</w:t>
            </w:r>
          </w:p>
        </w:tc>
      </w:tr>
      <w:tr w14:paraId="07F5F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273E343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23</w:t>
            </w:r>
          </w:p>
        </w:tc>
        <w:tc>
          <w:tcPr>
            <w:tcW w:w="1335" w:type="dxa"/>
            <w:tcBorders>
              <w:tl2br w:val="nil"/>
              <w:tr2bl w:val="nil"/>
            </w:tcBorders>
            <w:noWrap w:val="0"/>
            <w:vAlign w:val="center"/>
          </w:tcPr>
          <w:p w14:paraId="3A63CC5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粪大肠菌群数</w:t>
            </w:r>
          </w:p>
        </w:tc>
        <w:tc>
          <w:tcPr>
            <w:tcW w:w="765" w:type="dxa"/>
            <w:tcBorders>
              <w:tl2br w:val="nil"/>
              <w:tr2bl w:val="nil"/>
            </w:tcBorders>
            <w:noWrap w:val="0"/>
            <w:vAlign w:val="center"/>
          </w:tcPr>
          <w:p w14:paraId="3E62CDAF">
            <w:pPr>
              <w:pStyle w:val="12"/>
              <w:pageBreakBefore w:val="0"/>
              <w:wordWrap/>
              <w:bidi w:val="0"/>
              <w:adjustRightInd/>
              <w:snapToGrid/>
              <w:rPr>
                <w:rFonts w:hint="default"/>
                <w:color w:val="auto"/>
                <w:lang w:val="en-US" w:eastAsia="zh-CN"/>
              </w:rPr>
            </w:pPr>
            <w:r>
              <w:rPr>
                <w:rFonts w:hint="eastAsia"/>
                <w:color w:val="auto"/>
                <w:lang w:val="en-US" w:eastAsia="zh-CN"/>
              </w:rPr>
              <w:t>个/L</w:t>
            </w:r>
          </w:p>
        </w:tc>
        <w:tc>
          <w:tcPr>
            <w:tcW w:w="1991" w:type="dxa"/>
            <w:tcBorders>
              <w:tl2br w:val="nil"/>
              <w:tr2bl w:val="nil"/>
            </w:tcBorders>
            <w:noWrap w:val="0"/>
            <w:vAlign w:val="center"/>
          </w:tcPr>
          <w:p w14:paraId="6EA7846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r>
              <w:rPr>
                <w:rFonts w:hint="eastAsia"/>
                <w:color w:val="auto"/>
                <w:vertAlign w:val="superscript"/>
                <w:lang w:val="en-US" w:eastAsia="zh-CN"/>
              </w:rPr>
              <w:t>3</w:t>
            </w:r>
          </w:p>
        </w:tc>
        <w:tc>
          <w:tcPr>
            <w:tcW w:w="1922" w:type="dxa"/>
            <w:tcBorders>
              <w:tl2br w:val="nil"/>
              <w:tr2bl w:val="nil"/>
            </w:tcBorders>
            <w:noWrap w:val="0"/>
            <w:vAlign w:val="center"/>
          </w:tcPr>
          <w:p w14:paraId="43F18D6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39C1155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2000</w:t>
            </w:r>
          </w:p>
        </w:tc>
      </w:tr>
      <w:tr w14:paraId="6D659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0" w:type="dxa"/>
            <w:tcBorders>
              <w:tl2br w:val="nil"/>
              <w:tr2bl w:val="nil"/>
            </w:tcBorders>
            <w:noWrap w:val="0"/>
            <w:vAlign w:val="center"/>
          </w:tcPr>
          <w:p w14:paraId="6FE7C47F">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24</w:t>
            </w:r>
          </w:p>
        </w:tc>
        <w:tc>
          <w:tcPr>
            <w:tcW w:w="1335" w:type="dxa"/>
            <w:tcBorders>
              <w:tl2br w:val="nil"/>
              <w:tr2bl w:val="nil"/>
            </w:tcBorders>
            <w:noWrap w:val="0"/>
            <w:vAlign w:val="center"/>
          </w:tcPr>
          <w:p w14:paraId="1C9ED341">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大肠埃希氏菌</w:t>
            </w:r>
          </w:p>
        </w:tc>
        <w:tc>
          <w:tcPr>
            <w:tcW w:w="765" w:type="dxa"/>
            <w:tcBorders>
              <w:tl2br w:val="nil"/>
              <w:tr2bl w:val="nil"/>
            </w:tcBorders>
            <w:noWrap w:val="0"/>
            <w:vAlign w:val="center"/>
          </w:tcPr>
          <w:p w14:paraId="3BE91453">
            <w:pPr>
              <w:pStyle w:val="12"/>
              <w:pageBreakBefore w:val="0"/>
              <w:wordWrap/>
              <w:bidi w:val="0"/>
              <w:adjustRightInd/>
              <w:snapToGrid/>
              <w:rPr>
                <w:rFonts w:hint="eastAsia"/>
                <w:color w:val="auto"/>
                <w:lang w:val="en-US" w:eastAsia="zh-CN"/>
              </w:rPr>
            </w:pPr>
            <w:r>
              <w:rPr>
                <w:rFonts w:hint="eastAsia"/>
                <w:color w:val="auto"/>
                <w:lang w:val="en-US" w:eastAsia="zh-CN"/>
              </w:rPr>
              <w:t>（MPN/100mL 或CFU/100mL）</w:t>
            </w:r>
          </w:p>
        </w:tc>
        <w:tc>
          <w:tcPr>
            <w:tcW w:w="1991" w:type="dxa"/>
            <w:tcBorders>
              <w:tl2br w:val="nil"/>
              <w:tr2bl w:val="nil"/>
            </w:tcBorders>
            <w:noWrap w:val="0"/>
            <w:vAlign w:val="center"/>
          </w:tcPr>
          <w:p w14:paraId="141F39C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F5C57E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无，不应检出</w:t>
            </w:r>
          </w:p>
        </w:tc>
        <w:tc>
          <w:tcPr>
            <w:tcW w:w="2225" w:type="dxa"/>
            <w:tcBorders>
              <w:tl2br w:val="nil"/>
              <w:tr2bl w:val="nil"/>
            </w:tcBorders>
            <w:noWrap w:val="0"/>
            <w:vAlign w:val="center"/>
          </w:tcPr>
          <w:p w14:paraId="4198B43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r>
      <w:tr w14:paraId="06675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18" w:type="dxa"/>
            <w:gridSpan w:val="6"/>
            <w:tcBorders>
              <w:tl2br w:val="nil"/>
              <w:tr2bl w:val="nil"/>
            </w:tcBorders>
            <w:noWrap w:val="0"/>
            <w:vAlign w:val="center"/>
          </w:tcPr>
          <w:p w14:paraId="3649B314">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注：a括号内指标值为沿海及本地水源中溶解性固体含量较高的区域的指标，本方案不执行。</w:t>
            </w:r>
          </w:p>
        </w:tc>
      </w:tr>
    </w:tbl>
    <w:p w14:paraId="0718E50B">
      <w:pPr>
        <w:keepNext w:val="0"/>
        <w:keepLines w:val="0"/>
        <w:pageBreakBefore w:val="0"/>
        <w:widowControl w:val="0"/>
        <w:numPr>
          <w:ilvl w:val="0"/>
          <w:numId w:val="8"/>
        </w:numPr>
        <w:kinsoku/>
        <w:wordWrap/>
        <w:overflowPunct/>
        <w:topLinePunct w:val="0"/>
        <w:autoSpaceDE/>
        <w:autoSpaceDN/>
        <w:bidi w:val="0"/>
        <w:adjustRightInd/>
        <w:snapToGrid/>
        <w:spacing w:before="0" w:beforeLines="50"/>
        <w:textAlignment w:val="auto"/>
        <w:rPr>
          <w:b/>
          <w:bCs/>
          <w:color w:val="auto"/>
        </w:rPr>
      </w:pPr>
      <w:r>
        <w:rPr>
          <w:b/>
          <w:bCs/>
          <w:color w:val="auto"/>
        </w:rPr>
        <w:t>噪声</w:t>
      </w:r>
    </w:p>
    <w:p w14:paraId="5690147E">
      <w:pPr>
        <w:pageBreakBefore w:val="0"/>
        <w:wordWrap/>
        <w:bidi w:val="0"/>
        <w:adjustRightInd/>
        <w:snapToGrid/>
        <w:rPr>
          <w:color w:val="auto"/>
        </w:rPr>
      </w:pPr>
      <w:r>
        <w:rPr>
          <w:color w:val="auto"/>
        </w:rPr>
        <w:t>项目施工期噪声执行《建筑施工场界环境噪声排放标准》（GB12523-2011）标准限值要求，项目运行期噪声执行《工业企业厂界环境噪声排放标准》（GB12348-2008）</w:t>
      </w:r>
      <w:r>
        <w:rPr>
          <w:rFonts w:hint="eastAsia"/>
          <w:color w:val="auto"/>
          <w:lang w:val="en-US" w:eastAsia="zh-CN"/>
        </w:rPr>
        <w:t>2</w:t>
      </w:r>
      <w:r>
        <w:rPr>
          <w:color w:val="auto"/>
        </w:rPr>
        <w:t>类</w:t>
      </w:r>
      <w:r>
        <w:rPr>
          <w:rFonts w:hint="eastAsia"/>
          <w:color w:val="auto"/>
          <w:lang w:val="en-US" w:eastAsia="zh-CN"/>
        </w:rPr>
        <w:t>和4类</w:t>
      </w:r>
      <w:r>
        <w:rPr>
          <w:color w:val="auto"/>
        </w:rPr>
        <w:t>标准限值要求，其标准值见</w:t>
      </w:r>
      <w:r>
        <w:rPr>
          <w:rFonts w:hint="eastAsia"/>
          <w:color w:val="auto"/>
          <w:lang w:val="en-US" w:eastAsia="zh-CN"/>
        </w:rPr>
        <w:t>下表</w:t>
      </w:r>
      <w:r>
        <w:rPr>
          <w:color w:val="auto"/>
        </w:rPr>
        <w:t>所示。</w:t>
      </w:r>
    </w:p>
    <w:p w14:paraId="1DE6ECE5">
      <w:pPr>
        <w:pStyle w:val="15"/>
        <w:numPr>
          <w:ilvl w:val="0"/>
          <w:numId w:val="7"/>
        </w:numPr>
        <w:bidi w:val="0"/>
        <w:ind w:left="0" w:leftChars="0" w:firstLine="0" w:firstLineChars="0"/>
        <w:rPr>
          <w:rFonts w:hint="eastAsia"/>
          <w:color w:val="auto"/>
          <w:lang w:eastAsia="zh-CN"/>
        </w:rPr>
      </w:pPr>
      <w:r>
        <w:rPr>
          <w:color w:val="auto"/>
        </w:rPr>
        <w:t>建筑施工场界环境噪声排放限值</w:t>
      </w:r>
      <w:r>
        <w:rPr>
          <w:rFonts w:hint="eastAsia"/>
          <w:color w:val="auto"/>
        </w:rPr>
        <w:t xml:space="preserve">  </w:t>
      </w:r>
      <w:r>
        <w:rPr>
          <w:color w:val="auto"/>
        </w:rPr>
        <w:t>单位：dB</w:t>
      </w:r>
      <w:r>
        <w:rPr>
          <w:rFonts w:hint="eastAsia"/>
          <w:color w:val="auto"/>
          <w:lang w:eastAsia="zh-CN"/>
        </w:rPr>
        <w:t>（</w:t>
      </w:r>
      <w:r>
        <w:rPr>
          <w:color w:val="auto"/>
        </w:rPr>
        <w:t>A</w:t>
      </w:r>
      <w:r>
        <w:rPr>
          <w:rFonts w:hint="eastAsia"/>
          <w:color w:val="auto"/>
          <w:lang w:eastAsia="zh-CN"/>
        </w:rPr>
        <w:t>）</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49"/>
        <w:gridCol w:w="4995"/>
      </w:tblGrid>
      <w:tr w14:paraId="61431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07" w:type="pct"/>
            <w:tcBorders>
              <w:tl2br w:val="nil"/>
              <w:tr2bl w:val="nil"/>
            </w:tcBorders>
            <w:noWrap w:val="0"/>
            <w:vAlign w:val="center"/>
          </w:tcPr>
          <w:p w14:paraId="2BDBB29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昼  间</w:t>
            </w:r>
          </w:p>
        </w:tc>
        <w:tc>
          <w:tcPr>
            <w:tcW w:w="2792" w:type="pct"/>
            <w:tcBorders>
              <w:tl2br w:val="nil"/>
              <w:tr2bl w:val="nil"/>
            </w:tcBorders>
            <w:noWrap w:val="0"/>
            <w:vAlign w:val="center"/>
          </w:tcPr>
          <w:p w14:paraId="7EC2224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夜  间</w:t>
            </w:r>
          </w:p>
        </w:tc>
      </w:tr>
      <w:tr w14:paraId="32226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07" w:type="pct"/>
            <w:tcBorders>
              <w:tl2br w:val="nil"/>
              <w:tr2bl w:val="nil"/>
            </w:tcBorders>
            <w:noWrap w:val="0"/>
            <w:vAlign w:val="center"/>
          </w:tcPr>
          <w:p w14:paraId="759A3B0D">
            <w:pPr>
              <w:pageBreakBefore w:val="0"/>
              <w:wordWrap/>
              <w:bidi w:val="0"/>
              <w:adjustRightInd/>
              <w:snapToGrid/>
              <w:spacing w:line="240" w:lineRule="auto"/>
              <w:ind w:firstLine="0" w:firstLineChars="0"/>
              <w:jc w:val="center"/>
              <w:rPr>
                <w:color w:val="auto"/>
                <w:sz w:val="21"/>
                <w:szCs w:val="21"/>
              </w:rPr>
            </w:pPr>
            <w:r>
              <w:rPr>
                <w:color w:val="auto"/>
                <w:sz w:val="21"/>
                <w:szCs w:val="21"/>
              </w:rPr>
              <w:t>70</w:t>
            </w:r>
          </w:p>
        </w:tc>
        <w:tc>
          <w:tcPr>
            <w:tcW w:w="2792" w:type="pct"/>
            <w:tcBorders>
              <w:tl2br w:val="nil"/>
              <w:tr2bl w:val="nil"/>
            </w:tcBorders>
            <w:noWrap w:val="0"/>
            <w:vAlign w:val="center"/>
          </w:tcPr>
          <w:p w14:paraId="1F846B9F">
            <w:pPr>
              <w:pageBreakBefore w:val="0"/>
              <w:wordWrap/>
              <w:bidi w:val="0"/>
              <w:adjustRightInd/>
              <w:snapToGrid/>
              <w:spacing w:line="240" w:lineRule="auto"/>
              <w:ind w:firstLine="0" w:firstLineChars="0"/>
              <w:jc w:val="center"/>
              <w:rPr>
                <w:color w:val="auto"/>
                <w:sz w:val="21"/>
                <w:szCs w:val="21"/>
              </w:rPr>
            </w:pPr>
            <w:r>
              <w:rPr>
                <w:color w:val="auto"/>
                <w:sz w:val="21"/>
                <w:szCs w:val="21"/>
              </w:rPr>
              <w:t>55</w:t>
            </w:r>
          </w:p>
        </w:tc>
      </w:tr>
    </w:tbl>
    <w:p w14:paraId="2C14CB81">
      <w:pPr>
        <w:pStyle w:val="15"/>
        <w:keepNext w:val="0"/>
        <w:keepLines w:val="0"/>
        <w:pageBreakBefore w:val="0"/>
        <w:widowControl w:val="0"/>
        <w:numPr>
          <w:ilvl w:val="0"/>
          <w:numId w:val="7"/>
        </w:numPr>
        <w:kinsoku/>
        <w:wordWrap/>
        <w:overflowPunct/>
        <w:topLinePunct w:val="0"/>
        <w:autoSpaceDE/>
        <w:autoSpaceDN/>
        <w:bidi w:val="0"/>
        <w:adjustRightInd/>
        <w:snapToGrid/>
        <w:spacing w:before="0" w:beforeLines="50"/>
        <w:ind w:left="0" w:leftChars="0" w:firstLine="0" w:firstLineChars="0"/>
        <w:textAlignment w:val="auto"/>
        <w:rPr>
          <w:rFonts w:hint="eastAsia"/>
          <w:color w:val="auto"/>
          <w:lang w:eastAsia="zh-CN"/>
        </w:rPr>
      </w:pPr>
      <w:r>
        <w:rPr>
          <w:color w:val="auto"/>
        </w:rPr>
        <w:t>工业企业厂界环境噪声排放标准限值</w:t>
      </w:r>
      <w:r>
        <w:rPr>
          <w:rFonts w:hint="eastAsia"/>
          <w:color w:val="auto"/>
        </w:rPr>
        <w:t xml:space="preserve">  </w:t>
      </w:r>
      <w:r>
        <w:rPr>
          <w:color w:val="auto"/>
        </w:rPr>
        <w:t>等效声级 LAeq：dB</w:t>
      </w:r>
      <w:r>
        <w:rPr>
          <w:rFonts w:hint="eastAsia"/>
          <w:color w:val="auto"/>
          <w:lang w:eastAsia="zh-CN"/>
        </w:rPr>
        <w:t>（</w:t>
      </w:r>
      <w:r>
        <w:rPr>
          <w:color w:val="auto"/>
        </w:rPr>
        <w:t>A</w:t>
      </w:r>
      <w:r>
        <w:rPr>
          <w:rFonts w:hint="eastAsia"/>
          <w:color w:val="auto"/>
          <w:lang w:eastAsia="zh-CN"/>
        </w:rPr>
        <w:t>）</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81"/>
        <w:gridCol w:w="2788"/>
        <w:gridCol w:w="2675"/>
      </w:tblGrid>
      <w:tr w14:paraId="04446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6" w:type="pct"/>
            <w:vMerge w:val="restart"/>
            <w:tcBorders>
              <w:tl2br w:val="nil"/>
              <w:tr2bl w:val="nil"/>
            </w:tcBorders>
            <w:noWrap w:val="0"/>
            <w:vAlign w:val="center"/>
          </w:tcPr>
          <w:p w14:paraId="4E80C2D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环境噪声</w:t>
            </w:r>
          </w:p>
        </w:tc>
        <w:tc>
          <w:tcPr>
            <w:tcW w:w="3053" w:type="pct"/>
            <w:gridSpan w:val="2"/>
            <w:tcBorders>
              <w:tl2br w:val="nil"/>
              <w:tr2bl w:val="nil"/>
            </w:tcBorders>
            <w:noWrap w:val="0"/>
            <w:vAlign w:val="center"/>
          </w:tcPr>
          <w:p w14:paraId="63FF04C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时  段</w:t>
            </w:r>
          </w:p>
        </w:tc>
      </w:tr>
      <w:tr w14:paraId="12DA2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6" w:type="pct"/>
            <w:vMerge w:val="continue"/>
            <w:tcBorders>
              <w:tl2br w:val="nil"/>
              <w:tr2bl w:val="nil"/>
            </w:tcBorders>
            <w:noWrap w:val="0"/>
            <w:vAlign w:val="center"/>
          </w:tcPr>
          <w:p w14:paraId="5C3148C4">
            <w:pPr>
              <w:pageBreakBefore w:val="0"/>
              <w:wordWrap/>
              <w:bidi w:val="0"/>
              <w:adjustRightInd/>
              <w:snapToGrid/>
              <w:spacing w:line="240" w:lineRule="auto"/>
              <w:ind w:firstLine="0" w:firstLineChars="0"/>
              <w:jc w:val="center"/>
              <w:rPr>
                <w:b/>
                <w:bCs/>
                <w:color w:val="auto"/>
                <w:sz w:val="21"/>
                <w:szCs w:val="21"/>
              </w:rPr>
            </w:pPr>
          </w:p>
        </w:tc>
        <w:tc>
          <w:tcPr>
            <w:tcW w:w="1558" w:type="pct"/>
            <w:tcBorders>
              <w:tl2br w:val="nil"/>
              <w:tr2bl w:val="nil"/>
            </w:tcBorders>
            <w:noWrap w:val="0"/>
            <w:vAlign w:val="center"/>
          </w:tcPr>
          <w:p w14:paraId="1B07E45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昼  间</w:t>
            </w:r>
          </w:p>
        </w:tc>
        <w:tc>
          <w:tcPr>
            <w:tcW w:w="1494" w:type="pct"/>
            <w:tcBorders>
              <w:tl2br w:val="nil"/>
              <w:tr2bl w:val="nil"/>
            </w:tcBorders>
            <w:noWrap w:val="0"/>
            <w:vAlign w:val="center"/>
          </w:tcPr>
          <w:p w14:paraId="57872EB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夜  间</w:t>
            </w:r>
          </w:p>
        </w:tc>
      </w:tr>
      <w:tr w14:paraId="5CE89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6" w:type="pct"/>
            <w:tcBorders>
              <w:tl2br w:val="nil"/>
              <w:tr2bl w:val="nil"/>
            </w:tcBorders>
            <w:noWrap w:val="0"/>
            <w:vAlign w:val="center"/>
          </w:tcPr>
          <w:p w14:paraId="21179313">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2</w:t>
            </w:r>
            <w:r>
              <w:rPr>
                <w:color w:val="auto"/>
                <w:sz w:val="21"/>
                <w:szCs w:val="21"/>
              </w:rPr>
              <w:t>类</w:t>
            </w:r>
          </w:p>
        </w:tc>
        <w:tc>
          <w:tcPr>
            <w:tcW w:w="1558" w:type="pct"/>
            <w:tcBorders>
              <w:tl2br w:val="nil"/>
              <w:tr2bl w:val="nil"/>
            </w:tcBorders>
            <w:noWrap w:val="0"/>
            <w:vAlign w:val="center"/>
          </w:tcPr>
          <w:p w14:paraId="3C2E6EE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60</w:t>
            </w:r>
          </w:p>
        </w:tc>
        <w:tc>
          <w:tcPr>
            <w:tcW w:w="1494" w:type="pct"/>
            <w:tcBorders>
              <w:tl2br w:val="nil"/>
              <w:tr2bl w:val="nil"/>
            </w:tcBorders>
            <w:noWrap w:val="0"/>
            <w:vAlign w:val="center"/>
          </w:tcPr>
          <w:p w14:paraId="3BE1ADF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21FE3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6" w:type="pct"/>
            <w:tcBorders>
              <w:tl2br w:val="nil"/>
              <w:tr2bl w:val="nil"/>
            </w:tcBorders>
            <w:noWrap w:val="0"/>
            <w:vAlign w:val="center"/>
          </w:tcPr>
          <w:p w14:paraId="0EEF60C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4类（临路侧）</w:t>
            </w:r>
          </w:p>
        </w:tc>
        <w:tc>
          <w:tcPr>
            <w:tcW w:w="1558" w:type="pct"/>
            <w:tcBorders>
              <w:tl2br w:val="nil"/>
              <w:tr2bl w:val="nil"/>
            </w:tcBorders>
            <w:noWrap w:val="0"/>
            <w:vAlign w:val="center"/>
          </w:tcPr>
          <w:p w14:paraId="02E0068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1494" w:type="pct"/>
            <w:tcBorders>
              <w:tl2br w:val="nil"/>
              <w:tr2bl w:val="nil"/>
            </w:tcBorders>
            <w:noWrap w:val="0"/>
            <w:vAlign w:val="center"/>
          </w:tcPr>
          <w:p w14:paraId="1F24C98E">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w:t>
            </w:r>
          </w:p>
        </w:tc>
      </w:tr>
    </w:tbl>
    <w:p w14:paraId="18955424">
      <w:pPr>
        <w:pageBreakBefore w:val="0"/>
        <w:numPr>
          <w:ilvl w:val="0"/>
          <w:numId w:val="8"/>
        </w:numPr>
        <w:wordWrap/>
        <w:bidi w:val="0"/>
        <w:adjustRightInd/>
        <w:snapToGrid/>
        <w:spacing w:before="120" w:beforeLines="50"/>
        <w:ind w:firstLine="480"/>
        <w:rPr>
          <w:b/>
          <w:bCs/>
          <w:snapToGrid w:val="0"/>
          <w:color w:val="auto"/>
          <w:kern w:val="0"/>
        </w:rPr>
      </w:pPr>
      <w:r>
        <w:rPr>
          <w:b/>
          <w:bCs/>
          <w:snapToGrid w:val="0"/>
          <w:color w:val="auto"/>
          <w:kern w:val="0"/>
        </w:rPr>
        <w:t>废气</w:t>
      </w:r>
    </w:p>
    <w:p w14:paraId="1D84E2A1">
      <w:pPr>
        <w:pageBreakBefore w:val="0"/>
        <w:wordWrap/>
        <w:bidi w:val="0"/>
        <w:adjustRightInd/>
        <w:snapToGrid/>
        <w:ind w:firstLine="480"/>
        <w:rPr>
          <w:color w:val="auto"/>
        </w:rPr>
      </w:pPr>
      <w:r>
        <w:rPr>
          <w:snapToGrid w:val="0"/>
          <w:color w:val="auto"/>
          <w:kern w:val="0"/>
        </w:rPr>
        <w:t>项目施工期扬尘执行</w:t>
      </w:r>
      <w:r>
        <w:rPr>
          <w:color w:val="auto"/>
        </w:rPr>
        <w:t>《四川省施工场地扬尘排放标准》（DB51/2682-2020）中表1规定的浓度限值。</w:t>
      </w:r>
    </w:p>
    <w:p w14:paraId="773D0C7F">
      <w:pPr>
        <w:pStyle w:val="15"/>
        <w:numPr>
          <w:ilvl w:val="0"/>
          <w:numId w:val="7"/>
        </w:numPr>
        <w:bidi w:val="0"/>
        <w:ind w:left="0" w:leftChars="0" w:firstLine="0" w:firstLineChars="0"/>
        <w:rPr>
          <w:color w:val="auto"/>
        </w:rPr>
      </w:pPr>
      <w:r>
        <w:rPr>
          <w:color w:val="auto"/>
        </w:rPr>
        <w:t>四川省施工场地扬尘排放限值</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882"/>
        <w:gridCol w:w="3401"/>
        <w:gridCol w:w="1925"/>
        <w:gridCol w:w="1302"/>
      </w:tblGrid>
      <w:tr w14:paraId="64CDB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tcBorders>
              <w:tl2br w:val="nil"/>
              <w:tr2bl w:val="nil"/>
            </w:tcBorders>
            <w:noWrap w:val="0"/>
            <w:vAlign w:val="center"/>
          </w:tcPr>
          <w:p w14:paraId="50C0BB47">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监测项目</w:t>
            </w:r>
          </w:p>
        </w:tc>
        <w:tc>
          <w:tcPr>
            <w:tcW w:w="493" w:type="pct"/>
            <w:tcBorders>
              <w:tl2br w:val="nil"/>
              <w:tr2bl w:val="nil"/>
            </w:tcBorders>
            <w:noWrap w:val="0"/>
            <w:vAlign w:val="center"/>
          </w:tcPr>
          <w:p w14:paraId="185E9D68">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区域</w:t>
            </w:r>
          </w:p>
        </w:tc>
        <w:tc>
          <w:tcPr>
            <w:tcW w:w="1901" w:type="pct"/>
            <w:tcBorders>
              <w:tl2br w:val="nil"/>
              <w:tr2bl w:val="nil"/>
            </w:tcBorders>
            <w:noWrap w:val="0"/>
            <w:vAlign w:val="center"/>
          </w:tcPr>
          <w:p w14:paraId="421F4E32">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施工阶段</w:t>
            </w:r>
          </w:p>
        </w:tc>
        <w:tc>
          <w:tcPr>
            <w:tcW w:w="1076" w:type="pct"/>
            <w:tcBorders>
              <w:tl2br w:val="nil"/>
              <w:tr2bl w:val="nil"/>
            </w:tcBorders>
            <w:noWrap w:val="0"/>
            <w:vAlign w:val="center"/>
          </w:tcPr>
          <w:p w14:paraId="75E27320">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监测点排放限值</w:t>
            </w:r>
          </w:p>
        </w:tc>
        <w:tc>
          <w:tcPr>
            <w:tcW w:w="728" w:type="pct"/>
            <w:tcBorders>
              <w:tl2br w:val="nil"/>
              <w:tr2bl w:val="nil"/>
            </w:tcBorders>
            <w:noWrap w:val="0"/>
            <w:vAlign w:val="center"/>
          </w:tcPr>
          <w:p w14:paraId="6638F31B">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监测时间</w:t>
            </w:r>
          </w:p>
        </w:tc>
      </w:tr>
      <w:tr w14:paraId="3C1E3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restart"/>
            <w:tcBorders>
              <w:tl2br w:val="nil"/>
              <w:tr2bl w:val="nil"/>
            </w:tcBorders>
            <w:noWrap w:val="0"/>
            <w:vAlign w:val="center"/>
          </w:tcPr>
          <w:p w14:paraId="65FAF99F">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总悬浮颗粒物（TSP）</w:t>
            </w:r>
          </w:p>
        </w:tc>
        <w:tc>
          <w:tcPr>
            <w:tcW w:w="493" w:type="pct"/>
            <w:vMerge w:val="restart"/>
            <w:tcBorders>
              <w:tl2br w:val="nil"/>
              <w:tr2bl w:val="nil"/>
            </w:tcBorders>
            <w:noWrap w:val="0"/>
            <w:vAlign w:val="center"/>
          </w:tcPr>
          <w:p w14:paraId="51CE5910">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巴中市</w:t>
            </w:r>
          </w:p>
        </w:tc>
        <w:tc>
          <w:tcPr>
            <w:tcW w:w="1901" w:type="pct"/>
            <w:tcBorders>
              <w:tl2br w:val="nil"/>
              <w:tr2bl w:val="nil"/>
            </w:tcBorders>
            <w:noWrap w:val="0"/>
            <w:vAlign w:val="center"/>
          </w:tcPr>
          <w:p w14:paraId="50CB3E70">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拆除工程/土方开挖/土方回填阶段</w:t>
            </w:r>
          </w:p>
        </w:tc>
        <w:tc>
          <w:tcPr>
            <w:tcW w:w="1076" w:type="pct"/>
            <w:tcBorders>
              <w:tl2br w:val="nil"/>
              <w:tr2bl w:val="nil"/>
            </w:tcBorders>
            <w:noWrap w:val="0"/>
            <w:vAlign w:val="center"/>
          </w:tcPr>
          <w:p w14:paraId="46B22326">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color w:val="auto"/>
                <w:sz w:val="21"/>
                <w:szCs w:val="21"/>
              </w:rPr>
              <w:t>600μg/</w:t>
            </w:r>
            <w:r>
              <w:rPr>
                <w:rFonts w:hint="eastAsia"/>
                <w:color w:val="auto"/>
                <w:sz w:val="21"/>
                <w:szCs w:val="21"/>
                <w:lang w:eastAsia="zh-CN"/>
              </w:rPr>
              <w:t>m³</w:t>
            </w:r>
          </w:p>
        </w:tc>
        <w:tc>
          <w:tcPr>
            <w:tcW w:w="728" w:type="pct"/>
            <w:vMerge w:val="restart"/>
            <w:tcBorders>
              <w:tl2br w:val="nil"/>
              <w:tr2bl w:val="nil"/>
            </w:tcBorders>
            <w:noWrap w:val="0"/>
            <w:vAlign w:val="center"/>
          </w:tcPr>
          <w:p w14:paraId="5D532353">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自监测起持续15分钟</w:t>
            </w:r>
          </w:p>
        </w:tc>
      </w:tr>
      <w:tr w14:paraId="7015B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continue"/>
            <w:tcBorders>
              <w:tl2br w:val="nil"/>
              <w:tr2bl w:val="nil"/>
            </w:tcBorders>
            <w:noWrap w:val="0"/>
            <w:vAlign w:val="center"/>
          </w:tcPr>
          <w:p w14:paraId="74B6F960">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c>
          <w:tcPr>
            <w:tcW w:w="493" w:type="pct"/>
            <w:vMerge w:val="continue"/>
            <w:tcBorders>
              <w:tl2br w:val="nil"/>
              <w:tr2bl w:val="nil"/>
            </w:tcBorders>
            <w:noWrap w:val="0"/>
            <w:vAlign w:val="center"/>
          </w:tcPr>
          <w:p w14:paraId="5B7ADD92">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c>
          <w:tcPr>
            <w:tcW w:w="1901" w:type="pct"/>
            <w:tcBorders>
              <w:tl2br w:val="nil"/>
              <w:tr2bl w:val="nil"/>
            </w:tcBorders>
            <w:noWrap w:val="0"/>
            <w:vAlign w:val="center"/>
          </w:tcPr>
          <w:p w14:paraId="1E76F854">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其他工程阶段</w:t>
            </w:r>
          </w:p>
        </w:tc>
        <w:tc>
          <w:tcPr>
            <w:tcW w:w="1076" w:type="pct"/>
            <w:tcBorders>
              <w:tl2br w:val="nil"/>
              <w:tr2bl w:val="nil"/>
            </w:tcBorders>
            <w:noWrap w:val="0"/>
            <w:vAlign w:val="center"/>
          </w:tcPr>
          <w:p w14:paraId="729F2833">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color w:val="auto"/>
                <w:sz w:val="21"/>
                <w:szCs w:val="21"/>
              </w:rPr>
              <w:t>250μg/</w:t>
            </w:r>
            <w:r>
              <w:rPr>
                <w:rFonts w:hint="eastAsia"/>
                <w:color w:val="auto"/>
                <w:sz w:val="21"/>
                <w:szCs w:val="21"/>
                <w:lang w:eastAsia="zh-CN"/>
              </w:rPr>
              <w:t>m³</w:t>
            </w:r>
          </w:p>
        </w:tc>
        <w:tc>
          <w:tcPr>
            <w:tcW w:w="728" w:type="pct"/>
            <w:vMerge w:val="continue"/>
            <w:tcBorders>
              <w:tl2br w:val="nil"/>
              <w:tr2bl w:val="nil"/>
            </w:tcBorders>
            <w:noWrap w:val="0"/>
            <w:vAlign w:val="center"/>
          </w:tcPr>
          <w:p w14:paraId="50D23D79">
            <w:pPr>
              <w:pStyle w:val="2"/>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r>
    </w:tbl>
    <w:p w14:paraId="3A95E707">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项目营运期恶臭气体排放执行《恶臭污染物排放标准》（GB14554-93）中表1、表2的要求、食堂饮食油烟执行《饮食业油烟排放标准（试行）》（GB18483-2001）中最高允许排放浓度限值要求，其标准值见</w:t>
      </w:r>
      <w:r>
        <w:rPr>
          <w:rFonts w:hint="eastAsia"/>
          <w:color w:val="auto"/>
          <w:lang w:val="en-US" w:eastAsia="zh-CN"/>
        </w:rPr>
        <w:t>下表</w:t>
      </w:r>
      <w:r>
        <w:rPr>
          <w:color w:val="auto"/>
        </w:rPr>
        <w:t>所示。</w:t>
      </w:r>
    </w:p>
    <w:p w14:paraId="44DABDDB">
      <w:pPr>
        <w:pStyle w:val="15"/>
        <w:numPr>
          <w:ilvl w:val="0"/>
          <w:numId w:val="7"/>
        </w:numPr>
        <w:bidi w:val="0"/>
        <w:ind w:left="0" w:leftChars="0" w:firstLine="0" w:firstLineChars="0"/>
        <w:rPr>
          <w:color w:val="auto"/>
        </w:rPr>
      </w:pPr>
      <w:r>
        <w:rPr>
          <w:color w:val="auto"/>
        </w:rPr>
        <w:t xml:space="preserve">恶臭污染物排放标准              </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446"/>
        <w:gridCol w:w="1802"/>
        <w:gridCol w:w="2217"/>
        <w:gridCol w:w="2217"/>
      </w:tblGrid>
      <w:tr w14:paraId="34B80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6B6B0B0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808" w:type="pct"/>
            <w:tcBorders>
              <w:tl2br w:val="nil"/>
              <w:tr2bl w:val="nil"/>
            </w:tcBorders>
            <w:noWrap w:val="0"/>
            <w:vAlign w:val="center"/>
          </w:tcPr>
          <w:p w14:paraId="03F9604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排放标准（m）</w:t>
            </w:r>
          </w:p>
        </w:tc>
        <w:tc>
          <w:tcPr>
            <w:tcW w:w="1007" w:type="pct"/>
            <w:tcBorders>
              <w:tl2br w:val="nil"/>
              <w:tr2bl w:val="nil"/>
            </w:tcBorders>
            <w:noWrap w:val="0"/>
            <w:vAlign w:val="center"/>
          </w:tcPr>
          <w:p w14:paraId="6E61E0C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排放速率（kg/h）</w:t>
            </w:r>
          </w:p>
        </w:tc>
        <w:tc>
          <w:tcPr>
            <w:tcW w:w="1239" w:type="pct"/>
            <w:tcBorders>
              <w:tl2br w:val="nil"/>
              <w:tr2bl w:val="nil"/>
            </w:tcBorders>
            <w:noWrap w:val="0"/>
            <w:vAlign w:val="center"/>
          </w:tcPr>
          <w:p w14:paraId="3F319C5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厂界标准值（mg/</w:t>
            </w:r>
            <w:r>
              <w:rPr>
                <w:rFonts w:hint="eastAsia"/>
                <w:b/>
                <w:bCs/>
                <w:color w:val="auto"/>
                <w:sz w:val="21"/>
                <w:szCs w:val="21"/>
                <w:lang w:eastAsia="zh-CN"/>
              </w:rPr>
              <w:t>m³</w:t>
            </w:r>
            <w:r>
              <w:rPr>
                <w:b/>
                <w:bCs/>
                <w:color w:val="auto"/>
                <w:sz w:val="21"/>
                <w:szCs w:val="21"/>
              </w:rPr>
              <w:t>）</w:t>
            </w:r>
          </w:p>
        </w:tc>
        <w:tc>
          <w:tcPr>
            <w:tcW w:w="1239" w:type="pct"/>
            <w:tcBorders>
              <w:tl2br w:val="nil"/>
              <w:tr2bl w:val="nil"/>
            </w:tcBorders>
            <w:noWrap w:val="0"/>
            <w:vAlign w:val="center"/>
          </w:tcPr>
          <w:p w14:paraId="79A4AC8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执行标准</w:t>
            </w:r>
          </w:p>
        </w:tc>
      </w:tr>
      <w:tr w14:paraId="606BB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4AD797C5">
            <w:pPr>
              <w:pageBreakBefore w:val="0"/>
              <w:wordWrap/>
              <w:bidi w:val="0"/>
              <w:adjustRightInd/>
              <w:snapToGrid/>
              <w:spacing w:line="240" w:lineRule="auto"/>
              <w:ind w:firstLine="0" w:firstLineChars="0"/>
              <w:jc w:val="center"/>
              <w:rPr>
                <w:color w:val="auto"/>
                <w:sz w:val="21"/>
                <w:szCs w:val="21"/>
              </w:rPr>
            </w:pPr>
            <w:r>
              <w:rPr>
                <w:color w:val="auto"/>
                <w:sz w:val="21"/>
                <w:szCs w:val="21"/>
              </w:rPr>
              <w:t>氨</w:t>
            </w:r>
          </w:p>
        </w:tc>
        <w:tc>
          <w:tcPr>
            <w:tcW w:w="808" w:type="pct"/>
            <w:tcBorders>
              <w:tl2br w:val="nil"/>
              <w:tr2bl w:val="nil"/>
            </w:tcBorders>
            <w:noWrap w:val="0"/>
            <w:vAlign w:val="center"/>
          </w:tcPr>
          <w:p w14:paraId="75704020">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007" w:type="pct"/>
            <w:tcBorders>
              <w:tl2br w:val="nil"/>
              <w:tr2bl w:val="nil"/>
            </w:tcBorders>
            <w:noWrap w:val="0"/>
            <w:vAlign w:val="center"/>
          </w:tcPr>
          <w:p w14:paraId="696C2428">
            <w:pPr>
              <w:pageBreakBefore w:val="0"/>
              <w:wordWrap/>
              <w:bidi w:val="0"/>
              <w:adjustRightInd/>
              <w:snapToGrid/>
              <w:spacing w:line="240" w:lineRule="auto"/>
              <w:ind w:firstLine="0" w:firstLineChars="0"/>
              <w:jc w:val="center"/>
              <w:rPr>
                <w:color w:val="auto"/>
                <w:sz w:val="21"/>
                <w:szCs w:val="21"/>
              </w:rPr>
            </w:pPr>
            <w:r>
              <w:rPr>
                <w:color w:val="auto"/>
                <w:sz w:val="21"/>
                <w:szCs w:val="21"/>
              </w:rPr>
              <w:t>4.9</w:t>
            </w:r>
          </w:p>
        </w:tc>
        <w:tc>
          <w:tcPr>
            <w:tcW w:w="1239" w:type="pct"/>
            <w:tcBorders>
              <w:tl2br w:val="nil"/>
              <w:tr2bl w:val="nil"/>
            </w:tcBorders>
            <w:noWrap w:val="0"/>
            <w:vAlign w:val="center"/>
          </w:tcPr>
          <w:p w14:paraId="32F7AF5D">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239" w:type="pct"/>
            <w:vMerge w:val="restart"/>
            <w:tcBorders>
              <w:tl2br w:val="nil"/>
              <w:tr2bl w:val="nil"/>
            </w:tcBorders>
            <w:noWrap w:val="0"/>
            <w:vAlign w:val="center"/>
          </w:tcPr>
          <w:p w14:paraId="55D53468">
            <w:pPr>
              <w:pageBreakBefore w:val="0"/>
              <w:wordWrap/>
              <w:bidi w:val="0"/>
              <w:adjustRightInd/>
              <w:snapToGrid/>
              <w:spacing w:line="240" w:lineRule="auto"/>
              <w:ind w:firstLine="0" w:firstLineChars="0"/>
              <w:jc w:val="center"/>
              <w:rPr>
                <w:color w:val="auto"/>
                <w:sz w:val="21"/>
                <w:szCs w:val="21"/>
              </w:rPr>
            </w:pPr>
            <w:r>
              <w:rPr>
                <w:color w:val="auto"/>
                <w:sz w:val="21"/>
                <w:szCs w:val="21"/>
              </w:rPr>
              <w:t>《恶臭污染物排放标准》（GB14554-1993）</w:t>
            </w:r>
          </w:p>
        </w:tc>
      </w:tr>
      <w:tr w14:paraId="07A07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42D51F6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硫化氢</w:t>
            </w:r>
          </w:p>
        </w:tc>
        <w:tc>
          <w:tcPr>
            <w:tcW w:w="808" w:type="pct"/>
            <w:tcBorders>
              <w:tl2br w:val="nil"/>
              <w:tr2bl w:val="nil"/>
            </w:tcBorders>
            <w:noWrap w:val="0"/>
            <w:vAlign w:val="center"/>
          </w:tcPr>
          <w:p w14:paraId="64D1075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15</w:t>
            </w:r>
          </w:p>
        </w:tc>
        <w:tc>
          <w:tcPr>
            <w:tcW w:w="1007" w:type="pct"/>
            <w:tcBorders>
              <w:tl2br w:val="nil"/>
              <w:tr2bl w:val="nil"/>
            </w:tcBorders>
            <w:noWrap w:val="0"/>
            <w:vAlign w:val="center"/>
          </w:tcPr>
          <w:p w14:paraId="5D0C1E5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0.33</w:t>
            </w:r>
          </w:p>
        </w:tc>
        <w:tc>
          <w:tcPr>
            <w:tcW w:w="1239" w:type="pct"/>
            <w:tcBorders>
              <w:tl2br w:val="nil"/>
              <w:tr2bl w:val="nil"/>
            </w:tcBorders>
            <w:noWrap w:val="0"/>
            <w:vAlign w:val="center"/>
          </w:tcPr>
          <w:p w14:paraId="2C9210D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0.06</w:t>
            </w:r>
          </w:p>
        </w:tc>
        <w:tc>
          <w:tcPr>
            <w:tcW w:w="1239" w:type="pct"/>
            <w:vMerge w:val="continue"/>
            <w:tcBorders>
              <w:tl2br w:val="nil"/>
              <w:tr2bl w:val="nil"/>
            </w:tcBorders>
            <w:noWrap w:val="0"/>
            <w:vAlign w:val="center"/>
          </w:tcPr>
          <w:p w14:paraId="12CBB5DD">
            <w:pPr>
              <w:pageBreakBefore w:val="0"/>
              <w:wordWrap/>
              <w:bidi w:val="0"/>
              <w:adjustRightInd/>
              <w:snapToGrid/>
              <w:spacing w:line="240" w:lineRule="auto"/>
              <w:ind w:firstLine="0" w:firstLineChars="0"/>
              <w:jc w:val="center"/>
              <w:rPr>
                <w:color w:val="auto"/>
                <w:sz w:val="21"/>
                <w:szCs w:val="21"/>
              </w:rPr>
            </w:pPr>
          </w:p>
        </w:tc>
      </w:tr>
      <w:tr w14:paraId="0D70A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15900E4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臭气浓度</w:t>
            </w:r>
          </w:p>
        </w:tc>
        <w:tc>
          <w:tcPr>
            <w:tcW w:w="808" w:type="pct"/>
            <w:tcBorders>
              <w:tl2br w:val="nil"/>
              <w:tr2bl w:val="nil"/>
            </w:tcBorders>
            <w:noWrap w:val="0"/>
            <w:vAlign w:val="center"/>
          </w:tcPr>
          <w:p w14:paraId="0F21FB8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1007" w:type="pct"/>
            <w:tcBorders>
              <w:tl2br w:val="nil"/>
              <w:tr2bl w:val="nil"/>
            </w:tcBorders>
            <w:noWrap w:val="0"/>
            <w:vAlign w:val="center"/>
          </w:tcPr>
          <w:p w14:paraId="0BE77E7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2000（无量纲）</w:t>
            </w:r>
          </w:p>
        </w:tc>
        <w:tc>
          <w:tcPr>
            <w:tcW w:w="1239" w:type="pct"/>
            <w:tcBorders>
              <w:tl2br w:val="nil"/>
              <w:tr2bl w:val="nil"/>
            </w:tcBorders>
            <w:noWrap w:val="0"/>
            <w:vAlign w:val="center"/>
          </w:tcPr>
          <w:p w14:paraId="3CEA89A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20（无量纲）</w:t>
            </w:r>
          </w:p>
        </w:tc>
        <w:tc>
          <w:tcPr>
            <w:tcW w:w="1239" w:type="pct"/>
            <w:vMerge w:val="continue"/>
            <w:tcBorders>
              <w:tl2br w:val="nil"/>
              <w:tr2bl w:val="nil"/>
            </w:tcBorders>
            <w:noWrap w:val="0"/>
            <w:vAlign w:val="center"/>
          </w:tcPr>
          <w:p w14:paraId="5C311B68">
            <w:pPr>
              <w:pageBreakBefore w:val="0"/>
              <w:wordWrap/>
              <w:bidi w:val="0"/>
              <w:adjustRightInd/>
              <w:snapToGrid/>
              <w:spacing w:line="240" w:lineRule="auto"/>
              <w:ind w:firstLine="0" w:firstLineChars="0"/>
              <w:jc w:val="center"/>
              <w:rPr>
                <w:color w:val="auto"/>
                <w:sz w:val="21"/>
                <w:szCs w:val="21"/>
              </w:rPr>
            </w:pPr>
          </w:p>
        </w:tc>
      </w:tr>
    </w:tbl>
    <w:p w14:paraId="70A67FA8">
      <w:pPr>
        <w:pStyle w:val="15"/>
        <w:keepNext w:val="0"/>
        <w:keepLines w:val="0"/>
        <w:pageBreakBefore w:val="0"/>
        <w:widowControl w:val="0"/>
        <w:numPr>
          <w:ilvl w:val="0"/>
          <w:numId w:val="7"/>
        </w:numPr>
        <w:kinsoku/>
        <w:wordWrap/>
        <w:overflowPunct/>
        <w:topLinePunct w:val="0"/>
        <w:autoSpaceDE/>
        <w:autoSpaceDN/>
        <w:bidi w:val="0"/>
        <w:adjustRightInd/>
        <w:snapToGrid/>
        <w:spacing w:before="0" w:beforeLines="50"/>
        <w:ind w:left="0" w:leftChars="0" w:firstLine="0" w:firstLineChars="0"/>
        <w:textAlignment w:val="auto"/>
        <w:rPr>
          <w:color w:val="auto"/>
        </w:rPr>
      </w:pPr>
      <w:r>
        <w:rPr>
          <w:color w:val="auto"/>
        </w:rPr>
        <w:t>饮食业单位的油烟最高允许排放浓度和油烟净化设施最低去除效率</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966"/>
        <w:gridCol w:w="1693"/>
        <w:gridCol w:w="1693"/>
        <w:gridCol w:w="1592"/>
      </w:tblGrid>
      <w:tr w14:paraId="3576202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72FE9691">
            <w:pPr>
              <w:pStyle w:val="45"/>
              <w:pageBreakBefore w:val="0"/>
              <w:wordWrap/>
              <w:bidi w:val="0"/>
              <w:adjustRightInd/>
              <w:snapToGrid/>
              <w:spacing w:line="240" w:lineRule="auto"/>
              <w:ind w:firstLine="0" w:firstLineChars="0"/>
              <w:jc w:val="center"/>
              <w:rPr>
                <w:b/>
                <w:bCs/>
                <w:color w:val="auto"/>
                <w:sz w:val="21"/>
              </w:rPr>
            </w:pPr>
            <w:r>
              <w:rPr>
                <w:b/>
                <w:bCs/>
                <w:color w:val="auto"/>
                <w:sz w:val="21"/>
              </w:rPr>
              <w:t>规 模</w:t>
            </w:r>
          </w:p>
        </w:tc>
        <w:tc>
          <w:tcPr>
            <w:tcW w:w="946" w:type="pct"/>
            <w:tcBorders>
              <w:tl2br w:val="nil"/>
              <w:tr2bl w:val="nil"/>
            </w:tcBorders>
            <w:noWrap w:val="0"/>
            <w:vAlign w:val="center"/>
          </w:tcPr>
          <w:p w14:paraId="33B380E5">
            <w:pPr>
              <w:pStyle w:val="45"/>
              <w:pageBreakBefore w:val="0"/>
              <w:wordWrap/>
              <w:bidi w:val="0"/>
              <w:adjustRightInd/>
              <w:snapToGrid/>
              <w:spacing w:line="240" w:lineRule="auto"/>
              <w:ind w:firstLine="0" w:firstLineChars="0"/>
              <w:jc w:val="center"/>
              <w:rPr>
                <w:b/>
                <w:bCs/>
                <w:color w:val="auto"/>
                <w:sz w:val="21"/>
              </w:rPr>
            </w:pPr>
            <w:r>
              <w:rPr>
                <w:b/>
                <w:bCs/>
                <w:color w:val="auto"/>
                <w:sz w:val="21"/>
              </w:rPr>
              <w:t>小 型</w:t>
            </w:r>
          </w:p>
        </w:tc>
        <w:tc>
          <w:tcPr>
            <w:tcW w:w="946" w:type="pct"/>
            <w:tcBorders>
              <w:tl2br w:val="nil"/>
              <w:tr2bl w:val="nil"/>
            </w:tcBorders>
            <w:noWrap w:val="0"/>
            <w:vAlign w:val="center"/>
          </w:tcPr>
          <w:p w14:paraId="75A06879">
            <w:pPr>
              <w:pStyle w:val="45"/>
              <w:pageBreakBefore w:val="0"/>
              <w:wordWrap/>
              <w:bidi w:val="0"/>
              <w:adjustRightInd/>
              <w:snapToGrid/>
              <w:spacing w:line="240" w:lineRule="auto"/>
              <w:ind w:firstLine="0" w:firstLineChars="0"/>
              <w:jc w:val="center"/>
              <w:rPr>
                <w:b/>
                <w:bCs/>
                <w:color w:val="auto"/>
                <w:sz w:val="21"/>
              </w:rPr>
            </w:pPr>
            <w:r>
              <w:rPr>
                <w:b/>
                <w:bCs/>
                <w:color w:val="auto"/>
                <w:sz w:val="21"/>
              </w:rPr>
              <w:t>中 型</w:t>
            </w:r>
          </w:p>
        </w:tc>
        <w:tc>
          <w:tcPr>
            <w:tcW w:w="889" w:type="pct"/>
            <w:tcBorders>
              <w:tl2br w:val="nil"/>
              <w:tr2bl w:val="nil"/>
            </w:tcBorders>
            <w:noWrap w:val="0"/>
            <w:vAlign w:val="center"/>
          </w:tcPr>
          <w:p w14:paraId="57F6C797">
            <w:pPr>
              <w:pStyle w:val="45"/>
              <w:pageBreakBefore w:val="0"/>
              <w:wordWrap/>
              <w:bidi w:val="0"/>
              <w:adjustRightInd/>
              <w:snapToGrid/>
              <w:spacing w:line="240" w:lineRule="auto"/>
              <w:ind w:firstLine="0" w:firstLineChars="0"/>
              <w:jc w:val="center"/>
              <w:rPr>
                <w:b/>
                <w:bCs/>
                <w:color w:val="auto"/>
                <w:sz w:val="21"/>
              </w:rPr>
            </w:pPr>
            <w:r>
              <w:rPr>
                <w:b/>
                <w:bCs/>
                <w:color w:val="auto"/>
                <w:sz w:val="21"/>
              </w:rPr>
              <w:t>大 型</w:t>
            </w:r>
          </w:p>
        </w:tc>
      </w:tr>
      <w:tr w14:paraId="67BADF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62EAA8BF">
            <w:pPr>
              <w:pStyle w:val="45"/>
              <w:pageBreakBefore w:val="0"/>
              <w:wordWrap/>
              <w:bidi w:val="0"/>
              <w:adjustRightInd/>
              <w:snapToGrid/>
              <w:spacing w:line="240" w:lineRule="auto"/>
              <w:ind w:firstLine="0" w:firstLineChars="0"/>
              <w:jc w:val="center"/>
              <w:rPr>
                <w:color w:val="auto"/>
                <w:sz w:val="21"/>
              </w:rPr>
            </w:pPr>
            <w:r>
              <w:rPr>
                <w:color w:val="auto"/>
                <w:sz w:val="21"/>
              </w:rPr>
              <w:t>最高允许排放浓度（mg/</w:t>
            </w:r>
            <w:r>
              <w:rPr>
                <w:rFonts w:hint="eastAsia"/>
                <w:color w:val="auto"/>
                <w:sz w:val="21"/>
                <w:lang w:eastAsia="zh-CN"/>
              </w:rPr>
              <w:t>m³</w:t>
            </w:r>
            <w:r>
              <w:rPr>
                <w:color w:val="auto"/>
                <w:sz w:val="21"/>
              </w:rPr>
              <w:t>）</w:t>
            </w:r>
          </w:p>
        </w:tc>
        <w:tc>
          <w:tcPr>
            <w:tcW w:w="2782" w:type="pct"/>
            <w:gridSpan w:val="3"/>
            <w:tcBorders>
              <w:tl2br w:val="nil"/>
              <w:tr2bl w:val="nil"/>
            </w:tcBorders>
            <w:noWrap w:val="0"/>
            <w:vAlign w:val="center"/>
          </w:tcPr>
          <w:p w14:paraId="1880A19F">
            <w:pPr>
              <w:pStyle w:val="45"/>
              <w:pageBreakBefore w:val="0"/>
              <w:wordWrap/>
              <w:bidi w:val="0"/>
              <w:adjustRightInd/>
              <w:snapToGrid/>
              <w:spacing w:line="240" w:lineRule="auto"/>
              <w:ind w:firstLine="0" w:firstLineChars="0"/>
              <w:jc w:val="center"/>
              <w:rPr>
                <w:color w:val="auto"/>
                <w:sz w:val="21"/>
              </w:rPr>
            </w:pPr>
            <w:r>
              <w:rPr>
                <w:b/>
                <w:bCs/>
                <w:color w:val="auto"/>
                <w:sz w:val="21"/>
                <w:shd w:val="clear" w:color="auto" w:fill="auto"/>
              </w:rPr>
              <w:t>2.0</w:t>
            </w:r>
          </w:p>
        </w:tc>
      </w:tr>
      <w:tr w14:paraId="04B7E3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713BEB1D">
            <w:pPr>
              <w:pStyle w:val="45"/>
              <w:pageBreakBefore w:val="0"/>
              <w:wordWrap/>
              <w:bidi w:val="0"/>
              <w:adjustRightInd/>
              <w:snapToGrid/>
              <w:spacing w:line="240" w:lineRule="auto"/>
              <w:ind w:firstLine="0" w:firstLineChars="0"/>
              <w:jc w:val="center"/>
              <w:rPr>
                <w:color w:val="auto"/>
                <w:sz w:val="21"/>
              </w:rPr>
            </w:pPr>
            <w:r>
              <w:rPr>
                <w:color w:val="auto"/>
                <w:sz w:val="21"/>
              </w:rPr>
              <w:t>净化设施最低去除效率（%）</w:t>
            </w:r>
          </w:p>
        </w:tc>
        <w:tc>
          <w:tcPr>
            <w:tcW w:w="946" w:type="pct"/>
            <w:tcBorders>
              <w:tl2br w:val="nil"/>
              <w:tr2bl w:val="nil"/>
            </w:tcBorders>
            <w:noWrap w:val="0"/>
            <w:vAlign w:val="center"/>
          </w:tcPr>
          <w:p w14:paraId="4C7604F1">
            <w:pPr>
              <w:pStyle w:val="45"/>
              <w:pageBreakBefore w:val="0"/>
              <w:wordWrap/>
              <w:bidi w:val="0"/>
              <w:adjustRightInd/>
              <w:snapToGrid/>
              <w:spacing w:line="240" w:lineRule="auto"/>
              <w:ind w:firstLine="0" w:firstLineChars="0"/>
              <w:jc w:val="center"/>
              <w:rPr>
                <w:color w:val="auto"/>
                <w:sz w:val="21"/>
              </w:rPr>
            </w:pPr>
            <w:r>
              <w:rPr>
                <w:b/>
                <w:bCs/>
                <w:color w:val="auto"/>
                <w:sz w:val="21"/>
                <w:shd w:val="clear" w:color="auto" w:fill="auto"/>
              </w:rPr>
              <w:t>60</w:t>
            </w:r>
          </w:p>
        </w:tc>
        <w:tc>
          <w:tcPr>
            <w:tcW w:w="946" w:type="pct"/>
            <w:tcBorders>
              <w:tl2br w:val="nil"/>
              <w:tr2bl w:val="nil"/>
            </w:tcBorders>
            <w:noWrap w:val="0"/>
            <w:vAlign w:val="center"/>
          </w:tcPr>
          <w:p w14:paraId="77804F53">
            <w:pPr>
              <w:pStyle w:val="45"/>
              <w:pageBreakBefore w:val="0"/>
              <w:wordWrap/>
              <w:bidi w:val="0"/>
              <w:adjustRightInd/>
              <w:snapToGrid/>
              <w:spacing w:line="240" w:lineRule="auto"/>
              <w:ind w:firstLine="0" w:firstLineChars="0"/>
              <w:jc w:val="center"/>
              <w:rPr>
                <w:color w:val="auto"/>
                <w:sz w:val="21"/>
              </w:rPr>
            </w:pPr>
            <w:r>
              <w:rPr>
                <w:color w:val="auto"/>
                <w:sz w:val="21"/>
              </w:rPr>
              <w:t>75</w:t>
            </w:r>
          </w:p>
        </w:tc>
        <w:tc>
          <w:tcPr>
            <w:tcW w:w="889" w:type="pct"/>
            <w:tcBorders>
              <w:tl2br w:val="nil"/>
              <w:tr2bl w:val="nil"/>
            </w:tcBorders>
            <w:noWrap w:val="0"/>
            <w:vAlign w:val="center"/>
          </w:tcPr>
          <w:p w14:paraId="78C39C95">
            <w:pPr>
              <w:pStyle w:val="45"/>
              <w:pageBreakBefore w:val="0"/>
              <w:wordWrap/>
              <w:bidi w:val="0"/>
              <w:adjustRightInd/>
              <w:snapToGrid/>
              <w:spacing w:line="240" w:lineRule="auto"/>
              <w:ind w:firstLine="0" w:firstLineChars="0"/>
              <w:jc w:val="center"/>
              <w:rPr>
                <w:color w:val="auto"/>
                <w:sz w:val="21"/>
              </w:rPr>
            </w:pPr>
            <w:r>
              <w:rPr>
                <w:color w:val="auto"/>
                <w:sz w:val="21"/>
              </w:rPr>
              <w:t>85</w:t>
            </w:r>
          </w:p>
        </w:tc>
      </w:tr>
    </w:tbl>
    <w:p w14:paraId="57785339">
      <w:pPr>
        <w:pageBreakBefore w:val="0"/>
        <w:numPr>
          <w:ilvl w:val="0"/>
          <w:numId w:val="8"/>
        </w:numPr>
        <w:wordWrap/>
        <w:bidi w:val="0"/>
        <w:adjustRightInd/>
        <w:snapToGrid/>
        <w:spacing w:before="120" w:beforeLines="50"/>
        <w:ind w:firstLine="480"/>
        <w:rPr>
          <w:b/>
          <w:bCs/>
          <w:color w:val="auto"/>
        </w:rPr>
      </w:pPr>
      <w:r>
        <w:rPr>
          <w:b/>
          <w:bCs/>
          <w:color w:val="auto"/>
        </w:rPr>
        <w:t>固体废物</w:t>
      </w:r>
    </w:p>
    <w:p w14:paraId="02BD44E5">
      <w:pPr>
        <w:bidi w:val="0"/>
        <w:rPr>
          <w:color w:val="auto"/>
        </w:rPr>
      </w:pPr>
      <w:r>
        <w:rPr>
          <w:color w:val="auto"/>
        </w:rPr>
        <w:t>固体废弃物</w:t>
      </w:r>
      <w:r>
        <w:rPr>
          <w:rFonts w:hint="eastAsia"/>
          <w:color w:val="auto"/>
          <w:lang w:val="en-US" w:eastAsia="zh-CN"/>
        </w:rPr>
        <w:t>污泥</w:t>
      </w:r>
      <w:r>
        <w:rPr>
          <w:color w:val="auto"/>
        </w:rPr>
        <w:t>排放标准执行《城镇污水处理厂污染物排放标准》（</w:t>
      </w:r>
      <w:r>
        <w:rPr>
          <w:rFonts w:hint="eastAsia"/>
          <w:color w:val="auto"/>
          <w:lang w:eastAsia="zh-CN"/>
        </w:rPr>
        <w:t>GB18918-2002</w:t>
      </w:r>
      <w:r>
        <w:rPr>
          <w:color w:val="auto"/>
        </w:rPr>
        <w:t>）中的污泥控制标准</w:t>
      </w:r>
      <w:r>
        <w:rPr>
          <w:rFonts w:hint="eastAsia"/>
          <w:color w:val="auto"/>
          <w:lang w:eastAsia="zh-CN"/>
        </w:rPr>
        <w:t>；</w:t>
      </w:r>
      <w:r>
        <w:rPr>
          <w:color w:val="auto"/>
        </w:rPr>
        <w:t>一般固体废物执行《</w:t>
      </w:r>
      <w:r>
        <w:rPr>
          <w:rFonts w:hint="eastAsia"/>
          <w:color w:val="auto"/>
          <w:lang w:eastAsia="zh-CN"/>
        </w:rPr>
        <w:t>一般工业固体废物贮存和填埋污染控制标准</w:t>
      </w:r>
      <w:r>
        <w:rPr>
          <w:color w:val="auto"/>
        </w:rPr>
        <w:t>》（GB18599-20</w:t>
      </w:r>
      <w:r>
        <w:rPr>
          <w:rFonts w:hint="eastAsia"/>
          <w:color w:val="auto"/>
        </w:rPr>
        <w:t>20</w:t>
      </w:r>
      <w:r>
        <w:rPr>
          <w:color w:val="auto"/>
        </w:rPr>
        <w:t>）；危险废物执行</w:t>
      </w:r>
      <w:r>
        <w:rPr>
          <w:rFonts w:hint="eastAsia"/>
          <w:color w:val="auto"/>
          <w:lang w:eastAsia="zh-CN"/>
        </w:rPr>
        <w:t>《危险废物贮存污染控制标准》（GB18597-2023）</w:t>
      </w:r>
      <w:r>
        <w:rPr>
          <w:color w:val="auto"/>
        </w:rPr>
        <w:t>。</w:t>
      </w:r>
    </w:p>
    <w:p w14:paraId="3653951E">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52" w:name="_Toc17904"/>
      <w:r>
        <w:rPr>
          <w:rFonts w:ascii="Times New Roman" w:hAnsi="Times New Roman" w:eastAsia="宋体"/>
          <w:color w:val="auto"/>
        </w:rPr>
        <w:t>评价工作等级</w:t>
      </w:r>
      <w:bookmarkEnd w:id="49"/>
      <w:r>
        <w:rPr>
          <w:rFonts w:hint="eastAsia"/>
          <w:color w:val="auto"/>
          <w:lang w:val="en-US" w:eastAsia="zh-CN"/>
        </w:rPr>
        <w:t>和评价重点</w:t>
      </w:r>
      <w:bookmarkEnd w:id="52"/>
    </w:p>
    <w:p w14:paraId="692E75F1">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大气环境影响评价等级</w:t>
      </w:r>
    </w:p>
    <w:p w14:paraId="3E8A297C">
      <w:pPr>
        <w:pageBreakBefore w:val="0"/>
        <w:wordWrap/>
        <w:bidi w:val="0"/>
        <w:adjustRightInd/>
        <w:snapToGrid/>
        <w:ind w:firstLine="480"/>
        <w:rPr>
          <w:color w:val="auto"/>
        </w:rPr>
      </w:pPr>
      <w:r>
        <w:rPr>
          <w:color w:val="auto"/>
        </w:rPr>
        <w:t>（1）污染源参数</w:t>
      </w:r>
    </w:p>
    <w:p w14:paraId="46E04341">
      <w:pPr>
        <w:pageBreakBefore w:val="0"/>
        <w:wordWrap/>
        <w:bidi w:val="0"/>
        <w:adjustRightInd/>
        <w:snapToGrid/>
        <w:ind w:firstLine="480"/>
        <w:rPr>
          <w:color w:val="auto"/>
        </w:rPr>
      </w:pPr>
      <w:r>
        <w:rPr>
          <w:color w:val="auto"/>
        </w:rPr>
        <w:t>项目废气主要污染物为NH</w:t>
      </w:r>
      <w:r>
        <w:rPr>
          <w:color w:val="auto"/>
          <w:vertAlign w:val="subscript"/>
        </w:rPr>
        <w:t>3</w:t>
      </w:r>
      <w:r>
        <w:rPr>
          <w:color w:val="auto"/>
        </w:rPr>
        <w:t>和H</w:t>
      </w:r>
      <w:r>
        <w:rPr>
          <w:color w:val="auto"/>
          <w:vertAlign w:val="subscript"/>
        </w:rPr>
        <w:t>2</w:t>
      </w:r>
      <w:r>
        <w:rPr>
          <w:color w:val="auto"/>
        </w:rPr>
        <w:t>S。本评价结合环境质量标准要求，选取NH</w:t>
      </w:r>
      <w:r>
        <w:rPr>
          <w:color w:val="auto"/>
          <w:vertAlign w:val="subscript"/>
        </w:rPr>
        <w:t>3</w:t>
      </w:r>
      <w:r>
        <w:rPr>
          <w:color w:val="auto"/>
        </w:rPr>
        <w:t>和H</w:t>
      </w:r>
      <w:r>
        <w:rPr>
          <w:color w:val="auto"/>
          <w:vertAlign w:val="subscript"/>
        </w:rPr>
        <w:t>2</w:t>
      </w:r>
      <w:r>
        <w:rPr>
          <w:color w:val="auto"/>
        </w:rPr>
        <w:t>S作为评价因子。</w:t>
      </w:r>
    </w:p>
    <w:p w14:paraId="7F4E08EE">
      <w:pPr>
        <w:pageBreakBefore w:val="0"/>
        <w:wordWrap/>
        <w:bidi w:val="0"/>
        <w:adjustRightInd/>
        <w:snapToGrid/>
        <w:ind w:firstLine="480"/>
        <w:rPr>
          <w:b/>
          <w:color w:val="auto"/>
          <w:szCs w:val="21"/>
        </w:rPr>
      </w:pPr>
      <w:r>
        <w:rPr>
          <w:color w:val="auto"/>
        </w:rPr>
        <w:t>项目废气污染物排放情况及估算参数选择情况见</w:t>
      </w:r>
      <w:r>
        <w:rPr>
          <w:rFonts w:hint="eastAsia"/>
          <w:color w:val="auto"/>
          <w:lang w:val="en-US" w:eastAsia="zh-CN"/>
        </w:rPr>
        <w:t>下表</w:t>
      </w:r>
      <w:r>
        <w:rPr>
          <w:color w:val="auto"/>
        </w:rPr>
        <w:t>：</w:t>
      </w:r>
    </w:p>
    <w:p w14:paraId="4D587C7D">
      <w:pPr>
        <w:pageBreakBefore w:val="0"/>
        <w:wordWrap/>
        <w:bidi w:val="0"/>
        <w:adjustRightInd/>
        <w:snapToGrid/>
        <w:spacing w:after="120" w:afterLines="50"/>
        <w:ind w:firstLine="482"/>
        <w:jc w:val="center"/>
        <w:rPr>
          <w:b/>
          <w:color w:val="auto"/>
          <w:szCs w:val="21"/>
        </w:rPr>
        <w:sectPr>
          <w:pgSz w:w="11906" w:h="16838"/>
          <w:pgMar w:top="1440" w:right="1588" w:bottom="1440" w:left="1588" w:header="850" w:footer="680" w:gutter="0"/>
          <w:pgBorders>
            <w:top w:val="none" w:sz="0" w:space="0"/>
            <w:left w:val="none" w:sz="0" w:space="0"/>
            <w:bottom w:val="none" w:sz="0" w:space="0"/>
            <w:right w:val="none" w:sz="0" w:space="0"/>
          </w:pgBorders>
          <w:pgNumType w:fmt="decimal"/>
          <w:cols w:space="720" w:num="1"/>
        </w:sectPr>
      </w:pPr>
    </w:p>
    <w:p w14:paraId="13619B33">
      <w:pPr>
        <w:pStyle w:val="15"/>
        <w:numPr>
          <w:ilvl w:val="0"/>
          <w:numId w:val="9"/>
        </w:numPr>
        <w:tabs>
          <w:tab w:val="clear" w:pos="0"/>
        </w:tabs>
        <w:bidi w:val="0"/>
        <w:ind w:left="0" w:leftChars="0" w:firstLine="0" w:firstLineChars="0"/>
        <w:rPr>
          <w:color w:val="auto"/>
        </w:rPr>
      </w:pPr>
      <w:r>
        <w:rPr>
          <w:rFonts w:hint="eastAsia"/>
          <w:color w:val="auto"/>
          <w:lang w:val="en-US" w:eastAsia="zh-CN"/>
        </w:rPr>
        <w:t xml:space="preserve"> </w:t>
      </w:r>
      <w:r>
        <w:rPr>
          <w:color w:val="auto"/>
        </w:rPr>
        <w:t>项目有组织废气污染物排放情况参数一览表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47"/>
        <w:gridCol w:w="678"/>
        <w:gridCol w:w="810"/>
        <w:gridCol w:w="684"/>
        <w:gridCol w:w="863"/>
        <w:gridCol w:w="934"/>
        <w:gridCol w:w="875"/>
        <w:gridCol w:w="1107"/>
        <w:gridCol w:w="832"/>
        <w:gridCol w:w="516"/>
        <w:gridCol w:w="572"/>
        <w:gridCol w:w="782"/>
        <w:gridCol w:w="934"/>
        <w:gridCol w:w="981"/>
        <w:gridCol w:w="1107"/>
        <w:gridCol w:w="715"/>
        <w:gridCol w:w="869"/>
      </w:tblGrid>
      <w:tr w14:paraId="27669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restart"/>
            <w:tcBorders>
              <w:tl2br w:val="nil"/>
              <w:tr2bl w:val="nil"/>
            </w:tcBorders>
            <w:noWrap w:val="0"/>
            <w:vAlign w:val="center"/>
          </w:tcPr>
          <w:p w14:paraId="478CE333">
            <w:pPr>
              <w:pStyle w:val="12"/>
              <w:bidi w:val="0"/>
              <w:rPr>
                <w:b/>
                <w:bCs/>
                <w:color w:val="auto"/>
              </w:rPr>
            </w:pPr>
            <w:r>
              <w:rPr>
                <w:b/>
                <w:bCs/>
                <w:color w:val="auto"/>
              </w:rPr>
              <w:t>生产线</w:t>
            </w:r>
          </w:p>
        </w:tc>
        <w:tc>
          <w:tcPr>
            <w:tcW w:w="242" w:type="pct"/>
            <w:vMerge w:val="restart"/>
            <w:tcBorders>
              <w:tl2br w:val="nil"/>
              <w:tr2bl w:val="nil"/>
            </w:tcBorders>
            <w:noWrap w:val="0"/>
            <w:vAlign w:val="center"/>
          </w:tcPr>
          <w:p w14:paraId="125EEBD4">
            <w:pPr>
              <w:pStyle w:val="12"/>
              <w:bidi w:val="0"/>
              <w:rPr>
                <w:b/>
                <w:bCs/>
                <w:color w:val="auto"/>
              </w:rPr>
            </w:pPr>
            <w:r>
              <w:rPr>
                <w:b/>
                <w:bCs/>
                <w:color w:val="auto"/>
              </w:rPr>
              <w:t>工序</w:t>
            </w:r>
          </w:p>
        </w:tc>
        <w:tc>
          <w:tcPr>
            <w:tcW w:w="289" w:type="pct"/>
            <w:vMerge w:val="restart"/>
            <w:tcBorders>
              <w:tl2br w:val="nil"/>
              <w:tr2bl w:val="nil"/>
            </w:tcBorders>
            <w:noWrap w:val="0"/>
            <w:vAlign w:val="center"/>
          </w:tcPr>
          <w:p w14:paraId="749E8A1A">
            <w:pPr>
              <w:pStyle w:val="12"/>
              <w:bidi w:val="0"/>
              <w:rPr>
                <w:b/>
                <w:bCs/>
                <w:color w:val="auto"/>
              </w:rPr>
            </w:pPr>
            <w:r>
              <w:rPr>
                <w:b/>
                <w:bCs/>
                <w:color w:val="auto"/>
              </w:rPr>
              <w:t>污染源</w:t>
            </w:r>
          </w:p>
        </w:tc>
        <w:tc>
          <w:tcPr>
            <w:tcW w:w="244" w:type="pct"/>
            <w:vMerge w:val="restart"/>
            <w:tcBorders>
              <w:tl2br w:val="nil"/>
              <w:tr2bl w:val="nil"/>
            </w:tcBorders>
            <w:noWrap w:val="0"/>
            <w:vAlign w:val="center"/>
          </w:tcPr>
          <w:p w14:paraId="769C3EB3">
            <w:pPr>
              <w:pStyle w:val="12"/>
              <w:bidi w:val="0"/>
              <w:rPr>
                <w:b/>
                <w:bCs/>
                <w:color w:val="auto"/>
              </w:rPr>
            </w:pPr>
            <w:r>
              <w:rPr>
                <w:b/>
                <w:bCs/>
                <w:color w:val="auto"/>
              </w:rPr>
              <w:t>污染物</w:t>
            </w:r>
          </w:p>
        </w:tc>
        <w:tc>
          <w:tcPr>
            <w:tcW w:w="1348" w:type="pct"/>
            <w:gridSpan w:val="4"/>
            <w:tcBorders>
              <w:tl2br w:val="nil"/>
              <w:tr2bl w:val="nil"/>
            </w:tcBorders>
            <w:noWrap w:val="0"/>
            <w:vAlign w:val="center"/>
          </w:tcPr>
          <w:p w14:paraId="2BE8F54A">
            <w:pPr>
              <w:pStyle w:val="12"/>
              <w:bidi w:val="0"/>
              <w:rPr>
                <w:b/>
                <w:bCs/>
                <w:color w:val="auto"/>
              </w:rPr>
            </w:pPr>
            <w:r>
              <w:rPr>
                <w:b/>
                <w:bCs/>
                <w:color w:val="auto"/>
              </w:rPr>
              <w:t>污染物产生</w:t>
            </w:r>
          </w:p>
        </w:tc>
        <w:tc>
          <w:tcPr>
            <w:tcW w:w="685" w:type="pct"/>
            <w:gridSpan w:val="3"/>
            <w:tcBorders>
              <w:tl2br w:val="nil"/>
              <w:tr2bl w:val="nil"/>
            </w:tcBorders>
            <w:noWrap w:val="0"/>
            <w:vAlign w:val="center"/>
          </w:tcPr>
          <w:p w14:paraId="51CFB081">
            <w:pPr>
              <w:pStyle w:val="12"/>
              <w:bidi w:val="0"/>
              <w:rPr>
                <w:b/>
                <w:bCs/>
                <w:color w:val="auto"/>
              </w:rPr>
            </w:pPr>
            <w:r>
              <w:rPr>
                <w:b/>
                <w:bCs/>
                <w:color w:val="auto"/>
              </w:rPr>
              <w:t>治理措施</w:t>
            </w:r>
          </w:p>
        </w:tc>
        <w:tc>
          <w:tcPr>
            <w:tcW w:w="1357" w:type="pct"/>
            <w:gridSpan w:val="4"/>
            <w:tcBorders>
              <w:tl2br w:val="nil"/>
              <w:tr2bl w:val="nil"/>
            </w:tcBorders>
            <w:noWrap w:val="0"/>
            <w:vAlign w:val="center"/>
          </w:tcPr>
          <w:p w14:paraId="4958DD72">
            <w:pPr>
              <w:pStyle w:val="12"/>
              <w:bidi w:val="0"/>
              <w:rPr>
                <w:b/>
                <w:bCs/>
                <w:color w:val="auto"/>
              </w:rPr>
            </w:pPr>
            <w:r>
              <w:rPr>
                <w:b/>
                <w:bCs/>
                <w:color w:val="auto"/>
              </w:rPr>
              <w:t>污染物排放</w:t>
            </w:r>
          </w:p>
        </w:tc>
        <w:tc>
          <w:tcPr>
            <w:tcW w:w="255" w:type="pct"/>
            <w:vMerge w:val="restart"/>
            <w:tcBorders>
              <w:tl2br w:val="nil"/>
              <w:tr2bl w:val="nil"/>
            </w:tcBorders>
            <w:noWrap w:val="0"/>
            <w:vAlign w:val="center"/>
          </w:tcPr>
          <w:p w14:paraId="290AB40F">
            <w:pPr>
              <w:pStyle w:val="12"/>
              <w:bidi w:val="0"/>
              <w:rPr>
                <w:b/>
                <w:bCs/>
                <w:color w:val="auto"/>
              </w:rPr>
            </w:pPr>
            <w:r>
              <w:rPr>
                <w:b/>
                <w:bCs/>
                <w:color w:val="auto"/>
              </w:rPr>
              <w:t>排放时间h/a</w:t>
            </w:r>
          </w:p>
        </w:tc>
        <w:tc>
          <w:tcPr>
            <w:tcW w:w="310" w:type="pct"/>
            <w:vMerge w:val="restart"/>
            <w:tcBorders>
              <w:tl2br w:val="nil"/>
              <w:tr2bl w:val="nil"/>
            </w:tcBorders>
            <w:noWrap w:val="0"/>
            <w:vAlign w:val="center"/>
          </w:tcPr>
          <w:p w14:paraId="10321D9A">
            <w:pPr>
              <w:pStyle w:val="12"/>
              <w:bidi w:val="0"/>
              <w:rPr>
                <w:b/>
                <w:bCs/>
                <w:color w:val="auto"/>
              </w:rPr>
            </w:pPr>
            <w:r>
              <w:rPr>
                <w:b/>
                <w:bCs/>
                <w:color w:val="auto"/>
              </w:rPr>
              <w:t>污染物年排放量/（t/a）</w:t>
            </w:r>
          </w:p>
        </w:tc>
      </w:tr>
      <w:tr w14:paraId="54FBB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continue"/>
            <w:tcBorders>
              <w:tl2br w:val="nil"/>
              <w:tr2bl w:val="nil"/>
            </w:tcBorders>
            <w:noWrap w:val="0"/>
            <w:vAlign w:val="center"/>
          </w:tcPr>
          <w:p w14:paraId="6F773D9F">
            <w:pPr>
              <w:pStyle w:val="12"/>
              <w:bidi w:val="0"/>
              <w:rPr>
                <w:color w:val="auto"/>
              </w:rPr>
            </w:pPr>
          </w:p>
        </w:tc>
        <w:tc>
          <w:tcPr>
            <w:tcW w:w="242" w:type="pct"/>
            <w:vMerge w:val="continue"/>
            <w:tcBorders>
              <w:tl2br w:val="nil"/>
              <w:tr2bl w:val="nil"/>
            </w:tcBorders>
            <w:noWrap w:val="0"/>
            <w:vAlign w:val="center"/>
          </w:tcPr>
          <w:p w14:paraId="42BA576C">
            <w:pPr>
              <w:pStyle w:val="12"/>
              <w:bidi w:val="0"/>
              <w:rPr>
                <w:color w:val="auto"/>
              </w:rPr>
            </w:pPr>
          </w:p>
        </w:tc>
        <w:tc>
          <w:tcPr>
            <w:tcW w:w="289" w:type="pct"/>
            <w:vMerge w:val="continue"/>
            <w:tcBorders>
              <w:tl2br w:val="nil"/>
              <w:tr2bl w:val="nil"/>
            </w:tcBorders>
            <w:noWrap w:val="0"/>
            <w:vAlign w:val="center"/>
          </w:tcPr>
          <w:p w14:paraId="705CE35C">
            <w:pPr>
              <w:pStyle w:val="12"/>
              <w:bidi w:val="0"/>
              <w:rPr>
                <w:color w:val="auto"/>
              </w:rPr>
            </w:pPr>
          </w:p>
        </w:tc>
        <w:tc>
          <w:tcPr>
            <w:tcW w:w="244" w:type="pct"/>
            <w:vMerge w:val="continue"/>
            <w:tcBorders>
              <w:tl2br w:val="nil"/>
              <w:tr2bl w:val="nil"/>
            </w:tcBorders>
            <w:noWrap w:val="0"/>
            <w:vAlign w:val="center"/>
          </w:tcPr>
          <w:p w14:paraId="5699C231">
            <w:pPr>
              <w:pStyle w:val="12"/>
              <w:bidi w:val="0"/>
              <w:rPr>
                <w:color w:val="auto"/>
              </w:rPr>
            </w:pPr>
          </w:p>
        </w:tc>
        <w:tc>
          <w:tcPr>
            <w:tcW w:w="308" w:type="pct"/>
            <w:tcBorders>
              <w:tl2br w:val="nil"/>
              <w:tr2bl w:val="nil"/>
            </w:tcBorders>
            <w:noWrap w:val="0"/>
            <w:vAlign w:val="center"/>
          </w:tcPr>
          <w:p w14:paraId="7EB868E4">
            <w:pPr>
              <w:pStyle w:val="12"/>
              <w:bidi w:val="0"/>
              <w:rPr>
                <w:b/>
                <w:bCs/>
                <w:color w:val="auto"/>
              </w:rPr>
            </w:pPr>
            <w:r>
              <w:rPr>
                <w:b/>
                <w:bCs/>
                <w:color w:val="auto"/>
              </w:rPr>
              <w:t>核算方法</w:t>
            </w:r>
          </w:p>
        </w:tc>
        <w:tc>
          <w:tcPr>
            <w:tcW w:w="333" w:type="pct"/>
            <w:tcBorders>
              <w:tl2br w:val="nil"/>
              <w:tr2bl w:val="nil"/>
            </w:tcBorders>
            <w:noWrap w:val="0"/>
            <w:vAlign w:val="center"/>
          </w:tcPr>
          <w:p w14:paraId="1D6BF7C5">
            <w:pPr>
              <w:pStyle w:val="12"/>
              <w:bidi w:val="0"/>
              <w:rPr>
                <w:b/>
                <w:bCs/>
                <w:color w:val="auto"/>
              </w:rPr>
            </w:pPr>
            <w:r>
              <w:rPr>
                <w:b/>
                <w:bCs/>
                <w:color w:val="auto"/>
              </w:rPr>
              <w:t>废气产生量/（</w:t>
            </w:r>
            <w:r>
              <w:rPr>
                <w:rFonts w:hint="eastAsia"/>
                <w:b/>
                <w:bCs/>
                <w:color w:val="auto"/>
                <w:lang w:eastAsia="zh-CN"/>
              </w:rPr>
              <w:t>m³</w:t>
            </w:r>
            <w:r>
              <w:rPr>
                <w:b/>
                <w:bCs/>
                <w:color w:val="auto"/>
              </w:rPr>
              <w:t>/h）</w:t>
            </w:r>
          </w:p>
        </w:tc>
        <w:tc>
          <w:tcPr>
            <w:tcW w:w="312" w:type="pct"/>
            <w:tcBorders>
              <w:tl2br w:val="nil"/>
              <w:tr2bl w:val="nil"/>
            </w:tcBorders>
            <w:noWrap w:val="0"/>
            <w:vAlign w:val="center"/>
          </w:tcPr>
          <w:p w14:paraId="100CCD39">
            <w:pPr>
              <w:pStyle w:val="12"/>
              <w:bidi w:val="0"/>
              <w:rPr>
                <w:b/>
                <w:bCs/>
                <w:color w:val="auto"/>
              </w:rPr>
            </w:pPr>
            <w:r>
              <w:rPr>
                <w:b/>
                <w:bCs/>
                <w:color w:val="auto"/>
              </w:rPr>
              <w:t>产生速率/（kg/h）</w:t>
            </w:r>
          </w:p>
        </w:tc>
        <w:tc>
          <w:tcPr>
            <w:tcW w:w="394" w:type="pct"/>
            <w:tcBorders>
              <w:tl2br w:val="nil"/>
              <w:tr2bl w:val="nil"/>
            </w:tcBorders>
            <w:noWrap w:val="0"/>
            <w:vAlign w:val="center"/>
          </w:tcPr>
          <w:p w14:paraId="487E608A">
            <w:pPr>
              <w:pStyle w:val="12"/>
              <w:bidi w:val="0"/>
              <w:rPr>
                <w:b/>
                <w:bCs/>
                <w:color w:val="auto"/>
              </w:rPr>
            </w:pPr>
            <w:r>
              <w:rPr>
                <w:b/>
                <w:bCs/>
                <w:color w:val="auto"/>
              </w:rPr>
              <w:t>产生浓度/（mg/</w:t>
            </w:r>
            <w:r>
              <w:rPr>
                <w:rFonts w:hint="eastAsia"/>
                <w:b/>
                <w:bCs/>
                <w:color w:val="auto"/>
                <w:lang w:eastAsia="zh-CN"/>
              </w:rPr>
              <w:t>m³</w:t>
            </w:r>
            <w:r>
              <w:rPr>
                <w:b/>
                <w:bCs/>
                <w:color w:val="auto"/>
              </w:rPr>
              <w:t>）</w:t>
            </w:r>
          </w:p>
        </w:tc>
        <w:tc>
          <w:tcPr>
            <w:tcW w:w="297" w:type="pct"/>
            <w:tcBorders>
              <w:tl2br w:val="nil"/>
              <w:tr2bl w:val="nil"/>
            </w:tcBorders>
            <w:noWrap w:val="0"/>
            <w:vAlign w:val="center"/>
          </w:tcPr>
          <w:p w14:paraId="460AAC74">
            <w:pPr>
              <w:pStyle w:val="12"/>
              <w:bidi w:val="0"/>
              <w:rPr>
                <w:b/>
                <w:bCs/>
                <w:color w:val="auto"/>
              </w:rPr>
            </w:pPr>
            <w:r>
              <w:rPr>
                <w:b/>
                <w:bCs/>
                <w:color w:val="auto"/>
              </w:rPr>
              <w:t>工艺</w:t>
            </w:r>
          </w:p>
        </w:tc>
        <w:tc>
          <w:tcPr>
            <w:tcW w:w="184" w:type="pct"/>
            <w:tcBorders>
              <w:tl2br w:val="nil"/>
              <w:tr2bl w:val="nil"/>
            </w:tcBorders>
            <w:noWrap w:val="0"/>
            <w:vAlign w:val="center"/>
          </w:tcPr>
          <w:p w14:paraId="7CF32EDF">
            <w:pPr>
              <w:pStyle w:val="12"/>
              <w:bidi w:val="0"/>
              <w:rPr>
                <w:b/>
                <w:bCs/>
                <w:color w:val="auto"/>
              </w:rPr>
            </w:pPr>
            <w:r>
              <w:rPr>
                <w:b/>
                <w:bCs/>
                <w:color w:val="auto"/>
              </w:rPr>
              <w:t>收集效率/%</w:t>
            </w:r>
          </w:p>
        </w:tc>
        <w:tc>
          <w:tcPr>
            <w:tcW w:w="204" w:type="pct"/>
            <w:tcBorders>
              <w:tl2br w:val="nil"/>
              <w:tr2bl w:val="nil"/>
            </w:tcBorders>
            <w:noWrap w:val="0"/>
            <w:vAlign w:val="center"/>
          </w:tcPr>
          <w:p w14:paraId="4FA9F0BF">
            <w:pPr>
              <w:pStyle w:val="12"/>
              <w:bidi w:val="0"/>
              <w:rPr>
                <w:b/>
                <w:bCs/>
                <w:color w:val="auto"/>
              </w:rPr>
            </w:pPr>
            <w:r>
              <w:rPr>
                <w:b/>
                <w:bCs/>
                <w:color w:val="auto"/>
              </w:rPr>
              <w:t>处理效率/%</w:t>
            </w:r>
          </w:p>
        </w:tc>
        <w:tc>
          <w:tcPr>
            <w:tcW w:w="279" w:type="pct"/>
            <w:tcBorders>
              <w:tl2br w:val="nil"/>
              <w:tr2bl w:val="nil"/>
            </w:tcBorders>
            <w:noWrap w:val="0"/>
            <w:vAlign w:val="center"/>
          </w:tcPr>
          <w:p w14:paraId="4F391DA6">
            <w:pPr>
              <w:pStyle w:val="12"/>
              <w:bidi w:val="0"/>
              <w:rPr>
                <w:b/>
                <w:bCs/>
                <w:color w:val="auto"/>
              </w:rPr>
            </w:pPr>
            <w:r>
              <w:rPr>
                <w:b/>
                <w:bCs/>
                <w:color w:val="auto"/>
              </w:rPr>
              <w:t>核算方法</w:t>
            </w:r>
          </w:p>
        </w:tc>
        <w:tc>
          <w:tcPr>
            <w:tcW w:w="333" w:type="pct"/>
            <w:tcBorders>
              <w:tl2br w:val="nil"/>
              <w:tr2bl w:val="nil"/>
            </w:tcBorders>
            <w:noWrap w:val="0"/>
            <w:vAlign w:val="center"/>
          </w:tcPr>
          <w:p w14:paraId="3BD2BFD2">
            <w:pPr>
              <w:pStyle w:val="12"/>
              <w:bidi w:val="0"/>
              <w:rPr>
                <w:b/>
                <w:bCs/>
                <w:color w:val="auto"/>
              </w:rPr>
            </w:pPr>
            <w:r>
              <w:rPr>
                <w:b/>
                <w:bCs/>
                <w:color w:val="auto"/>
              </w:rPr>
              <w:t>废气排放量/（</w:t>
            </w:r>
            <w:r>
              <w:rPr>
                <w:rFonts w:hint="eastAsia"/>
                <w:b/>
                <w:bCs/>
                <w:color w:val="auto"/>
                <w:lang w:eastAsia="zh-CN"/>
              </w:rPr>
              <w:t>m³</w:t>
            </w:r>
            <w:r>
              <w:rPr>
                <w:b/>
                <w:bCs/>
                <w:color w:val="auto"/>
              </w:rPr>
              <w:t>/h）</w:t>
            </w:r>
          </w:p>
        </w:tc>
        <w:tc>
          <w:tcPr>
            <w:tcW w:w="350" w:type="pct"/>
            <w:tcBorders>
              <w:tl2br w:val="nil"/>
              <w:tr2bl w:val="nil"/>
            </w:tcBorders>
            <w:noWrap w:val="0"/>
            <w:vAlign w:val="center"/>
          </w:tcPr>
          <w:p w14:paraId="582FE927">
            <w:pPr>
              <w:pStyle w:val="12"/>
              <w:bidi w:val="0"/>
              <w:rPr>
                <w:b/>
                <w:bCs/>
                <w:color w:val="auto"/>
              </w:rPr>
            </w:pPr>
            <w:r>
              <w:rPr>
                <w:b/>
                <w:bCs/>
                <w:color w:val="auto"/>
              </w:rPr>
              <w:t>排放速率/（kg/h）</w:t>
            </w:r>
          </w:p>
        </w:tc>
        <w:tc>
          <w:tcPr>
            <w:tcW w:w="394" w:type="pct"/>
            <w:tcBorders>
              <w:tl2br w:val="nil"/>
              <w:tr2bl w:val="nil"/>
            </w:tcBorders>
            <w:noWrap w:val="0"/>
            <w:vAlign w:val="center"/>
          </w:tcPr>
          <w:p w14:paraId="509AF612">
            <w:pPr>
              <w:pStyle w:val="12"/>
              <w:bidi w:val="0"/>
              <w:rPr>
                <w:b/>
                <w:bCs/>
                <w:color w:val="auto"/>
              </w:rPr>
            </w:pPr>
            <w:r>
              <w:rPr>
                <w:b/>
                <w:bCs/>
                <w:color w:val="auto"/>
              </w:rPr>
              <w:t>排放浓度/（mg/</w:t>
            </w:r>
            <w:r>
              <w:rPr>
                <w:rFonts w:hint="eastAsia"/>
                <w:b/>
                <w:bCs/>
                <w:color w:val="auto"/>
                <w:lang w:eastAsia="zh-CN"/>
              </w:rPr>
              <w:t>m³</w:t>
            </w:r>
            <w:r>
              <w:rPr>
                <w:b/>
                <w:bCs/>
                <w:color w:val="auto"/>
              </w:rPr>
              <w:t>）</w:t>
            </w:r>
          </w:p>
        </w:tc>
        <w:tc>
          <w:tcPr>
            <w:tcW w:w="255" w:type="pct"/>
            <w:vMerge w:val="continue"/>
            <w:tcBorders>
              <w:tl2br w:val="nil"/>
              <w:tr2bl w:val="nil"/>
            </w:tcBorders>
            <w:noWrap w:val="0"/>
            <w:vAlign w:val="center"/>
          </w:tcPr>
          <w:p w14:paraId="47A9CA89">
            <w:pPr>
              <w:pStyle w:val="12"/>
              <w:bidi w:val="0"/>
              <w:rPr>
                <w:color w:val="auto"/>
              </w:rPr>
            </w:pPr>
          </w:p>
        </w:tc>
        <w:tc>
          <w:tcPr>
            <w:tcW w:w="310" w:type="pct"/>
            <w:vMerge w:val="continue"/>
            <w:tcBorders>
              <w:tl2br w:val="nil"/>
              <w:tr2bl w:val="nil"/>
            </w:tcBorders>
            <w:noWrap w:val="0"/>
            <w:vAlign w:val="center"/>
          </w:tcPr>
          <w:p w14:paraId="0AD7939D">
            <w:pPr>
              <w:pStyle w:val="12"/>
              <w:bidi w:val="0"/>
              <w:rPr>
                <w:color w:val="auto"/>
              </w:rPr>
            </w:pPr>
          </w:p>
        </w:tc>
      </w:tr>
      <w:tr w14:paraId="5658A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restart"/>
            <w:tcBorders>
              <w:tl2br w:val="nil"/>
              <w:tr2bl w:val="nil"/>
            </w:tcBorders>
            <w:noWrap w:val="0"/>
            <w:vAlign w:val="center"/>
          </w:tcPr>
          <w:p w14:paraId="1DA26733">
            <w:pPr>
              <w:pStyle w:val="12"/>
              <w:bidi w:val="0"/>
              <w:rPr>
                <w:rFonts w:hint="default"/>
                <w:color w:val="auto"/>
                <w:lang w:val="en-US" w:eastAsia="zh-CN"/>
              </w:rPr>
            </w:pPr>
            <w:r>
              <w:rPr>
                <w:rFonts w:hint="eastAsia"/>
                <w:color w:val="auto"/>
                <w:lang w:val="en-US" w:eastAsia="zh-CN"/>
              </w:rPr>
              <w:t>预处理、生化处理、污泥处理</w:t>
            </w:r>
          </w:p>
        </w:tc>
        <w:tc>
          <w:tcPr>
            <w:tcW w:w="242" w:type="pct"/>
            <w:vMerge w:val="restart"/>
            <w:tcBorders>
              <w:tl2br w:val="nil"/>
              <w:tr2bl w:val="nil"/>
            </w:tcBorders>
            <w:noWrap w:val="0"/>
            <w:vAlign w:val="center"/>
          </w:tcPr>
          <w:p w14:paraId="682ADC5E">
            <w:pPr>
              <w:pStyle w:val="12"/>
              <w:bidi w:val="0"/>
              <w:rPr>
                <w:color w:val="auto"/>
              </w:rPr>
            </w:pPr>
            <w:r>
              <w:rPr>
                <w:color w:val="auto"/>
              </w:rPr>
              <w:t>水质调</w:t>
            </w:r>
            <w:r>
              <w:rPr>
                <w:rFonts w:hint="eastAsia"/>
                <w:color w:val="auto"/>
              </w:rPr>
              <w:t>节</w:t>
            </w:r>
          </w:p>
        </w:tc>
        <w:tc>
          <w:tcPr>
            <w:tcW w:w="289" w:type="pct"/>
            <w:vMerge w:val="restart"/>
            <w:tcBorders>
              <w:tl2br w:val="nil"/>
              <w:tr2bl w:val="nil"/>
            </w:tcBorders>
            <w:noWrap w:val="0"/>
            <w:vAlign w:val="center"/>
          </w:tcPr>
          <w:p w14:paraId="77042476">
            <w:pPr>
              <w:pStyle w:val="12"/>
              <w:bidi w:val="0"/>
              <w:rPr>
                <w:rFonts w:hint="default"/>
                <w:color w:val="auto"/>
                <w:lang w:val="en-US" w:eastAsia="zh-CN"/>
              </w:rPr>
            </w:pPr>
            <w:r>
              <w:rPr>
                <w:rFonts w:hint="eastAsia"/>
                <w:color w:val="auto"/>
                <w:lang w:val="en-US" w:eastAsia="zh-CN"/>
              </w:rPr>
              <w:t>格栅、调节池、生化池、水解酸化池等等</w:t>
            </w:r>
          </w:p>
        </w:tc>
        <w:tc>
          <w:tcPr>
            <w:tcW w:w="244" w:type="pct"/>
            <w:tcBorders>
              <w:tl2br w:val="nil"/>
              <w:tr2bl w:val="nil"/>
            </w:tcBorders>
            <w:noWrap w:val="0"/>
            <w:vAlign w:val="center"/>
          </w:tcPr>
          <w:p w14:paraId="522D84B3">
            <w:pPr>
              <w:pStyle w:val="12"/>
              <w:bidi w:val="0"/>
              <w:rPr>
                <w:color w:val="auto"/>
              </w:rPr>
            </w:pPr>
            <w:r>
              <w:rPr>
                <w:color w:val="auto"/>
              </w:rPr>
              <w:t>NH</w:t>
            </w:r>
            <w:r>
              <w:rPr>
                <w:color w:val="auto"/>
                <w:vertAlign w:val="subscript"/>
              </w:rPr>
              <w:t>3</w:t>
            </w:r>
          </w:p>
        </w:tc>
        <w:tc>
          <w:tcPr>
            <w:tcW w:w="308" w:type="pct"/>
            <w:tcBorders>
              <w:tl2br w:val="nil"/>
              <w:tr2bl w:val="nil"/>
            </w:tcBorders>
            <w:noWrap w:val="0"/>
            <w:vAlign w:val="center"/>
          </w:tcPr>
          <w:p w14:paraId="69D9AE3E">
            <w:pPr>
              <w:pStyle w:val="12"/>
              <w:bidi w:val="0"/>
              <w:rPr>
                <w:color w:val="auto"/>
              </w:rPr>
            </w:pPr>
            <w:r>
              <w:rPr>
                <w:color w:val="auto"/>
              </w:rPr>
              <w:t>产污系数法</w:t>
            </w:r>
          </w:p>
        </w:tc>
        <w:tc>
          <w:tcPr>
            <w:tcW w:w="333" w:type="pct"/>
            <w:vMerge w:val="restart"/>
            <w:tcBorders>
              <w:tl2br w:val="nil"/>
              <w:tr2bl w:val="nil"/>
            </w:tcBorders>
            <w:noWrap w:val="0"/>
            <w:vAlign w:val="center"/>
          </w:tcPr>
          <w:p w14:paraId="23CB8F8A">
            <w:pPr>
              <w:pStyle w:val="12"/>
              <w:bidi w:val="0"/>
              <w:rPr>
                <w:rFonts w:hint="default" w:eastAsia="宋体"/>
                <w:color w:val="auto"/>
                <w:lang w:val="en-US" w:eastAsia="zh-CN"/>
              </w:rPr>
            </w:pPr>
            <w:r>
              <w:rPr>
                <w:rFonts w:hint="eastAsia"/>
                <w:color w:val="auto"/>
                <w:lang w:val="en-US" w:eastAsia="zh-CN"/>
              </w:rPr>
              <w:t>20000</w:t>
            </w:r>
          </w:p>
        </w:tc>
        <w:tc>
          <w:tcPr>
            <w:tcW w:w="312" w:type="pct"/>
            <w:tcBorders>
              <w:tl2br w:val="nil"/>
              <w:tr2bl w:val="nil"/>
            </w:tcBorders>
            <w:noWrap w:val="0"/>
            <w:vAlign w:val="center"/>
          </w:tcPr>
          <w:p w14:paraId="7CC7BCA5">
            <w:pPr>
              <w:pStyle w:val="12"/>
              <w:bidi w:val="0"/>
              <w:rPr>
                <w:rFonts w:hint="default" w:eastAsia="宋体"/>
                <w:color w:val="auto"/>
                <w:lang w:val="en-US" w:eastAsia="zh-CN"/>
              </w:rPr>
            </w:pPr>
            <w:r>
              <w:rPr>
                <w:rFonts w:hint="eastAsia"/>
                <w:color w:val="auto"/>
                <w:lang w:val="en-US" w:eastAsia="zh-CN"/>
              </w:rPr>
              <w:t>0.901</w:t>
            </w:r>
          </w:p>
        </w:tc>
        <w:tc>
          <w:tcPr>
            <w:tcW w:w="394" w:type="pct"/>
            <w:tcBorders>
              <w:tl2br w:val="nil"/>
              <w:tr2bl w:val="nil"/>
            </w:tcBorders>
            <w:noWrap w:val="0"/>
            <w:vAlign w:val="center"/>
          </w:tcPr>
          <w:p w14:paraId="4A45B1CC">
            <w:pPr>
              <w:pStyle w:val="12"/>
              <w:bidi w:val="0"/>
              <w:rPr>
                <w:rFonts w:hint="default" w:eastAsia="宋体"/>
                <w:color w:val="auto"/>
                <w:lang w:val="en-US" w:eastAsia="zh-CN"/>
              </w:rPr>
            </w:pPr>
            <w:r>
              <w:rPr>
                <w:rFonts w:hint="eastAsia"/>
                <w:color w:val="auto"/>
                <w:lang w:val="en-US" w:eastAsia="zh-CN"/>
              </w:rPr>
              <w:t>45.05</w:t>
            </w:r>
          </w:p>
        </w:tc>
        <w:tc>
          <w:tcPr>
            <w:tcW w:w="297" w:type="pct"/>
            <w:vMerge w:val="restart"/>
            <w:tcBorders>
              <w:tl2br w:val="nil"/>
              <w:tr2bl w:val="nil"/>
            </w:tcBorders>
            <w:noWrap w:val="0"/>
            <w:vAlign w:val="center"/>
          </w:tcPr>
          <w:p w14:paraId="39D1B56E">
            <w:pPr>
              <w:pStyle w:val="12"/>
              <w:bidi w:val="0"/>
              <w:rPr>
                <w:color w:val="auto"/>
              </w:rPr>
            </w:pPr>
            <w:r>
              <w:rPr>
                <w:color w:val="auto"/>
              </w:rPr>
              <w:t>生物除臭装置</w:t>
            </w:r>
          </w:p>
        </w:tc>
        <w:tc>
          <w:tcPr>
            <w:tcW w:w="184" w:type="pct"/>
            <w:vMerge w:val="restart"/>
            <w:tcBorders>
              <w:tl2br w:val="nil"/>
              <w:tr2bl w:val="nil"/>
            </w:tcBorders>
            <w:noWrap w:val="0"/>
            <w:vAlign w:val="center"/>
          </w:tcPr>
          <w:p w14:paraId="0B7ED97A">
            <w:pPr>
              <w:pStyle w:val="12"/>
              <w:bidi w:val="0"/>
              <w:rPr>
                <w:rFonts w:hint="eastAsia"/>
                <w:color w:val="auto"/>
              </w:rPr>
            </w:pPr>
            <w:r>
              <w:rPr>
                <w:color w:val="auto"/>
              </w:rPr>
              <w:t>9</w:t>
            </w:r>
            <w:r>
              <w:rPr>
                <w:rFonts w:hint="eastAsia"/>
                <w:color w:val="auto"/>
              </w:rPr>
              <w:t>5</w:t>
            </w:r>
          </w:p>
        </w:tc>
        <w:tc>
          <w:tcPr>
            <w:tcW w:w="204" w:type="pct"/>
            <w:vMerge w:val="restart"/>
            <w:tcBorders>
              <w:tl2br w:val="nil"/>
              <w:tr2bl w:val="nil"/>
            </w:tcBorders>
            <w:noWrap w:val="0"/>
            <w:vAlign w:val="center"/>
          </w:tcPr>
          <w:p w14:paraId="70D9089C">
            <w:pPr>
              <w:pStyle w:val="12"/>
              <w:bidi w:val="0"/>
              <w:rPr>
                <w:color w:val="auto"/>
              </w:rPr>
            </w:pPr>
            <w:r>
              <w:rPr>
                <w:color w:val="auto"/>
              </w:rPr>
              <w:t>95</w:t>
            </w:r>
          </w:p>
        </w:tc>
        <w:tc>
          <w:tcPr>
            <w:tcW w:w="279" w:type="pct"/>
            <w:tcBorders>
              <w:tl2br w:val="nil"/>
              <w:tr2bl w:val="nil"/>
            </w:tcBorders>
            <w:noWrap w:val="0"/>
            <w:vAlign w:val="center"/>
          </w:tcPr>
          <w:p w14:paraId="1765F321">
            <w:pPr>
              <w:pStyle w:val="12"/>
              <w:bidi w:val="0"/>
              <w:rPr>
                <w:color w:val="auto"/>
              </w:rPr>
            </w:pPr>
            <w:r>
              <w:rPr>
                <w:color w:val="auto"/>
              </w:rPr>
              <w:t>产污系数法</w:t>
            </w:r>
          </w:p>
        </w:tc>
        <w:tc>
          <w:tcPr>
            <w:tcW w:w="333" w:type="pct"/>
            <w:vMerge w:val="restart"/>
            <w:tcBorders>
              <w:tl2br w:val="nil"/>
              <w:tr2bl w:val="nil"/>
            </w:tcBorders>
            <w:noWrap w:val="0"/>
            <w:vAlign w:val="center"/>
          </w:tcPr>
          <w:p w14:paraId="537C8C6C">
            <w:pPr>
              <w:pStyle w:val="12"/>
              <w:bidi w:val="0"/>
              <w:rPr>
                <w:rFonts w:hint="default" w:eastAsia="宋体"/>
                <w:color w:val="auto"/>
                <w:lang w:val="en-US" w:eastAsia="zh-CN"/>
              </w:rPr>
            </w:pPr>
            <w:r>
              <w:rPr>
                <w:rFonts w:hint="eastAsia"/>
                <w:color w:val="auto"/>
                <w:lang w:val="en-US" w:eastAsia="zh-CN"/>
              </w:rPr>
              <w:t>20000</w:t>
            </w:r>
          </w:p>
        </w:tc>
        <w:tc>
          <w:tcPr>
            <w:tcW w:w="350" w:type="pct"/>
            <w:tcBorders>
              <w:tl2br w:val="nil"/>
              <w:tr2bl w:val="nil"/>
            </w:tcBorders>
            <w:noWrap w:val="0"/>
            <w:vAlign w:val="center"/>
          </w:tcPr>
          <w:p w14:paraId="19D359F4">
            <w:pPr>
              <w:pStyle w:val="12"/>
              <w:bidi w:val="0"/>
              <w:rPr>
                <w:rFonts w:hint="default" w:eastAsia="宋体"/>
                <w:color w:val="auto"/>
                <w:lang w:val="en-US" w:eastAsia="zh-CN"/>
              </w:rPr>
            </w:pPr>
            <w:r>
              <w:rPr>
                <w:rFonts w:hint="eastAsia"/>
                <w:color w:val="auto"/>
                <w:lang w:val="en-US" w:eastAsia="zh-CN"/>
              </w:rPr>
              <w:t>0.0428</w:t>
            </w:r>
          </w:p>
        </w:tc>
        <w:tc>
          <w:tcPr>
            <w:tcW w:w="394" w:type="pct"/>
            <w:tcBorders>
              <w:tl2br w:val="nil"/>
              <w:tr2bl w:val="nil"/>
            </w:tcBorders>
            <w:noWrap w:val="0"/>
            <w:vAlign w:val="center"/>
          </w:tcPr>
          <w:p w14:paraId="13C18356">
            <w:pPr>
              <w:pStyle w:val="12"/>
              <w:bidi w:val="0"/>
              <w:rPr>
                <w:rFonts w:hint="default" w:eastAsia="宋体"/>
                <w:color w:val="auto"/>
                <w:lang w:val="en-US" w:eastAsia="zh-CN"/>
              </w:rPr>
            </w:pPr>
            <w:r>
              <w:rPr>
                <w:rFonts w:hint="eastAsia"/>
                <w:color w:val="auto"/>
                <w:lang w:val="en-US" w:eastAsia="zh-CN"/>
              </w:rPr>
              <w:t>2.14</w:t>
            </w:r>
          </w:p>
        </w:tc>
        <w:tc>
          <w:tcPr>
            <w:tcW w:w="255" w:type="pct"/>
            <w:tcBorders>
              <w:tl2br w:val="nil"/>
              <w:tr2bl w:val="nil"/>
            </w:tcBorders>
            <w:noWrap w:val="0"/>
            <w:vAlign w:val="center"/>
          </w:tcPr>
          <w:p w14:paraId="36485B6D">
            <w:pPr>
              <w:pStyle w:val="12"/>
              <w:bidi w:val="0"/>
              <w:rPr>
                <w:color w:val="auto"/>
              </w:rPr>
            </w:pPr>
            <w:r>
              <w:rPr>
                <w:color w:val="auto"/>
              </w:rPr>
              <w:t>8760</w:t>
            </w:r>
          </w:p>
        </w:tc>
        <w:tc>
          <w:tcPr>
            <w:tcW w:w="310" w:type="pct"/>
            <w:tcBorders>
              <w:tl2br w:val="nil"/>
              <w:tr2bl w:val="nil"/>
            </w:tcBorders>
            <w:noWrap w:val="0"/>
            <w:vAlign w:val="center"/>
          </w:tcPr>
          <w:p w14:paraId="4E48474D">
            <w:pPr>
              <w:pStyle w:val="12"/>
              <w:bidi w:val="0"/>
              <w:rPr>
                <w:rFonts w:hint="default" w:eastAsia="宋体"/>
                <w:color w:val="auto"/>
                <w:lang w:val="en-US" w:eastAsia="zh-CN"/>
              </w:rPr>
            </w:pPr>
            <w:r>
              <w:rPr>
                <w:rFonts w:hint="eastAsia"/>
                <w:color w:val="auto"/>
                <w:lang w:val="en-US" w:eastAsia="zh-CN"/>
              </w:rPr>
              <w:t>0.3749</w:t>
            </w:r>
          </w:p>
        </w:tc>
      </w:tr>
      <w:tr w14:paraId="070BB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continue"/>
            <w:tcBorders>
              <w:tl2br w:val="nil"/>
              <w:tr2bl w:val="nil"/>
            </w:tcBorders>
            <w:noWrap w:val="0"/>
            <w:vAlign w:val="center"/>
          </w:tcPr>
          <w:p w14:paraId="2615D6C5">
            <w:pPr>
              <w:pStyle w:val="12"/>
              <w:bidi w:val="0"/>
              <w:rPr>
                <w:color w:val="auto"/>
              </w:rPr>
            </w:pPr>
          </w:p>
        </w:tc>
        <w:tc>
          <w:tcPr>
            <w:tcW w:w="242" w:type="pct"/>
            <w:vMerge w:val="continue"/>
            <w:tcBorders>
              <w:tl2br w:val="nil"/>
              <w:tr2bl w:val="nil"/>
            </w:tcBorders>
            <w:noWrap w:val="0"/>
            <w:vAlign w:val="center"/>
          </w:tcPr>
          <w:p w14:paraId="3633442D">
            <w:pPr>
              <w:pStyle w:val="12"/>
              <w:bidi w:val="0"/>
              <w:rPr>
                <w:color w:val="auto"/>
              </w:rPr>
            </w:pPr>
          </w:p>
        </w:tc>
        <w:tc>
          <w:tcPr>
            <w:tcW w:w="289" w:type="pct"/>
            <w:vMerge w:val="continue"/>
            <w:tcBorders>
              <w:tl2br w:val="nil"/>
              <w:tr2bl w:val="nil"/>
            </w:tcBorders>
            <w:noWrap w:val="0"/>
            <w:vAlign w:val="center"/>
          </w:tcPr>
          <w:p w14:paraId="40066B03">
            <w:pPr>
              <w:pStyle w:val="12"/>
              <w:bidi w:val="0"/>
              <w:rPr>
                <w:color w:val="auto"/>
              </w:rPr>
            </w:pPr>
          </w:p>
        </w:tc>
        <w:tc>
          <w:tcPr>
            <w:tcW w:w="244" w:type="pct"/>
            <w:tcBorders>
              <w:tl2br w:val="nil"/>
              <w:tr2bl w:val="nil"/>
            </w:tcBorders>
            <w:noWrap w:val="0"/>
            <w:vAlign w:val="center"/>
          </w:tcPr>
          <w:p w14:paraId="3FCCB17A">
            <w:pPr>
              <w:pStyle w:val="12"/>
              <w:bidi w:val="0"/>
              <w:rPr>
                <w:color w:val="auto"/>
              </w:rPr>
            </w:pPr>
            <w:r>
              <w:rPr>
                <w:color w:val="auto"/>
              </w:rPr>
              <w:t>H</w:t>
            </w:r>
            <w:r>
              <w:rPr>
                <w:color w:val="auto"/>
                <w:vertAlign w:val="subscript"/>
              </w:rPr>
              <w:t>2</w:t>
            </w:r>
            <w:r>
              <w:rPr>
                <w:color w:val="auto"/>
              </w:rPr>
              <w:t>S</w:t>
            </w:r>
          </w:p>
        </w:tc>
        <w:tc>
          <w:tcPr>
            <w:tcW w:w="308" w:type="pct"/>
            <w:tcBorders>
              <w:tl2br w:val="nil"/>
              <w:tr2bl w:val="nil"/>
            </w:tcBorders>
            <w:noWrap w:val="0"/>
            <w:vAlign w:val="center"/>
          </w:tcPr>
          <w:p w14:paraId="2771A1A1">
            <w:pPr>
              <w:pStyle w:val="12"/>
              <w:bidi w:val="0"/>
              <w:rPr>
                <w:color w:val="auto"/>
              </w:rPr>
            </w:pPr>
            <w:r>
              <w:rPr>
                <w:color w:val="auto"/>
              </w:rPr>
              <w:t>产污系数法</w:t>
            </w:r>
          </w:p>
        </w:tc>
        <w:tc>
          <w:tcPr>
            <w:tcW w:w="333" w:type="pct"/>
            <w:vMerge w:val="continue"/>
            <w:tcBorders>
              <w:tl2br w:val="nil"/>
              <w:tr2bl w:val="nil"/>
            </w:tcBorders>
            <w:noWrap w:val="0"/>
            <w:vAlign w:val="center"/>
          </w:tcPr>
          <w:p w14:paraId="33E390C4">
            <w:pPr>
              <w:pStyle w:val="12"/>
              <w:bidi w:val="0"/>
              <w:rPr>
                <w:color w:val="auto"/>
              </w:rPr>
            </w:pPr>
          </w:p>
        </w:tc>
        <w:tc>
          <w:tcPr>
            <w:tcW w:w="312" w:type="pct"/>
            <w:tcBorders>
              <w:tl2br w:val="nil"/>
              <w:tr2bl w:val="nil"/>
            </w:tcBorders>
            <w:noWrap w:val="0"/>
            <w:vAlign w:val="center"/>
          </w:tcPr>
          <w:p w14:paraId="5E89F1C4">
            <w:pPr>
              <w:pStyle w:val="12"/>
              <w:bidi w:val="0"/>
              <w:rPr>
                <w:rFonts w:hint="default" w:eastAsia="宋体"/>
                <w:color w:val="auto"/>
                <w:lang w:val="en-US" w:eastAsia="zh-CN"/>
              </w:rPr>
            </w:pPr>
            <w:r>
              <w:rPr>
                <w:rFonts w:hint="eastAsia"/>
                <w:color w:val="auto"/>
                <w:lang w:val="en-US" w:eastAsia="zh-CN"/>
              </w:rPr>
              <w:t>0.013</w:t>
            </w:r>
          </w:p>
        </w:tc>
        <w:tc>
          <w:tcPr>
            <w:tcW w:w="394" w:type="pct"/>
            <w:tcBorders>
              <w:tl2br w:val="nil"/>
              <w:tr2bl w:val="nil"/>
            </w:tcBorders>
            <w:noWrap w:val="0"/>
            <w:vAlign w:val="center"/>
          </w:tcPr>
          <w:p w14:paraId="78745077">
            <w:pPr>
              <w:pStyle w:val="12"/>
              <w:bidi w:val="0"/>
              <w:rPr>
                <w:rFonts w:hint="default" w:eastAsia="宋体"/>
                <w:color w:val="auto"/>
                <w:lang w:val="en-US" w:eastAsia="zh-CN"/>
              </w:rPr>
            </w:pPr>
            <w:r>
              <w:rPr>
                <w:rFonts w:hint="eastAsia"/>
                <w:color w:val="auto"/>
                <w:lang w:val="en-US" w:eastAsia="zh-CN"/>
              </w:rPr>
              <w:t>0.66</w:t>
            </w:r>
          </w:p>
        </w:tc>
        <w:tc>
          <w:tcPr>
            <w:tcW w:w="297" w:type="pct"/>
            <w:vMerge w:val="continue"/>
            <w:tcBorders>
              <w:tl2br w:val="nil"/>
              <w:tr2bl w:val="nil"/>
            </w:tcBorders>
            <w:noWrap w:val="0"/>
            <w:vAlign w:val="center"/>
          </w:tcPr>
          <w:p w14:paraId="6B56784C">
            <w:pPr>
              <w:pStyle w:val="12"/>
              <w:bidi w:val="0"/>
              <w:rPr>
                <w:color w:val="auto"/>
              </w:rPr>
            </w:pPr>
          </w:p>
        </w:tc>
        <w:tc>
          <w:tcPr>
            <w:tcW w:w="184" w:type="pct"/>
            <w:vMerge w:val="continue"/>
            <w:tcBorders>
              <w:tl2br w:val="nil"/>
              <w:tr2bl w:val="nil"/>
            </w:tcBorders>
            <w:noWrap w:val="0"/>
            <w:vAlign w:val="center"/>
          </w:tcPr>
          <w:p w14:paraId="0D6CBD76">
            <w:pPr>
              <w:pStyle w:val="12"/>
              <w:bidi w:val="0"/>
              <w:rPr>
                <w:color w:val="auto"/>
              </w:rPr>
            </w:pPr>
          </w:p>
        </w:tc>
        <w:tc>
          <w:tcPr>
            <w:tcW w:w="204" w:type="pct"/>
            <w:vMerge w:val="continue"/>
            <w:tcBorders>
              <w:tl2br w:val="nil"/>
              <w:tr2bl w:val="nil"/>
            </w:tcBorders>
            <w:noWrap w:val="0"/>
            <w:vAlign w:val="center"/>
          </w:tcPr>
          <w:p w14:paraId="388F4FDA">
            <w:pPr>
              <w:pStyle w:val="12"/>
              <w:bidi w:val="0"/>
              <w:rPr>
                <w:color w:val="auto"/>
              </w:rPr>
            </w:pPr>
          </w:p>
        </w:tc>
        <w:tc>
          <w:tcPr>
            <w:tcW w:w="279" w:type="pct"/>
            <w:tcBorders>
              <w:tl2br w:val="nil"/>
              <w:tr2bl w:val="nil"/>
            </w:tcBorders>
            <w:noWrap w:val="0"/>
            <w:vAlign w:val="center"/>
          </w:tcPr>
          <w:p w14:paraId="37EBE267">
            <w:pPr>
              <w:pStyle w:val="12"/>
              <w:bidi w:val="0"/>
              <w:rPr>
                <w:color w:val="auto"/>
              </w:rPr>
            </w:pPr>
            <w:r>
              <w:rPr>
                <w:color w:val="auto"/>
              </w:rPr>
              <w:t>产污系数法</w:t>
            </w:r>
          </w:p>
        </w:tc>
        <w:tc>
          <w:tcPr>
            <w:tcW w:w="333" w:type="pct"/>
            <w:vMerge w:val="continue"/>
            <w:tcBorders>
              <w:tl2br w:val="nil"/>
              <w:tr2bl w:val="nil"/>
            </w:tcBorders>
            <w:noWrap w:val="0"/>
            <w:vAlign w:val="center"/>
          </w:tcPr>
          <w:p w14:paraId="79892D07">
            <w:pPr>
              <w:pStyle w:val="12"/>
              <w:bidi w:val="0"/>
              <w:rPr>
                <w:color w:val="auto"/>
              </w:rPr>
            </w:pPr>
          </w:p>
        </w:tc>
        <w:tc>
          <w:tcPr>
            <w:tcW w:w="350" w:type="pct"/>
            <w:tcBorders>
              <w:tl2br w:val="nil"/>
              <w:tr2bl w:val="nil"/>
            </w:tcBorders>
            <w:noWrap w:val="0"/>
            <w:vAlign w:val="center"/>
          </w:tcPr>
          <w:p w14:paraId="73AD39F6">
            <w:pPr>
              <w:pStyle w:val="12"/>
              <w:bidi w:val="0"/>
              <w:rPr>
                <w:rFonts w:hint="default" w:eastAsia="宋体"/>
                <w:color w:val="auto"/>
                <w:lang w:val="en-US" w:eastAsia="zh-CN"/>
              </w:rPr>
            </w:pPr>
            <w:r>
              <w:rPr>
                <w:rFonts w:hint="eastAsia"/>
                <w:color w:val="auto"/>
                <w:lang w:val="en-US" w:eastAsia="zh-CN"/>
              </w:rPr>
              <w:t>0.00063</w:t>
            </w:r>
          </w:p>
        </w:tc>
        <w:tc>
          <w:tcPr>
            <w:tcW w:w="394" w:type="pct"/>
            <w:tcBorders>
              <w:tl2br w:val="nil"/>
              <w:tr2bl w:val="nil"/>
            </w:tcBorders>
            <w:noWrap w:val="0"/>
            <w:vAlign w:val="center"/>
          </w:tcPr>
          <w:p w14:paraId="3E4E5727">
            <w:pPr>
              <w:pStyle w:val="12"/>
              <w:bidi w:val="0"/>
              <w:rPr>
                <w:rFonts w:hint="default" w:eastAsia="宋体"/>
                <w:color w:val="auto"/>
                <w:lang w:val="en-US" w:eastAsia="zh-CN"/>
              </w:rPr>
            </w:pPr>
            <w:r>
              <w:rPr>
                <w:rFonts w:hint="eastAsia"/>
                <w:color w:val="auto"/>
                <w:lang w:val="en-US" w:eastAsia="zh-CN"/>
              </w:rPr>
              <w:t>0.0315</w:t>
            </w:r>
          </w:p>
        </w:tc>
        <w:tc>
          <w:tcPr>
            <w:tcW w:w="255" w:type="pct"/>
            <w:tcBorders>
              <w:tl2br w:val="nil"/>
              <w:tr2bl w:val="nil"/>
            </w:tcBorders>
            <w:noWrap w:val="0"/>
            <w:vAlign w:val="center"/>
          </w:tcPr>
          <w:p w14:paraId="776735C2">
            <w:pPr>
              <w:pStyle w:val="12"/>
              <w:bidi w:val="0"/>
              <w:rPr>
                <w:color w:val="auto"/>
              </w:rPr>
            </w:pPr>
            <w:r>
              <w:rPr>
                <w:color w:val="auto"/>
              </w:rPr>
              <w:t>8760</w:t>
            </w:r>
          </w:p>
        </w:tc>
        <w:tc>
          <w:tcPr>
            <w:tcW w:w="310" w:type="pct"/>
            <w:tcBorders>
              <w:tl2br w:val="nil"/>
              <w:tr2bl w:val="nil"/>
            </w:tcBorders>
            <w:noWrap w:val="0"/>
            <w:vAlign w:val="center"/>
          </w:tcPr>
          <w:p w14:paraId="50ED3931">
            <w:pPr>
              <w:pStyle w:val="12"/>
              <w:bidi w:val="0"/>
              <w:rPr>
                <w:rFonts w:hint="default" w:eastAsia="宋体"/>
                <w:color w:val="auto"/>
                <w:lang w:val="en-US" w:eastAsia="zh-CN"/>
              </w:rPr>
            </w:pPr>
            <w:r>
              <w:rPr>
                <w:rFonts w:hint="eastAsia"/>
                <w:color w:val="auto"/>
                <w:lang w:val="en-US" w:eastAsia="zh-CN"/>
              </w:rPr>
              <w:t>0.0055</w:t>
            </w:r>
          </w:p>
        </w:tc>
      </w:tr>
      <w:tr w14:paraId="44DBC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tcBorders>
              <w:tl2br w:val="nil"/>
              <w:tr2bl w:val="nil"/>
            </w:tcBorders>
            <w:noWrap w:val="0"/>
            <w:vAlign w:val="center"/>
          </w:tcPr>
          <w:p w14:paraId="3533798A">
            <w:pPr>
              <w:pStyle w:val="12"/>
              <w:bidi w:val="0"/>
              <w:rPr>
                <w:rFonts w:hint="eastAsia" w:eastAsia="宋体"/>
                <w:color w:val="auto"/>
                <w:lang w:val="en-US" w:eastAsia="zh-CN"/>
              </w:rPr>
            </w:pPr>
            <w:r>
              <w:rPr>
                <w:rFonts w:hint="eastAsia"/>
                <w:color w:val="auto"/>
                <w:lang w:val="en-US" w:eastAsia="zh-CN"/>
              </w:rPr>
              <w:t>食堂</w:t>
            </w:r>
          </w:p>
        </w:tc>
        <w:tc>
          <w:tcPr>
            <w:tcW w:w="242" w:type="pct"/>
            <w:tcBorders>
              <w:tl2br w:val="nil"/>
              <w:tr2bl w:val="nil"/>
            </w:tcBorders>
            <w:noWrap w:val="0"/>
            <w:vAlign w:val="center"/>
          </w:tcPr>
          <w:p w14:paraId="2A194ABC">
            <w:pPr>
              <w:pStyle w:val="12"/>
              <w:bidi w:val="0"/>
              <w:rPr>
                <w:rFonts w:hint="eastAsia" w:eastAsia="宋体"/>
                <w:color w:val="auto"/>
                <w:lang w:val="en-US" w:eastAsia="zh-CN"/>
              </w:rPr>
            </w:pPr>
            <w:r>
              <w:rPr>
                <w:rFonts w:hint="eastAsia"/>
                <w:color w:val="auto"/>
                <w:lang w:val="en-US" w:eastAsia="zh-CN"/>
              </w:rPr>
              <w:t>用餐</w:t>
            </w:r>
          </w:p>
        </w:tc>
        <w:tc>
          <w:tcPr>
            <w:tcW w:w="533" w:type="pct"/>
            <w:gridSpan w:val="2"/>
            <w:tcBorders>
              <w:tl2br w:val="nil"/>
              <w:tr2bl w:val="nil"/>
            </w:tcBorders>
            <w:noWrap w:val="0"/>
            <w:vAlign w:val="center"/>
          </w:tcPr>
          <w:p w14:paraId="5846495F">
            <w:pPr>
              <w:pStyle w:val="12"/>
              <w:bidi w:val="0"/>
              <w:rPr>
                <w:color w:val="auto"/>
              </w:rPr>
            </w:pPr>
            <w:r>
              <w:rPr>
                <w:rFonts w:hint="eastAsia"/>
                <w:color w:val="auto"/>
                <w:lang w:val="en-US" w:eastAsia="zh-CN"/>
              </w:rPr>
              <w:t>食堂油烟</w:t>
            </w:r>
          </w:p>
        </w:tc>
        <w:tc>
          <w:tcPr>
            <w:tcW w:w="308" w:type="pct"/>
            <w:tcBorders>
              <w:tl2br w:val="nil"/>
              <w:tr2bl w:val="nil"/>
            </w:tcBorders>
            <w:noWrap w:val="0"/>
            <w:vAlign w:val="center"/>
          </w:tcPr>
          <w:p w14:paraId="74ED4B45">
            <w:pPr>
              <w:pStyle w:val="12"/>
              <w:bidi w:val="0"/>
              <w:rPr>
                <w:rFonts w:hint="default" w:eastAsia="宋体"/>
                <w:color w:val="auto"/>
                <w:lang w:val="en-US" w:eastAsia="zh-CN"/>
              </w:rPr>
            </w:pPr>
            <w:r>
              <w:rPr>
                <w:rFonts w:hint="eastAsia"/>
                <w:color w:val="auto"/>
                <w:lang w:val="en-US" w:eastAsia="zh-CN"/>
              </w:rPr>
              <w:t>产污系数法</w:t>
            </w:r>
          </w:p>
        </w:tc>
        <w:tc>
          <w:tcPr>
            <w:tcW w:w="333" w:type="pct"/>
            <w:tcBorders>
              <w:tl2br w:val="nil"/>
              <w:tr2bl w:val="nil"/>
            </w:tcBorders>
            <w:noWrap w:val="0"/>
            <w:vAlign w:val="center"/>
          </w:tcPr>
          <w:p w14:paraId="1523A635">
            <w:pPr>
              <w:pStyle w:val="12"/>
              <w:bidi w:val="0"/>
              <w:rPr>
                <w:rFonts w:hint="default" w:eastAsia="宋体"/>
                <w:color w:val="auto"/>
                <w:lang w:val="en-US" w:eastAsia="zh-CN"/>
              </w:rPr>
            </w:pPr>
            <w:r>
              <w:rPr>
                <w:rFonts w:hint="eastAsia"/>
                <w:color w:val="auto"/>
                <w:lang w:val="en-US" w:eastAsia="zh-CN"/>
              </w:rPr>
              <w:t>3000</w:t>
            </w:r>
          </w:p>
        </w:tc>
        <w:tc>
          <w:tcPr>
            <w:tcW w:w="312" w:type="pct"/>
            <w:tcBorders>
              <w:tl2br w:val="nil"/>
              <w:tr2bl w:val="nil"/>
            </w:tcBorders>
            <w:noWrap w:val="0"/>
            <w:vAlign w:val="center"/>
          </w:tcPr>
          <w:p w14:paraId="3E2A0D6A">
            <w:pPr>
              <w:pStyle w:val="12"/>
              <w:bidi w:val="0"/>
              <w:rPr>
                <w:rFonts w:hint="default" w:eastAsia="宋体"/>
                <w:color w:val="auto"/>
                <w:lang w:val="en-US" w:eastAsia="zh-CN"/>
              </w:rPr>
            </w:pPr>
            <w:r>
              <w:rPr>
                <w:rFonts w:hint="eastAsia"/>
                <w:color w:val="auto"/>
                <w:lang w:val="en-US" w:eastAsia="zh-CN"/>
              </w:rPr>
              <w:t>0.0025</w:t>
            </w:r>
          </w:p>
        </w:tc>
        <w:tc>
          <w:tcPr>
            <w:tcW w:w="394" w:type="pct"/>
            <w:tcBorders>
              <w:tl2br w:val="nil"/>
              <w:tr2bl w:val="nil"/>
            </w:tcBorders>
            <w:noWrap w:val="0"/>
            <w:vAlign w:val="center"/>
          </w:tcPr>
          <w:p w14:paraId="2C8C138E">
            <w:pPr>
              <w:pStyle w:val="12"/>
              <w:bidi w:val="0"/>
              <w:rPr>
                <w:rFonts w:hint="default" w:eastAsia="宋体"/>
                <w:color w:val="auto"/>
                <w:lang w:val="en-US" w:eastAsia="zh-CN"/>
              </w:rPr>
            </w:pPr>
            <w:r>
              <w:rPr>
                <w:rFonts w:hint="eastAsia"/>
                <w:color w:val="auto"/>
                <w:lang w:val="en-US" w:eastAsia="zh-CN"/>
              </w:rPr>
              <w:t>0.82</w:t>
            </w:r>
          </w:p>
        </w:tc>
        <w:tc>
          <w:tcPr>
            <w:tcW w:w="297" w:type="pct"/>
            <w:tcBorders>
              <w:tl2br w:val="nil"/>
              <w:tr2bl w:val="nil"/>
            </w:tcBorders>
            <w:noWrap w:val="0"/>
            <w:vAlign w:val="center"/>
          </w:tcPr>
          <w:p w14:paraId="0570D765">
            <w:pPr>
              <w:pStyle w:val="12"/>
              <w:bidi w:val="0"/>
              <w:rPr>
                <w:rFonts w:hint="eastAsia" w:eastAsia="宋体"/>
                <w:color w:val="auto"/>
                <w:lang w:val="en-US" w:eastAsia="zh-CN"/>
              </w:rPr>
            </w:pPr>
            <w:r>
              <w:rPr>
                <w:rFonts w:hint="eastAsia"/>
                <w:color w:val="auto"/>
                <w:lang w:val="en-US" w:eastAsia="zh-CN"/>
              </w:rPr>
              <w:t>油烟净化器</w:t>
            </w:r>
          </w:p>
        </w:tc>
        <w:tc>
          <w:tcPr>
            <w:tcW w:w="184" w:type="pct"/>
            <w:tcBorders>
              <w:tl2br w:val="nil"/>
              <w:tr2bl w:val="nil"/>
            </w:tcBorders>
            <w:noWrap w:val="0"/>
            <w:vAlign w:val="center"/>
          </w:tcPr>
          <w:p w14:paraId="6D9BDA95">
            <w:pPr>
              <w:pStyle w:val="12"/>
              <w:bidi w:val="0"/>
              <w:rPr>
                <w:rFonts w:hint="default" w:eastAsia="宋体"/>
                <w:color w:val="auto"/>
                <w:lang w:val="en-US" w:eastAsia="zh-CN"/>
              </w:rPr>
            </w:pPr>
            <w:r>
              <w:rPr>
                <w:rFonts w:hint="eastAsia"/>
                <w:color w:val="auto"/>
                <w:lang w:val="en-US" w:eastAsia="zh-CN"/>
              </w:rPr>
              <w:t>90</w:t>
            </w:r>
          </w:p>
        </w:tc>
        <w:tc>
          <w:tcPr>
            <w:tcW w:w="204" w:type="pct"/>
            <w:tcBorders>
              <w:tl2br w:val="nil"/>
              <w:tr2bl w:val="nil"/>
            </w:tcBorders>
            <w:noWrap w:val="0"/>
            <w:vAlign w:val="center"/>
          </w:tcPr>
          <w:p w14:paraId="21E47923">
            <w:pPr>
              <w:pStyle w:val="12"/>
              <w:bidi w:val="0"/>
              <w:rPr>
                <w:rFonts w:hint="default" w:eastAsia="宋体"/>
                <w:color w:val="auto"/>
                <w:lang w:val="en-US" w:eastAsia="zh-CN"/>
              </w:rPr>
            </w:pPr>
            <w:r>
              <w:rPr>
                <w:rFonts w:hint="eastAsia"/>
                <w:color w:val="auto"/>
                <w:lang w:val="en-US" w:eastAsia="zh-CN"/>
              </w:rPr>
              <w:t>60</w:t>
            </w:r>
          </w:p>
        </w:tc>
        <w:tc>
          <w:tcPr>
            <w:tcW w:w="279" w:type="pct"/>
            <w:tcBorders>
              <w:tl2br w:val="nil"/>
              <w:tr2bl w:val="nil"/>
            </w:tcBorders>
            <w:noWrap w:val="0"/>
            <w:vAlign w:val="center"/>
          </w:tcPr>
          <w:p w14:paraId="3D5AF22F">
            <w:pPr>
              <w:pStyle w:val="12"/>
              <w:bidi w:val="0"/>
              <w:rPr>
                <w:color w:val="auto"/>
              </w:rPr>
            </w:pPr>
            <w:r>
              <w:rPr>
                <w:color w:val="auto"/>
              </w:rPr>
              <w:t>产污系数法</w:t>
            </w:r>
          </w:p>
        </w:tc>
        <w:tc>
          <w:tcPr>
            <w:tcW w:w="333" w:type="pct"/>
            <w:tcBorders>
              <w:tl2br w:val="nil"/>
              <w:tr2bl w:val="nil"/>
            </w:tcBorders>
            <w:noWrap w:val="0"/>
            <w:vAlign w:val="center"/>
          </w:tcPr>
          <w:p w14:paraId="706B083C">
            <w:pPr>
              <w:pStyle w:val="12"/>
              <w:bidi w:val="0"/>
              <w:rPr>
                <w:rFonts w:hint="default" w:eastAsia="宋体"/>
                <w:color w:val="auto"/>
                <w:lang w:val="en-US" w:eastAsia="zh-CN"/>
              </w:rPr>
            </w:pPr>
            <w:r>
              <w:rPr>
                <w:rFonts w:hint="eastAsia"/>
                <w:color w:val="auto"/>
                <w:lang w:val="en-US" w:eastAsia="zh-CN"/>
              </w:rPr>
              <w:t>2000</w:t>
            </w:r>
          </w:p>
        </w:tc>
        <w:tc>
          <w:tcPr>
            <w:tcW w:w="350" w:type="pct"/>
            <w:tcBorders>
              <w:tl2br w:val="nil"/>
              <w:tr2bl w:val="nil"/>
            </w:tcBorders>
            <w:noWrap w:val="0"/>
            <w:vAlign w:val="center"/>
          </w:tcPr>
          <w:p w14:paraId="747D4BF4">
            <w:pPr>
              <w:pStyle w:val="12"/>
              <w:bidi w:val="0"/>
              <w:rPr>
                <w:rFonts w:hint="default" w:eastAsia="宋体"/>
                <w:color w:val="auto"/>
                <w:lang w:val="en-US" w:eastAsia="zh-CN"/>
              </w:rPr>
            </w:pPr>
            <w:r>
              <w:rPr>
                <w:rFonts w:hint="eastAsia"/>
                <w:color w:val="auto"/>
                <w:lang w:val="en-US" w:eastAsia="zh-CN"/>
              </w:rPr>
              <w:t>0.0009</w:t>
            </w:r>
          </w:p>
        </w:tc>
        <w:tc>
          <w:tcPr>
            <w:tcW w:w="394" w:type="pct"/>
            <w:tcBorders>
              <w:tl2br w:val="nil"/>
              <w:tr2bl w:val="nil"/>
            </w:tcBorders>
            <w:noWrap w:val="0"/>
            <w:vAlign w:val="center"/>
          </w:tcPr>
          <w:p w14:paraId="2962D10A">
            <w:pPr>
              <w:pStyle w:val="12"/>
              <w:bidi w:val="0"/>
              <w:rPr>
                <w:rFonts w:hint="default" w:eastAsia="宋体"/>
                <w:color w:val="auto"/>
                <w:lang w:val="en-US" w:eastAsia="zh-CN"/>
              </w:rPr>
            </w:pPr>
            <w:r>
              <w:rPr>
                <w:rFonts w:hint="eastAsia"/>
                <w:color w:val="auto"/>
                <w:lang w:val="en-US" w:eastAsia="zh-CN"/>
              </w:rPr>
              <w:t>0.297</w:t>
            </w:r>
          </w:p>
        </w:tc>
        <w:tc>
          <w:tcPr>
            <w:tcW w:w="255" w:type="pct"/>
            <w:tcBorders>
              <w:tl2br w:val="nil"/>
              <w:tr2bl w:val="nil"/>
            </w:tcBorders>
            <w:noWrap w:val="0"/>
            <w:vAlign w:val="center"/>
          </w:tcPr>
          <w:p w14:paraId="45BD802A">
            <w:pPr>
              <w:pStyle w:val="12"/>
              <w:bidi w:val="0"/>
              <w:rPr>
                <w:rFonts w:hint="default" w:eastAsia="宋体"/>
                <w:color w:val="auto"/>
                <w:lang w:val="en-US" w:eastAsia="zh-CN"/>
              </w:rPr>
            </w:pPr>
            <w:r>
              <w:rPr>
                <w:rFonts w:hint="eastAsia"/>
                <w:color w:val="auto"/>
                <w:lang w:val="en-US" w:eastAsia="zh-CN"/>
              </w:rPr>
              <w:t>2190</w:t>
            </w:r>
          </w:p>
        </w:tc>
        <w:tc>
          <w:tcPr>
            <w:tcW w:w="310" w:type="pct"/>
            <w:tcBorders>
              <w:tl2br w:val="nil"/>
              <w:tr2bl w:val="nil"/>
            </w:tcBorders>
            <w:noWrap w:val="0"/>
            <w:vAlign w:val="center"/>
          </w:tcPr>
          <w:p w14:paraId="017317B0">
            <w:pPr>
              <w:pStyle w:val="12"/>
              <w:bidi w:val="0"/>
              <w:rPr>
                <w:rFonts w:hint="default" w:eastAsia="宋体"/>
                <w:color w:val="auto"/>
                <w:lang w:val="en-US" w:eastAsia="zh-CN"/>
              </w:rPr>
            </w:pPr>
            <w:r>
              <w:rPr>
                <w:rFonts w:hint="eastAsia"/>
                <w:color w:val="auto"/>
                <w:lang w:val="en-US" w:eastAsia="zh-CN"/>
              </w:rPr>
              <w:t>0.00195</w:t>
            </w:r>
          </w:p>
        </w:tc>
      </w:tr>
    </w:tbl>
    <w:p w14:paraId="0673B98C">
      <w:pPr>
        <w:pStyle w:val="15"/>
        <w:keepNext w:val="0"/>
        <w:keepLines w:val="0"/>
        <w:pageBreakBefore w:val="0"/>
        <w:widowControl w:val="0"/>
        <w:numPr>
          <w:ilvl w:val="0"/>
          <w:numId w:val="9"/>
        </w:numPr>
        <w:tabs>
          <w:tab w:val="clear" w:pos="0"/>
        </w:tabs>
        <w:kinsoku/>
        <w:wordWrap/>
        <w:overflowPunct/>
        <w:topLinePunct w:val="0"/>
        <w:autoSpaceDE/>
        <w:autoSpaceDN/>
        <w:bidi w:val="0"/>
        <w:adjustRightInd/>
        <w:snapToGrid/>
        <w:spacing w:before="0" w:beforeLines="50"/>
        <w:ind w:left="0" w:leftChars="0" w:firstLine="0" w:firstLineChars="0"/>
        <w:textAlignment w:val="auto"/>
        <w:rPr>
          <w:color w:val="auto"/>
        </w:rPr>
      </w:pPr>
      <w:r>
        <w:rPr>
          <w:color w:val="auto"/>
        </w:rPr>
        <w:t>项目无组织废气污染物排放情况参数一览表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07"/>
        <w:gridCol w:w="1242"/>
        <w:gridCol w:w="1141"/>
        <w:gridCol w:w="1088"/>
        <w:gridCol w:w="965"/>
        <w:gridCol w:w="1080"/>
        <w:gridCol w:w="2010"/>
        <w:gridCol w:w="1548"/>
        <w:gridCol w:w="1046"/>
        <w:gridCol w:w="866"/>
        <w:gridCol w:w="749"/>
        <w:gridCol w:w="1172"/>
      </w:tblGrid>
      <w:tr w14:paraId="3FFF6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Merge w:val="restart"/>
            <w:tcBorders>
              <w:tl2br w:val="nil"/>
              <w:tr2bl w:val="nil"/>
            </w:tcBorders>
            <w:noWrap w:val="0"/>
            <w:vAlign w:val="center"/>
          </w:tcPr>
          <w:p w14:paraId="774C5B37">
            <w:pPr>
              <w:pStyle w:val="12"/>
              <w:bidi w:val="0"/>
              <w:rPr>
                <w:b/>
                <w:bCs/>
                <w:color w:val="auto"/>
              </w:rPr>
            </w:pPr>
            <w:r>
              <w:rPr>
                <w:b/>
                <w:bCs/>
                <w:color w:val="auto"/>
              </w:rPr>
              <w:t>污染源名称</w:t>
            </w:r>
          </w:p>
        </w:tc>
        <w:tc>
          <w:tcPr>
            <w:tcW w:w="850" w:type="pct"/>
            <w:gridSpan w:val="2"/>
            <w:tcBorders>
              <w:tl2br w:val="nil"/>
              <w:tr2bl w:val="nil"/>
            </w:tcBorders>
            <w:noWrap w:val="0"/>
            <w:vAlign w:val="center"/>
          </w:tcPr>
          <w:p w14:paraId="51D50926">
            <w:pPr>
              <w:pStyle w:val="12"/>
              <w:bidi w:val="0"/>
              <w:rPr>
                <w:b/>
                <w:bCs/>
                <w:color w:val="auto"/>
              </w:rPr>
            </w:pPr>
            <w:r>
              <w:rPr>
                <w:b/>
                <w:bCs/>
                <w:color w:val="auto"/>
              </w:rPr>
              <w:t>坐标</w:t>
            </w:r>
          </w:p>
        </w:tc>
        <w:tc>
          <w:tcPr>
            <w:tcW w:w="388" w:type="pct"/>
            <w:vMerge w:val="restart"/>
            <w:tcBorders>
              <w:tl2br w:val="nil"/>
              <w:tr2bl w:val="nil"/>
            </w:tcBorders>
            <w:noWrap w:val="0"/>
            <w:vAlign w:val="center"/>
          </w:tcPr>
          <w:p w14:paraId="10AA15DA">
            <w:pPr>
              <w:pStyle w:val="12"/>
              <w:bidi w:val="0"/>
              <w:rPr>
                <w:rFonts w:hint="eastAsia"/>
                <w:b/>
                <w:bCs/>
                <w:color w:val="auto"/>
                <w:lang w:eastAsia="zh-CN"/>
              </w:rPr>
            </w:pPr>
            <w:r>
              <w:rPr>
                <w:rFonts w:hint="eastAsia"/>
                <w:b/>
                <w:bCs/>
                <w:color w:val="auto"/>
                <w:lang w:eastAsia="zh-CN"/>
              </w:rPr>
              <w:t>海拔（</w:t>
            </w:r>
            <w:r>
              <w:rPr>
                <w:b/>
                <w:bCs/>
                <w:color w:val="auto"/>
              </w:rPr>
              <w:t>m</w:t>
            </w:r>
            <w:r>
              <w:rPr>
                <w:rFonts w:hint="eastAsia"/>
                <w:b/>
                <w:bCs/>
                <w:color w:val="auto"/>
                <w:lang w:eastAsia="zh-CN"/>
              </w:rPr>
              <w:t>）</w:t>
            </w:r>
          </w:p>
        </w:tc>
        <w:tc>
          <w:tcPr>
            <w:tcW w:w="1998" w:type="pct"/>
            <w:gridSpan w:val="4"/>
            <w:tcBorders>
              <w:tl2br w:val="nil"/>
              <w:tr2bl w:val="nil"/>
            </w:tcBorders>
            <w:noWrap w:val="0"/>
            <w:vAlign w:val="center"/>
          </w:tcPr>
          <w:p w14:paraId="33952FF5">
            <w:pPr>
              <w:pStyle w:val="12"/>
              <w:bidi w:val="0"/>
              <w:rPr>
                <w:b/>
                <w:bCs/>
                <w:color w:val="auto"/>
              </w:rPr>
            </w:pPr>
            <w:r>
              <w:rPr>
                <w:b/>
                <w:bCs/>
                <w:color w:val="auto"/>
              </w:rPr>
              <w:t>矩形面源</w:t>
            </w:r>
          </w:p>
        </w:tc>
        <w:tc>
          <w:tcPr>
            <w:tcW w:w="373" w:type="pct"/>
            <w:vMerge w:val="restart"/>
            <w:tcBorders>
              <w:tl2br w:val="nil"/>
              <w:tr2bl w:val="nil"/>
            </w:tcBorders>
            <w:noWrap w:val="0"/>
            <w:vAlign w:val="center"/>
          </w:tcPr>
          <w:p w14:paraId="1AA3CE60">
            <w:pPr>
              <w:pStyle w:val="12"/>
              <w:bidi w:val="0"/>
              <w:rPr>
                <w:b/>
                <w:bCs/>
                <w:color w:val="auto"/>
              </w:rPr>
            </w:pPr>
            <w:r>
              <w:rPr>
                <w:b/>
                <w:bCs/>
                <w:color w:val="auto"/>
              </w:rPr>
              <w:t>年排放小时数（h）</w:t>
            </w:r>
          </w:p>
        </w:tc>
        <w:tc>
          <w:tcPr>
            <w:tcW w:w="309" w:type="pct"/>
            <w:vMerge w:val="restart"/>
            <w:tcBorders>
              <w:tl2br w:val="nil"/>
              <w:tr2bl w:val="nil"/>
            </w:tcBorders>
            <w:noWrap w:val="0"/>
            <w:vAlign w:val="center"/>
          </w:tcPr>
          <w:p w14:paraId="47E8711A">
            <w:pPr>
              <w:pStyle w:val="12"/>
              <w:bidi w:val="0"/>
              <w:rPr>
                <w:b/>
                <w:bCs/>
                <w:color w:val="auto"/>
              </w:rPr>
            </w:pPr>
            <w:r>
              <w:rPr>
                <w:b/>
                <w:bCs/>
                <w:color w:val="auto"/>
              </w:rPr>
              <w:t>排放工况</w:t>
            </w:r>
          </w:p>
        </w:tc>
        <w:tc>
          <w:tcPr>
            <w:tcW w:w="267" w:type="pct"/>
            <w:vMerge w:val="restart"/>
            <w:tcBorders>
              <w:tl2br w:val="nil"/>
              <w:tr2bl w:val="nil"/>
            </w:tcBorders>
            <w:noWrap w:val="0"/>
            <w:vAlign w:val="center"/>
          </w:tcPr>
          <w:p w14:paraId="20A47CC9">
            <w:pPr>
              <w:pStyle w:val="12"/>
              <w:bidi w:val="0"/>
              <w:rPr>
                <w:b/>
                <w:bCs/>
                <w:color w:val="auto"/>
              </w:rPr>
            </w:pPr>
            <w:r>
              <w:rPr>
                <w:b/>
                <w:bCs/>
                <w:color w:val="auto"/>
              </w:rPr>
              <w:t>污染物</w:t>
            </w:r>
          </w:p>
        </w:tc>
        <w:tc>
          <w:tcPr>
            <w:tcW w:w="418" w:type="pct"/>
            <w:vMerge w:val="restart"/>
            <w:tcBorders>
              <w:tl2br w:val="nil"/>
              <w:tr2bl w:val="nil"/>
            </w:tcBorders>
            <w:noWrap w:val="0"/>
            <w:vAlign w:val="center"/>
          </w:tcPr>
          <w:p w14:paraId="003EE930">
            <w:pPr>
              <w:pStyle w:val="12"/>
              <w:bidi w:val="0"/>
              <w:rPr>
                <w:b/>
                <w:bCs/>
                <w:color w:val="auto"/>
              </w:rPr>
            </w:pPr>
            <w:r>
              <w:rPr>
                <w:b/>
                <w:bCs/>
                <w:color w:val="auto"/>
              </w:rPr>
              <w:t>排放速率（kg/h）</w:t>
            </w:r>
          </w:p>
        </w:tc>
      </w:tr>
      <w:tr w14:paraId="6416E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Merge w:val="continue"/>
            <w:tcBorders>
              <w:tl2br w:val="nil"/>
              <w:tr2bl w:val="nil"/>
            </w:tcBorders>
            <w:noWrap w:val="0"/>
            <w:vAlign w:val="center"/>
          </w:tcPr>
          <w:p w14:paraId="280E85D0">
            <w:pPr>
              <w:pStyle w:val="12"/>
              <w:bidi w:val="0"/>
              <w:rPr>
                <w:color w:val="auto"/>
              </w:rPr>
            </w:pPr>
          </w:p>
        </w:tc>
        <w:tc>
          <w:tcPr>
            <w:tcW w:w="443" w:type="pct"/>
            <w:tcBorders>
              <w:tl2br w:val="nil"/>
              <w:tr2bl w:val="nil"/>
            </w:tcBorders>
            <w:noWrap w:val="0"/>
            <w:vAlign w:val="center"/>
          </w:tcPr>
          <w:p w14:paraId="153D6C57">
            <w:pPr>
              <w:pStyle w:val="12"/>
              <w:bidi w:val="0"/>
              <w:rPr>
                <w:b/>
                <w:bCs/>
                <w:color w:val="auto"/>
              </w:rPr>
            </w:pPr>
            <w:r>
              <w:rPr>
                <w:b/>
                <w:bCs/>
                <w:color w:val="auto"/>
              </w:rPr>
              <w:t>X</w:t>
            </w:r>
          </w:p>
        </w:tc>
        <w:tc>
          <w:tcPr>
            <w:tcW w:w="407" w:type="pct"/>
            <w:tcBorders>
              <w:tl2br w:val="nil"/>
              <w:tr2bl w:val="nil"/>
            </w:tcBorders>
            <w:noWrap w:val="0"/>
            <w:vAlign w:val="center"/>
          </w:tcPr>
          <w:p w14:paraId="029CA1C0">
            <w:pPr>
              <w:pStyle w:val="12"/>
              <w:bidi w:val="0"/>
              <w:rPr>
                <w:b/>
                <w:bCs/>
                <w:color w:val="auto"/>
              </w:rPr>
            </w:pPr>
            <w:r>
              <w:rPr>
                <w:b/>
                <w:bCs/>
                <w:color w:val="auto"/>
              </w:rPr>
              <w:t>Y</w:t>
            </w:r>
          </w:p>
        </w:tc>
        <w:tc>
          <w:tcPr>
            <w:tcW w:w="388" w:type="pct"/>
            <w:vMerge w:val="continue"/>
            <w:tcBorders>
              <w:tl2br w:val="nil"/>
              <w:tr2bl w:val="nil"/>
            </w:tcBorders>
            <w:noWrap w:val="0"/>
            <w:vAlign w:val="center"/>
          </w:tcPr>
          <w:p w14:paraId="7BED0209">
            <w:pPr>
              <w:pStyle w:val="12"/>
              <w:bidi w:val="0"/>
              <w:rPr>
                <w:b/>
                <w:bCs/>
                <w:color w:val="auto"/>
              </w:rPr>
            </w:pPr>
          </w:p>
        </w:tc>
        <w:tc>
          <w:tcPr>
            <w:tcW w:w="344" w:type="pct"/>
            <w:tcBorders>
              <w:tl2br w:val="nil"/>
              <w:tr2bl w:val="nil"/>
            </w:tcBorders>
            <w:noWrap w:val="0"/>
            <w:vAlign w:val="center"/>
          </w:tcPr>
          <w:p w14:paraId="3B85575D">
            <w:pPr>
              <w:pStyle w:val="12"/>
              <w:bidi w:val="0"/>
              <w:rPr>
                <w:b/>
                <w:bCs/>
                <w:color w:val="auto"/>
              </w:rPr>
            </w:pPr>
            <w:r>
              <w:rPr>
                <w:b/>
                <w:bCs/>
                <w:color w:val="auto"/>
              </w:rPr>
              <w:t>长度（m）</w:t>
            </w:r>
          </w:p>
        </w:tc>
        <w:tc>
          <w:tcPr>
            <w:tcW w:w="385" w:type="pct"/>
            <w:tcBorders>
              <w:tl2br w:val="nil"/>
              <w:tr2bl w:val="nil"/>
            </w:tcBorders>
            <w:noWrap w:val="0"/>
            <w:vAlign w:val="center"/>
          </w:tcPr>
          <w:p w14:paraId="0B6858E1">
            <w:pPr>
              <w:pStyle w:val="12"/>
              <w:bidi w:val="0"/>
              <w:rPr>
                <w:b/>
                <w:bCs/>
                <w:color w:val="auto"/>
              </w:rPr>
            </w:pPr>
            <w:r>
              <w:rPr>
                <w:b/>
                <w:bCs/>
                <w:color w:val="auto"/>
              </w:rPr>
              <w:t>宽度（m）</w:t>
            </w:r>
          </w:p>
        </w:tc>
        <w:tc>
          <w:tcPr>
            <w:tcW w:w="717" w:type="pct"/>
            <w:tcBorders>
              <w:tl2br w:val="nil"/>
              <w:tr2bl w:val="nil"/>
            </w:tcBorders>
            <w:noWrap w:val="0"/>
            <w:vAlign w:val="center"/>
          </w:tcPr>
          <w:p w14:paraId="0F36C760">
            <w:pPr>
              <w:pStyle w:val="12"/>
              <w:bidi w:val="0"/>
              <w:rPr>
                <w:b/>
                <w:bCs/>
                <w:color w:val="auto"/>
              </w:rPr>
            </w:pPr>
            <w:r>
              <w:rPr>
                <w:b/>
                <w:bCs/>
                <w:color w:val="auto"/>
              </w:rPr>
              <w:t>与正北向夹角（</w:t>
            </w:r>
            <w:r>
              <w:rPr>
                <w:rFonts w:hint="eastAsia"/>
                <w:b/>
                <w:bCs/>
                <w:color w:val="auto"/>
                <w:lang w:val="en-US" w:eastAsia="zh-CN"/>
              </w:rPr>
              <w:t>°</w:t>
            </w:r>
            <w:r>
              <w:rPr>
                <w:b/>
                <w:bCs/>
                <w:color w:val="auto"/>
              </w:rPr>
              <w:t>）</w:t>
            </w:r>
          </w:p>
        </w:tc>
        <w:tc>
          <w:tcPr>
            <w:tcW w:w="551" w:type="pct"/>
            <w:tcBorders>
              <w:tl2br w:val="nil"/>
              <w:tr2bl w:val="nil"/>
            </w:tcBorders>
            <w:noWrap w:val="0"/>
            <w:vAlign w:val="center"/>
          </w:tcPr>
          <w:p w14:paraId="40DBD297">
            <w:pPr>
              <w:pStyle w:val="12"/>
              <w:bidi w:val="0"/>
              <w:rPr>
                <w:b/>
                <w:bCs/>
                <w:color w:val="auto"/>
              </w:rPr>
            </w:pPr>
            <w:r>
              <w:rPr>
                <w:b/>
                <w:bCs/>
                <w:color w:val="auto"/>
              </w:rPr>
              <w:t>有效高度（m）</w:t>
            </w:r>
          </w:p>
        </w:tc>
        <w:tc>
          <w:tcPr>
            <w:tcW w:w="373" w:type="pct"/>
            <w:vMerge w:val="continue"/>
            <w:tcBorders>
              <w:tl2br w:val="nil"/>
              <w:tr2bl w:val="nil"/>
            </w:tcBorders>
            <w:noWrap w:val="0"/>
            <w:vAlign w:val="center"/>
          </w:tcPr>
          <w:p w14:paraId="60584441">
            <w:pPr>
              <w:pStyle w:val="12"/>
              <w:bidi w:val="0"/>
              <w:rPr>
                <w:color w:val="auto"/>
              </w:rPr>
            </w:pPr>
          </w:p>
        </w:tc>
        <w:tc>
          <w:tcPr>
            <w:tcW w:w="309" w:type="pct"/>
            <w:vMerge w:val="continue"/>
            <w:tcBorders>
              <w:tl2br w:val="nil"/>
              <w:tr2bl w:val="nil"/>
            </w:tcBorders>
            <w:noWrap w:val="0"/>
            <w:vAlign w:val="center"/>
          </w:tcPr>
          <w:p w14:paraId="09A5CBB9">
            <w:pPr>
              <w:pStyle w:val="12"/>
              <w:bidi w:val="0"/>
              <w:rPr>
                <w:color w:val="auto"/>
              </w:rPr>
            </w:pPr>
          </w:p>
        </w:tc>
        <w:tc>
          <w:tcPr>
            <w:tcW w:w="267" w:type="pct"/>
            <w:vMerge w:val="continue"/>
            <w:tcBorders>
              <w:tl2br w:val="nil"/>
              <w:tr2bl w:val="nil"/>
            </w:tcBorders>
            <w:noWrap w:val="0"/>
            <w:vAlign w:val="center"/>
          </w:tcPr>
          <w:p w14:paraId="388BC221">
            <w:pPr>
              <w:pStyle w:val="12"/>
              <w:bidi w:val="0"/>
              <w:rPr>
                <w:color w:val="auto"/>
              </w:rPr>
            </w:pPr>
          </w:p>
        </w:tc>
        <w:tc>
          <w:tcPr>
            <w:tcW w:w="418" w:type="pct"/>
            <w:vMerge w:val="continue"/>
            <w:tcBorders>
              <w:tl2br w:val="nil"/>
              <w:tr2bl w:val="nil"/>
            </w:tcBorders>
            <w:noWrap w:val="0"/>
            <w:vAlign w:val="center"/>
          </w:tcPr>
          <w:p w14:paraId="1DA25682">
            <w:pPr>
              <w:pStyle w:val="12"/>
              <w:bidi w:val="0"/>
              <w:rPr>
                <w:color w:val="auto"/>
              </w:rPr>
            </w:pPr>
          </w:p>
        </w:tc>
      </w:tr>
      <w:tr w14:paraId="7F044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Merge w:val="restart"/>
            <w:tcBorders>
              <w:tl2br w:val="nil"/>
              <w:tr2bl w:val="nil"/>
            </w:tcBorders>
            <w:noWrap w:val="0"/>
            <w:vAlign w:val="center"/>
          </w:tcPr>
          <w:p w14:paraId="2E9096C8">
            <w:pPr>
              <w:pStyle w:val="12"/>
              <w:bidi w:val="0"/>
              <w:rPr>
                <w:rFonts w:hint="default"/>
                <w:color w:val="auto"/>
                <w:lang w:val="en-US" w:eastAsia="zh-CN"/>
              </w:rPr>
            </w:pPr>
            <w:r>
              <w:rPr>
                <w:rFonts w:hint="eastAsia"/>
                <w:color w:val="auto"/>
                <w:lang w:val="en-US" w:eastAsia="zh-CN"/>
              </w:rPr>
              <w:t>厂区无组织面源</w:t>
            </w:r>
          </w:p>
        </w:tc>
        <w:tc>
          <w:tcPr>
            <w:tcW w:w="443" w:type="pct"/>
            <w:vMerge w:val="restart"/>
            <w:tcBorders>
              <w:tl2br w:val="nil"/>
              <w:tr2bl w:val="nil"/>
            </w:tcBorders>
            <w:noWrap w:val="0"/>
            <w:vAlign w:val="center"/>
          </w:tcPr>
          <w:p w14:paraId="5CB31E3F">
            <w:pPr>
              <w:pStyle w:val="12"/>
              <w:bidi w:val="0"/>
              <w:rPr>
                <w:color w:val="auto"/>
              </w:rPr>
            </w:pPr>
            <w:r>
              <w:rPr>
                <w:rFonts w:hint="eastAsia"/>
                <w:color w:val="auto"/>
              </w:rPr>
              <w:t>106.890692</w:t>
            </w:r>
          </w:p>
        </w:tc>
        <w:tc>
          <w:tcPr>
            <w:tcW w:w="407" w:type="pct"/>
            <w:vMerge w:val="restart"/>
            <w:tcBorders>
              <w:tl2br w:val="nil"/>
              <w:tr2bl w:val="nil"/>
            </w:tcBorders>
            <w:noWrap w:val="0"/>
            <w:vAlign w:val="center"/>
          </w:tcPr>
          <w:p w14:paraId="795BCADB">
            <w:pPr>
              <w:pStyle w:val="12"/>
              <w:bidi w:val="0"/>
              <w:rPr>
                <w:rFonts w:hint="eastAsia"/>
                <w:color w:val="auto"/>
                <w:lang w:eastAsia="zh-CN"/>
              </w:rPr>
            </w:pPr>
            <w:r>
              <w:rPr>
                <w:rFonts w:hint="eastAsia"/>
                <w:color w:val="auto"/>
              </w:rPr>
              <w:t>31.75317</w:t>
            </w:r>
            <w:r>
              <w:rPr>
                <w:rFonts w:hint="eastAsia"/>
                <w:color w:val="auto"/>
                <w:lang w:val="en-US" w:eastAsia="zh-CN"/>
              </w:rPr>
              <w:t>2</w:t>
            </w:r>
          </w:p>
        </w:tc>
        <w:tc>
          <w:tcPr>
            <w:tcW w:w="388" w:type="pct"/>
            <w:vMerge w:val="restart"/>
            <w:tcBorders>
              <w:tl2br w:val="nil"/>
              <w:tr2bl w:val="nil"/>
            </w:tcBorders>
            <w:noWrap w:val="0"/>
            <w:vAlign w:val="center"/>
          </w:tcPr>
          <w:p w14:paraId="133189B4">
            <w:pPr>
              <w:pStyle w:val="12"/>
              <w:bidi w:val="0"/>
              <w:rPr>
                <w:rFonts w:hint="default"/>
                <w:color w:val="auto"/>
                <w:lang w:val="en-US" w:eastAsia="zh-CN"/>
              </w:rPr>
            </w:pPr>
            <w:r>
              <w:rPr>
                <w:rFonts w:hint="eastAsia"/>
                <w:color w:val="auto"/>
                <w:lang w:val="en-US" w:eastAsia="zh-CN"/>
              </w:rPr>
              <w:t>327</w:t>
            </w:r>
          </w:p>
        </w:tc>
        <w:tc>
          <w:tcPr>
            <w:tcW w:w="344" w:type="pct"/>
            <w:vMerge w:val="restart"/>
            <w:tcBorders>
              <w:tl2br w:val="nil"/>
              <w:tr2bl w:val="nil"/>
            </w:tcBorders>
            <w:noWrap w:val="0"/>
            <w:vAlign w:val="center"/>
          </w:tcPr>
          <w:p w14:paraId="64EDB49D">
            <w:pPr>
              <w:pStyle w:val="12"/>
              <w:bidi w:val="0"/>
              <w:rPr>
                <w:rFonts w:hint="default"/>
                <w:color w:val="auto"/>
                <w:lang w:val="en-US" w:eastAsia="zh-CN"/>
              </w:rPr>
            </w:pPr>
            <w:r>
              <w:rPr>
                <w:rFonts w:hint="eastAsia"/>
                <w:color w:val="auto"/>
                <w:lang w:val="en-US" w:eastAsia="zh-CN"/>
              </w:rPr>
              <w:t>110</w:t>
            </w:r>
          </w:p>
        </w:tc>
        <w:tc>
          <w:tcPr>
            <w:tcW w:w="385" w:type="pct"/>
            <w:vMerge w:val="restart"/>
            <w:tcBorders>
              <w:tl2br w:val="nil"/>
              <w:tr2bl w:val="nil"/>
            </w:tcBorders>
            <w:noWrap w:val="0"/>
            <w:vAlign w:val="center"/>
          </w:tcPr>
          <w:p w14:paraId="7D84B1AE">
            <w:pPr>
              <w:pStyle w:val="12"/>
              <w:bidi w:val="0"/>
              <w:rPr>
                <w:rFonts w:hint="default"/>
                <w:color w:val="auto"/>
                <w:lang w:val="en-US" w:eastAsia="zh-CN"/>
              </w:rPr>
            </w:pPr>
            <w:r>
              <w:rPr>
                <w:rFonts w:hint="eastAsia"/>
                <w:color w:val="auto"/>
                <w:lang w:val="en-US" w:eastAsia="zh-CN"/>
              </w:rPr>
              <w:t>92.6</w:t>
            </w:r>
          </w:p>
        </w:tc>
        <w:tc>
          <w:tcPr>
            <w:tcW w:w="717" w:type="pct"/>
            <w:vMerge w:val="restart"/>
            <w:tcBorders>
              <w:tl2br w:val="nil"/>
              <w:tr2bl w:val="nil"/>
            </w:tcBorders>
            <w:noWrap w:val="0"/>
            <w:vAlign w:val="center"/>
          </w:tcPr>
          <w:p w14:paraId="5605D688">
            <w:pPr>
              <w:pStyle w:val="12"/>
              <w:bidi w:val="0"/>
              <w:rPr>
                <w:rFonts w:hint="default"/>
                <w:color w:val="auto"/>
                <w:lang w:val="en-US" w:eastAsia="zh-CN"/>
              </w:rPr>
            </w:pPr>
            <w:r>
              <w:rPr>
                <w:rFonts w:hint="eastAsia"/>
                <w:color w:val="auto"/>
                <w:lang w:val="en-US" w:eastAsia="zh-CN"/>
              </w:rPr>
              <w:t>30</w:t>
            </w:r>
          </w:p>
        </w:tc>
        <w:tc>
          <w:tcPr>
            <w:tcW w:w="551" w:type="pct"/>
            <w:vMerge w:val="restart"/>
            <w:tcBorders>
              <w:tl2br w:val="nil"/>
              <w:tr2bl w:val="nil"/>
            </w:tcBorders>
            <w:noWrap w:val="0"/>
            <w:vAlign w:val="center"/>
          </w:tcPr>
          <w:p w14:paraId="784BE376">
            <w:pPr>
              <w:pStyle w:val="12"/>
              <w:bidi w:val="0"/>
              <w:rPr>
                <w:color w:val="auto"/>
              </w:rPr>
            </w:pPr>
            <w:r>
              <w:rPr>
                <w:color w:val="auto"/>
              </w:rPr>
              <w:t>10</w:t>
            </w:r>
          </w:p>
        </w:tc>
        <w:tc>
          <w:tcPr>
            <w:tcW w:w="373" w:type="pct"/>
            <w:vMerge w:val="restart"/>
            <w:tcBorders>
              <w:tl2br w:val="nil"/>
              <w:tr2bl w:val="nil"/>
            </w:tcBorders>
            <w:noWrap w:val="0"/>
            <w:vAlign w:val="center"/>
          </w:tcPr>
          <w:p w14:paraId="00FC17AF">
            <w:pPr>
              <w:pStyle w:val="12"/>
              <w:bidi w:val="0"/>
              <w:rPr>
                <w:color w:val="auto"/>
              </w:rPr>
            </w:pPr>
            <w:r>
              <w:rPr>
                <w:color w:val="auto"/>
              </w:rPr>
              <w:t>8760</w:t>
            </w:r>
          </w:p>
        </w:tc>
        <w:tc>
          <w:tcPr>
            <w:tcW w:w="309" w:type="pct"/>
            <w:vMerge w:val="restart"/>
            <w:tcBorders>
              <w:tl2br w:val="nil"/>
              <w:tr2bl w:val="nil"/>
            </w:tcBorders>
            <w:noWrap w:val="0"/>
            <w:vAlign w:val="center"/>
          </w:tcPr>
          <w:p w14:paraId="0E7076B1">
            <w:pPr>
              <w:pStyle w:val="12"/>
              <w:bidi w:val="0"/>
              <w:rPr>
                <w:color w:val="auto"/>
              </w:rPr>
            </w:pPr>
            <w:r>
              <w:rPr>
                <w:color w:val="auto"/>
              </w:rPr>
              <w:t>正常排放</w:t>
            </w:r>
          </w:p>
        </w:tc>
        <w:tc>
          <w:tcPr>
            <w:tcW w:w="267" w:type="pct"/>
            <w:tcBorders>
              <w:tl2br w:val="nil"/>
              <w:tr2bl w:val="nil"/>
            </w:tcBorders>
            <w:noWrap w:val="0"/>
            <w:vAlign w:val="center"/>
          </w:tcPr>
          <w:p w14:paraId="55CD7C6A">
            <w:pPr>
              <w:pStyle w:val="12"/>
              <w:bidi w:val="0"/>
              <w:rPr>
                <w:color w:val="auto"/>
              </w:rPr>
            </w:pPr>
            <w:r>
              <w:rPr>
                <w:color w:val="auto"/>
              </w:rPr>
              <w:t>NH</w:t>
            </w:r>
            <w:r>
              <w:rPr>
                <w:color w:val="auto"/>
                <w:vertAlign w:val="subscript"/>
              </w:rPr>
              <w:t>3</w:t>
            </w:r>
          </w:p>
        </w:tc>
        <w:tc>
          <w:tcPr>
            <w:tcW w:w="418" w:type="pct"/>
            <w:tcBorders>
              <w:tl2br w:val="nil"/>
              <w:tr2bl w:val="nil"/>
            </w:tcBorders>
            <w:noWrap w:val="0"/>
            <w:vAlign w:val="center"/>
          </w:tcPr>
          <w:p w14:paraId="4C437C54">
            <w:pPr>
              <w:pStyle w:val="12"/>
              <w:bidi w:val="0"/>
              <w:rPr>
                <w:color w:val="auto"/>
              </w:rPr>
            </w:pPr>
            <w:r>
              <w:rPr>
                <w:rFonts w:hint="eastAsia"/>
                <w:color w:val="auto"/>
                <w:lang w:val="en-US" w:eastAsia="zh-CN"/>
              </w:rPr>
              <w:t>0.045</w:t>
            </w:r>
          </w:p>
        </w:tc>
      </w:tr>
      <w:tr w14:paraId="792C1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Merge w:val="continue"/>
            <w:tcBorders>
              <w:tl2br w:val="nil"/>
              <w:tr2bl w:val="nil"/>
            </w:tcBorders>
            <w:noWrap w:val="0"/>
            <w:vAlign w:val="center"/>
          </w:tcPr>
          <w:p w14:paraId="32501C9C">
            <w:pPr>
              <w:pStyle w:val="12"/>
              <w:bidi w:val="0"/>
              <w:rPr>
                <w:color w:val="auto"/>
              </w:rPr>
            </w:pPr>
          </w:p>
        </w:tc>
        <w:tc>
          <w:tcPr>
            <w:tcW w:w="443" w:type="pct"/>
            <w:vMerge w:val="continue"/>
            <w:tcBorders>
              <w:tl2br w:val="nil"/>
              <w:tr2bl w:val="nil"/>
            </w:tcBorders>
            <w:noWrap w:val="0"/>
            <w:vAlign w:val="center"/>
          </w:tcPr>
          <w:p w14:paraId="75616F87">
            <w:pPr>
              <w:pStyle w:val="12"/>
              <w:bidi w:val="0"/>
              <w:rPr>
                <w:color w:val="auto"/>
              </w:rPr>
            </w:pPr>
          </w:p>
        </w:tc>
        <w:tc>
          <w:tcPr>
            <w:tcW w:w="407" w:type="pct"/>
            <w:vMerge w:val="continue"/>
            <w:tcBorders>
              <w:tl2br w:val="nil"/>
              <w:tr2bl w:val="nil"/>
            </w:tcBorders>
            <w:noWrap w:val="0"/>
            <w:vAlign w:val="center"/>
          </w:tcPr>
          <w:p w14:paraId="3CDD0604">
            <w:pPr>
              <w:pStyle w:val="12"/>
              <w:bidi w:val="0"/>
              <w:rPr>
                <w:color w:val="auto"/>
              </w:rPr>
            </w:pPr>
          </w:p>
        </w:tc>
        <w:tc>
          <w:tcPr>
            <w:tcW w:w="388" w:type="pct"/>
            <w:vMerge w:val="continue"/>
            <w:tcBorders>
              <w:tl2br w:val="nil"/>
              <w:tr2bl w:val="nil"/>
            </w:tcBorders>
            <w:noWrap w:val="0"/>
            <w:vAlign w:val="center"/>
          </w:tcPr>
          <w:p w14:paraId="54FE7A96">
            <w:pPr>
              <w:pStyle w:val="12"/>
              <w:bidi w:val="0"/>
              <w:rPr>
                <w:color w:val="auto"/>
              </w:rPr>
            </w:pPr>
          </w:p>
        </w:tc>
        <w:tc>
          <w:tcPr>
            <w:tcW w:w="344" w:type="pct"/>
            <w:vMerge w:val="continue"/>
            <w:tcBorders>
              <w:tl2br w:val="nil"/>
              <w:tr2bl w:val="nil"/>
            </w:tcBorders>
            <w:noWrap w:val="0"/>
            <w:vAlign w:val="center"/>
          </w:tcPr>
          <w:p w14:paraId="77817F7D">
            <w:pPr>
              <w:pStyle w:val="12"/>
              <w:bidi w:val="0"/>
              <w:rPr>
                <w:color w:val="auto"/>
              </w:rPr>
            </w:pPr>
          </w:p>
        </w:tc>
        <w:tc>
          <w:tcPr>
            <w:tcW w:w="385" w:type="pct"/>
            <w:vMerge w:val="continue"/>
            <w:tcBorders>
              <w:tl2br w:val="nil"/>
              <w:tr2bl w:val="nil"/>
            </w:tcBorders>
            <w:noWrap w:val="0"/>
            <w:vAlign w:val="center"/>
          </w:tcPr>
          <w:p w14:paraId="0871B4D3">
            <w:pPr>
              <w:pStyle w:val="12"/>
              <w:bidi w:val="0"/>
              <w:rPr>
                <w:color w:val="auto"/>
              </w:rPr>
            </w:pPr>
          </w:p>
        </w:tc>
        <w:tc>
          <w:tcPr>
            <w:tcW w:w="717" w:type="pct"/>
            <w:vMerge w:val="continue"/>
            <w:tcBorders>
              <w:tl2br w:val="nil"/>
              <w:tr2bl w:val="nil"/>
            </w:tcBorders>
            <w:noWrap w:val="0"/>
            <w:vAlign w:val="center"/>
          </w:tcPr>
          <w:p w14:paraId="6992BEC0">
            <w:pPr>
              <w:pStyle w:val="12"/>
              <w:bidi w:val="0"/>
              <w:rPr>
                <w:color w:val="auto"/>
              </w:rPr>
            </w:pPr>
          </w:p>
        </w:tc>
        <w:tc>
          <w:tcPr>
            <w:tcW w:w="551" w:type="pct"/>
            <w:vMerge w:val="continue"/>
            <w:tcBorders>
              <w:tl2br w:val="nil"/>
              <w:tr2bl w:val="nil"/>
            </w:tcBorders>
            <w:noWrap w:val="0"/>
            <w:vAlign w:val="center"/>
          </w:tcPr>
          <w:p w14:paraId="36E03022">
            <w:pPr>
              <w:pStyle w:val="12"/>
              <w:bidi w:val="0"/>
              <w:rPr>
                <w:color w:val="auto"/>
              </w:rPr>
            </w:pPr>
          </w:p>
        </w:tc>
        <w:tc>
          <w:tcPr>
            <w:tcW w:w="373" w:type="pct"/>
            <w:vMerge w:val="continue"/>
            <w:tcBorders>
              <w:tl2br w:val="nil"/>
              <w:tr2bl w:val="nil"/>
            </w:tcBorders>
            <w:noWrap w:val="0"/>
            <w:vAlign w:val="center"/>
          </w:tcPr>
          <w:p w14:paraId="57F7F76B">
            <w:pPr>
              <w:pStyle w:val="12"/>
              <w:bidi w:val="0"/>
              <w:rPr>
                <w:color w:val="auto"/>
              </w:rPr>
            </w:pPr>
          </w:p>
        </w:tc>
        <w:tc>
          <w:tcPr>
            <w:tcW w:w="309" w:type="pct"/>
            <w:vMerge w:val="continue"/>
            <w:tcBorders>
              <w:tl2br w:val="nil"/>
              <w:tr2bl w:val="nil"/>
            </w:tcBorders>
            <w:noWrap w:val="0"/>
            <w:vAlign w:val="center"/>
          </w:tcPr>
          <w:p w14:paraId="5E5EE6B3">
            <w:pPr>
              <w:pStyle w:val="12"/>
              <w:bidi w:val="0"/>
              <w:rPr>
                <w:color w:val="auto"/>
              </w:rPr>
            </w:pPr>
          </w:p>
        </w:tc>
        <w:tc>
          <w:tcPr>
            <w:tcW w:w="267" w:type="pct"/>
            <w:tcBorders>
              <w:tl2br w:val="nil"/>
              <w:tr2bl w:val="nil"/>
            </w:tcBorders>
            <w:noWrap w:val="0"/>
            <w:vAlign w:val="center"/>
          </w:tcPr>
          <w:p w14:paraId="4359590D">
            <w:pPr>
              <w:pStyle w:val="12"/>
              <w:bidi w:val="0"/>
              <w:rPr>
                <w:color w:val="auto"/>
              </w:rPr>
            </w:pPr>
            <w:r>
              <w:rPr>
                <w:color w:val="auto"/>
              </w:rPr>
              <w:t>H</w:t>
            </w:r>
            <w:r>
              <w:rPr>
                <w:color w:val="auto"/>
                <w:vertAlign w:val="subscript"/>
              </w:rPr>
              <w:t>2</w:t>
            </w:r>
            <w:r>
              <w:rPr>
                <w:color w:val="auto"/>
              </w:rPr>
              <w:t>S</w:t>
            </w:r>
          </w:p>
        </w:tc>
        <w:tc>
          <w:tcPr>
            <w:tcW w:w="418" w:type="pct"/>
            <w:tcBorders>
              <w:tl2br w:val="nil"/>
              <w:tr2bl w:val="nil"/>
            </w:tcBorders>
            <w:noWrap w:val="0"/>
            <w:vAlign w:val="center"/>
          </w:tcPr>
          <w:p w14:paraId="6E94228C">
            <w:pPr>
              <w:pStyle w:val="12"/>
              <w:bidi w:val="0"/>
              <w:rPr>
                <w:color w:val="auto"/>
              </w:rPr>
            </w:pPr>
            <w:r>
              <w:rPr>
                <w:color w:val="auto"/>
              </w:rPr>
              <w:t>0.000</w:t>
            </w:r>
            <w:r>
              <w:rPr>
                <w:rFonts w:hint="eastAsia"/>
                <w:color w:val="auto"/>
                <w:lang w:val="en-US" w:eastAsia="zh-CN"/>
              </w:rPr>
              <w:t>65</w:t>
            </w:r>
          </w:p>
        </w:tc>
      </w:tr>
    </w:tbl>
    <w:p w14:paraId="15ED4A74">
      <w:pPr>
        <w:pageBreakBefore w:val="0"/>
        <w:wordWrap/>
        <w:bidi w:val="0"/>
        <w:adjustRightInd/>
        <w:snapToGrid/>
        <w:spacing w:after="120" w:afterLines="50"/>
        <w:ind w:firstLine="482"/>
        <w:jc w:val="center"/>
        <w:rPr>
          <w:b/>
          <w:color w:val="auto"/>
          <w:szCs w:val="21"/>
        </w:rPr>
      </w:pPr>
    </w:p>
    <w:p w14:paraId="12FE4463">
      <w:pPr>
        <w:pStyle w:val="19"/>
        <w:pageBreakBefore w:val="0"/>
        <w:wordWrap/>
        <w:bidi w:val="0"/>
        <w:adjustRightInd/>
        <w:snapToGrid/>
        <w:rPr>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p>
    <w:p w14:paraId="5BCE153E">
      <w:pPr>
        <w:pageBreakBefore w:val="0"/>
        <w:wordWrap/>
        <w:bidi w:val="0"/>
        <w:adjustRightInd/>
        <w:snapToGrid/>
        <w:spacing w:before="120" w:beforeLines="50"/>
        <w:ind w:firstLine="480"/>
        <w:rPr>
          <w:color w:val="auto"/>
        </w:rPr>
      </w:pPr>
      <w:r>
        <w:rPr>
          <w:color w:val="auto"/>
        </w:rPr>
        <w:t>（2）环境参数</w:t>
      </w:r>
    </w:p>
    <w:p w14:paraId="3EA1689F">
      <w:pPr>
        <w:pageBreakBefore w:val="0"/>
        <w:wordWrap/>
        <w:bidi w:val="0"/>
        <w:adjustRightInd/>
        <w:snapToGrid/>
        <w:ind w:firstLine="480"/>
        <w:rPr>
          <w:color w:val="auto"/>
        </w:rPr>
      </w:pPr>
      <w:r>
        <w:rPr>
          <w:color w:val="auto"/>
        </w:rPr>
        <w:t>根据《</w:t>
      </w:r>
      <w:r>
        <w:rPr>
          <w:rFonts w:hint="eastAsia"/>
          <w:color w:val="auto"/>
          <w:lang w:eastAsia="zh-CN"/>
        </w:rPr>
        <w:t>环境影响评价技术导则 大气环境</w:t>
      </w:r>
      <w:r>
        <w:rPr>
          <w:color w:val="auto"/>
        </w:rPr>
        <w:t>》（HJ2.2</w:t>
      </w:r>
      <w:r>
        <w:rPr>
          <w:rFonts w:hint="eastAsia"/>
          <w:color w:val="auto"/>
          <w:lang w:val="en-US" w:eastAsia="zh-CN"/>
        </w:rPr>
        <w:t>-</w:t>
      </w:r>
      <w:r>
        <w:rPr>
          <w:color w:val="auto"/>
        </w:rPr>
        <w:t>2018），当项目周边3km半径范围内一半以上面积属于城市建成区或者规划区时，选择城市，城市人口数按项目所属城市实际人口或者规划的人口数输入。根据现场调查，项目周边3km半径范围内一半以上面积属于城市建成区，因此项目估算模型选择城市，人口数取</w:t>
      </w:r>
      <w:r>
        <w:rPr>
          <w:rFonts w:hint="eastAsia"/>
          <w:color w:val="auto"/>
          <w:lang w:val="en-US" w:eastAsia="zh-CN"/>
        </w:rPr>
        <w:t>73.2</w:t>
      </w:r>
      <w:r>
        <w:rPr>
          <w:color w:val="auto"/>
        </w:rPr>
        <w:t>万人。</w:t>
      </w:r>
    </w:p>
    <w:p w14:paraId="77EB8C64">
      <w:pPr>
        <w:pageBreakBefore w:val="0"/>
        <w:wordWrap/>
        <w:bidi w:val="0"/>
        <w:adjustRightInd/>
        <w:snapToGrid/>
        <w:ind w:firstLine="480"/>
        <w:rPr>
          <w:color w:val="auto"/>
        </w:rPr>
      </w:pPr>
      <w:r>
        <w:rPr>
          <w:color w:val="auto"/>
        </w:rPr>
        <w:t>环境参数见下表：</w:t>
      </w:r>
    </w:p>
    <w:p w14:paraId="706EE246">
      <w:pPr>
        <w:pStyle w:val="15"/>
        <w:numPr>
          <w:ilvl w:val="0"/>
          <w:numId w:val="9"/>
        </w:numPr>
        <w:tabs>
          <w:tab w:val="clear" w:pos="0"/>
        </w:tabs>
        <w:bidi w:val="0"/>
        <w:ind w:left="0" w:leftChars="0" w:firstLine="0" w:firstLineChars="0"/>
        <w:rPr>
          <w:color w:val="auto"/>
        </w:rPr>
      </w:pPr>
      <w:r>
        <w:rPr>
          <w:color w:val="auto"/>
        </w:rPr>
        <w:t>估算模型参数表</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0"/>
        <w:gridCol w:w="2983"/>
        <w:gridCol w:w="2981"/>
      </w:tblGrid>
      <w:tr w14:paraId="7AFBCC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6A47D50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参数</w:t>
            </w:r>
          </w:p>
        </w:tc>
        <w:tc>
          <w:tcPr>
            <w:tcW w:w="1666" w:type="pct"/>
            <w:tcBorders>
              <w:tl2br w:val="nil"/>
              <w:tr2bl w:val="nil"/>
            </w:tcBorders>
            <w:noWrap w:val="0"/>
            <w:vAlign w:val="center"/>
          </w:tcPr>
          <w:p w14:paraId="496B4A9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取值</w:t>
            </w:r>
          </w:p>
        </w:tc>
      </w:tr>
      <w:tr w14:paraId="5CCEB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7A2AB77B">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城市农村/选项</w:t>
            </w:r>
          </w:p>
        </w:tc>
        <w:tc>
          <w:tcPr>
            <w:tcW w:w="1666" w:type="pct"/>
            <w:tcBorders>
              <w:tl2br w:val="nil"/>
              <w:tr2bl w:val="nil"/>
            </w:tcBorders>
            <w:noWrap w:val="0"/>
            <w:vAlign w:val="center"/>
          </w:tcPr>
          <w:p w14:paraId="3183A2E3">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w:t>
            </w:r>
          </w:p>
        </w:tc>
        <w:tc>
          <w:tcPr>
            <w:tcW w:w="1666" w:type="pct"/>
            <w:tcBorders>
              <w:tl2br w:val="nil"/>
              <w:tr2bl w:val="nil"/>
            </w:tcBorders>
            <w:noWrap w:val="0"/>
            <w:vAlign w:val="center"/>
          </w:tcPr>
          <w:p w14:paraId="5E506EAF">
            <w:pPr>
              <w:pageBreakBefore w:val="0"/>
              <w:wordWrap/>
              <w:bidi w:val="0"/>
              <w:adjustRightInd/>
              <w:snapToGrid/>
              <w:spacing w:line="240" w:lineRule="auto"/>
              <w:ind w:firstLine="0" w:firstLineChars="0"/>
              <w:jc w:val="center"/>
              <w:rPr>
                <w:color w:val="auto"/>
                <w:sz w:val="21"/>
                <w:szCs w:val="21"/>
              </w:rPr>
            </w:pPr>
            <w:r>
              <w:rPr>
                <w:color w:val="auto"/>
                <w:sz w:val="21"/>
                <w:szCs w:val="21"/>
              </w:rPr>
              <w:t>城市</w:t>
            </w:r>
          </w:p>
        </w:tc>
      </w:tr>
      <w:tr w14:paraId="2B6540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2DEE8304">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765E4282">
            <w:pPr>
              <w:pageBreakBefore w:val="0"/>
              <w:wordWrap/>
              <w:bidi w:val="0"/>
              <w:adjustRightInd/>
              <w:snapToGrid/>
              <w:spacing w:line="240" w:lineRule="auto"/>
              <w:ind w:firstLine="0" w:firstLineChars="0"/>
              <w:jc w:val="center"/>
              <w:rPr>
                <w:color w:val="auto"/>
                <w:sz w:val="21"/>
                <w:szCs w:val="21"/>
              </w:rPr>
            </w:pPr>
            <w:r>
              <w:rPr>
                <w:color w:val="auto"/>
                <w:sz w:val="21"/>
                <w:szCs w:val="21"/>
              </w:rPr>
              <w:t>人口数（城市人口数）</w:t>
            </w:r>
          </w:p>
        </w:tc>
        <w:tc>
          <w:tcPr>
            <w:tcW w:w="1666" w:type="pct"/>
            <w:tcBorders>
              <w:tl2br w:val="nil"/>
              <w:tr2bl w:val="nil"/>
            </w:tcBorders>
            <w:noWrap w:val="0"/>
            <w:vAlign w:val="center"/>
          </w:tcPr>
          <w:p w14:paraId="30F7B5AF">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73.2</w:t>
            </w:r>
            <w:r>
              <w:rPr>
                <w:color w:val="auto"/>
                <w:sz w:val="21"/>
                <w:szCs w:val="21"/>
              </w:rPr>
              <w:t>万</w:t>
            </w:r>
          </w:p>
        </w:tc>
      </w:tr>
      <w:tr w14:paraId="77C4A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128F38C1">
            <w:pPr>
              <w:pageBreakBefore w:val="0"/>
              <w:wordWrap/>
              <w:bidi w:val="0"/>
              <w:adjustRightInd/>
              <w:snapToGrid/>
              <w:spacing w:line="240" w:lineRule="auto"/>
              <w:ind w:firstLine="0" w:firstLineChars="0"/>
              <w:jc w:val="center"/>
              <w:rPr>
                <w:color w:val="auto"/>
                <w:sz w:val="21"/>
                <w:szCs w:val="21"/>
              </w:rPr>
            </w:pPr>
            <w:r>
              <w:rPr>
                <w:color w:val="auto"/>
                <w:sz w:val="21"/>
                <w:szCs w:val="21"/>
              </w:rPr>
              <w:t>最高环境温度</w:t>
            </w:r>
          </w:p>
        </w:tc>
        <w:tc>
          <w:tcPr>
            <w:tcW w:w="1666" w:type="pct"/>
            <w:tcBorders>
              <w:tl2br w:val="nil"/>
              <w:tr2bl w:val="nil"/>
            </w:tcBorders>
            <w:noWrap w:val="0"/>
            <w:vAlign w:val="center"/>
          </w:tcPr>
          <w:p w14:paraId="74AFB36F">
            <w:pPr>
              <w:pageBreakBefore w:val="0"/>
              <w:wordWrap/>
              <w:bidi w:val="0"/>
              <w:adjustRightInd/>
              <w:snapToGrid/>
              <w:spacing w:line="240" w:lineRule="auto"/>
              <w:ind w:firstLine="0" w:firstLineChars="0"/>
              <w:jc w:val="center"/>
              <w:rPr>
                <w:color w:val="auto"/>
                <w:sz w:val="21"/>
                <w:szCs w:val="21"/>
              </w:rPr>
            </w:pPr>
            <w:r>
              <w:rPr>
                <w:color w:val="auto"/>
                <w:sz w:val="21"/>
                <w:szCs w:val="21"/>
              </w:rPr>
              <w:t>40.</w:t>
            </w:r>
            <w:r>
              <w:rPr>
                <w:rFonts w:hint="eastAsia"/>
                <w:color w:val="auto"/>
                <w:sz w:val="21"/>
                <w:szCs w:val="21"/>
                <w:lang w:val="en-US" w:eastAsia="zh-CN"/>
              </w:rPr>
              <w:t>3</w:t>
            </w:r>
            <w:r>
              <w:rPr>
                <w:color w:val="auto"/>
                <w:sz w:val="21"/>
                <w:szCs w:val="21"/>
              </w:rPr>
              <w:t>℃</w:t>
            </w:r>
          </w:p>
        </w:tc>
      </w:tr>
      <w:tr w14:paraId="079F1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0BDFB653">
            <w:pPr>
              <w:pageBreakBefore w:val="0"/>
              <w:wordWrap/>
              <w:bidi w:val="0"/>
              <w:adjustRightInd/>
              <w:snapToGrid/>
              <w:spacing w:line="240" w:lineRule="auto"/>
              <w:ind w:firstLine="0" w:firstLineChars="0"/>
              <w:jc w:val="center"/>
              <w:rPr>
                <w:color w:val="auto"/>
                <w:sz w:val="21"/>
                <w:szCs w:val="21"/>
              </w:rPr>
            </w:pPr>
            <w:r>
              <w:rPr>
                <w:color w:val="auto"/>
                <w:sz w:val="21"/>
                <w:szCs w:val="21"/>
              </w:rPr>
              <w:t>最低环境温度</w:t>
            </w:r>
          </w:p>
        </w:tc>
        <w:tc>
          <w:tcPr>
            <w:tcW w:w="1666" w:type="pct"/>
            <w:tcBorders>
              <w:tl2br w:val="nil"/>
              <w:tr2bl w:val="nil"/>
            </w:tcBorders>
            <w:noWrap w:val="0"/>
            <w:vAlign w:val="center"/>
          </w:tcPr>
          <w:p w14:paraId="0B25B8C5">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5.3</w:t>
            </w:r>
            <w:r>
              <w:rPr>
                <w:color w:val="auto"/>
                <w:sz w:val="21"/>
                <w:szCs w:val="21"/>
              </w:rPr>
              <w:t>℃</w:t>
            </w:r>
          </w:p>
        </w:tc>
      </w:tr>
      <w:tr w14:paraId="639DA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1C137708">
            <w:pPr>
              <w:pageBreakBefore w:val="0"/>
              <w:wordWrap/>
              <w:bidi w:val="0"/>
              <w:adjustRightInd/>
              <w:snapToGrid/>
              <w:spacing w:line="240" w:lineRule="auto"/>
              <w:ind w:firstLine="0" w:firstLineChars="0"/>
              <w:jc w:val="center"/>
              <w:rPr>
                <w:color w:val="auto"/>
                <w:sz w:val="21"/>
                <w:szCs w:val="21"/>
              </w:rPr>
            </w:pPr>
            <w:r>
              <w:rPr>
                <w:color w:val="auto"/>
                <w:sz w:val="21"/>
                <w:szCs w:val="21"/>
              </w:rPr>
              <w:t>土地利用类型</w:t>
            </w:r>
          </w:p>
        </w:tc>
        <w:tc>
          <w:tcPr>
            <w:tcW w:w="1666" w:type="pct"/>
            <w:tcBorders>
              <w:tl2br w:val="nil"/>
              <w:tr2bl w:val="nil"/>
            </w:tcBorders>
            <w:noWrap w:val="0"/>
            <w:vAlign w:val="center"/>
          </w:tcPr>
          <w:p w14:paraId="33A9F06F">
            <w:pPr>
              <w:pageBreakBefore w:val="0"/>
              <w:wordWrap/>
              <w:bidi w:val="0"/>
              <w:adjustRightInd/>
              <w:snapToGrid/>
              <w:spacing w:line="240" w:lineRule="auto"/>
              <w:ind w:firstLine="0" w:firstLineChars="0"/>
              <w:jc w:val="center"/>
              <w:rPr>
                <w:color w:val="auto"/>
                <w:sz w:val="21"/>
                <w:szCs w:val="21"/>
              </w:rPr>
            </w:pPr>
            <w:r>
              <w:rPr>
                <w:color w:val="auto"/>
                <w:sz w:val="21"/>
                <w:szCs w:val="21"/>
              </w:rPr>
              <w:t>公共设施用地</w:t>
            </w:r>
          </w:p>
        </w:tc>
      </w:tr>
      <w:tr w14:paraId="17172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60E5EAE0">
            <w:pPr>
              <w:pageBreakBefore w:val="0"/>
              <w:wordWrap/>
              <w:bidi w:val="0"/>
              <w:adjustRightInd/>
              <w:snapToGrid/>
              <w:spacing w:line="240" w:lineRule="auto"/>
              <w:ind w:firstLine="0" w:firstLineChars="0"/>
              <w:jc w:val="center"/>
              <w:rPr>
                <w:color w:val="auto"/>
                <w:sz w:val="21"/>
                <w:szCs w:val="21"/>
              </w:rPr>
            </w:pPr>
            <w:r>
              <w:rPr>
                <w:color w:val="auto"/>
                <w:sz w:val="21"/>
                <w:szCs w:val="21"/>
              </w:rPr>
              <w:t>区域湿度条件</w:t>
            </w:r>
          </w:p>
        </w:tc>
        <w:tc>
          <w:tcPr>
            <w:tcW w:w="1666" w:type="pct"/>
            <w:tcBorders>
              <w:tl2br w:val="nil"/>
              <w:tr2bl w:val="nil"/>
            </w:tcBorders>
            <w:noWrap w:val="0"/>
            <w:vAlign w:val="center"/>
          </w:tcPr>
          <w:p w14:paraId="48E9A2FC">
            <w:pPr>
              <w:pageBreakBefore w:val="0"/>
              <w:wordWrap/>
              <w:bidi w:val="0"/>
              <w:adjustRightInd/>
              <w:snapToGrid/>
              <w:spacing w:line="240" w:lineRule="auto"/>
              <w:ind w:firstLine="0" w:firstLineChars="0"/>
              <w:jc w:val="center"/>
              <w:rPr>
                <w:color w:val="auto"/>
                <w:sz w:val="21"/>
                <w:szCs w:val="21"/>
              </w:rPr>
            </w:pPr>
            <w:r>
              <w:rPr>
                <w:color w:val="auto"/>
                <w:sz w:val="21"/>
                <w:szCs w:val="21"/>
              </w:rPr>
              <w:t>潮湿</w:t>
            </w:r>
          </w:p>
        </w:tc>
      </w:tr>
      <w:tr w14:paraId="312D2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3166120E">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是否考虑地形</w:t>
            </w:r>
          </w:p>
        </w:tc>
        <w:tc>
          <w:tcPr>
            <w:tcW w:w="1666" w:type="pct"/>
            <w:tcBorders>
              <w:tl2br w:val="nil"/>
              <w:tr2bl w:val="nil"/>
            </w:tcBorders>
            <w:noWrap w:val="0"/>
            <w:vAlign w:val="center"/>
          </w:tcPr>
          <w:p w14:paraId="336B612E">
            <w:pPr>
              <w:pageBreakBefore w:val="0"/>
              <w:wordWrap/>
              <w:bidi w:val="0"/>
              <w:adjustRightInd/>
              <w:snapToGrid/>
              <w:spacing w:line="240" w:lineRule="auto"/>
              <w:ind w:firstLine="0" w:firstLineChars="0"/>
              <w:jc w:val="center"/>
              <w:rPr>
                <w:color w:val="auto"/>
                <w:sz w:val="21"/>
                <w:szCs w:val="21"/>
              </w:rPr>
            </w:pPr>
            <w:r>
              <w:rPr>
                <w:color w:val="auto"/>
                <w:sz w:val="21"/>
                <w:szCs w:val="21"/>
              </w:rPr>
              <w:t>考虑地形</w:t>
            </w:r>
          </w:p>
        </w:tc>
        <w:tc>
          <w:tcPr>
            <w:tcW w:w="1666" w:type="pct"/>
            <w:tcBorders>
              <w:tl2br w:val="nil"/>
              <w:tr2bl w:val="nil"/>
            </w:tcBorders>
            <w:noWrap w:val="0"/>
            <w:vAlign w:val="center"/>
          </w:tcPr>
          <w:p w14:paraId="4FD1DA74">
            <w:pPr>
              <w:pageBreakBefore w:val="0"/>
              <w:wordWrap/>
              <w:bidi w:val="0"/>
              <w:adjustRightInd/>
              <w:snapToGrid/>
              <w:spacing w:line="240" w:lineRule="auto"/>
              <w:ind w:firstLine="0" w:firstLineChars="0"/>
              <w:jc w:val="center"/>
              <w:rPr>
                <w:color w:val="auto"/>
                <w:sz w:val="21"/>
                <w:szCs w:val="21"/>
              </w:rPr>
            </w:pPr>
            <w:r>
              <w:rPr>
                <w:color w:val="auto"/>
                <w:sz w:val="21"/>
                <w:szCs w:val="21"/>
              </w:rPr>
              <w:t>是</w:t>
            </w:r>
          </w:p>
        </w:tc>
      </w:tr>
      <w:tr w14:paraId="026A7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644BFA4E">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06CE8558">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地形数据分辨率</w:t>
            </w:r>
            <w:r>
              <w:rPr>
                <w:rFonts w:hint="eastAsia"/>
                <w:color w:val="auto"/>
                <w:sz w:val="21"/>
                <w:szCs w:val="21"/>
                <w:lang w:eastAsia="zh-CN"/>
              </w:rPr>
              <w:t>（</w:t>
            </w:r>
            <w:r>
              <w:rPr>
                <w:color w:val="auto"/>
                <w:sz w:val="21"/>
                <w:szCs w:val="21"/>
              </w:rPr>
              <w:t>m</w:t>
            </w:r>
            <w:r>
              <w:rPr>
                <w:rFonts w:hint="eastAsia"/>
                <w:color w:val="auto"/>
                <w:sz w:val="21"/>
                <w:szCs w:val="21"/>
                <w:lang w:eastAsia="zh-CN"/>
              </w:rPr>
              <w:t>）</w:t>
            </w:r>
          </w:p>
        </w:tc>
        <w:tc>
          <w:tcPr>
            <w:tcW w:w="1666" w:type="pct"/>
            <w:tcBorders>
              <w:tl2br w:val="nil"/>
              <w:tr2bl w:val="nil"/>
            </w:tcBorders>
            <w:noWrap w:val="0"/>
            <w:vAlign w:val="center"/>
          </w:tcPr>
          <w:p w14:paraId="14017DC1">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7EBA6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1756C22B">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是否考虑海岸线熏烟</w:t>
            </w:r>
          </w:p>
        </w:tc>
        <w:tc>
          <w:tcPr>
            <w:tcW w:w="1666" w:type="pct"/>
            <w:tcBorders>
              <w:tl2br w:val="nil"/>
              <w:tr2bl w:val="nil"/>
            </w:tcBorders>
            <w:noWrap w:val="0"/>
            <w:vAlign w:val="center"/>
          </w:tcPr>
          <w:p w14:paraId="5BEECE78">
            <w:pPr>
              <w:pageBreakBefore w:val="0"/>
              <w:wordWrap/>
              <w:bidi w:val="0"/>
              <w:adjustRightInd/>
              <w:snapToGrid/>
              <w:spacing w:line="240" w:lineRule="auto"/>
              <w:ind w:firstLine="0" w:firstLineChars="0"/>
              <w:jc w:val="center"/>
              <w:rPr>
                <w:color w:val="auto"/>
                <w:sz w:val="21"/>
                <w:szCs w:val="21"/>
              </w:rPr>
            </w:pPr>
            <w:r>
              <w:rPr>
                <w:color w:val="auto"/>
                <w:sz w:val="21"/>
                <w:szCs w:val="21"/>
              </w:rPr>
              <w:t>考虑海岸线熏烟</w:t>
            </w:r>
          </w:p>
        </w:tc>
        <w:tc>
          <w:tcPr>
            <w:tcW w:w="1666" w:type="pct"/>
            <w:tcBorders>
              <w:tl2br w:val="nil"/>
              <w:tr2bl w:val="nil"/>
            </w:tcBorders>
            <w:noWrap w:val="0"/>
            <w:vAlign w:val="center"/>
          </w:tcPr>
          <w:p w14:paraId="18B63479">
            <w:pPr>
              <w:pageBreakBefore w:val="0"/>
              <w:wordWrap/>
              <w:bidi w:val="0"/>
              <w:adjustRightInd/>
              <w:snapToGrid/>
              <w:spacing w:line="240" w:lineRule="auto"/>
              <w:ind w:firstLine="0" w:firstLineChars="0"/>
              <w:jc w:val="center"/>
              <w:rPr>
                <w:color w:val="auto"/>
                <w:sz w:val="21"/>
                <w:szCs w:val="21"/>
              </w:rPr>
            </w:pPr>
            <w:r>
              <w:rPr>
                <w:color w:val="auto"/>
                <w:sz w:val="21"/>
                <w:szCs w:val="21"/>
              </w:rPr>
              <w:t>否</w:t>
            </w:r>
          </w:p>
        </w:tc>
      </w:tr>
      <w:tr w14:paraId="2F7E7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584CD2EF">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5BAADABF">
            <w:pPr>
              <w:pageBreakBefore w:val="0"/>
              <w:wordWrap/>
              <w:bidi w:val="0"/>
              <w:adjustRightInd/>
              <w:snapToGrid/>
              <w:spacing w:line="240" w:lineRule="auto"/>
              <w:ind w:firstLine="0" w:firstLineChars="0"/>
              <w:jc w:val="center"/>
              <w:rPr>
                <w:color w:val="auto"/>
                <w:sz w:val="21"/>
                <w:szCs w:val="21"/>
              </w:rPr>
            </w:pPr>
            <w:r>
              <w:rPr>
                <w:color w:val="auto"/>
                <w:sz w:val="21"/>
                <w:szCs w:val="21"/>
              </w:rPr>
              <w:t>海岸线距离/km</w:t>
            </w:r>
          </w:p>
        </w:tc>
        <w:tc>
          <w:tcPr>
            <w:tcW w:w="1666" w:type="pct"/>
            <w:tcBorders>
              <w:tl2br w:val="nil"/>
              <w:tr2bl w:val="nil"/>
            </w:tcBorders>
            <w:noWrap w:val="0"/>
            <w:vAlign w:val="center"/>
          </w:tcPr>
          <w:p w14:paraId="502E656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17053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2BFCCB85">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1F7D66DC">
            <w:pPr>
              <w:pageBreakBefore w:val="0"/>
              <w:wordWrap/>
              <w:bidi w:val="0"/>
              <w:adjustRightInd/>
              <w:snapToGrid/>
              <w:spacing w:line="240" w:lineRule="auto"/>
              <w:ind w:firstLine="0" w:firstLineChars="0"/>
              <w:jc w:val="center"/>
              <w:rPr>
                <w:color w:val="auto"/>
                <w:sz w:val="21"/>
                <w:szCs w:val="21"/>
              </w:rPr>
            </w:pPr>
            <w:r>
              <w:rPr>
                <w:color w:val="auto"/>
                <w:sz w:val="21"/>
                <w:szCs w:val="21"/>
              </w:rPr>
              <w:t>海岸线方向/</w:t>
            </w:r>
            <w:r>
              <w:rPr>
                <w:color w:val="auto"/>
                <w:sz w:val="21"/>
                <w:szCs w:val="21"/>
                <w:vertAlign w:val="superscript"/>
              </w:rPr>
              <w:t>o</w:t>
            </w:r>
          </w:p>
        </w:tc>
        <w:tc>
          <w:tcPr>
            <w:tcW w:w="1666" w:type="pct"/>
            <w:tcBorders>
              <w:tl2br w:val="nil"/>
              <w:tr2bl w:val="nil"/>
            </w:tcBorders>
            <w:noWrap w:val="0"/>
            <w:vAlign w:val="center"/>
          </w:tcPr>
          <w:p w14:paraId="4B3A26F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60438497">
      <w:pPr>
        <w:pageBreakBefore w:val="0"/>
        <w:wordWrap/>
        <w:bidi w:val="0"/>
        <w:adjustRightInd/>
        <w:snapToGrid/>
        <w:spacing w:before="120" w:beforeLines="50"/>
        <w:ind w:firstLine="480"/>
        <w:rPr>
          <w:color w:val="auto"/>
        </w:rPr>
      </w:pPr>
      <w:r>
        <w:rPr>
          <w:color w:val="auto"/>
        </w:rPr>
        <w:t>（3）估算模型计算结果</w:t>
      </w:r>
    </w:p>
    <w:p w14:paraId="3CFC5170">
      <w:pPr>
        <w:pageBreakBefore w:val="0"/>
        <w:wordWrap/>
        <w:bidi w:val="0"/>
        <w:adjustRightInd/>
        <w:snapToGrid/>
        <w:ind w:firstLine="480"/>
        <w:rPr>
          <w:color w:val="auto"/>
        </w:rPr>
      </w:pPr>
      <w:r>
        <w:rPr>
          <w:color w:val="auto"/>
        </w:rPr>
        <w:t>根据</w:t>
      </w:r>
      <w:r>
        <w:rPr>
          <w:rFonts w:hint="eastAsia"/>
          <w:color w:val="auto"/>
          <w:lang w:eastAsia="zh-CN"/>
        </w:rPr>
        <w:t>《环境影响评价技术导则 大气环境》（HJ2.2-2018）</w:t>
      </w:r>
      <w:r>
        <w:rPr>
          <w:color w:val="auto"/>
        </w:rPr>
        <w:t>，分别计算每一种污染物的最大地面浓度占标率Pi（第i个污染物），及第i个污染物的地面浓度达标准限值10%时所对应的最远距离D</w:t>
      </w:r>
      <w:r>
        <w:rPr>
          <w:color w:val="auto"/>
          <w:vertAlign w:val="subscript"/>
        </w:rPr>
        <w:t>10%</w:t>
      </w:r>
      <w:r>
        <w:rPr>
          <w:color w:val="auto"/>
        </w:rPr>
        <w:t>，其中Pi定义为：</w:t>
      </w:r>
    </w:p>
    <w:p w14:paraId="0E9D9189">
      <w:pPr>
        <w:pageBreakBefore w:val="0"/>
        <w:wordWrap/>
        <w:bidi w:val="0"/>
        <w:adjustRightInd/>
        <w:snapToGrid/>
        <w:ind w:firstLine="480"/>
        <w:jc w:val="center"/>
        <w:rPr>
          <w:color w:val="auto"/>
        </w:rPr>
      </w:pPr>
      <w:r>
        <w:rPr>
          <w:color w:val="auto"/>
        </w:rPr>
        <w:drawing>
          <wp:inline distT="0" distB="0" distL="114300" distR="114300">
            <wp:extent cx="1227455" cy="477520"/>
            <wp:effectExtent l="0" t="0" r="0" b="0"/>
            <wp:docPr id="8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2"/>
                    <pic:cNvPicPr>
                      <a:picLocks noChangeAspect="1"/>
                    </pic:cNvPicPr>
                  </pic:nvPicPr>
                  <pic:blipFill>
                    <a:blip r:embed="rId33"/>
                    <a:stretch>
                      <a:fillRect/>
                    </a:stretch>
                  </pic:blipFill>
                  <pic:spPr>
                    <a:xfrm>
                      <a:off x="0" y="0"/>
                      <a:ext cx="1227455" cy="477520"/>
                    </a:xfrm>
                    <a:prstGeom prst="rect">
                      <a:avLst/>
                    </a:prstGeom>
                    <a:noFill/>
                    <a:ln>
                      <a:noFill/>
                    </a:ln>
                  </pic:spPr>
                </pic:pic>
              </a:graphicData>
            </a:graphic>
          </wp:inline>
        </w:drawing>
      </w:r>
    </w:p>
    <w:p w14:paraId="1ED22EB8">
      <w:pPr>
        <w:pageBreakBefore w:val="0"/>
        <w:wordWrap/>
        <w:bidi w:val="0"/>
        <w:adjustRightInd/>
        <w:snapToGrid/>
        <w:ind w:firstLine="1200" w:firstLineChars="500"/>
        <w:textAlignment w:val="baseline"/>
        <w:rPr>
          <w:color w:val="auto"/>
        </w:rPr>
      </w:pPr>
      <w:r>
        <w:rPr>
          <w:color w:val="auto"/>
        </w:rPr>
        <w:t>P</w:t>
      </w:r>
      <w:r>
        <w:rPr>
          <w:color w:val="auto"/>
          <w:vertAlign w:val="subscript"/>
        </w:rPr>
        <w:t>i</w:t>
      </w:r>
      <w:r>
        <w:rPr>
          <w:color w:val="auto"/>
        </w:rPr>
        <w:t>—第i个污染物的最大地面落地浓度占标率，%；</w:t>
      </w:r>
    </w:p>
    <w:p w14:paraId="3096FEBA">
      <w:pPr>
        <w:pageBreakBefore w:val="0"/>
        <w:wordWrap/>
        <w:bidi w:val="0"/>
        <w:adjustRightInd/>
        <w:snapToGrid/>
        <w:ind w:firstLine="1200" w:firstLineChars="500"/>
        <w:textAlignment w:val="baseline"/>
        <w:rPr>
          <w:color w:val="auto"/>
        </w:rPr>
      </w:pPr>
      <w:r>
        <w:rPr>
          <w:color w:val="auto"/>
        </w:rPr>
        <w:t>C</w:t>
      </w:r>
      <w:r>
        <w:rPr>
          <w:color w:val="auto"/>
          <w:vertAlign w:val="subscript"/>
        </w:rPr>
        <w:t>i</w:t>
      </w:r>
      <w:r>
        <w:rPr>
          <w:color w:val="auto"/>
        </w:rPr>
        <w:t>—采用估算模式计算出的第i个污染物的最大地面浓度，mg/</w:t>
      </w:r>
      <w:r>
        <w:rPr>
          <w:rFonts w:hint="eastAsia"/>
          <w:color w:val="auto"/>
          <w:lang w:eastAsia="zh-CN"/>
        </w:rPr>
        <w:t>m³</w:t>
      </w:r>
      <w:r>
        <w:rPr>
          <w:color w:val="auto"/>
        </w:rPr>
        <w:t>；</w:t>
      </w:r>
    </w:p>
    <w:p w14:paraId="3DE384F9">
      <w:pPr>
        <w:pageBreakBefore w:val="0"/>
        <w:wordWrap/>
        <w:bidi w:val="0"/>
        <w:adjustRightInd/>
        <w:snapToGrid/>
        <w:ind w:firstLine="1200" w:firstLineChars="500"/>
        <w:textAlignment w:val="baseline"/>
        <w:rPr>
          <w:color w:val="auto"/>
        </w:rPr>
      </w:pPr>
      <w:r>
        <w:rPr>
          <w:color w:val="auto"/>
        </w:rPr>
        <w:t>C</w:t>
      </w:r>
      <w:r>
        <w:rPr>
          <w:color w:val="auto"/>
          <w:vertAlign w:val="subscript"/>
        </w:rPr>
        <w:t>0i</w:t>
      </w:r>
      <w:r>
        <w:rPr>
          <w:color w:val="auto"/>
        </w:rPr>
        <w:t>—第i个污染物的环境空气质量标准（一般选用GB3095中1小时平均取样时间的二级标准的浓度限值），mg/</w:t>
      </w:r>
      <w:r>
        <w:rPr>
          <w:rFonts w:hint="eastAsia"/>
          <w:color w:val="auto"/>
          <w:lang w:eastAsia="zh-CN"/>
        </w:rPr>
        <w:t>m³</w:t>
      </w:r>
      <w:r>
        <w:rPr>
          <w:color w:val="auto"/>
        </w:rPr>
        <w:t>；</w:t>
      </w:r>
    </w:p>
    <w:p w14:paraId="01C040A9">
      <w:pPr>
        <w:pageBreakBefore w:val="0"/>
        <w:wordWrap/>
        <w:bidi w:val="0"/>
        <w:adjustRightInd/>
        <w:snapToGrid/>
        <w:ind w:firstLine="480"/>
        <w:rPr>
          <w:color w:val="auto"/>
        </w:rPr>
      </w:pPr>
      <w:r>
        <w:rPr>
          <w:color w:val="auto"/>
        </w:rPr>
        <w:t>本环评选择</w:t>
      </w:r>
      <w:r>
        <w:rPr>
          <w:rFonts w:hint="eastAsia"/>
          <w:color w:val="auto"/>
          <w:lang w:eastAsia="zh-CN"/>
        </w:rPr>
        <w:t>《环境影响评价技术导则 大气环境》（HJ2.2-2018）</w:t>
      </w:r>
      <w:r>
        <w:rPr>
          <w:color w:val="auto"/>
        </w:rPr>
        <w:t>中推荐模式中的AERSCREEN模型对大气环境评价工作进行判定。计算各污染物的最大影响程度和最远影响范围，然后按评价工作分级判据进行分级。预测结果见第4章。</w:t>
      </w:r>
    </w:p>
    <w:p w14:paraId="15E464CC">
      <w:pPr>
        <w:pageBreakBefore w:val="0"/>
        <w:wordWrap/>
        <w:bidi w:val="0"/>
        <w:adjustRightInd/>
        <w:snapToGrid/>
        <w:ind w:firstLine="480"/>
        <w:rPr>
          <w:color w:val="auto"/>
        </w:rPr>
      </w:pPr>
      <w:r>
        <w:rPr>
          <w:color w:val="auto"/>
        </w:rPr>
        <w:t>（4）评价等级确定</w:t>
      </w:r>
    </w:p>
    <w:p w14:paraId="165382D1">
      <w:pPr>
        <w:pStyle w:val="15"/>
        <w:numPr>
          <w:ilvl w:val="0"/>
          <w:numId w:val="9"/>
        </w:numPr>
        <w:tabs>
          <w:tab w:val="clear" w:pos="0"/>
        </w:tabs>
        <w:bidi w:val="0"/>
        <w:ind w:left="0" w:leftChars="0" w:firstLine="0" w:firstLineChars="0"/>
        <w:rPr>
          <w:color w:val="auto"/>
        </w:rPr>
      </w:pPr>
      <w:r>
        <w:rPr>
          <w:color w:val="auto"/>
        </w:rPr>
        <w:t>大气评价工作等级判据</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0"/>
        <w:gridCol w:w="6286"/>
      </w:tblGrid>
      <w:tr w14:paraId="599AC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660" w:type="dxa"/>
            <w:tcBorders>
              <w:tl2br w:val="nil"/>
              <w:tr2bl w:val="nil"/>
            </w:tcBorders>
            <w:noWrap w:val="0"/>
            <w:vAlign w:val="center"/>
          </w:tcPr>
          <w:p w14:paraId="7A92D99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评价工作等级</w:t>
            </w:r>
          </w:p>
        </w:tc>
        <w:tc>
          <w:tcPr>
            <w:tcW w:w="6286" w:type="dxa"/>
            <w:tcBorders>
              <w:tl2br w:val="nil"/>
              <w:tr2bl w:val="nil"/>
            </w:tcBorders>
            <w:noWrap w:val="0"/>
            <w:vAlign w:val="center"/>
          </w:tcPr>
          <w:p w14:paraId="0E581A0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评价工作分级判据</w:t>
            </w:r>
          </w:p>
        </w:tc>
      </w:tr>
      <w:tr w14:paraId="1216C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0F7626D4">
            <w:pPr>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6286" w:type="dxa"/>
            <w:tcBorders>
              <w:tl2br w:val="nil"/>
              <w:tr2bl w:val="nil"/>
            </w:tcBorders>
            <w:noWrap w:val="0"/>
            <w:vAlign w:val="center"/>
          </w:tcPr>
          <w:p w14:paraId="1E79376D">
            <w:pPr>
              <w:pageBreakBefore w:val="0"/>
              <w:wordWrap/>
              <w:bidi w:val="0"/>
              <w:adjustRightInd/>
              <w:snapToGrid/>
              <w:spacing w:line="240" w:lineRule="auto"/>
              <w:ind w:firstLine="0" w:firstLineChars="0"/>
              <w:jc w:val="center"/>
              <w:rPr>
                <w:color w:val="auto"/>
                <w:sz w:val="21"/>
                <w:szCs w:val="21"/>
              </w:rPr>
            </w:pPr>
            <w:r>
              <w:rPr>
                <w:color w:val="auto"/>
                <w:sz w:val="21"/>
                <w:szCs w:val="21"/>
              </w:rPr>
              <w:t>P</w:t>
            </w:r>
            <w:r>
              <w:rPr>
                <w:color w:val="auto"/>
                <w:sz w:val="21"/>
                <w:szCs w:val="21"/>
                <w:vertAlign w:val="subscript"/>
              </w:rPr>
              <w:t>max</w:t>
            </w:r>
            <w:r>
              <w:rPr>
                <w:color w:val="auto"/>
                <w:sz w:val="21"/>
                <w:szCs w:val="21"/>
              </w:rPr>
              <w:t>≥10%</w:t>
            </w:r>
          </w:p>
        </w:tc>
      </w:tr>
      <w:tr w14:paraId="4806A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0D5CE7E1">
            <w:pPr>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6286" w:type="dxa"/>
            <w:tcBorders>
              <w:tl2br w:val="nil"/>
              <w:tr2bl w:val="nil"/>
            </w:tcBorders>
            <w:noWrap w:val="0"/>
            <w:vAlign w:val="center"/>
          </w:tcPr>
          <w:p w14:paraId="302C7CCC">
            <w:pPr>
              <w:pageBreakBefore w:val="0"/>
              <w:wordWrap/>
              <w:bidi w:val="0"/>
              <w:adjustRightInd/>
              <w:snapToGrid/>
              <w:spacing w:line="240" w:lineRule="auto"/>
              <w:ind w:firstLine="0" w:firstLineChars="0"/>
              <w:jc w:val="center"/>
              <w:rPr>
                <w:color w:val="auto"/>
                <w:sz w:val="21"/>
                <w:szCs w:val="21"/>
              </w:rPr>
            </w:pPr>
            <w:r>
              <w:rPr>
                <w:color w:val="auto"/>
                <w:sz w:val="21"/>
                <w:szCs w:val="21"/>
              </w:rPr>
              <w:t>1%≤P</w:t>
            </w:r>
            <w:r>
              <w:rPr>
                <w:color w:val="auto"/>
                <w:sz w:val="21"/>
                <w:szCs w:val="21"/>
                <w:vertAlign w:val="subscript"/>
              </w:rPr>
              <w:t>max</w:t>
            </w:r>
            <w:r>
              <w:rPr>
                <w:color w:val="auto"/>
                <w:sz w:val="21"/>
                <w:szCs w:val="21"/>
              </w:rPr>
              <w:t>&lt;10%</w:t>
            </w:r>
          </w:p>
        </w:tc>
      </w:tr>
      <w:tr w14:paraId="3519E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6D974986">
            <w:pPr>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6286" w:type="dxa"/>
            <w:tcBorders>
              <w:tl2br w:val="nil"/>
              <w:tr2bl w:val="nil"/>
            </w:tcBorders>
            <w:noWrap w:val="0"/>
            <w:vAlign w:val="center"/>
          </w:tcPr>
          <w:p w14:paraId="3217FC5E">
            <w:pPr>
              <w:pageBreakBefore w:val="0"/>
              <w:wordWrap/>
              <w:bidi w:val="0"/>
              <w:adjustRightInd/>
              <w:snapToGrid/>
              <w:spacing w:line="240" w:lineRule="auto"/>
              <w:ind w:firstLine="0" w:firstLineChars="0"/>
              <w:jc w:val="center"/>
              <w:rPr>
                <w:color w:val="auto"/>
                <w:sz w:val="21"/>
                <w:szCs w:val="21"/>
              </w:rPr>
            </w:pPr>
            <w:r>
              <w:rPr>
                <w:color w:val="auto"/>
                <w:sz w:val="21"/>
                <w:szCs w:val="21"/>
              </w:rPr>
              <w:t>P</w:t>
            </w:r>
            <w:r>
              <w:rPr>
                <w:color w:val="auto"/>
                <w:sz w:val="21"/>
                <w:szCs w:val="21"/>
                <w:vertAlign w:val="subscript"/>
              </w:rPr>
              <w:t>max</w:t>
            </w:r>
            <w:r>
              <w:rPr>
                <w:color w:val="auto"/>
                <w:sz w:val="21"/>
                <w:szCs w:val="21"/>
              </w:rPr>
              <w:t>＜1%</w:t>
            </w:r>
          </w:p>
        </w:tc>
      </w:tr>
    </w:tbl>
    <w:p w14:paraId="3532A8EB">
      <w:pPr>
        <w:pStyle w:val="44"/>
        <w:keepNext w:val="0"/>
        <w:keepLines w:val="0"/>
        <w:pageBreakBefore w:val="0"/>
        <w:widowControl w:val="0"/>
        <w:kinsoku/>
        <w:wordWrap/>
        <w:overflowPunct/>
        <w:topLinePunct w:val="0"/>
        <w:autoSpaceDE/>
        <w:autoSpaceDN/>
        <w:bidi w:val="0"/>
        <w:adjustRightInd/>
        <w:snapToGrid/>
        <w:spacing w:before="0" w:beforeLines="50"/>
        <w:ind w:firstLine="480"/>
        <w:textAlignment w:val="auto"/>
        <w:rPr>
          <w:b/>
          <w:bCs/>
          <w:color w:val="auto"/>
          <w:szCs w:val="24"/>
        </w:rPr>
      </w:pPr>
      <w:r>
        <w:rPr>
          <w:color w:val="auto"/>
          <w:szCs w:val="24"/>
        </w:rPr>
        <w:t>经估算模式计算，</w:t>
      </w:r>
      <w:r>
        <w:rPr>
          <w:color w:val="auto"/>
          <w:szCs w:val="21"/>
        </w:rPr>
        <w:t>1%≤P</w:t>
      </w:r>
      <w:r>
        <w:rPr>
          <w:color w:val="auto"/>
          <w:szCs w:val="21"/>
          <w:vertAlign w:val="subscript"/>
        </w:rPr>
        <w:t>max</w:t>
      </w:r>
      <w:r>
        <w:rPr>
          <w:color w:val="auto"/>
          <w:szCs w:val="21"/>
        </w:rPr>
        <w:t>=</w:t>
      </w:r>
      <w:r>
        <w:rPr>
          <w:rFonts w:hint="eastAsia"/>
          <w:color w:val="auto"/>
          <w:szCs w:val="21"/>
          <w:lang w:eastAsia="zh-CN"/>
        </w:rPr>
        <w:t>1.39%</w:t>
      </w:r>
      <w:r>
        <w:rPr>
          <w:color w:val="auto"/>
          <w:szCs w:val="21"/>
        </w:rPr>
        <w:t>&lt;10%；由上表判定依据可知，</w:t>
      </w:r>
      <w:r>
        <w:rPr>
          <w:b/>
          <w:bCs/>
          <w:color w:val="auto"/>
          <w:szCs w:val="21"/>
        </w:rPr>
        <w:t>本项目大气环境影响评价等级为二级。</w:t>
      </w:r>
    </w:p>
    <w:p w14:paraId="2E63283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地表水环境影响评价等级</w:t>
      </w:r>
    </w:p>
    <w:p w14:paraId="79C4D278">
      <w:pPr>
        <w:pageBreakBefore w:val="0"/>
        <w:wordWrap/>
        <w:bidi w:val="0"/>
        <w:adjustRightInd/>
        <w:snapToGrid/>
        <w:ind w:firstLine="480"/>
        <w:rPr>
          <w:bCs/>
          <w:color w:val="auto"/>
        </w:rPr>
      </w:pPr>
      <w:r>
        <w:rPr>
          <w:bCs/>
          <w:color w:val="auto"/>
        </w:rPr>
        <w:t>本项目运营期污废水主要是</w:t>
      </w:r>
      <w:r>
        <w:rPr>
          <w:rFonts w:hint="eastAsia"/>
          <w:bCs/>
          <w:color w:val="auto"/>
          <w:lang w:eastAsia="zh-CN"/>
        </w:rPr>
        <w:t>污水处理厂</w:t>
      </w:r>
      <w:r>
        <w:rPr>
          <w:bCs/>
          <w:color w:val="auto"/>
        </w:rPr>
        <w:t>处理达标出水，</w:t>
      </w:r>
      <w:r>
        <w:rPr>
          <w:rFonts w:hint="eastAsia"/>
          <w:bCs/>
          <w:color w:val="auto"/>
          <w:lang w:val="en-US" w:eastAsia="zh-CN"/>
        </w:rPr>
        <w:t>污水处理厂总</w:t>
      </w:r>
      <w:r>
        <w:rPr>
          <w:bCs/>
          <w:color w:val="auto"/>
        </w:rPr>
        <w:t>设计规模为</w:t>
      </w:r>
      <w:r>
        <w:rPr>
          <w:rFonts w:hint="eastAsia"/>
          <w:bCs/>
          <w:color w:val="auto"/>
          <w:lang w:eastAsia="zh-CN"/>
        </w:rPr>
        <w:t>1.6万m³</w:t>
      </w:r>
      <w:r>
        <w:rPr>
          <w:bCs/>
          <w:color w:val="auto"/>
        </w:rPr>
        <w:t>/d，</w:t>
      </w:r>
      <w:r>
        <w:rPr>
          <w:rFonts w:hint="eastAsia"/>
          <w:bCs/>
          <w:color w:val="auto"/>
          <w:lang w:val="en-US" w:eastAsia="zh-CN"/>
        </w:rPr>
        <w:t>本次一期项目设计规模为0.3</w:t>
      </w:r>
      <w:r>
        <w:rPr>
          <w:rFonts w:hint="eastAsia"/>
          <w:bCs/>
          <w:color w:val="auto"/>
          <w:lang w:eastAsia="zh-CN"/>
        </w:rPr>
        <w:t>万m³</w:t>
      </w:r>
      <w:r>
        <w:rPr>
          <w:bCs/>
          <w:color w:val="auto"/>
        </w:rPr>
        <w:t>/d，</w:t>
      </w:r>
      <w:r>
        <w:rPr>
          <w:rFonts w:hint="eastAsia"/>
          <w:color w:val="auto"/>
        </w:rPr>
        <w:t>项目排水执行《城镇污水处理厂污染物排放标准》（GB18918-2002）</w:t>
      </w:r>
      <w:r>
        <w:rPr>
          <w:rFonts w:hint="eastAsia"/>
          <w:color w:val="auto"/>
          <w:lang w:val="en-US" w:eastAsia="zh-CN"/>
        </w:rPr>
        <w:t>一级A标准</w:t>
      </w:r>
      <w:r>
        <w:rPr>
          <w:rFonts w:hint="eastAsia"/>
          <w:color w:val="auto"/>
        </w:rPr>
        <w:t>。项目</w:t>
      </w:r>
      <w:r>
        <w:rPr>
          <w:bCs/>
          <w:color w:val="auto"/>
        </w:rPr>
        <w:t>受纳水体为</w:t>
      </w:r>
      <w:r>
        <w:rPr>
          <w:rFonts w:hint="eastAsia"/>
          <w:bCs/>
          <w:color w:val="auto"/>
          <w:lang w:eastAsia="zh-CN"/>
        </w:rPr>
        <w:t>巴河</w:t>
      </w:r>
      <w:r>
        <w:rPr>
          <w:bCs/>
          <w:color w:val="auto"/>
        </w:rPr>
        <w:t>，主要污染物为pH、COD、BOD</w:t>
      </w:r>
      <w:r>
        <w:rPr>
          <w:bCs/>
          <w:color w:val="auto"/>
          <w:vertAlign w:val="subscript"/>
        </w:rPr>
        <w:t>5</w:t>
      </w:r>
      <w:r>
        <w:rPr>
          <w:bCs/>
          <w:color w:val="auto"/>
        </w:rPr>
        <w:t>、NH</w:t>
      </w:r>
      <w:r>
        <w:rPr>
          <w:bCs/>
          <w:color w:val="auto"/>
          <w:vertAlign w:val="subscript"/>
        </w:rPr>
        <w:t>3</w:t>
      </w:r>
      <w:r>
        <w:rPr>
          <w:bCs/>
          <w:color w:val="auto"/>
        </w:rPr>
        <w:t>-N等，项目属于水污染影响型建设项目。</w:t>
      </w:r>
    </w:p>
    <w:p w14:paraId="3E3CDF9D">
      <w:pPr>
        <w:pageBreakBefore w:val="0"/>
        <w:wordWrap/>
        <w:bidi w:val="0"/>
        <w:adjustRightInd/>
        <w:snapToGrid/>
        <w:ind w:firstLine="480"/>
        <w:rPr>
          <w:color w:val="auto"/>
          <w:kern w:val="0"/>
          <w:sz w:val="1"/>
          <w:szCs w:val="1"/>
        </w:rPr>
      </w:pPr>
      <w:r>
        <w:rPr>
          <w:color w:val="auto"/>
        </w:rPr>
        <w:t>根据《环境影响评价技术导则  地表水环境》（HJ2.3-2018），</w:t>
      </w:r>
      <w:r>
        <w:rPr>
          <w:b/>
          <w:color w:val="auto"/>
        </w:rPr>
        <w:t>地表水环境影响评价分级依据见</w:t>
      </w:r>
      <w:r>
        <w:rPr>
          <w:rFonts w:hint="eastAsia"/>
          <w:b/>
          <w:color w:val="auto"/>
          <w:lang w:val="en-US" w:eastAsia="zh-CN"/>
        </w:rPr>
        <w:t>下表</w:t>
      </w:r>
      <w:r>
        <w:rPr>
          <w:b/>
          <w:color w:val="auto"/>
        </w:rPr>
        <w:t>。</w:t>
      </w:r>
    </w:p>
    <w:p w14:paraId="6F413D12">
      <w:pPr>
        <w:pStyle w:val="15"/>
        <w:numPr>
          <w:ilvl w:val="0"/>
          <w:numId w:val="9"/>
        </w:numPr>
        <w:tabs>
          <w:tab w:val="clear" w:pos="0"/>
        </w:tabs>
        <w:bidi w:val="0"/>
        <w:ind w:left="0" w:leftChars="0" w:firstLine="0" w:firstLineChars="0"/>
        <w:rPr>
          <w:color w:val="auto"/>
        </w:rPr>
      </w:pPr>
      <w:r>
        <w:rPr>
          <w:color w:val="auto"/>
        </w:rPr>
        <w:t>地表水环境影响评价等级判定</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25"/>
        <w:gridCol w:w="1702"/>
        <w:gridCol w:w="5319"/>
      </w:tblGrid>
      <w:tr w14:paraId="470AB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vMerge w:val="restart"/>
            <w:tcBorders>
              <w:tl2br w:val="nil"/>
              <w:tr2bl w:val="nil"/>
            </w:tcBorders>
            <w:noWrap w:val="0"/>
            <w:vAlign w:val="center"/>
          </w:tcPr>
          <w:p w14:paraId="14E27571">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评价等级</w:t>
            </w:r>
          </w:p>
        </w:tc>
        <w:tc>
          <w:tcPr>
            <w:tcW w:w="3923" w:type="pct"/>
            <w:gridSpan w:val="2"/>
            <w:tcBorders>
              <w:tl2br w:val="nil"/>
              <w:tr2bl w:val="nil"/>
            </w:tcBorders>
            <w:noWrap w:val="0"/>
            <w:vAlign w:val="center"/>
          </w:tcPr>
          <w:p w14:paraId="7F0A9242">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判定依据</w:t>
            </w:r>
          </w:p>
        </w:tc>
      </w:tr>
      <w:tr w14:paraId="706D4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vMerge w:val="continue"/>
            <w:tcBorders>
              <w:tl2br w:val="nil"/>
              <w:tr2bl w:val="nil"/>
            </w:tcBorders>
            <w:noWrap w:val="0"/>
            <w:vAlign w:val="center"/>
          </w:tcPr>
          <w:p w14:paraId="321559A7">
            <w:pPr>
              <w:pageBreakBefore w:val="0"/>
              <w:wordWrap/>
              <w:bidi w:val="0"/>
              <w:adjustRightInd/>
              <w:snapToGrid/>
              <w:spacing w:line="240" w:lineRule="auto"/>
              <w:ind w:firstLine="0" w:firstLineChars="0"/>
              <w:jc w:val="center"/>
              <w:rPr>
                <w:b/>
                <w:bCs/>
                <w:color w:val="auto"/>
                <w:kern w:val="0"/>
                <w:sz w:val="21"/>
                <w:szCs w:val="21"/>
              </w:rPr>
            </w:pPr>
          </w:p>
        </w:tc>
        <w:tc>
          <w:tcPr>
            <w:tcW w:w="951" w:type="pct"/>
            <w:tcBorders>
              <w:tl2br w:val="nil"/>
              <w:tr2bl w:val="nil"/>
            </w:tcBorders>
            <w:noWrap w:val="0"/>
            <w:vAlign w:val="center"/>
          </w:tcPr>
          <w:p w14:paraId="40533D0E">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排放方式</w:t>
            </w:r>
          </w:p>
        </w:tc>
        <w:tc>
          <w:tcPr>
            <w:tcW w:w="2972" w:type="pct"/>
            <w:tcBorders>
              <w:tl2br w:val="nil"/>
              <w:tr2bl w:val="nil"/>
            </w:tcBorders>
            <w:noWrap w:val="0"/>
            <w:vAlign w:val="center"/>
          </w:tcPr>
          <w:p w14:paraId="53E613F2">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废水排放量Q/（</w:t>
            </w:r>
            <w:r>
              <w:rPr>
                <w:rFonts w:hint="eastAsia"/>
                <w:b/>
                <w:bCs/>
                <w:color w:val="auto"/>
                <w:kern w:val="0"/>
                <w:sz w:val="21"/>
                <w:szCs w:val="21"/>
                <w:lang w:eastAsia="zh-CN"/>
              </w:rPr>
              <w:t>m³</w:t>
            </w:r>
            <w:r>
              <w:rPr>
                <w:b/>
                <w:bCs/>
                <w:color w:val="auto"/>
                <w:kern w:val="0"/>
                <w:sz w:val="21"/>
                <w:szCs w:val="21"/>
              </w:rPr>
              <w:t>/d）；水污染物当量数W/（无量纲）</w:t>
            </w:r>
          </w:p>
        </w:tc>
      </w:tr>
      <w:tr w14:paraId="5E72F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4DCA8E8B">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951" w:type="pct"/>
            <w:tcBorders>
              <w:tl2br w:val="nil"/>
              <w:tr2bl w:val="nil"/>
            </w:tcBorders>
            <w:noWrap w:val="0"/>
            <w:vAlign w:val="center"/>
          </w:tcPr>
          <w:p w14:paraId="6B52FDE5">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5BFA10F8">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Q≥20000或W≥600000</w:t>
            </w:r>
          </w:p>
        </w:tc>
      </w:tr>
      <w:tr w14:paraId="3079A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3A62A049">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二级</w:t>
            </w:r>
          </w:p>
        </w:tc>
        <w:tc>
          <w:tcPr>
            <w:tcW w:w="951" w:type="pct"/>
            <w:tcBorders>
              <w:tl2br w:val="nil"/>
              <w:tr2bl w:val="nil"/>
            </w:tcBorders>
            <w:noWrap w:val="0"/>
            <w:vAlign w:val="center"/>
          </w:tcPr>
          <w:p w14:paraId="155D6AB3">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241C01BA">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其他</w:t>
            </w:r>
          </w:p>
        </w:tc>
      </w:tr>
      <w:tr w14:paraId="019F6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156DC930">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三级A</w:t>
            </w:r>
          </w:p>
        </w:tc>
        <w:tc>
          <w:tcPr>
            <w:tcW w:w="951" w:type="pct"/>
            <w:tcBorders>
              <w:tl2br w:val="nil"/>
              <w:tr2bl w:val="nil"/>
            </w:tcBorders>
            <w:noWrap w:val="0"/>
            <w:vAlign w:val="center"/>
          </w:tcPr>
          <w:p w14:paraId="63EEE59B">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7E9879AE">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Q&lt;200且W&lt;6000</w:t>
            </w:r>
          </w:p>
        </w:tc>
      </w:tr>
      <w:tr w14:paraId="00E98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269A35DF">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三级B</w:t>
            </w:r>
          </w:p>
        </w:tc>
        <w:tc>
          <w:tcPr>
            <w:tcW w:w="951" w:type="pct"/>
            <w:tcBorders>
              <w:tl2br w:val="nil"/>
              <w:tr2bl w:val="nil"/>
            </w:tcBorders>
            <w:noWrap w:val="0"/>
            <w:vAlign w:val="center"/>
          </w:tcPr>
          <w:p w14:paraId="1F780E0E">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间接排放</w:t>
            </w:r>
          </w:p>
        </w:tc>
        <w:tc>
          <w:tcPr>
            <w:tcW w:w="2972" w:type="pct"/>
            <w:tcBorders>
              <w:tl2br w:val="nil"/>
              <w:tr2bl w:val="nil"/>
            </w:tcBorders>
            <w:noWrap w:val="0"/>
            <w:vAlign w:val="center"/>
          </w:tcPr>
          <w:p w14:paraId="4BDCA0A1">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r>
      <w:tr w14:paraId="6A4BB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2F89B337">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192E6170">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2：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14:paraId="1BE97CE9">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注3：厂区存在堆积物（露天堆放的原料、燃料、废渣等以及垃圾堆放场）、降尘污染的，应将初期雨污水纳入废水排放量，相应的主要污染物纳入水污染当量计算。</w:t>
            </w:r>
          </w:p>
          <w:p w14:paraId="476A64AB">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注4：建设项目直接排放第一类污染物的，其评价等级为一级：建设项目直接排放的污染物为受纳水体超标因子的，评价等级不低于二级。</w:t>
            </w:r>
          </w:p>
          <w:p w14:paraId="749E0A06">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注5：直接排放受纳水体影响范围涉及饮用水水源保护区、饮用水取水口、重点保护与珍稀水生生物的栖息地、重要水生生物的自然产卵场等保护目标时，评价等级不低于二级。</w:t>
            </w:r>
          </w:p>
          <w:p w14:paraId="0AC9E37A">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注6：建设项目向河流、湖库排放温排水引起受纳水体水温变化超过水环境质量标准要求，且评价范围有水温敏感目标时，评价等级为一级。</w:t>
            </w:r>
          </w:p>
          <w:p w14:paraId="18EDB885">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注7：建设项目利用海水作为调节温度介质，排水量≥500万m³/d，评价等级为一级：排水量&lt;500万m³/d，评价等级为二级。</w:t>
            </w:r>
          </w:p>
          <w:p w14:paraId="5EB33976">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注8：仅涉及清净下水排放的，如其排放水质满足受纳水体水环境质量标准要求的，评价等级为三级A。</w:t>
            </w:r>
          </w:p>
          <w:p w14:paraId="3E17E082">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注9：依托现有排放口，且对外环境未新增排放污染物的直接排放建设项目，评价等级参照间接排放，定为三级B。</w:t>
            </w:r>
          </w:p>
          <w:p w14:paraId="17574EA2">
            <w:pPr>
              <w:pageBreakBefore w:val="0"/>
              <w:wordWrap/>
              <w:bidi w:val="0"/>
              <w:adjustRightInd/>
              <w:snapToGrid/>
              <w:spacing w:line="240" w:lineRule="auto"/>
              <w:ind w:firstLine="0" w:firstLineChars="0"/>
              <w:jc w:val="left"/>
              <w:rPr>
                <w:rFonts w:hint="default" w:eastAsia="宋体"/>
                <w:color w:val="auto"/>
                <w:kern w:val="0"/>
                <w:sz w:val="21"/>
                <w:szCs w:val="21"/>
                <w:lang w:val="en-US" w:eastAsia="zh-CN"/>
              </w:rPr>
            </w:pPr>
            <w:r>
              <w:rPr>
                <w:rFonts w:hint="eastAsia"/>
                <w:color w:val="auto"/>
                <w:kern w:val="0"/>
                <w:sz w:val="21"/>
                <w:szCs w:val="21"/>
                <w:lang w:val="en-US" w:eastAsia="zh-CN"/>
              </w:rPr>
              <w:t>注10：建设项目生产工艺中有废水产生，但作为回水利用，不排放到外环境的，按三级B评价</w:t>
            </w:r>
          </w:p>
        </w:tc>
      </w:tr>
    </w:tbl>
    <w:p w14:paraId="192989EE">
      <w:pPr>
        <w:pageBreakBefore w:val="0"/>
        <w:wordWrap/>
        <w:bidi w:val="0"/>
        <w:adjustRightInd/>
        <w:snapToGrid/>
        <w:spacing w:before="120" w:beforeLines="50"/>
        <w:ind w:firstLine="20"/>
        <w:rPr>
          <w:color w:val="auto"/>
          <w:kern w:val="0"/>
          <w:sz w:val="1"/>
          <w:szCs w:val="1"/>
        </w:rPr>
      </w:pPr>
    </w:p>
    <w:p w14:paraId="0FD1DD14">
      <w:pPr>
        <w:pageBreakBefore w:val="0"/>
        <w:wordWrap/>
        <w:bidi w:val="0"/>
        <w:adjustRightInd/>
        <w:snapToGrid/>
        <w:ind w:firstLine="480"/>
        <w:rPr>
          <w:bCs/>
          <w:color w:val="auto"/>
        </w:rPr>
      </w:pPr>
      <w:r>
        <w:rPr>
          <w:bCs/>
          <w:color w:val="auto"/>
        </w:rPr>
        <w:t>由上表分析可知，本次排水工程设计规模为</w:t>
      </w:r>
      <w:r>
        <w:rPr>
          <w:rFonts w:hint="eastAsia"/>
          <w:bCs/>
          <w:color w:val="auto"/>
          <w:lang w:val="en-US" w:eastAsia="zh-CN"/>
        </w:rPr>
        <w:t>0.3</w:t>
      </w:r>
      <w:r>
        <w:rPr>
          <w:rFonts w:hint="eastAsia"/>
          <w:bCs/>
          <w:color w:val="auto"/>
          <w:lang w:eastAsia="zh-CN"/>
        </w:rPr>
        <w:t>万m³</w:t>
      </w:r>
      <w:r>
        <w:rPr>
          <w:bCs/>
          <w:color w:val="auto"/>
        </w:rPr>
        <w:t>/d，因此</w:t>
      </w:r>
      <w:r>
        <w:rPr>
          <w:rFonts w:hint="eastAsia"/>
          <w:bCs/>
          <w:color w:val="auto"/>
        </w:rPr>
        <w:t>，</w:t>
      </w:r>
      <w:r>
        <w:rPr>
          <w:bCs/>
          <w:color w:val="auto"/>
        </w:rPr>
        <w:t>确定</w:t>
      </w:r>
      <w:r>
        <w:rPr>
          <w:b/>
          <w:bCs w:val="0"/>
          <w:color w:val="auto"/>
        </w:rPr>
        <w:t>本项目地表水环境评价等级为</w:t>
      </w:r>
      <w:r>
        <w:rPr>
          <w:rFonts w:hint="eastAsia"/>
          <w:b/>
          <w:bCs w:val="0"/>
          <w:color w:val="auto"/>
          <w:lang w:val="en-US" w:eastAsia="zh-CN"/>
        </w:rPr>
        <w:t>二级</w:t>
      </w:r>
      <w:r>
        <w:rPr>
          <w:bCs/>
          <w:color w:val="auto"/>
        </w:rPr>
        <w:t>。</w:t>
      </w:r>
    </w:p>
    <w:p w14:paraId="20F09680">
      <w:pPr>
        <w:pStyle w:val="5"/>
        <w:pageBreakBefore w:val="0"/>
        <w:wordWrap/>
        <w:bidi w:val="0"/>
        <w:adjustRightInd/>
        <w:snapToGrid/>
        <w:rPr>
          <w:color w:val="auto"/>
        </w:rPr>
      </w:pPr>
      <w:r>
        <w:rPr>
          <w:rFonts w:hint="eastAsia"/>
          <w:color w:val="auto"/>
        </w:rPr>
        <w:t xml:space="preserve"> </w:t>
      </w:r>
      <w:r>
        <w:rPr>
          <w:color w:val="auto"/>
        </w:rPr>
        <w:t>地下水环境影响评价等级</w:t>
      </w:r>
    </w:p>
    <w:p w14:paraId="4DD2E5BC">
      <w:pPr>
        <w:pStyle w:val="190"/>
        <w:pageBreakBefore w:val="0"/>
        <w:wordWrap/>
        <w:autoSpaceDE/>
        <w:autoSpaceDN/>
        <w:bidi w:val="0"/>
        <w:adjustRightInd/>
        <w:snapToGrid/>
        <w:ind w:firstLine="480"/>
        <w:jc w:val="both"/>
        <w:textAlignment w:val="center"/>
        <w:rPr>
          <w:color w:val="auto"/>
        </w:rPr>
      </w:pPr>
      <w:r>
        <w:rPr>
          <w:color w:val="auto"/>
        </w:rPr>
        <w:t>本项目属于工业废水集中处理项目，根据</w:t>
      </w:r>
      <w:r>
        <w:rPr>
          <w:rFonts w:hint="eastAsia"/>
          <w:color w:val="auto"/>
          <w:lang w:eastAsia="zh-CN"/>
        </w:rPr>
        <w:t>《环境影响评价技术导则 地下水环境》（HJ610-2016）</w:t>
      </w:r>
      <w:r>
        <w:rPr>
          <w:color w:val="auto"/>
        </w:rPr>
        <w:t>附录A地下水环境影响评价行业分类表可知，项目</w:t>
      </w:r>
      <w:r>
        <w:rPr>
          <w:b/>
          <w:color w:val="auto"/>
        </w:rPr>
        <w:t>地下水环境影响评价项目类别为Ⅰ类。</w:t>
      </w:r>
    </w:p>
    <w:p w14:paraId="34A5E4F1">
      <w:pPr>
        <w:pStyle w:val="15"/>
        <w:numPr>
          <w:ilvl w:val="0"/>
          <w:numId w:val="9"/>
        </w:numPr>
        <w:tabs>
          <w:tab w:val="clear" w:pos="0"/>
        </w:tabs>
        <w:bidi w:val="0"/>
        <w:ind w:left="0" w:leftChars="0" w:firstLine="0" w:firstLineChars="0"/>
        <w:rPr>
          <w:color w:val="auto"/>
        </w:rPr>
      </w:pPr>
      <w:r>
        <w:rPr>
          <w:color w:val="auto"/>
        </w:rPr>
        <w:t>地下水环境敏感程度分级表</w:t>
      </w:r>
    </w:p>
    <w:tbl>
      <w:tblPr>
        <w:tblStyle w:val="48"/>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71"/>
        <w:gridCol w:w="7795"/>
      </w:tblGrid>
      <w:tr w14:paraId="071EFF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0FCC0D28">
            <w:pPr>
              <w:pStyle w:val="190"/>
              <w:pageBreakBefore w:val="0"/>
              <w:wordWrap/>
              <w:autoSpaceDE/>
              <w:autoSpaceDN/>
              <w:bidi w:val="0"/>
              <w:adjustRightInd/>
              <w:snapToGrid/>
              <w:spacing w:line="240" w:lineRule="auto"/>
              <w:ind w:firstLine="0" w:firstLineChars="0"/>
              <w:jc w:val="center"/>
              <w:textAlignment w:val="center"/>
              <w:rPr>
                <w:b/>
                <w:bCs w:val="0"/>
                <w:color w:val="auto"/>
                <w:kern w:val="2"/>
                <w:sz w:val="21"/>
                <w:szCs w:val="21"/>
              </w:rPr>
            </w:pPr>
            <w:r>
              <w:rPr>
                <w:b/>
                <w:bCs w:val="0"/>
                <w:color w:val="auto"/>
                <w:kern w:val="2"/>
                <w:sz w:val="21"/>
                <w:szCs w:val="21"/>
              </w:rPr>
              <w:t>敏感程度</w:t>
            </w:r>
          </w:p>
        </w:tc>
        <w:tc>
          <w:tcPr>
            <w:tcW w:w="7795" w:type="dxa"/>
            <w:tcBorders>
              <w:tl2br w:val="nil"/>
              <w:tr2bl w:val="nil"/>
            </w:tcBorders>
            <w:noWrap w:val="0"/>
            <w:vAlign w:val="center"/>
          </w:tcPr>
          <w:p w14:paraId="06CA9175">
            <w:pPr>
              <w:pStyle w:val="190"/>
              <w:pageBreakBefore w:val="0"/>
              <w:wordWrap/>
              <w:autoSpaceDE/>
              <w:autoSpaceDN/>
              <w:bidi w:val="0"/>
              <w:adjustRightInd/>
              <w:snapToGrid/>
              <w:spacing w:line="240" w:lineRule="auto"/>
              <w:ind w:firstLine="0" w:firstLineChars="0"/>
              <w:jc w:val="center"/>
              <w:textAlignment w:val="center"/>
              <w:rPr>
                <w:b/>
                <w:bCs w:val="0"/>
                <w:color w:val="auto"/>
                <w:kern w:val="2"/>
                <w:sz w:val="21"/>
                <w:szCs w:val="21"/>
              </w:rPr>
            </w:pPr>
            <w:r>
              <w:rPr>
                <w:b/>
                <w:bCs w:val="0"/>
                <w:color w:val="auto"/>
                <w:kern w:val="2"/>
                <w:sz w:val="21"/>
                <w:szCs w:val="21"/>
              </w:rPr>
              <w:t>地下水环境敏感特征</w:t>
            </w:r>
          </w:p>
        </w:tc>
      </w:tr>
      <w:tr w14:paraId="6179BF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1D503085">
            <w:pPr>
              <w:pStyle w:val="190"/>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敏 感</w:t>
            </w:r>
          </w:p>
        </w:tc>
        <w:tc>
          <w:tcPr>
            <w:tcW w:w="7795" w:type="dxa"/>
            <w:tcBorders>
              <w:tl2br w:val="nil"/>
              <w:tr2bl w:val="nil"/>
            </w:tcBorders>
            <w:noWrap w:val="0"/>
            <w:vAlign w:val="center"/>
          </w:tcPr>
          <w:p w14:paraId="35F1455D">
            <w:pPr>
              <w:pStyle w:val="190"/>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集中式自来水水源（包括已建成的在用、备用、应急水源，在建和规划的自来水水源）准保护区，除集中式自来水以外的国家或地方政府设定的与地下水环境相关的其他保护区，如热水、矿泉水、温泉等特殊地下水资源保护区。</w:t>
            </w:r>
          </w:p>
        </w:tc>
      </w:tr>
      <w:tr w14:paraId="3EC27D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2910785B">
            <w:pPr>
              <w:pStyle w:val="190"/>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较敏感</w:t>
            </w:r>
          </w:p>
        </w:tc>
        <w:tc>
          <w:tcPr>
            <w:tcW w:w="7795" w:type="dxa"/>
            <w:tcBorders>
              <w:tl2br w:val="nil"/>
              <w:tr2bl w:val="nil"/>
            </w:tcBorders>
            <w:noWrap w:val="0"/>
            <w:vAlign w:val="center"/>
          </w:tcPr>
          <w:p w14:paraId="46FC4766">
            <w:pPr>
              <w:pStyle w:val="190"/>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集中式自来水水源（包括已建成的在用、备用、应急水源，在建和规划的自来水水源）准保护区以外的补给径流区；未划定准保护区的集中式自来水水源，其保护区以外的补给径流区；分散式自来水水源地；特殊地下水资源（如矿泉水、温泉等）保护区以外的分布区等其他未列入上述敏感分级的环境敏感区；</w:t>
            </w:r>
          </w:p>
        </w:tc>
      </w:tr>
      <w:tr w14:paraId="355198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3B7CEE94">
            <w:pPr>
              <w:pStyle w:val="190"/>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不敏感</w:t>
            </w:r>
          </w:p>
        </w:tc>
        <w:tc>
          <w:tcPr>
            <w:tcW w:w="7795" w:type="dxa"/>
            <w:tcBorders>
              <w:tl2br w:val="nil"/>
              <w:tr2bl w:val="nil"/>
            </w:tcBorders>
            <w:noWrap w:val="0"/>
            <w:vAlign w:val="center"/>
          </w:tcPr>
          <w:p w14:paraId="3428FF39">
            <w:pPr>
              <w:pStyle w:val="190"/>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上述地区之外的其他地区。</w:t>
            </w:r>
          </w:p>
        </w:tc>
      </w:tr>
      <w:tr w14:paraId="6FB764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866" w:type="dxa"/>
            <w:gridSpan w:val="2"/>
            <w:tcBorders>
              <w:tl2br w:val="nil"/>
              <w:tr2bl w:val="nil"/>
            </w:tcBorders>
            <w:noWrap w:val="0"/>
            <w:tcMar>
              <w:left w:w="28" w:type="dxa"/>
              <w:right w:w="28" w:type="dxa"/>
            </w:tcMar>
            <w:vAlign w:val="center"/>
          </w:tcPr>
          <w:p w14:paraId="065F55DF">
            <w:pPr>
              <w:pStyle w:val="190"/>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注：a</w:t>
            </w:r>
            <w:r>
              <w:rPr>
                <w:rFonts w:hint="eastAsia"/>
                <w:bCs/>
                <w:color w:val="auto"/>
                <w:kern w:val="2"/>
                <w:sz w:val="21"/>
                <w:szCs w:val="21"/>
                <w:lang w:eastAsia="zh-CN"/>
              </w:rPr>
              <w:t>“</w:t>
            </w:r>
            <w:r>
              <w:rPr>
                <w:bCs/>
                <w:color w:val="auto"/>
                <w:kern w:val="2"/>
                <w:sz w:val="21"/>
                <w:szCs w:val="21"/>
              </w:rPr>
              <w:t>环境敏感区</w:t>
            </w:r>
            <w:r>
              <w:rPr>
                <w:rFonts w:hint="eastAsia"/>
                <w:bCs/>
                <w:color w:val="auto"/>
                <w:kern w:val="2"/>
                <w:sz w:val="21"/>
                <w:szCs w:val="21"/>
                <w:lang w:eastAsia="zh-CN"/>
              </w:rPr>
              <w:t>”</w:t>
            </w:r>
            <w:r>
              <w:rPr>
                <w:bCs/>
                <w:color w:val="auto"/>
                <w:kern w:val="2"/>
                <w:sz w:val="21"/>
                <w:szCs w:val="21"/>
              </w:rPr>
              <w:t>是指《建设项目环境影响评价分类管理目录》中所界定的涉及地下水的环境敏感区。</w:t>
            </w:r>
          </w:p>
        </w:tc>
      </w:tr>
    </w:tbl>
    <w:p w14:paraId="4FAD68A0">
      <w:pPr>
        <w:pageBreakBefore w:val="0"/>
        <w:widowControl/>
        <w:wordWrap/>
        <w:bidi w:val="0"/>
        <w:adjustRightInd/>
        <w:snapToGrid/>
        <w:spacing w:before="120" w:beforeLines="50"/>
        <w:ind w:firstLine="480"/>
        <w:rPr>
          <w:b/>
          <w:color w:val="auto"/>
        </w:rPr>
      </w:pPr>
      <w:r>
        <w:rPr>
          <w:color w:val="auto"/>
          <w:kern w:val="0"/>
        </w:rPr>
        <w:t>项目建设位于园区内，</w:t>
      </w:r>
      <w:r>
        <w:rPr>
          <w:color w:val="auto"/>
        </w:rPr>
        <w:t>项目不在集中式饮用水水源准保护区和补给径流区范围内，评价范围内自来水管网齐全，分布的零散水井作为分散饮用水源，</w:t>
      </w:r>
      <w:r>
        <w:rPr>
          <w:b/>
          <w:color w:val="auto"/>
        </w:rPr>
        <w:t>项目区域地下水环境</w:t>
      </w:r>
      <w:r>
        <w:rPr>
          <w:rFonts w:hint="eastAsia"/>
          <w:b/>
          <w:color w:val="auto"/>
          <w:lang w:val="en-US" w:eastAsia="zh-CN"/>
        </w:rPr>
        <w:t>较</w:t>
      </w:r>
      <w:r>
        <w:rPr>
          <w:b/>
          <w:color w:val="auto"/>
        </w:rPr>
        <w:t>敏感。</w:t>
      </w:r>
    </w:p>
    <w:p w14:paraId="53C6D83F">
      <w:pPr>
        <w:pStyle w:val="15"/>
        <w:numPr>
          <w:ilvl w:val="0"/>
          <w:numId w:val="9"/>
        </w:numPr>
        <w:tabs>
          <w:tab w:val="clear" w:pos="0"/>
        </w:tabs>
        <w:bidi w:val="0"/>
        <w:ind w:left="0" w:leftChars="0" w:firstLine="0" w:firstLineChars="0"/>
        <w:rPr>
          <w:color w:val="auto"/>
        </w:rPr>
      </w:pPr>
      <w:r>
        <w:rPr>
          <w:color w:val="auto"/>
        </w:rPr>
        <w:t>工作等级分级表</w:t>
      </w:r>
    </w:p>
    <w:tbl>
      <w:tblPr>
        <w:tblStyle w:val="4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183"/>
        <w:gridCol w:w="2181"/>
        <w:gridCol w:w="2184"/>
        <w:gridCol w:w="2182"/>
      </w:tblGrid>
      <w:tr w14:paraId="3B8FAC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2183" w:type="dxa"/>
            <w:tcBorders>
              <w:tl2br w:val="single" w:color="000000" w:sz="4" w:space="0"/>
            </w:tcBorders>
            <w:noWrap w:val="0"/>
            <w:tcMar>
              <w:left w:w="0" w:type="dxa"/>
              <w:right w:w="0" w:type="dxa"/>
            </w:tcMar>
            <w:vAlign w:val="center"/>
          </w:tcPr>
          <w:p w14:paraId="72E3AD6A">
            <w:pPr>
              <w:pStyle w:val="190"/>
              <w:pageBreakBefore w:val="0"/>
              <w:wordWrap/>
              <w:autoSpaceDE/>
              <w:autoSpaceDN/>
              <w:bidi w:val="0"/>
              <w:adjustRightInd/>
              <w:snapToGrid/>
              <w:spacing w:line="240" w:lineRule="auto"/>
              <w:ind w:firstLine="0" w:firstLineChars="0"/>
              <w:jc w:val="right"/>
              <w:textAlignment w:val="center"/>
              <w:rPr>
                <w:b/>
                <w:bCs/>
                <w:color w:val="auto"/>
                <w:kern w:val="2"/>
                <w:sz w:val="21"/>
                <w:szCs w:val="21"/>
              </w:rPr>
            </w:pPr>
            <w:r>
              <w:rPr>
                <w:b/>
                <w:bCs/>
                <w:color w:val="auto"/>
                <w:kern w:val="2"/>
                <w:sz w:val="21"/>
                <w:szCs w:val="21"/>
              </w:rPr>
              <w:t xml:space="preserve">  项目类别</w:t>
            </w:r>
          </w:p>
          <w:p w14:paraId="546FAF26">
            <w:pPr>
              <w:pStyle w:val="190"/>
              <w:pageBreakBefore w:val="0"/>
              <w:wordWrap/>
              <w:autoSpaceDE/>
              <w:autoSpaceDN/>
              <w:bidi w:val="0"/>
              <w:adjustRightInd/>
              <w:snapToGrid/>
              <w:spacing w:line="240" w:lineRule="auto"/>
              <w:ind w:firstLine="0" w:firstLineChars="0"/>
              <w:jc w:val="left"/>
              <w:textAlignment w:val="center"/>
              <w:rPr>
                <w:b/>
                <w:bCs/>
                <w:color w:val="auto"/>
                <w:kern w:val="2"/>
                <w:sz w:val="21"/>
                <w:szCs w:val="21"/>
              </w:rPr>
            </w:pPr>
            <w:r>
              <w:rPr>
                <w:b/>
                <w:bCs/>
                <w:color w:val="auto"/>
                <w:kern w:val="2"/>
                <w:sz w:val="21"/>
                <w:szCs w:val="21"/>
              </w:rPr>
              <w:t>环境敏感程度</w:t>
            </w:r>
          </w:p>
        </w:tc>
        <w:tc>
          <w:tcPr>
            <w:tcW w:w="2181" w:type="dxa"/>
            <w:tcBorders>
              <w:tl2br w:val="nil"/>
              <w:tr2bl w:val="nil"/>
            </w:tcBorders>
            <w:noWrap w:val="0"/>
            <w:tcMar>
              <w:left w:w="0" w:type="dxa"/>
              <w:right w:w="0" w:type="dxa"/>
            </w:tcMar>
            <w:vAlign w:val="center"/>
          </w:tcPr>
          <w:p w14:paraId="23EF7D92">
            <w:pPr>
              <w:pStyle w:val="190"/>
              <w:pageBreakBefore w:val="0"/>
              <w:wordWrap/>
              <w:autoSpaceDE/>
              <w:autoSpaceDN/>
              <w:bidi w:val="0"/>
              <w:adjustRightInd/>
              <w:snapToGrid/>
              <w:spacing w:line="240" w:lineRule="auto"/>
              <w:ind w:firstLine="0" w:firstLineChars="0"/>
              <w:jc w:val="center"/>
              <w:textAlignment w:val="center"/>
              <w:rPr>
                <w:b/>
                <w:bCs/>
                <w:color w:val="auto"/>
                <w:kern w:val="2"/>
                <w:sz w:val="21"/>
                <w:szCs w:val="21"/>
              </w:rPr>
            </w:pPr>
            <w:r>
              <w:rPr>
                <w:b/>
                <w:bCs/>
                <w:color w:val="auto"/>
                <w:kern w:val="2"/>
                <w:sz w:val="21"/>
                <w:szCs w:val="21"/>
              </w:rPr>
              <w:t>Ⅰ类项目</w:t>
            </w:r>
          </w:p>
        </w:tc>
        <w:tc>
          <w:tcPr>
            <w:tcW w:w="2184" w:type="dxa"/>
            <w:tcBorders>
              <w:tl2br w:val="nil"/>
              <w:tr2bl w:val="nil"/>
            </w:tcBorders>
            <w:noWrap w:val="0"/>
            <w:tcMar>
              <w:left w:w="0" w:type="dxa"/>
              <w:right w:w="0" w:type="dxa"/>
            </w:tcMar>
            <w:vAlign w:val="center"/>
          </w:tcPr>
          <w:p w14:paraId="4A0D98C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Ⅱ类项目</w:t>
            </w:r>
          </w:p>
        </w:tc>
        <w:tc>
          <w:tcPr>
            <w:tcW w:w="2182" w:type="dxa"/>
            <w:tcBorders>
              <w:tl2br w:val="nil"/>
              <w:tr2bl w:val="nil"/>
            </w:tcBorders>
            <w:noWrap w:val="0"/>
            <w:tcMar>
              <w:left w:w="0" w:type="dxa"/>
              <w:right w:w="0" w:type="dxa"/>
            </w:tcMar>
            <w:vAlign w:val="center"/>
          </w:tcPr>
          <w:p w14:paraId="3D8BCF6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Ⅲ类项目</w:t>
            </w:r>
          </w:p>
        </w:tc>
      </w:tr>
      <w:tr w14:paraId="792830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noWrap w:val="0"/>
            <w:tcMar>
              <w:left w:w="0" w:type="dxa"/>
              <w:right w:w="0" w:type="dxa"/>
            </w:tcMar>
            <w:vAlign w:val="center"/>
          </w:tcPr>
          <w:p w14:paraId="491D8F31">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敏 感</w:t>
            </w:r>
          </w:p>
        </w:tc>
        <w:tc>
          <w:tcPr>
            <w:tcW w:w="2181" w:type="dxa"/>
            <w:tcBorders>
              <w:tl2br w:val="nil"/>
              <w:tr2bl w:val="nil"/>
            </w:tcBorders>
            <w:noWrap w:val="0"/>
            <w:tcMar>
              <w:left w:w="0" w:type="dxa"/>
              <w:right w:w="0" w:type="dxa"/>
            </w:tcMar>
            <w:vAlign w:val="center"/>
          </w:tcPr>
          <w:p w14:paraId="3F8347BF">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2184" w:type="dxa"/>
            <w:tcBorders>
              <w:tl2br w:val="nil"/>
              <w:tr2bl w:val="nil"/>
            </w:tcBorders>
            <w:noWrap w:val="0"/>
            <w:tcMar>
              <w:left w:w="0" w:type="dxa"/>
              <w:right w:w="0" w:type="dxa"/>
            </w:tcMar>
            <w:vAlign w:val="center"/>
          </w:tcPr>
          <w:p w14:paraId="6EF59C51">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2182" w:type="dxa"/>
            <w:tcBorders>
              <w:tl2br w:val="nil"/>
              <w:tr2bl w:val="nil"/>
            </w:tcBorders>
            <w:noWrap w:val="0"/>
            <w:tcMar>
              <w:left w:w="0" w:type="dxa"/>
              <w:right w:w="0" w:type="dxa"/>
            </w:tcMar>
            <w:vAlign w:val="center"/>
          </w:tcPr>
          <w:p w14:paraId="18976C0E">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二</w:t>
            </w:r>
          </w:p>
        </w:tc>
      </w:tr>
      <w:tr w14:paraId="18C144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noWrap w:val="0"/>
            <w:tcMar>
              <w:left w:w="0" w:type="dxa"/>
              <w:right w:w="0" w:type="dxa"/>
            </w:tcMar>
            <w:vAlign w:val="center"/>
          </w:tcPr>
          <w:p w14:paraId="7EA36802">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较敏感</w:t>
            </w:r>
          </w:p>
        </w:tc>
        <w:tc>
          <w:tcPr>
            <w:tcW w:w="2181" w:type="dxa"/>
            <w:tcBorders>
              <w:tl2br w:val="nil"/>
              <w:tr2bl w:val="nil"/>
            </w:tcBorders>
            <w:noWrap w:val="0"/>
            <w:tcMar>
              <w:left w:w="0" w:type="dxa"/>
              <w:right w:w="0" w:type="dxa"/>
            </w:tcMar>
            <w:vAlign w:val="center"/>
          </w:tcPr>
          <w:p w14:paraId="507DD829">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b/>
                <w:bCs/>
                <w:color w:val="auto"/>
                <w:kern w:val="2"/>
                <w:sz w:val="21"/>
                <w:szCs w:val="21"/>
                <w:shd w:val="clear" w:color="FFFFFF" w:fill="D9D9D9"/>
              </w:rPr>
              <w:t>一</w:t>
            </w:r>
          </w:p>
        </w:tc>
        <w:tc>
          <w:tcPr>
            <w:tcW w:w="2184" w:type="dxa"/>
            <w:tcBorders>
              <w:tl2br w:val="nil"/>
              <w:tr2bl w:val="nil"/>
            </w:tcBorders>
            <w:noWrap w:val="0"/>
            <w:tcMar>
              <w:left w:w="0" w:type="dxa"/>
              <w:right w:w="0" w:type="dxa"/>
            </w:tcMar>
            <w:vAlign w:val="center"/>
          </w:tcPr>
          <w:p w14:paraId="0F83C589">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二</w:t>
            </w:r>
          </w:p>
        </w:tc>
        <w:tc>
          <w:tcPr>
            <w:tcW w:w="2182" w:type="dxa"/>
            <w:tcBorders>
              <w:tl2br w:val="nil"/>
              <w:tr2bl w:val="nil"/>
            </w:tcBorders>
            <w:noWrap w:val="0"/>
            <w:tcMar>
              <w:left w:w="0" w:type="dxa"/>
              <w:right w:w="0" w:type="dxa"/>
            </w:tcMar>
            <w:vAlign w:val="center"/>
          </w:tcPr>
          <w:p w14:paraId="0298F123">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三</w:t>
            </w:r>
          </w:p>
        </w:tc>
      </w:tr>
      <w:tr w14:paraId="67377D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tcBorders>
              <w:tl2br w:val="nil"/>
              <w:tr2bl w:val="nil"/>
            </w:tcBorders>
            <w:noWrap w:val="0"/>
            <w:tcMar>
              <w:left w:w="0" w:type="dxa"/>
              <w:right w:w="0" w:type="dxa"/>
            </w:tcMar>
            <w:vAlign w:val="center"/>
          </w:tcPr>
          <w:p w14:paraId="6ACBDB92">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不敏感</w:t>
            </w:r>
          </w:p>
        </w:tc>
        <w:tc>
          <w:tcPr>
            <w:tcW w:w="2181" w:type="dxa"/>
            <w:tcBorders>
              <w:tl2br w:val="nil"/>
              <w:tr2bl w:val="nil"/>
            </w:tcBorders>
            <w:noWrap w:val="0"/>
            <w:tcMar>
              <w:left w:w="0" w:type="dxa"/>
              <w:right w:w="0" w:type="dxa"/>
            </w:tcMar>
            <w:vAlign w:val="center"/>
          </w:tcPr>
          <w:p w14:paraId="504B7490">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shd w:val="clear" w:color="auto" w:fill="auto"/>
              </w:rPr>
              <w:t>二</w:t>
            </w:r>
          </w:p>
        </w:tc>
        <w:tc>
          <w:tcPr>
            <w:tcW w:w="2184" w:type="dxa"/>
            <w:tcBorders>
              <w:tl2br w:val="nil"/>
              <w:tr2bl w:val="nil"/>
            </w:tcBorders>
            <w:noWrap w:val="0"/>
            <w:tcMar>
              <w:left w:w="0" w:type="dxa"/>
              <w:right w:w="0" w:type="dxa"/>
            </w:tcMar>
            <w:vAlign w:val="center"/>
          </w:tcPr>
          <w:p w14:paraId="1E94B46A">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三</w:t>
            </w:r>
          </w:p>
        </w:tc>
        <w:tc>
          <w:tcPr>
            <w:tcW w:w="2182" w:type="dxa"/>
            <w:tcBorders>
              <w:tl2br w:val="nil"/>
              <w:tr2bl w:val="nil"/>
            </w:tcBorders>
            <w:noWrap w:val="0"/>
            <w:tcMar>
              <w:left w:w="0" w:type="dxa"/>
              <w:right w:w="0" w:type="dxa"/>
            </w:tcMar>
            <w:vAlign w:val="center"/>
          </w:tcPr>
          <w:p w14:paraId="22319784">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p>
        </w:tc>
      </w:tr>
    </w:tbl>
    <w:p w14:paraId="3D752F86">
      <w:pPr>
        <w:pStyle w:val="190"/>
        <w:keepNext w:val="0"/>
        <w:keepLines w:val="0"/>
        <w:pageBreakBefore w:val="0"/>
        <w:widowControl w:val="0"/>
        <w:kinsoku/>
        <w:wordWrap/>
        <w:overflowPunct/>
        <w:topLinePunct w:val="0"/>
        <w:autoSpaceDE/>
        <w:autoSpaceDN/>
        <w:bidi w:val="0"/>
        <w:adjustRightInd/>
        <w:snapToGrid/>
        <w:spacing w:before="0" w:beforeLines="50"/>
        <w:ind w:firstLine="480"/>
        <w:textAlignment w:val="center"/>
        <w:rPr>
          <w:b/>
          <w:color w:val="auto"/>
        </w:rPr>
      </w:pPr>
      <w:r>
        <w:rPr>
          <w:color w:val="auto"/>
        </w:rPr>
        <w:t>根据</w:t>
      </w:r>
      <w:r>
        <w:rPr>
          <w:rFonts w:hint="eastAsia"/>
          <w:color w:val="auto"/>
          <w:lang w:eastAsia="zh-CN"/>
        </w:rPr>
        <w:t>《环境影响评价技术导则 地下水环境》（HJ610-2016）</w:t>
      </w:r>
      <w:r>
        <w:rPr>
          <w:color w:val="auto"/>
        </w:rPr>
        <w:t>判断，项目地下水环境影响评价项目类别为Ⅰ类，区域地下水环境不敏感，</w:t>
      </w:r>
      <w:r>
        <w:rPr>
          <w:b/>
          <w:color w:val="auto"/>
        </w:rPr>
        <w:t>项目地下水评价等级为</w:t>
      </w:r>
      <w:r>
        <w:rPr>
          <w:rFonts w:hint="eastAsia"/>
          <w:b/>
          <w:color w:val="auto"/>
          <w:lang w:val="en-US" w:eastAsia="zh-CN"/>
        </w:rPr>
        <w:t>一</w:t>
      </w:r>
      <w:r>
        <w:rPr>
          <w:b/>
          <w:color w:val="auto"/>
        </w:rPr>
        <w:t>级。</w:t>
      </w:r>
    </w:p>
    <w:p w14:paraId="2CBD9B3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声环境影响评价等级</w:t>
      </w:r>
    </w:p>
    <w:p w14:paraId="1AFF214B">
      <w:pPr>
        <w:pStyle w:val="554"/>
        <w:pageBreakBefore w:val="0"/>
        <w:wordWrap/>
        <w:bidi w:val="0"/>
        <w:adjustRightInd/>
        <w:snapToGrid/>
        <w:ind w:firstLine="480"/>
        <w:jc w:val="both"/>
        <w:rPr>
          <w:color w:val="auto"/>
          <w:sz w:val="24"/>
        </w:rPr>
      </w:pPr>
      <w:r>
        <w:rPr>
          <w:color w:val="auto"/>
          <w:sz w:val="24"/>
        </w:rPr>
        <w:t>项目建设位于</w:t>
      </w:r>
      <w:r>
        <w:rPr>
          <w:rFonts w:hint="eastAsia"/>
          <w:color w:val="auto"/>
          <w:sz w:val="24"/>
        </w:rPr>
        <w:t>四川省巴中市巴州区曾口镇寿星村13组</w:t>
      </w:r>
      <w:r>
        <w:rPr>
          <w:color w:val="auto"/>
          <w:sz w:val="24"/>
        </w:rPr>
        <w:t>，所在区域属于</w:t>
      </w:r>
      <w:r>
        <w:rPr>
          <w:rFonts w:hint="eastAsia"/>
          <w:color w:val="auto"/>
          <w:sz w:val="24"/>
          <w:lang w:val="en-US" w:eastAsia="zh-CN"/>
        </w:rPr>
        <w:t>2</w:t>
      </w:r>
      <w:r>
        <w:rPr>
          <w:color w:val="auto"/>
          <w:sz w:val="24"/>
        </w:rPr>
        <w:t>类声环境功能区，根据</w:t>
      </w:r>
      <w:r>
        <w:rPr>
          <w:rFonts w:hint="eastAsia"/>
          <w:color w:val="auto"/>
          <w:sz w:val="24"/>
          <w:lang w:eastAsia="zh-CN"/>
        </w:rPr>
        <w:t>《环境影响评价技术导则 声环境》（HJ2.4-2021）</w:t>
      </w:r>
      <w:r>
        <w:rPr>
          <w:color w:val="auto"/>
          <w:sz w:val="24"/>
        </w:rPr>
        <w:t>规定的分级判据，</w:t>
      </w:r>
      <w:r>
        <w:rPr>
          <w:rFonts w:hint="eastAsia"/>
          <w:color w:val="auto"/>
          <w:sz w:val="24"/>
          <w:lang w:eastAsia="zh-CN"/>
        </w:rPr>
        <w:t>“</w:t>
      </w:r>
      <w:r>
        <w:rPr>
          <w:color w:val="auto"/>
          <w:sz w:val="24"/>
        </w:rPr>
        <w:t>建设项目所处的声环境功能区为GB3096规定的</w:t>
      </w:r>
      <w:r>
        <w:rPr>
          <w:rFonts w:hint="eastAsia"/>
          <w:color w:val="auto"/>
          <w:sz w:val="24"/>
          <w:lang w:val="en-US" w:eastAsia="zh-CN"/>
        </w:rPr>
        <w:t>1</w:t>
      </w:r>
      <w:r>
        <w:rPr>
          <w:color w:val="auto"/>
          <w:sz w:val="24"/>
        </w:rPr>
        <w:t>类、</w:t>
      </w:r>
      <w:r>
        <w:rPr>
          <w:rFonts w:hint="eastAsia"/>
          <w:color w:val="auto"/>
          <w:sz w:val="24"/>
          <w:lang w:val="en-US" w:eastAsia="zh-CN"/>
        </w:rPr>
        <w:t>2</w:t>
      </w:r>
      <w:r>
        <w:rPr>
          <w:color w:val="auto"/>
          <w:sz w:val="24"/>
        </w:rPr>
        <w:t>类地区，或建设项目建设前后评价范围内敏感目标噪声级增高量</w:t>
      </w:r>
      <w:r>
        <w:rPr>
          <w:rFonts w:hint="eastAsia"/>
          <w:color w:val="auto"/>
          <w:sz w:val="24"/>
          <w:lang w:val="en-US" w:eastAsia="zh-CN"/>
        </w:rPr>
        <w:t>达3~5</w:t>
      </w:r>
      <w:r>
        <w:rPr>
          <w:color w:val="auto"/>
          <w:sz w:val="24"/>
        </w:rPr>
        <w:t>dB</w:t>
      </w:r>
      <w:r>
        <w:rPr>
          <w:rFonts w:hint="eastAsia"/>
          <w:color w:val="auto"/>
          <w:sz w:val="24"/>
          <w:lang w:eastAsia="zh-CN"/>
        </w:rPr>
        <w:t>（</w:t>
      </w:r>
      <w:r>
        <w:rPr>
          <w:color w:val="auto"/>
          <w:sz w:val="24"/>
        </w:rPr>
        <w:t>A</w:t>
      </w:r>
      <w:r>
        <w:rPr>
          <w:rFonts w:hint="eastAsia"/>
          <w:color w:val="auto"/>
          <w:sz w:val="24"/>
          <w:lang w:eastAsia="zh-CN"/>
        </w:rPr>
        <w:t>）</w:t>
      </w:r>
      <w:r>
        <w:rPr>
          <w:color w:val="auto"/>
          <w:sz w:val="24"/>
        </w:rPr>
        <w:t>，且受</w:t>
      </w:r>
      <w:r>
        <w:rPr>
          <w:rFonts w:hint="eastAsia"/>
          <w:color w:val="auto"/>
          <w:sz w:val="24"/>
          <w:lang w:val="en-US" w:eastAsia="zh-CN"/>
        </w:rPr>
        <w:t>噪声</w:t>
      </w:r>
      <w:r>
        <w:rPr>
          <w:color w:val="auto"/>
          <w:sz w:val="24"/>
        </w:rPr>
        <w:t>影响人口数量</w:t>
      </w:r>
      <w:r>
        <w:rPr>
          <w:rFonts w:hint="eastAsia"/>
          <w:color w:val="auto"/>
          <w:sz w:val="24"/>
          <w:lang w:val="en-US" w:eastAsia="zh-CN"/>
        </w:rPr>
        <w:t>增加较多</w:t>
      </w:r>
      <w:r>
        <w:rPr>
          <w:color w:val="auto"/>
          <w:sz w:val="24"/>
        </w:rPr>
        <w:t>时，按</w:t>
      </w:r>
      <w:r>
        <w:rPr>
          <w:rFonts w:hint="eastAsia"/>
          <w:color w:val="auto"/>
          <w:sz w:val="24"/>
          <w:lang w:val="en-US" w:eastAsia="zh-CN"/>
        </w:rPr>
        <w:t>二级</w:t>
      </w:r>
      <w:r>
        <w:rPr>
          <w:color w:val="auto"/>
          <w:sz w:val="24"/>
        </w:rPr>
        <w:t>评价</w:t>
      </w:r>
      <w:r>
        <w:rPr>
          <w:rFonts w:hint="eastAsia"/>
          <w:color w:val="auto"/>
          <w:sz w:val="24"/>
          <w:lang w:eastAsia="zh-CN"/>
        </w:rPr>
        <w:t>”</w:t>
      </w:r>
      <w:r>
        <w:rPr>
          <w:color w:val="auto"/>
          <w:sz w:val="24"/>
        </w:rPr>
        <w:t>。</w:t>
      </w:r>
    </w:p>
    <w:p w14:paraId="799F4F9C">
      <w:pPr>
        <w:pageBreakBefore w:val="0"/>
        <w:wordWrap/>
        <w:bidi w:val="0"/>
        <w:adjustRightInd/>
        <w:snapToGrid/>
        <w:ind w:firstLine="480"/>
        <w:rPr>
          <w:b/>
          <w:color w:val="auto"/>
        </w:rPr>
      </w:pPr>
      <w:r>
        <w:rPr>
          <w:color w:val="auto"/>
        </w:rPr>
        <w:t>项目产生的噪声主要来源于设备噪声，拟通过选用低噪声设备、合理布局等措施进行处理，</w:t>
      </w:r>
      <w:r>
        <w:rPr>
          <w:rFonts w:hint="eastAsia"/>
          <w:color w:val="auto"/>
        </w:rPr>
        <w:t>项目所处的声环境功能区为GB3096规定的2类地区</w:t>
      </w:r>
      <w:r>
        <w:rPr>
          <w:rFonts w:hint="eastAsia"/>
          <w:color w:val="auto"/>
          <w:lang w:eastAsia="zh-CN"/>
        </w:rPr>
        <w:t>，</w:t>
      </w:r>
      <w:r>
        <w:rPr>
          <w:color w:val="auto"/>
        </w:rPr>
        <w:t>经预测，项目建设前后评价范围内敏感目标噪声级增高量</w:t>
      </w:r>
      <w:r>
        <w:rPr>
          <w:rFonts w:hint="eastAsia"/>
          <w:color w:val="auto"/>
          <w:lang w:val="en-US" w:eastAsia="zh-CN"/>
        </w:rPr>
        <w:t>在</w:t>
      </w:r>
      <w:r>
        <w:rPr>
          <w:color w:val="auto"/>
        </w:rPr>
        <w:t>3dB（A）</w:t>
      </w:r>
      <w:r>
        <w:rPr>
          <w:rFonts w:hint="eastAsia"/>
          <w:color w:val="auto"/>
          <w:lang w:val="en-US" w:eastAsia="zh-CN"/>
        </w:rPr>
        <w:t>以下</w:t>
      </w:r>
      <w:r>
        <w:rPr>
          <w:color w:val="auto"/>
        </w:rPr>
        <w:t>，且周边为</w:t>
      </w:r>
      <w:r>
        <w:rPr>
          <w:rFonts w:hint="eastAsia"/>
          <w:color w:val="auto"/>
          <w:lang w:val="en-US" w:eastAsia="zh-CN"/>
        </w:rPr>
        <w:t>散居居民</w:t>
      </w:r>
      <w:r>
        <w:rPr>
          <w:color w:val="auto"/>
        </w:rPr>
        <w:t>，周围受项目噪声影响的人口变化</w:t>
      </w:r>
      <w:r>
        <w:rPr>
          <w:rFonts w:hint="eastAsia"/>
          <w:color w:val="auto"/>
          <w:lang w:val="en-US" w:eastAsia="zh-CN"/>
        </w:rPr>
        <w:t>较少</w:t>
      </w:r>
      <w:r>
        <w:rPr>
          <w:color w:val="auto"/>
        </w:rPr>
        <w:t>。根据</w:t>
      </w:r>
      <w:r>
        <w:rPr>
          <w:rFonts w:hint="eastAsia"/>
          <w:color w:val="auto"/>
          <w:lang w:eastAsia="zh-CN"/>
        </w:rPr>
        <w:t>《环境影响评价技术导则 声环境》（HJ2.4-2021）</w:t>
      </w:r>
      <w:r>
        <w:rPr>
          <w:color w:val="auto"/>
        </w:rPr>
        <w:t>中规定，</w:t>
      </w:r>
      <w:r>
        <w:rPr>
          <w:b/>
          <w:color w:val="auto"/>
        </w:rPr>
        <w:t>确定项目声环境评价等级为</w:t>
      </w:r>
      <w:r>
        <w:rPr>
          <w:rFonts w:hint="eastAsia"/>
          <w:b/>
          <w:color w:val="auto"/>
          <w:lang w:val="en-US" w:eastAsia="zh-CN"/>
        </w:rPr>
        <w:t>二</w:t>
      </w:r>
      <w:r>
        <w:rPr>
          <w:b/>
          <w:color w:val="auto"/>
        </w:rPr>
        <w:t>级。</w:t>
      </w:r>
    </w:p>
    <w:p w14:paraId="0ECD39BE">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生态环境影响评价等级</w:t>
      </w:r>
    </w:p>
    <w:p w14:paraId="7E6D394D">
      <w:pPr>
        <w:pageBreakBefore w:val="0"/>
        <w:wordWrap/>
        <w:bidi w:val="0"/>
        <w:adjustRightInd/>
        <w:snapToGrid/>
        <w:ind w:firstLine="480"/>
        <w:rPr>
          <w:color w:val="auto"/>
        </w:rPr>
      </w:pPr>
      <w:r>
        <w:rPr>
          <w:color w:val="auto"/>
        </w:rPr>
        <w:t>项目所在地属</w:t>
      </w:r>
      <w:r>
        <w:rPr>
          <w:rFonts w:hint="eastAsia"/>
          <w:color w:val="auto"/>
          <w:lang w:eastAsia="zh-CN"/>
        </w:rPr>
        <w:t>四川巴中经济开发区-曾口区块</w:t>
      </w:r>
      <w:r>
        <w:rPr>
          <w:color w:val="auto"/>
        </w:rPr>
        <w:t>的规划用地，建设用地性质为市政公共设施用地。项目占地面积为</w:t>
      </w:r>
      <w:r>
        <w:rPr>
          <w:rFonts w:hint="eastAsia"/>
          <w:color w:val="auto"/>
          <w:lang w:val="en-US" w:eastAsia="zh-CN"/>
        </w:rPr>
        <w:t>40490.086m²</w:t>
      </w:r>
      <w:r>
        <w:rPr>
          <w:rFonts w:hint="eastAsia"/>
          <w:color w:val="auto"/>
          <w:vertAlign w:val="baseline"/>
          <w:lang w:val="en-US" w:eastAsia="zh-CN"/>
        </w:rPr>
        <w:t>（0.4km²）</w:t>
      </w:r>
      <w:r>
        <w:rPr>
          <w:color w:val="auto"/>
        </w:rPr>
        <w:t>，尾水就近排放至</w:t>
      </w:r>
      <w:r>
        <w:rPr>
          <w:rFonts w:hint="eastAsia"/>
          <w:color w:val="auto"/>
          <w:lang w:eastAsia="zh-CN"/>
        </w:rPr>
        <w:t>巴河</w:t>
      </w:r>
      <w:r>
        <w:rPr>
          <w:color w:val="auto"/>
        </w:rPr>
        <w:t>，排污口区域不涉及自然保护区、风景名胜区、森林公园等生态敏感区，属一般区域。根据《环境影响评价技术导则</w:t>
      </w:r>
      <w:r>
        <w:rPr>
          <w:rFonts w:hint="eastAsia"/>
          <w:color w:val="auto"/>
          <w:lang w:val="en-US" w:eastAsia="zh-CN"/>
        </w:rPr>
        <w:t xml:space="preserve"> </w:t>
      </w:r>
      <w:r>
        <w:rPr>
          <w:color w:val="auto"/>
        </w:rPr>
        <w:t>生态影响》（</w:t>
      </w:r>
      <w:r>
        <w:rPr>
          <w:rFonts w:hint="eastAsia"/>
          <w:color w:val="auto"/>
          <w:lang w:eastAsia="zh-CN"/>
        </w:rPr>
        <w:t>HJ19-2022</w:t>
      </w:r>
      <w:r>
        <w:rPr>
          <w:color w:val="auto"/>
        </w:rPr>
        <w:t>），本项目生态影响评价等级为三级评价。</w:t>
      </w:r>
    </w:p>
    <w:p w14:paraId="51A3A75F">
      <w:pPr>
        <w:pStyle w:val="15"/>
        <w:numPr>
          <w:ilvl w:val="0"/>
          <w:numId w:val="9"/>
        </w:numPr>
        <w:tabs>
          <w:tab w:val="clear" w:pos="0"/>
        </w:tabs>
        <w:bidi w:val="0"/>
        <w:ind w:left="0" w:leftChars="0" w:firstLine="0" w:firstLineChars="0"/>
        <w:rPr>
          <w:color w:val="auto"/>
        </w:rPr>
      </w:pPr>
      <w:r>
        <w:rPr>
          <w:color w:val="auto"/>
        </w:rPr>
        <w:t>生态影响评价工作等级划分</w:t>
      </w:r>
    </w:p>
    <w:p w14:paraId="2E77FD98">
      <w:pPr>
        <w:pageBreakBefore w:val="0"/>
        <w:wordWrap/>
        <w:bidi w:val="0"/>
        <w:adjustRightInd/>
        <w:snapToGrid/>
        <w:spacing w:before="8" w:line="10" w:lineRule="exact"/>
        <w:ind w:firstLine="20"/>
        <w:jc w:val="left"/>
        <w:rPr>
          <w:color w:val="auto"/>
          <w:kern w:val="0"/>
          <w:sz w:val="1"/>
          <w:szCs w:val="1"/>
        </w:rPr>
      </w:pPr>
    </w:p>
    <w:tbl>
      <w:tblPr>
        <w:tblStyle w:val="48"/>
        <w:tblW w:w="5116" w:type="pct"/>
        <w:jc w:val="center"/>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0" w:type="dxa"/>
          <w:bottom w:w="0" w:type="dxa"/>
          <w:right w:w="0" w:type="dxa"/>
        </w:tblCellMar>
      </w:tblPr>
      <w:tblGrid>
        <w:gridCol w:w="1490"/>
        <w:gridCol w:w="2760"/>
        <w:gridCol w:w="1508"/>
        <w:gridCol w:w="1687"/>
        <w:gridCol w:w="1488"/>
      </w:tblGrid>
      <w:tr w14:paraId="6946928E">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PrEx>
        <w:trPr>
          <w:trHeight w:val="397" w:hRule="atLeast"/>
          <w:jc w:val="center"/>
        </w:trPr>
        <w:tc>
          <w:tcPr>
            <w:tcW w:w="834" w:type="pct"/>
            <w:vMerge w:val="restart"/>
            <w:tcBorders>
              <w:tl2br w:val="nil"/>
              <w:tr2bl w:val="nil"/>
            </w:tcBorders>
            <w:noWrap w:val="0"/>
            <w:vAlign w:val="center"/>
          </w:tcPr>
          <w:p w14:paraId="744284A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《环境影响评价技术导则—生态影响》规定的评价工作等级的判定条件</w:t>
            </w:r>
          </w:p>
        </w:tc>
        <w:tc>
          <w:tcPr>
            <w:tcW w:w="1545" w:type="pct"/>
            <w:tcBorders>
              <w:tl2br w:val="single" w:color="auto" w:sz="4" w:space="0"/>
            </w:tcBorders>
            <w:noWrap w:val="0"/>
            <w:vAlign w:val="center"/>
          </w:tcPr>
          <w:p w14:paraId="7F0077A0">
            <w:pPr>
              <w:pageBreakBefore w:val="0"/>
              <w:wordWrap/>
              <w:bidi w:val="0"/>
              <w:adjustRightInd/>
              <w:snapToGrid/>
              <w:spacing w:line="240" w:lineRule="auto"/>
              <w:ind w:firstLine="0" w:firstLineChars="0"/>
              <w:jc w:val="right"/>
              <w:rPr>
                <w:b/>
                <w:bCs/>
                <w:color w:val="auto"/>
                <w:sz w:val="21"/>
                <w:szCs w:val="21"/>
              </w:rPr>
            </w:pPr>
            <w:r>
              <w:rPr>
                <w:b/>
                <w:bCs/>
                <w:color w:val="auto"/>
                <w:sz w:val="21"/>
                <w:szCs w:val="21"/>
              </w:rPr>
              <w:t xml:space="preserve">     工程占地（含水域）</w:t>
            </w:r>
          </w:p>
          <w:p w14:paraId="6C1464E4">
            <w:pPr>
              <w:pageBreakBefore w:val="0"/>
              <w:wordWrap/>
              <w:bidi w:val="0"/>
              <w:adjustRightInd/>
              <w:snapToGrid/>
              <w:spacing w:line="240" w:lineRule="auto"/>
              <w:ind w:firstLine="0" w:firstLineChars="0"/>
              <w:jc w:val="right"/>
              <w:rPr>
                <w:b/>
                <w:bCs/>
                <w:color w:val="auto"/>
                <w:sz w:val="21"/>
                <w:szCs w:val="21"/>
              </w:rPr>
            </w:pPr>
            <w:r>
              <w:rPr>
                <w:b/>
                <w:bCs/>
                <w:color w:val="auto"/>
                <w:sz w:val="21"/>
                <w:szCs w:val="21"/>
              </w:rPr>
              <w:t xml:space="preserve">            范围</w:t>
            </w:r>
          </w:p>
          <w:p w14:paraId="722A76C7">
            <w:pPr>
              <w:pageBreakBefore w:val="0"/>
              <w:wordWrap/>
              <w:bidi w:val="0"/>
              <w:adjustRightInd/>
              <w:snapToGrid/>
              <w:spacing w:line="240" w:lineRule="auto"/>
              <w:ind w:firstLine="0" w:firstLineChars="0"/>
              <w:rPr>
                <w:b/>
                <w:bCs/>
                <w:color w:val="auto"/>
                <w:sz w:val="21"/>
                <w:szCs w:val="21"/>
              </w:rPr>
            </w:pPr>
            <w:r>
              <w:rPr>
                <w:b/>
                <w:bCs/>
                <w:color w:val="auto"/>
                <w:sz w:val="21"/>
                <w:szCs w:val="21"/>
              </w:rPr>
              <w:t>影响区域生态敏感性</w:t>
            </w:r>
          </w:p>
        </w:tc>
        <w:tc>
          <w:tcPr>
            <w:tcW w:w="844" w:type="pct"/>
            <w:tcBorders>
              <w:tl2br w:val="nil"/>
              <w:tr2bl w:val="nil"/>
            </w:tcBorders>
            <w:noWrap w:val="0"/>
            <w:vAlign w:val="center"/>
          </w:tcPr>
          <w:p w14:paraId="1D01305D">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w:t>
            </w:r>
            <w:r>
              <w:rPr>
                <w:b/>
                <w:bCs/>
                <w:color w:val="auto"/>
                <w:sz w:val="21"/>
                <w:szCs w:val="21"/>
              </w:rPr>
              <w:t>≥20k</w:t>
            </w:r>
            <w:r>
              <w:rPr>
                <w:rFonts w:hint="eastAsia"/>
                <w:b/>
                <w:bCs/>
                <w:color w:val="auto"/>
                <w:sz w:val="21"/>
                <w:szCs w:val="21"/>
                <w:lang w:eastAsia="zh-CN"/>
              </w:rPr>
              <w:t>m²</w:t>
            </w:r>
            <w:r>
              <w:rPr>
                <w:b/>
                <w:bCs/>
                <w:color w:val="auto"/>
                <w:kern w:val="0"/>
                <w:sz w:val="21"/>
                <w:szCs w:val="21"/>
              </w:rPr>
              <w:t>或长度</w:t>
            </w:r>
            <w:r>
              <w:rPr>
                <w:b/>
                <w:bCs/>
                <w:color w:val="auto"/>
                <w:sz w:val="21"/>
                <w:szCs w:val="21"/>
              </w:rPr>
              <w:t>≥100km</w:t>
            </w:r>
          </w:p>
        </w:tc>
        <w:tc>
          <w:tcPr>
            <w:tcW w:w="944" w:type="pct"/>
            <w:tcBorders>
              <w:tl2br w:val="nil"/>
              <w:tr2bl w:val="nil"/>
            </w:tcBorders>
            <w:noWrap w:val="0"/>
            <w:vAlign w:val="center"/>
          </w:tcPr>
          <w:p w14:paraId="2F035097">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面积2</w:t>
            </w:r>
            <w:r>
              <w:rPr>
                <w:rFonts w:hint="eastAsia"/>
                <w:b/>
                <w:bCs/>
                <w:color w:val="auto"/>
                <w:kern w:val="0"/>
                <w:sz w:val="21"/>
                <w:szCs w:val="21"/>
                <w:lang w:eastAsia="zh-CN"/>
              </w:rPr>
              <w:t>～</w:t>
            </w:r>
            <w:r>
              <w:rPr>
                <w:b/>
                <w:bCs/>
                <w:color w:val="auto"/>
                <w:kern w:val="0"/>
                <w:sz w:val="21"/>
                <w:szCs w:val="21"/>
              </w:rPr>
              <w:t>20k</w:t>
            </w:r>
            <w:r>
              <w:rPr>
                <w:rFonts w:hint="eastAsia"/>
                <w:b/>
                <w:bCs/>
                <w:color w:val="auto"/>
                <w:kern w:val="0"/>
                <w:sz w:val="21"/>
                <w:szCs w:val="21"/>
                <w:lang w:eastAsia="zh-CN"/>
              </w:rPr>
              <w:t>m²</w:t>
            </w:r>
            <w:r>
              <w:rPr>
                <w:b/>
                <w:bCs/>
                <w:color w:val="auto"/>
                <w:kern w:val="0"/>
                <w:sz w:val="21"/>
                <w:szCs w:val="21"/>
              </w:rPr>
              <w:t>或长度50</w:t>
            </w:r>
            <w:r>
              <w:rPr>
                <w:rFonts w:hint="eastAsia"/>
                <w:b/>
                <w:bCs/>
                <w:color w:val="auto"/>
                <w:kern w:val="0"/>
                <w:sz w:val="21"/>
                <w:szCs w:val="21"/>
                <w:lang w:eastAsia="zh-CN"/>
              </w:rPr>
              <w:t>～</w:t>
            </w:r>
            <w:r>
              <w:rPr>
                <w:b/>
                <w:bCs/>
                <w:color w:val="auto"/>
                <w:kern w:val="0"/>
                <w:sz w:val="21"/>
                <w:szCs w:val="21"/>
              </w:rPr>
              <w:t>100km</w:t>
            </w:r>
          </w:p>
        </w:tc>
        <w:tc>
          <w:tcPr>
            <w:tcW w:w="833" w:type="pct"/>
            <w:tcBorders>
              <w:tl2br w:val="nil"/>
              <w:tr2bl w:val="nil"/>
            </w:tcBorders>
            <w:noWrap w:val="0"/>
            <w:vAlign w:val="center"/>
          </w:tcPr>
          <w:p w14:paraId="75652583">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w:t>
            </w:r>
            <w:r>
              <w:rPr>
                <w:b/>
                <w:bCs/>
                <w:color w:val="auto"/>
                <w:sz w:val="21"/>
                <w:szCs w:val="21"/>
              </w:rPr>
              <w:t>≤</w:t>
            </w:r>
            <w:r>
              <w:rPr>
                <w:b/>
                <w:bCs/>
                <w:color w:val="auto"/>
                <w:kern w:val="0"/>
                <w:sz w:val="21"/>
                <w:szCs w:val="21"/>
              </w:rPr>
              <w:t>2k</w:t>
            </w:r>
            <w:r>
              <w:rPr>
                <w:rFonts w:hint="eastAsia"/>
                <w:b/>
                <w:bCs/>
                <w:color w:val="auto"/>
                <w:kern w:val="0"/>
                <w:sz w:val="21"/>
                <w:szCs w:val="21"/>
                <w:lang w:eastAsia="zh-CN"/>
              </w:rPr>
              <w:t>m²</w:t>
            </w:r>
            <w:r>
              <w:rPr>
                <w:b/>
                <w:bCs/>
                <w:color w:val="auto"/>
                <w:kern w:val="0"/>
                <w:sz w:val="21"/>
                <w:szCs w:val="21"/>
              </w:rPr>
              <w:t>或长度</w:t>
            </w:r>
            <w:r>
              <w:rPr>
                <w:b/>
                <w:bCs/>
                <w:color w:val="auto"/>
                <w:sz w:val="21"/>
                <w:szCs w:val="21"/>
              </w:rPr>
              <w:t>≤</w:t>
            </w:r>
            <w:r>
              <w:rPr>
                <w:b/>
                <w:bCs/>
                <w:color w:val="auto"/>
                <w:kern w:val="0"/>
                <w:sz w:val="21"/>
                <w:szCs w:val="21"/>
              </w:rPr>
              <w:t>50km</w:t>
            </w:r>
          </w:p>
        </w:tc>
      </w:tr>
      <w:tr w14:paraId="62C90AE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213BE145">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noWrap w:val="0"/>
            <w:vAlign w:val="center"/>
          </w:tcPr>
          <w:p w14:paraId="3AA53AF6">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特殊生态敏感区</w:t>
            </w:r>
          </w:p>
        </w:tc>
        <w:tc>
          <w:tcPr>
            <w:tcW w:w="844" w:type="pct"/>
            <w:tcBorders>
              <w:tl2br w:val="nil"/>
              <w:tr2bl w:val="nil"/>
            </w:tcBorders>
            <w:noWrap w:val="0"/>
            <w:vAlign w:val="center"/>
          </w:tcPr>
          <w:p w14:paraId="7CB3936D">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944" w:type="pct"/>
            <w:tcBorders>
              <w:tl2br w:val="nil"/>
              <w:tr2bl w:val="nil"/>
            </w:tcBorders>
            <w:noWrap w:val="0"/>
            <w:vAlign w:val="center"/>
          </w:tcPr>
          <w:p w14:paraId="7D29469B">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833" w:type="pct"/>
            <w:tcBorders>
              <w:tl2br w:val="nil"/>
              <w:tr2bl w:val="nil"/>
            </w:tcBorders>
            <w:noWrap w:val="0"/>
            <w:vAlign w:val="center"/>
          </w:tcPr>
          <w:p w14:paraId="1541135E">
            <w:pPr>
              <w:pageBreakBefore w:val="0"/>
              <w:wordWrap/>
              <w:bidi w:val="0"/>
              <w:adjustRightInd/>
              <w:snapToGrid/>
              <w:spacing w:line="240" w:lineRule="auto"/>
              <w:ind w:firstLine="0" w:firstLineChars="0"/>
              <w:jc w:val="center"/>
              <w:rPr>
                <w:color w:val="auto"/>
                <w:kern w:val="0"/>
                <w:sz w:val="21"/>
                <w:szCs w:val="21"/>
                <w:lang w:eastAsia="en-US"/>
              </w:rPr>
            </w:pPr>
            <w:r>
              <w:rPr>
                <w:color w:val="auto"/>
                <w:kern w:val="0"/>
                <w:sz w:val="21"/>
                <w:szCs w:val="21"/>
              </w:rPr>
              <w:t>一级</w:t>
            </w:r>
          </w:p>
        </w:tc>
      </w:tr>
      <w:tr w14:paraId="0418ED8E">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2497BB2A">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noWrap w:val="0"/>
            <w:vAlign w:val="center"/>
          </w:tcPr>
          <w:p w14:paraId="320C7691">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重要生态敏感区</w:t>
            </w:r>
          </w:p>
        </w:tc>
        <w:tc>
          <w:tcPr>
            <w:tcW w:w="844" w:type="pct"/>
            <w:tcBorders>
              <w:tl2br w:val="nil"/>
              <w:tr2bl w:val="nil"/>
            </w:tcBorders>
            <w:noWrap w:val="0"/>
            <w:vAlign w:val="center"/>
          </w:tcPr>
          <w:p w14:paraId="1FD90322">
            <w:pPr>
              <w:pageBreakBefore w:val="0"/>
              <w:wordWrap/>
              <w:bidi w:val="0"/>
              <w:adjustRightInd/>
              <w:snapToGrid/>
              <w:spacing w:line="240" w:lineRule="auto"/>
              <w:ind w:firstLine="0" w:firstLineChars="0"/>
              <w:jc w:val="center"/>
              <w:rPr>
                <w:color w:val="auto"/>
                <w:spacing w:val="1"/>
                <w:kern w:val="0"/>
                <w:sz w:val="21"/>
                <w:szCs w:val="21"/>
                <w:lang w:eastAsia="en-US"/>
              </w:rPr>
            </w:pPr>
            <w:r>
              <w:rPr>
                <w:color w:val="auto"/>
                <w:kern w:val="0"/>
                <w:sz w:val="21"/>
                <w:szCs w:val="21"/>
              </w:rPr>
              <w:t>一级</w:t>
            </w:r>
          </w:p>
        </w:tc>
        <w:tc>
          <w:tcPr>
            <w:tcW w:w="944" w:type="pct"/>
            <w:tcBorders>
              <w:tl2br w:val="nil"/>
              <w:tr2bl w:val="nil"/>
            </w:tcBorders>
            <w:noWrap w:val="0"/>
            <w:vAlign w:val="center"/>
          </w:tcPr>
          <w:p w14:paraId="052D1519">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二级</w:t>
            </w:r>
          </w:p>
        </w:tc>
        <w:tc>
          <w:tcPr>
            <w:tcW w:w="833" w:type="pct"/>
            <w:tcBorders>
              <w:tl2br w:val="nil"/>
              <w:tr2bl w:val="nil"/>
            </w:tcBorders>
            <w:noWrap w:val="0"/>
            <w:vAlign w:val="center"/>
          </w:tcPr>
          <w:p w14:paraId="1361309A">
            <w:pPr>
              <w:pageBreakBefore w:val="0"/>
              <w:wordWrap/>
              <w:bidi w:val="0"/>
              <w:adjustRightInd/>
              <w:snapToGrid/>
              <w:spacing w:line="240" w:lineRule="auto"/>
              <w:ind w:firstLine="0" w:firstLineChars="0"/>
              <w:jc w:val="center"/>
              <w:rPr>
                <w:color w:val="auto"/>
                <w:kern w:val="0"/>
                <w:position w:val="-1"/>
                <w:sz w:val="21"/>
                <w:szCs w:val="21"/>
              </w:rPr>
            </w:pPr>
            <w:r>
              <w:rPr>
                <w:color w:val="auto"/>
                <w:kern w:val="0"/>
                <w:position w:val="-1"/>
                <w:sz w:val="21"/>
                <w:szCs w:val="21"/>
              </w:rPr>
              <w:t>三级</w:t>
            </w:r>
          </w:p>
        </w:tc>
      </w:tr>
      <w:tr w14:paraId="20188255">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1C64821A">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tcBorders>
              <w:tl2br w:val="nil"/>
              <w:tr2bl w:val="nil"/>
            </w:tcBorders>
            <w:noWrap w:val="0"/>
            <w:vAlign w:val="center"/>
          </w:tcPr>
          <w:p w14:paraId="177F4997">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一般区域</w:t>
            </w:r>
          </w:p>
        </w:tc>
        <w:tc>
          <w:tcPr>
            <w:tcW w:w="844" w:type="pct"/>
            <w:tcBorders>
              <w:tl2br w:val="nil"/>
              <w:tr2bl w:val="nil"/>
            </w:tcBorders>
            <w:noWrap w:val="0"/>
            <w:vAlign w:val="center"/>
          </w:tcPr>
          <w:p w14:paraId="724B221B">
            <w:pPr>
              <w:pageBreakBefore w:val="0"/>
              <w:wordWrap/>
              <w:bidi w:val="0"/>
              <w:adjustRightInd/>
              <w:snapToGrid/>
              <w:spacing w:line="240" w:lineRule="auto"/>
              <w:ind w:firstLine="0" w:firstLineChars="0"/>
              <w:jc w:val="center"/>
              <w:rPr>
                <w:color w:val="auto"/>
                <w:spacing w:val="1"/>
                <w:kern w:val="0"/>
                <w:sz w:val="21"/>
                <w:szCs w:val="21"/>
              </w:rPr>
            </w:pPr>
            <w:r>
              <w:rPr>
                <w:color w:val="auto"/>
                <w:spacing w:val="1"/>
                <w:kern w:val="0"/>
                <w:sz w:val="21"/>
                <w:szCs w:val="21"/>
              </w:rPr>
              <w:t>二级</w:t>
            </w:r>
          </w:p>
        </w:tc>
        <w:tc>
          <w:tcPr>
            <w:tcW w:w="944" w:type="pct"/>
            <w:tcBorders>
              <w:tl2br w:val="nil"/>
              <w:tr2bl w:val="nil"/>
            </w:tcBorders>
            <w:noWrap w:val="0"/>
            <w:vAlign w:val="center"/>
          </w:tcPr>
          <w:p w14:paraId="2DD31F97">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w:t>
            </w:r>
          </w:p>
        </w:tc>
        <w:tc>
          <w:tcPr>
            <w:tcW w:w="833" w:type="pct"/>
            <w:tcBorders>
              <w:tl2br w:val="nil"/>
              <w:tr2bl w:val="nil"/>
            </w:tcBorders>
            <w:noWrap w:val="0"/>
            <w:vAlign w:val="center"/>
          </w:tcPr>
          <w:p w14:paraId="59C12E88">
            <w:pPr>
              <w:pageBreakBefore w:val="0"/>
              <w:wordWrap/>
              <w:bidi w:val="0"/>
              <w:adjustRightInd/>
              <w:snapToGrid/>
              <w:spacing w:line="240" w:lineRule="auto"/>
              <w:ind w:firstLine="0" w:firstLineChars="0"/>
              <w:jc w:val="center"/>
              <w:rPr>
                <w:color w:val="auto"/>
                <w:kern w:val="0"/>
                <w:position w:val="-1"/>
                <w:sz w:val="21"/>
                <w:szCs w:val="21"/>
              </w:rPr>
            </w:pPr>
            <w:r>
              <w:rPr>
                <w:b/>
                <w:bCs/>
                <w:color w:val="auto"/>
                <w:kern w:val="0"/>
                <w:position w:val="-1"/>
                <w:sz w:val="21"/>
                <w:szCs w:val="21"/>
              </w:rPr>
              <w:t>三级</w:t>
            </w:r>
          </w:p>
        </w:tc>
      </w:tr>
      <w:tr w14:paraId="11B87C2E">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tcBorders>
              <w:tl2br w:val="nil"/>
              <w:tr2bl w:val="nil"/>
            </w:tcBorders>
            <w:noWrap w:val="0"/>
            <w:vAlign w:val="center"/>
          </w:tcPr>
          <w:p w14:paraId="45894896">
            <w:pPr>
              <w:pageBreakBefore w:val="0"/>
              <w:wordWrap/>
              <w:bidi w:val="0"/>
              <w:adjustRightInd/>
              <w:snapToGrid/>
              <w:spacing w:line="240" w:lineRule="auto"/>
              <w:ind w:firstLine="0" w:firstLineChars="0"/>
              <w:jc w:val="center"/>
              <w:rPr>
                <w:b/>
                <w:color w:val="auto"/>
                <w:kern w:val="0"/>
                <w:position w:val="-2"/>
                <w:sz w:val="21"/>
                <w:szCs w:val="21"/>
              </w:rPr>
            </w:pPr>
            <w:r>
              <w:rPr>
                <w:b/>
                <w:color w:val="auto"/>
                <w:kern w:val="0"/>
                <w:position w:val="-2"/>
                <w:sz w:val="21"/>
                <w:szCs w:val="21"/>
              </w:rPr>
              <w:t>本项目特点</w:t>
            </w:r>
          </w:p>
        </w:tc>
        <w:tc>
          <w:tcPr>
            <w:tcW w:w="1545" w:type="pct"/>
            <w:tcBorders>
              <w:tl2br w:val="nil"/>
              <w:tr2bl w:val="nil"/>
            </w:tcBorders>
            <w:noWrap w:val="0"/>
            <w:vAlign w:val="center"/>
          </w:tcPr>
          <w:p w14:paraId="71B50649">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一般区域</w:t>
            </w:r>
          </w:p>
        </w:tc>
        <w:tc>
          <w:tcPr>
            <w:tcW w:w="844" w:type="pct"/>
            <w:tcBorders>
              <w:tl2br w:val="nil"/>
              <w:tr2bl w:val="nil"/>
            </w:tcBorders>
            <w:noWrap w:val="0"/>
            <w:vAlign w:val="center"/>
          </w:tcPr>
          <w:p w14:paraId="1005EC5C">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944" w:type="pct"/>
            <w:tcBorders>
              <w:tl2br w:val="nil"/>
              <w:tr2bl w:val="nil"/>
            </w:tcBorders>
            <w:noWrap w:val="0"/>
            <w:vAlign w:val="center"/>
          </w:tcPr>
          <w:p w14:paraId="54EDED13">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33" w:type="pct"/>
            <w:tcBorders>
              <w:tl2br w:val="nil"/>
              <w:tr2bl w:val="nil"/>
            </w:tcBorders>
            <w:noWrap w:val="0"/>
            <w:vAlign w:val="center"/>
          </w:tcPr>
          <w:p w14:paraId="0F3ECB23">
            <w:pPr>
              <w:pageBreakBefore w:val="0"/>
              <w:wordWrap/>
              <w:bidi w:val="0"/>
              <w:adjustRightInd/>
              <w:snapToGrid/>
              <w:spacing w:line="240" w:lineRule="auto"/>
              <w:ind w:firstLine="0" w:firstLineChars="0"/>
              <w:jc w:val="center"/>
              <w:rPr>
                <w:rFonts w:hint="eastAsia" w:eastAsia="宋体"/>
                <w:color w:val="auto"/>
                <w:kern w:val="0"/>
                <w:position w:val="-1"/>
                <w:sz w:val="21"/>
                <w:szCs w:val="21"/>
                <w:lang w:eastAsia="zh-CN"/>
              </w:rPr>
            </w:pPr>
            <w:r>
              <w:rPr>
                <w:color w:val="auto"/>
                <w:kern w:val="0"/>
                <w:position w:val="-1"/>
                <w:sz w:val="21"/>
                <w:szCs w:val="21"/>
                <w:lang w:eastAsia="en-US"/>
              </w:rPr>
              <w:t>面积≤2k</w:t>
            </w:r>
            <w:r>
              <w:rPr>
                <w:rFonts w:hint="eastAsia"/>
                <w:color w:val="auto"/>
                <w:kern w:val="0"/>
                <w:position w:val="-1"/>
                <w:sz w:val="21"/>
                <w:szCs w:val="21"/>
                <w:lang w:eastAsia="zh-CN"/>
              </w:rPr>
              <w:t>m²</w:t>
            </w:r>
          </w:p>
        </w:tc>
      </w:tr>
    </w:tbl>
    <w:p w14:paraId="07E9DB21">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环境风险评价等级</w:t>
      </w:r>
    </w:p>
    <w:p w14:paraId="46936549">
      <w:pPr>
        <w:pageBreakBefore w:val="0"/>
        <w:wordWrap/>
        <w:bidi w:val="0"/>
        <w:adjustRightInd/>
        <w:snapToGrid/>
        <w:ind w:firstLine="480"/>
        <w:rPr>
          <w:color w:val="auto"/>
        </w:rPr>
      </w:pPr>
      <w:r>
        <w:rPr>
          <w:color w:val="auto"/>
        </w:rPr>
        <w:t>本项目</w:t>
      </w:r>
      <w:r>
        <w:rPr>
          <w:rFonts w:hint="eastAsia"/>
          <w:color w:val="auto"/>
        </w:rPr>
        <w:t>储存的次氯酸钠</w:t>
      </w:r>
      <w:r>
        <w:rPr>
          <w:color w:val="auto"/>
        </w:rPr>
        <w:t>涉及《建设项目环境风险评价技术导则》（HJ169-2018）附录B中所列危险物质，</w:t>
      </w:r>
      <w:r>
        <w:rPr>
          <w:rFonts w:hint="eastAsia"/>
          <w:color w:val="auto"/>
        </w:rPr>
        <w:t>储存量最大</w:t>
      </w:r>
      <w:r>
        <w:rPr>
          <w:rFonts w:hint="eastAsia"/>
          <w:color w:val="auto"/>
          <w:lang w:val="en-US" w:eastAsia="zh-CN"/>
        </w:rPr>
        <w:t>0.2t</w:t>
      </w:r>
      <w:r>
        <w:rPr>
          <w:rFonts w:hint="eastAsia"/>
          <w:color w:val="auto"/>
        </w:rPr>
        <w:t>，Q</w:t>
      </w:r>
      <w:r>
        <w:rPr>
          <w:rFonts w:hint="eastAsia" w:ascii="宋体" w:hAnsi="宋体" w:cs="宋体"/>
          <w:color w:val="auto"/>
        </w:rPr>
        <w:t>&lt;</w:t>
      </w:r>
      <w:r>
        <w:rPr>
          <w:rFonts w:hint="eastAsia"/>
          <w:color w:val="auto"/>
        </w:rPr>
        <w:t>1，</w:t>
      </w:r>
      <w:r>
        <w:rPr>
          <w:color w:val="auto"/>
        </w:rPr>
        <w:t>故风险潜势为Ⅰ，根据《建设项目环境风险评价技术导则》（HJ169-2018）评价工作等级划分要求，确定本工程环境风险级别为</w:t>
      </w:r>
      <w:r>
        <w:rPr>
          <w:b/>
          <w:bCs/>
          <w:color w:val="auto"/>
        </w:rPr>
        <w:t>简要分析</w:t>
      </w:r>
      <w:r>
        <w:rPr>
          <w:color w:val="auto"/>
        </w:rPr>
        <w:t>。</w:t>
      </w:r>
    </w:p>
    <w:p w14:paraId="5689A7CF">
      <w:pPr>
        <w:pStyle w:val="15"/>
        <w:numPr>
          <w:ilvl w:val="0"/>
          <w:numId w:val="9"/>
        </w:numPr>
        <w:tabs>
          <w:tab w:val="clear" w:pos="0"/>
        </w:tabs>
        <w:bidi w:val="0"/>
        <w:ind w:left="0" w:leftChars="0" w:firstLine="0" w:firstLineChars="0"/>
        <w:rPr>
          <w:color w:val="auto"/>
        </w:rPr>
      </w:pPr>
      <w:r>
        <w:rPr>
          <w:color w:val="auto"/>
        </w:rPr>
        <w:t>评价工作等级划分</w:t>
      </w:r>
    </w:p>
    <w:tbl>
      <w:tblPr>
        <w:tblStyle w:val="48"/>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24"/>
        <w:gridCol w:w="1506"/>
        <w:gridCol w:w="1913"/>
        <w:gridCol w:w="1651"/>
        <w:gridCol w:w="1636"/>
      </w:tblGrid>
      <w:tr w14:paraId="07023B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25" w:hRule="atLeast"/>
        </w:trPr>
        <w:tc>
          <w:tcPr>
            <w:tcW w:w="2024" w:type="dxa"/>
            <w:tcBorders>
              <w:tl2br w:val="nil"/>
              <w:tr2bl w:val="nil"/>
            </w:tcBorders>
            <w:noWrap w:val="0"/>
            <w:tcMar>
              <w:left w:w="0" w:type="dxa"/>
              <w:right w:w="0" w:type="dxa"/>
            </w:tcMar>
            <w:vAlign w:val="center"/>
          </w:tcPr>
          <w:p w14:paraId="234BBA2C">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环境风险潜势</w:t>
            </w:r>
          </w:p>
        </w:tc>
        <w:tc>
          <w:tcPr>
            <w:tcW w:w="1506" w:type="dxa"/>
            <w:tcBorders>
              <w:tl2br w:val="nil"/>
              <w:tr2bl w:val="nil"/>
            </w:tcBorders>
            <w:noWrap w:val="0"/>
            <w:tcMar>
              <w:left w:w="0" w:type="dxa"/>
              <w:right w:w="0" w:type="dxa"/>
            </w:tcMar>
            <w:vAlign w:val="center"/>
          </w:tcPr>
          <w:p w14:paraId="721E5650">
            <w:pPr>
              <w:pageBreakBefore w:val="0"/>
              <w:wordWrap/>
              <w:bidi w:val="0"/>
              <w:adjustRightInd/>
              <w:snapToGrid/>
              <w:spacing w:line="240" w:lineRule="auto"/>
              <w:ind w:firstLine="0" w:firstLineChars="0"/>
              <w:jc w:val="center"/>
              <w:rPr>
                <w:color w:val="auto"/>
                <w:sz w:val="21"/>
                <w:szCs w:val="21"/>
              </w:rPr>
            </w:pPr>
            <w:r>
              <w:rPr>
                <w:color w:val="auto"/>
                <w:sz w:val="21"/>
                <w:szCs w:val="21"/>
              </w:rPr>
              <w:t>Ⅳ、Ⅳ</w:t>
            </w:r>
            <w:r>
              <w:rPr>
                <w:color w:val="auto"/>
                <w:sz w:val="21"/>
                <w:szCs w:val="21"/>
                <w:vertAlign w:val="superscript"/>
              </w:rPr>
              <w:t>+</w:t>
            </w:r>
          </w:p>
        </w:tc>
        <w:tc>
          <w:tcPr>
            <w:tcW w:w="1913" w:type="dxa"/>
            <w:tcBorders>
              <w:tl2br w:val="nil"/>
              <w:tr2bl w:val="nil"/>
            </w:tcBorders>
            <w:noWrap w:val="0"/>
            <w:tcMar>
              <w:left w:w="0" w:type="dxa"/>
              <w:right w:w="0" w:type="dxa"/>
            </w:tcMar>
            <w:vAlign w:val="center"/>
          </w:tcPr>
          <w:p w14:paraId="6C027D64">
            <w:pPr>
              <w:pageBreakBefore w:val="0"/>
              <w:wordWrap/>
              <w:bidi w:val="0"/>
              <w:adjustRightInd/>
              <w:snapToGrid/>
              <w:spacing w:line="240" w:lineRule="auto"/>
              <w:ind w:firstLine="0" w:firstLineChars="0"/>
              <w:jc w:val="center"/>
              <w:rPr>
                <w:color w:val="auto"/>
                <w:sz w:val="21"/>
                <w:szCs w:val="21"/>
              </w:rPr>
            </w:pPr>
            <w:r>
              <w:rPr>
                <w:color w:val="auto"/>
                <w:sz w:val="21"/>
                <w:szCs w:val="21"/>
              </w:rPr>
              <w:t>Ⅲ</w:t>
            </w:r>
          </w:p>
        </w:tc>
        <w:tc>
          <w:tcPr>
            <w:tcW w:w="1651" w:type="dxa"/>
            <w:tcBorders>
              <w:tl2br w:val="nil"/>
              <w:tr2bl w:val="nil"/>
            </w:tcBorders>
            <w:noWrap w:val="0"/>
            <w:tcMar>
              <w:left w:w="0" w:type="dxa"/>
              <w:right w:w="0" w:type="dxa"/>
            </w:tcMar>
            <w:vAlign w:val="center"/>
          </w:tcPr>
          <w:p w14:paraId="54218FBA">
            <w:pPr>
              <w:pageBreakBefore w:val="0"/>
              <w:wordWrap/>
              <w:bidi w:val="0"/>
              <w:adjustRightInd/>
              <w:snapToGrid/>
              <w:spacing w:line="240" w:lineRule="auto"/>
              <w:ind w:firstLine="0" w:firstLineChars="0"/>
              <w:jc w:val="center"/>
              <w:rPr>
                <w:color w:val="auto"/>
                <w:sz w:val="21"/>
                <w:szCs w:val="21"/>
              </w:rPr>
            </w:pPr>
            <w:r>
              <w:rPr>
                <w:color w:val="auto"/>
                <w:sz w:val="21"/>
                <w:szCs w:val="21"/>
              </w:rPr>
              <w:t>Ⅱ</w:t>
            </w:r>
          </w:p>
        </w:tc>
        <w:tc>
          <w:tcPr>
            <w:tcW w:w="1636" w:type="dxa"/>
            <w:tcBorders>
              <w:tl2br w:val="nil"/>
              <w:tr2bl w:val="nil"/>
            </w:tcBorders>
            <w:noWrap w:val="0"/>
            <w:tcMar>
              <w:left w:w="0" w:type="dxa"/>
              <w:right w:w="0" w:type="dxa"/>
            </w:tcMar>
            <w:vAlign w:val="center"/>
          </w:tcPr>
          <w:p w14:paraId="37329538">
            <w:pPr>
              <w:pageBreakBefore w:val="0"/>
              <w:wordWrap/>
              <w:bidi w:val="0"/>
              <w:adjustRightInd/>
              <w:snapToGrid/>
              <w:spacing w:line="240" w:lineRule="auto"/>
              <w:ind w:firstLine="0" w:firstLineChars="0"/>
              <w:jc w:val="center"/>
              <w:rPr>
                <w:color w:val="auto"/>
                <w:sz w:val="21"/>
                <w:szCs w:val="21"/>
              </w:rPr>
            </w:pPr>
            <w:r>
              <w:rPr>
                <w:color w:val="auto"/>
                <w:sz w:val="21"/>
                <w:szCs w:val="21"/>
              </w:rPr>
              <w:t>Ⅰ</w:t>
            </w:r>
          </w:p>
        </w:tc>
      </w:tr>
      <w:tr w14:paraId="0DAD72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2024" w:type="dxa"/>
            <w:tcBorders>
              <w:tl2br w:val="nil"/>
              <w:tr2bl w:val="nil"/>
            </w:tcBorders>
            <w:noWrap w:val="0"/>
            <w:tcMar>
              <w:left w:w="0" w:type="dxa"/>
              <w:right w:w="0" w:type="dxa"/>
            </w:tcMar>
            <w:vAlign w:val="center"/>
          </w:tcPr>
          <w:p w14:paraId="4632F896">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评价工作等级</w:t>
            </w:r>
          </w:p>
        </w:tc>
        <w:tc>
          <w:tcPr>
            <w:tcW w:w="1506" w:type="dxa"/>
            <w:tcBorders>
              <w:tl2br w:val="nil"/>
              <w:tr2bl w:val="nil"/>
            </w:tcBorders>
            <w:noWrap w:val="0"/>
            <w:tcMar>
              <w:left w:w="0" w:type="dxa"/>
              <w:right w:w="0" w:type="dxa"/>
            </w:tcMar>
            <w:vAlign w:val="center"/>
          </w:tcPr>
          <w:p w14:paraId="30E0599C">
            <w:pPr>
              <w:pStyle w:val="190"/>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1913" w:type="dxa"/>
            <w:tcBorders>
              <w:tl2br w:val="nil"/>
              <w:tr2bl w:val="nil"/>
            </w:tcBorders>
            <w:noWrap w:val="0"/>
            <w:tcMar>
              <w:left w:w="0" w:type="dxa"/>
              <w:right w:w="0" w:type="dxa"/>
            </w:tcMar>
            <w:vAlign w:val="center"/>
          </w:tcPr>
          <w:p w14:paraId="29F8E975">
            <w:pPr>
              <w:pageBreakBefore w:val="0"/>
              <w:wordWrap/>
              <w:bidi w:val="0"/>
              <w:adjustRightInd/>
              <w:snapToGrid/>
              <w:spacing w:line="240" w:lineRule="auto"/>
              <w:ind w:firstLine="0" w:firstLineChars="0"/>
              <w:jc w:val="center"/>
              <w:textAlignment w:val="center"/>
              <w:rPr>
                <w:color w:val="auto"/>
                <w:sz w:val="21"/>
                <w:szCs w:val="21"/>
              </w:rPr>
            </w:pPr>
            <w:r>
              <w:rPr>
                <w:color w:val="auto"/>
                <w:sz w:val="21"/>
                <w:szCs w:val="21"/>
              </w:rPr>
              <w:t>二</w:t>
            </w:r>
          </w:p>
        </w:tc>
        <w:tc>
          <w:tcPr>
            <w:tcW w:w="1651" w:type="dxa"/>
            <w:tcBorders>
              <w:tl2br w:val="nil"/>
              <w:tr2bl w:val="nil"/>
            </w:tcBorders>
            <w:noWrap w:val="0"/>
            <w:tcMar>
              <w:left w:w="0" w:type="dxa"/>
              <w:right w:w="0" w:type="dxa"/>
            </w:tcMar>
            <w:vAlign w:val="center"/>
          </w:tcPr>
          <w:p w14:paraId="6472532C">
            <w:pPr>
              <w:pageBreakBefore w:val="0"/>
              <w:wordWrap/>
              <w:bidi w:val="0"/>
              <w:adjustRightInd/>
              <w:snapToGrid/>
              <w:spacing w:line="240" w:lineRule="auto"/>
              <w:ind w:firstLine="0" w:firstLineChars="0"/>
              <w:jc w:val="center"/>
              <w:textAlignment w:val="center"/>
              <w:rPr>
                <w:color w:val="auto"/>
                <w:sz w:val="21"/>
                <w:szCs w:val="21"/>
              </w:rPr>
            </w:pPr>
            <w:r>
              <w:rPr>
                <w:color w:val="auto"/>
                <w:sz w:val="21"/>
                <w:szCs w:val="21"/>
              </w:rPr>
              <w:t>三</w:t>
            </w:r>
          </w:p>
        </w:tc>
        <w:tc>
          <w:tcPr>
            <w:tcW w:w="1636" w:type="dxa"/>
            <w:tcBorders>
              <w:tl2br w:val="nil"/>
              <w:tr2bl w:val="nil"/>
            </w:tcBorders>
            <w:noWrap w:val="0"/>
            <w:tcMar>
              <w:left w:w="0" w:type="dxa"/>
              <w:right w:w="0" w:type="dxa"/>
            </w:tcMar>
            <w:vAlign w:val="center"/>
          </w:tcPr>
          <w:p w14:paraId="5BAC72E4">
            <w:pPr>
              <w:pageBreakBefore w:val="0"/>
              <w:wordWrap/>
              <w:bidi w:val="0"/>
              <w:adjustRightInd/>
              <w:snapToGrid/>
              <w:spacing w:line="240" w:lineRule="auto"/>
              <w:ind w:firstLine="0" w:firstLineChars="0"/>
              <w:jc w:val="center"/>
              <w:textAlignment w:val="center"/>
              <w:rPr>
                <w:color w:val="auto"/>
                <w:sz w:val="21"/>
                <w:szCs w:val="21"/>
              </w:rPr>
            </w:pPr>
            <w:r>
              <w:rPr>
                <w:b/>
                <w:bCs/>
                <w:color w:val="auto"/>
                <w:sz w:val="21"/>
                <w:szCs w:val="21"/>
              </w:rPr>
              <w:t>简单分析</w:t>
            </w:r>
            <w:r>
              <w:rPr>
                <w:color w:val="auto"/>
                <w:sz w:val="21"/>
                <w:szCs w:val="21"/>
                <w:vertAlign w:val="superscript"/>
              </w:rPr>
              <w:t>a</w:t>
            </w:r>
          </w:p>
        </w:tc>
      </w:tr>
      <w:tr w14:paraId="61C008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730" w:type="dxa"/>
            <w:gridSpan w:val="5"/>
            <w:tcBorders>
              <w:tl2br w:val="nil"/>
              <w:tr2bl w:val="nil"/>
            </w:tcBorders>
            <w:noWrap w:val="0"/>
            <w:tcMar>
              <w:left w:w="0" w:type="dxa"/>
              <w:right w:w="0" w:type="dxa"/>
            </w:tcMar>
            <w:vAlign w:val="center"/>
          </w:tcPr>
          <w:p w14:paraId="51DC47F4">
            <w:pPr>
              <w:pStyle w:val="190"/>
              <w:pageBreakBefore w:val="0"/>
              <w:wordWrap/>
              <w:autoSpaceDE/>
              <w:autoSpaceDN/>
              <w:bidi w:val="0"/>
              <w:adjustRightInd/>
              <w:snapToGrid/>
              <w:spacing w:line="240" w:lineRule="auto"/>
              <w:ind w:firstLine="0" w:firstLineChars="0"/>
              <w:jc w:val="both"/>
              <w:textAlignment w:val="center"/>
              <w:rPr>
                <w:color w:val="auto"/>
                <w:kern w:val="2"/>
                <w:sz w:val="21"/>
                <w:szCs w:val="21"/>
              </w:rPr>
            </w:pPr>
            <w:r>
              <w:rPr>
                <w:color w:val="auto"/>
                <w:kern w:val="2"/>
                <w:sz w:val="21"/>
                <w:szCs w:val="21"/>
                <w:vertAlign w:val="superscript"/>
              </w:rPr>
              <w:t>a</w:t>
            </w:r>
            <w:r>
              <w:rPr>
                <w:color w:val="auto"/>
                <w:kern w:val="2"/>
                <w:sz w:val="21"/>
                <w:szCs w:val="21"/>
              </w:rPr>
              <w:t>是相对于详细评价工作内容而言，在描述危险物质、环境影响</w:t>
            </w:r>
            <w:r>
              <w:rPr>
                <w:rFonts w:hint="eastAsia"/>
                <w:color w:val="auto"/>
                <w:kern w:val="2"/>
                <w:sz w:val="21"/>
                <w:szCs w:val="21"/>
                <w:lang w:eastAsia="zh-CN"/>
              </w:rPr>
              <w:t>途径</w:t>
            </w:r>
            <w:r>
              <w:rPr>
                <w:color w:val="auto"/>
                <w:kern w:val="2"/>
                <w:sz w:val="21"/>
                <w:szCs w:val="21"/>
              </w:rPr>
              <w:t>、环境危害后果、风险防范措施等方面给出定性的说明。见附录A。</w:t>
            </w:r>
          </w:p>
        </w:tc>
      </w:tr>
    </w:tbl>
    <w:p w14:paraId="35352CC1">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土壤环境评价等级</w:t>
      </w:r>
    </w:p>
    <w:p w14:paraId="55A9D25E">
      <w:pPr>
        <w:pStyle w:val="19"/>
        <w:pageBreakBefore w:val="0"/>
        <w:wordWrap/>
        <w:bidi w:val="0"/>
        <w:adjustRightInd/>
        <w:snapToGrid/>
        <w:rPr>
          <w:rFonts w:hint="eastAsia"/>
          <w:color w:val="auto"/>
          <w:szCs w:val="32"/>
        </w:rPr>
      </w:pPr>
      <w:r>
        <w:rPr>
          <w:color w:val="auto"/>
          <w:szCs w:val="32"/>
        </w:rPr>
        <w:t>根据《环境影响评价技术导则 土壤环境（试行）》（HJ 964-2018）</w:t>
      </w:r>
      <w:r>
        <w:rPr>
          <w:rFonts w:hint="eastAsia"/>
          <w:color w:val="auto"/>
          <w:szCs w:val="32"/>
        </w:rPr>
        <w:t>，本项目土壤环境影响属于</w:t>
      </w:r>
      <w:r>
        <w:rPr>
          <w:color w:val="auto"/>
          <w:szCs w:val="32"/>
        </w:rPr>
        <w:t>附录A</w:t>
      </w:r>
      <w:r>
        <w:rPr>
          <w:rFonts w:hint="eastAsia"/>
          <w:color w:val="auto"/>
          <w:szCs w:val="32"/>
        </w:rPr>
        <w:t>中的</w:t>
      </w:r>
      <w:r>
        <w:rPr>
          <w:color w:val="auto"/>
          <w:szCs w:val="32"/>
        </w:rPr>
        <w:t>Ⅱ类</w:t>
      </w:r>
      <w:r>
        <w:rPr>
          <w:rFonts w:hint="eastAsia"/>
          <w:color w:val="auto"/>
          <w:szCs w:val="32"/>
        </w:rPr>
        <w:t>。</w:t>
      </w:r>
    </w:p>
    <w:tbl>
      <w:tblPr>
        <w:tblStyle w:val="48"/>
        <w:tblW w:w="0" w:type="auto"/>
        <w:tblInd w:w="0" w:type="dxa"/>
        <w:tblLayout w:type="autofit"/>
        <w:tblCellMar>
          <w:top w:w="0" w:type="dxa"/>
          <w:left w:w="108" w:type="dxa"/>
          <w:bottom w:w="0" w:type="dxa"/>
          <w:right w:w="108" w:type="dxa"/>
        </w:tblCellMar>
      </w:tblPr>
      <w:tblGrid>
        <w:gridCol w:w="8946"/>
      </w:tblGrid>
      <w:tr w14:paraId="376F75F8">
        <w:tblPrEx>
          <w:tblCellMar>
            <w:top w:w="0" w:type="dxa"/>
            <w:left w:w="108" w:type="dxa"/>
            <w:bottom w:w="0" w:type="dxa"/>
            <w:right w:w="108" w:type="dxa"/>
          </w:tblCellMar>
        </w:tblPrEx>
        <w:tc>
          <w:tcPr>
            <w:tcW w:w="8946" w:type="dxa"/>
            <w:noWrap w:val="0"/>
            <w:vAlign w:val="top"/>
          </w:tcPr>
          <w:p w14:paraId="29FE9D2E">
            <w:pPr>
              <w:pageBreakBefore w:val="0"/>
              <w:wordWrap/>
              <w:bidi w:val="0"/>
              <w:adjustRightInd/>
              <w:snapToGrid/>
              <w:ind w:firstLine="0" w:firstLineChars="0"/>
              <w:jc w:val="center"/>
              <w:rPr>
                <w:rFonts w:hint="eastAsia"/>
                <w:color w:val="auto"/>
              </w:rPr>
            </w:pPr>
            <w:r>
              <w:rPr>
                <w:color w:val="auto"/>
              </w:rPr>
              <w:drawing>
                <wp:inline distT="0" distB="0" distL="114300" distR="114300">
                  <wp:extent cx="5012690" cy="4438650"/>
                  <wp:effectExtent l="0" t="0" r="1651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34"/>
                          <a:stretch>
                            <a:fillRect/>
                          </a:stretch>
                        </pic:blipFill>
                        <pic:spPr>
                          <a:xfrm>
                            <a:off x="0" y="0"/>
                            <a:ext cx="5012690" cy="4438650"/>
                          </a:xfrm>
                          <a:prstGeom prst="rect">
                            <a:avLst/>
                          </a:prstGeom>
                          <a:noFill/>
                          <a:ln>
                            <a:noFill/>
                          </a:ln>
                        </pic:spPr>
                      </pic:pic>
                    </a:graphicData>
                  </a:graphic>
                </wp:inline>
              </w:drawing>
            </w:r>
          </w:p>
        </w:tc>
      </w:tr>
    </w:tbl>
    <w:p w14:paraId="6D4C0B84">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w:t>
      </w:r>
      <w:r>
        <w:rPr>
          <w:rFonts w:hint="eastAsia"/>
          <w:color w:val="auto"/>
          <w:lang w:val="en-US" w:eastAsia="zh-CN"/>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rPr>
        <w:t>土壤环境影响评价项目类别</w:t>
      </w:r>
    </w:p>
    <w:p w14:paraId="38C53388">
      <w:pPr>
        <w:pStyle w:val="19"/>
        <w:keepNext w:val="0"/>
        <w:keepLines w:val="0"/>
        <w:pageBreakBefore w:val="0"/>
        <w:widowControl w:val="0"/>
        <w:kinsoku/>
        <w:wordWrap/>
        <w:overflowPunct/>
        <w:topLinePunct w:val="0"/>
        <w:autoSpaceDE/>
        <w:autoSpaceDN/>
        <w:bidi w:val="0"/>
        <w:adjustRightInd/>
        <w:snapToGrid/>
        <w:spacing w:before="0" w:beforeLines="50"/>
        <w:textAlignment w:val="auto"/>
        <w:rPr>
          <w:color w:val="auto"/>
          <w:szCs w:val="32"/>
        </w:rPr>
      </w:pPr>
      <w:r>
        <w:rPr>
          <w:color w:val="auto"/>
          <w:szCs w:val="32"/>
        </w:rPr>
        <w:t>本项目</w:t>
      </w:r>
      <w:r>
        <w:rPr>
          <w:rFonts w:hint="eastAsia"/>
          <w:color w:val="auto"/>
          <w:szCs w:val="32"/>
        </w:rPr>
        <w:t>属于污染影响型项目，</w:t>
      </w:r>
      <w:r>
        <w:rPr>
          <w:color w:val="auto"/>
          <w:szCs w:val="32"/>
        </w:rPr>
        <w:t>位于</w:t>
      </w:r>
      <w:r>
        <w:rPr>
          <w:rFonts w:hint="eastAsia"/>
          <w:color w:val="auto"/>
          <w:lang w:eastAsia="zh-CN"/>
        </w:rPr>
        <w:t>四川省巴中市巴州区曾口镇寿星村13组</w:t>
      </w:r>
      <w:r>
        <w:rPr>
          <w:color w:val="auto"/>
          <w:szCs w:val="32"/>
        </w:rPr>
        <w:t>，周边</w:t>
      </w:r>
      <w:r>
        <w:rPr>
          <w:rFonts w:hint="eastAsia"/>
          <w:color w:val="auto"/>
          <w:szCs w:val="32"/>
          <w:lang w:val="en-US" w:eastAsia="zh-CN"/>
        </w:rPr>
        <w:t>200</w:t>
      </w:r>
      <w:r>
        <w:rPr>
          <w:color w:val="auto"/>
          <w:szCs w:val="32"/>
        </w:rPr>
        <w:t>m范围内</w:t>
      </w:r>
      <w:r>
        <w:rPr>
          <w:rFonts w:hint="eastAsia"/>
          <w:color w:val="auto"/>
          <w:szCs w:val="32"/>
          <w:lang w:val="en-US" w:eastAsia="zh-CN"/>
        </w:rPr>
        <w:t>涉及耕地和居民</w:t>
      </w:r>
      <w:r>
        <w:rPr>
          <w:color w:val="auto"/>
          <w:szCs w:val="32"/>
        </w:rPr>
        <w:t>，</w:t>
      </w:r>
      <w:r>
        <w:rPr>
          <w:rFonts w:hint="eastAsia"/>
          <w:color w:val="auto"/>
          <w:szCs w:val="32"/>
          <w:lang w:val="en-US" w:eastAsia="zh-CN"/>
        </w:rPr>
        <w:t>调查范围内有分散水井</w:t>
      </w:r>
      <w:r>
        <w:rPr>
          <w:rFonts w:hint="eastAsia"/>
          <w:color w:val="auto"/>
          <w:szCs w:val="32"/>
          <w:lang w:eastAsia="zh-CN"/>
        </w:rPr>
        <w:t>，</w:t>
      </w:r>
      <w:r>
        <w:rPr>
          <w:rFonts w:hint="eastAsia"/>
          <w:color w:val="auto"/>
          <w:szCs w:val="32"/>
          <w:lang w:val="en-US" w:eastAsia="zh-CN"/>
        </w:rPr>
        <w:t>无</w:t>
      </w:r>
      <w:r>
        <w:rPr>
          <w:color w:val="auto"/>
          <w:szCs w:val="32"/>
        </w:rPr>
        <w:t>医院、学校和居民区等，</w:t>
      </w:r>
      <w:r>
        <w:rPr>
          <w:rFonts w:hint="eastAsia"/>
          <w:color w:val="auto"/>
          <w:szCs w:val="32"/>
        </w:rPr>
        <w:t>因此，确定区域内土壤敏感程度为</w:t>
      </w:r>
      <w:r>
        <w:rPr>
          <w:rFonts w:hint="eastAsia"/>
          <w:color w:val="auto"/>
          <w:szCs w:val="32"/>
          <w:lang w:eastAsia="zh-CN"/>
        </w:rPr>
        <w:t>“</w:t>
      </w:r>
      <w:r>
        <w:rPr>
          <w:rFonts w:hint="eastAsia"/>
          <w:color w:val="auto"/>
          <w:szCs w:val="32"/>
        </w:rPr>
        <w:t>敏感</w:t>
      </w:r>
      <w:r>
        <w:rPr>
          <w:rFonts w:hint="eastAsia"/>
          <w:color w:val="auto"/>
          <w:szCs w:val="32"/>
          <w:lang w:eastAsia="zh-CN"/>
        </w:rPr>
        <w:t>”</w:t>
      </w:r>
      <w:r>
        <w:rPr>
          <w:rFonts w:hint="eastAsia"/>
          <w:color w:val="auto"/>
          <w:szCs w:val="32"/>
        </w:rPr>
        <w:t>。工程</w:t>
      </w:r>
      <w:r>
        <w:rPr>
          <w:color w:val="auto"/>
          <w:szCs w:val="32"/>
        </w:rPr>
        <w:t>占地面积（</w:t>
      </w:r>
      <w:r>
        <w:rPr>
          <w:rFonts w:hint="eastAsia"/>
          <w:color w:val="auto"/>
          <w:szCs w:val="32"/>
          <w:lang w:eastAsia="zh-CN"/>
        </w:rPr>
        <w:t>4.049hm²</w:t>
      </w:r>
      <w:r>
        <w:rPr>
          <w:color w:val="auto"/>
          <w:szCs w:val="32"/>
        </w:rPr>
        <w:t>）小于5h</w:t>
      </w:r>
      <w:r>
        <w:rPr>
          <w:rFonts w:hint="eastAsia"/>
          <w:color w:val="auto"/>
          <w:szCs w:val="32"/>
          <w:lang w:eastAsia="zh-CN"/>
        </w:rPr>
        <w:t>m²</w:t>
      </w:r>
      <w:r>
        <w:rPr>
          <w:color w:val="auto"/>
          <w:szCs w:val="32"/>
        </w:rPr>
        <w:t>，为小型规模，项目评价等级判定见下表：</w:t>
      </w:r>
    </w:p>
    <w:p w14:paraId="444C604E">
      <w:pPr>
        <w:pStyle w:val="15"/>
        <w:numPr>
          <w:ilvl w:val="0"/>
          <w:numId w:val="9"/>
        </w:numPr>
        <w:tabs>
          <w:tab w:val="clear" w:pos="0"/>
        </w:tabs>
        <w:bidi w:val="0"/>
        <w:ind w:left="0" w:leftChars="0" w:firstLine="0" w:firstLineChars="0"/>
        <w:rPr>
          <w:color w:val="auto"/>
        </w:rPr>
      </w:pPr>
      <w:r>
        <w:rPr>
          <w:color w:val="auto"/>
        </w:rPr>
        <w:t>污染影响型评价工作等级划分表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814"/>
        <w:gridCol w:w="816"/>
        <w:gridCol w:w="817"/>
        <w:gridCol w:w="816"/>
        <w:gridCol w:w="814"/>
        <w:gridCol w:w="819"/>
        <w:gridCol w:w="814"/>
        <w:gridCol w:w="824"/>
        <w:gridCol w:w="900"/>
      </w:tblGrid>
      <w:tr w14:paraId="55406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vMerge w:val="restart"/>
            <w:tcBorders>
              <w:tl2br w:val="nil"/>
              <w:tr2bl w:val="nil"/>
            </w:tcBorders>
            <w:noWrap w:val="0"/>
            <w:vAlign w:val="center"/>
          </w:tcPr>
          <w:p w14:paraId="04E4CCE9">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占地规模/评价等级/敏感程度</w:t>
            </w:r>
          </w:p>
        </w:tc>
        <w:tc>
          <w:tcPr>
            <w:tcW w:w="1368" w:type="pct"/>
            <w:gridSpan w:val="3"/>
            <w:tcBorders>
              <w:tl2br w:val="nil"/>
              <w:tr2bl w:val="nil"/>
            </w:tcBorders>
            <w:noWrap w:val="0"/>
            <w:vAlign w:val="center"/>
          </w:tcPr>
          <w:p w14:paraId="0A2A4E2B">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I类</w:t>
            </w:r>
          </w:p>
        </w:tc>
        <w:tc>
          <w:tcPr>
            <w:tcW w:w="1369" w:type="pct"/>
            <w:gridSpan w:val="3"/>
            <w:tcBorders>
              <w:tl2br w:val="nil"/>
              <w:tr2bl w:val="nil"/>
            </w:tcBorders>
            <w:noWrap w:val="0"/>
            <w:vAlign w:val="center"/>
          </w:tcPr>
          <w:p w14:paraId="70F7C37E">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II类</w:t>
            </w:r>
          </w:p>
        </w:tc>
        <w:tc>
          <w:tcPr>
            <w:tcW w:w="1417" w:type="pct"/>
            <w:gridSpan w:val="3"/>
            <w:tcBorders>
              <w:tl2br w:val="nil"/>
              <w:tr2bl w:val="nil"/>
            </w:tcBorders>
            <w:noWrap w:val="0"/>
            <w:vAlign w:val="center"/>
          </w:tcPr>
          <w:p w14:paraId="0D7DA033">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III类</w:t>
            </w:r>
          </w:p>
        </w:tc>
      </w:tr>
      <w:tr w14:paraId="2EAA6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vMerge w:val="continue"/>
            <w:tcBorders>
              <w:tl2br w:val="nil"/>
              <w:tr2bl w:val="nil"/>
            </w:tcBorders>
            <w:noWrap w:val="0"/>
            <w:vAlign w:val="center"/>
          </w:tcPr>
          <w:p w14:paraId="7755C818">
            <w:pPr>
              <w:pStyle w:val="19"/>
              <w:pageBreakBefore w:val="0"/>
              <w:wordWrap/>
              <w:bidi w:val="0"/>
              <w:adjustRightInd/>
              <w:snapToGrid/>
              <w:spacing w:line="240" w:lineRule="auto"/>
              <w:ind w:firstLine="0" w:firstLineChars="0"/>
              <w:jc w:val="center"/>
              <w:rPr>
                <w:b/>
                <w:bCs/>
                <w:color w:val="auto"/>
                <w:sz w:val="21"/>
                <w:szCs w:val="21"/>
              </w:rPr>
            </w:pPr>
          </w:p>
        </w:tc>
        <w:tc>
          <w:tcPr>
            <w:tcW w:w="455" w:type="pct"/>
            <w:tcBorders>
              <w:tl2br w:val="nil"/>
              <w:tr2bl w:val="nil"/>
            </w:tcBorders>
            <w:noWrap w:val="0"/>
            <w:vAlign w:val="center"/>
          </w:tcPr>
          <w:p w14:paraId="6594A346">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56" w:type="pct"/>
            <w:tcBorders>
              <w:tl2br w:val="nil"/>
              <w:tr2bl w:val="nil"/>
            </w:tcBorders>
            <w:noWrap w:val="0"/>
            <w:vAlign w:val="center"/>
          </w:tcPr>
          <w:p w14:paraId="255E6C31">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456" w:type="pct"/>
            <w:tcBorders>
              <w:tl2br w:val="nil"/>
              <w:tr2bl w:val="nil"/>
            </w:tcBorders>
            <w:noWrap w:val="0"/>
            <w:vAlign w:val="center"/>
          </w:tcPr>
          <w:p w14:paraId="61CE38C2">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c>
          <w:tcPr>
            <w:tcW w:w="456" w:type="pct"/>
            <w:tcBorders>
              <w:tl2br w:val="nil"/>
              <w:tr2bl w:val="nil"/>
            </w:tcBorders>
            <w:noWrap w:val="0"/>
            <w:vAlign w:val="center"/>
          </w:tcPr>
          <w:p w14:paraId="0A8C325D">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55" w:type="pct"/>
            <w:tcBorders>
              <w:tl2br w:val="nil"/>
              <w:tr2bl w:val="nil"/>
            </w:tcBorders>
            <w:noWrap w:val="0"/>
            <w:vAlign w:val="center"/>
          </w:tcPr>
          <w:p w14:paraId="7CA671B3">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457" w:type="pct"/>
            <w:tcBorders>
              <w:tl2br w:val="nil"/>
              <w:tr2bl w:val="nil"/>
            </w:tcBorders>
            <w:noWrap w:val="0"/>
            <w:vAlign w:val="center"/>
          </w:tcPr>
          <w:p w14:paraId="1F1FC5F0">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c>
          <w:tcPr>
            <w:tcW w:w="455" w:type="pct"/>
            <w:tcBorders>
              <w:tl2br w:val="nil"/>
              <w:tr2bl w:val="nil"/>
            </w:tcBorders>
            <w:noWrap w:val="0"/>
            <w:vAlign w:val="center"/>
          </w:tcPr>
          <w:p w14:paraId="21096783">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61" w:type="pct"/>
            <w:tcBorders>
              <w:tl2br w:val="nil"/>
              <w:tr2bl w:val="nil"/>
            </w:tcBorders>
            <w:noWrap w:val="0"/>
            <w:vAlign w:val="center"/>
          </w:tcPr>
          <w:p w14:paraId="72C2E562">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500" w:type="pct"/>
            <w:tcBorders>
              <w:tl2br w:val="nil"/>
              <w:tr2bl w:val="nil"/>
            </w:tcBorders>
            <w:noWrap w:val="0"/>
            <w:vAlign w:val="center"/>
          </w:tcPr>
          <w:p w14:paraId="3739F9D9">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r>
      <w:tr w14:paraId="05731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0263F09B">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敏感</w:t>
            </w:r>
          </w:p>
        </w:tc>
        <w:tc>
          <w:tcPr>
            <w:tcW w:w="455" w:type="pct"/>
            <w:tcBorders>
              <w:tl2br w:val="nil"/>
              <w:tr2bl w:val="nil"/>
            </w:tcBorders>
            <w:noWrap w:val="0"/>
            <w:vAlign w:val="center"/>
          </w:tcPr>
          <w:p w14:paraId="62D91C88">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6285ACF4">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68C431A8">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7B8B4529">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34D8DBAC">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7" w:type="pct"/>
            <w:tcBorders>
              <w:tl2br w:val="nil"/>
              <w:tr2bl w:val="nil"/>
            </w:tcBorders>
            <w:noWrap w:val="0"/>
            <w:vAlign w:val="center"/>
          </w:tcPr>
          <w:p w14:paraId="58BCC807">
            <w:pPr>
              <w:pStyle w:val="19"/>
              <w:pageBreakBefore w:val="0"/>
              <w:wordWrap/>
              <w:bidi w:val="0"/>
              <w:adjustRightInd/>
              <w:snapToGrid/>
              <w:spacing w:line="240" w:lineRule="auto"/>
              <w:ind w:firstLine="0" w:firstLineChars="0"/>
              <w:jc w:val="center"/>
              <w:rPr>
                <w:color w:val="auto"/>
                <w:sz w:val="21"/>
                <w:szCs w:val="21"/>
              </w:rPr>
            </w:pPr>
            <w:r>
              <w:rPr>
                <w:b/>
                <w:bCs/>
                <w:color w:val="auto"/>
                <w:sz w:val="21"/>
                <w:szCs w:val="21"/>
              </w:rPr>
              <w:t>二级</w:t>
            </w:r>
          </w:p>
        </w:tc>
        <w:tc>
          <w:tcPr>
            <w:tcW w:w="455" w:type="pct"/>
            <w:tcBorders>
              <w:tl2br w:val="nil"/>
              <w:tr2bl w:val="nil"/>
            </w:tcBorders>
            <w:noWrap w:val="0"/>
            <w:vAlign w:val="center"/>
          </w:tcPr>
          <w:p w14:paraId="58A5AA1C">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03AEDE7A">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500" w:type="pct"/>
            <w:tcBorders>
              <w:tl2br w:val="nil"/>
              <w:tr2bl w:val="nil"/>
            </w:tcBorders>
            <w:noWrap w:val="0"/>
            <w:vAlign w:val="center"/>
          </w:tcPr>
          <w:p w14:paraId="1F0C92E1">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r>
      <w:tr w14:paraId="3F3D3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33FDCD47">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较敏感</w:t>
            </w:r>
          </w:p>
        </w:tc>
        <w:tc>
          <w:tcPr>
            <w:tcW w:w="455" w:type="pct"/>
            <w:tcBorders>
              <w:tl2br w:val="nil"/>
              <w:tr2bl w:val="nil"/>
            </w:tcBorders>
            <w:noWrap w:val="0"/>
            <w:vAlign w:val="center"/>
          </w:tcPr>
          <w:p w14:paraId="03456702">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51E1FAC0">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74F4ADC4">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6" w:type="pct"/>
            <w:tcBorders>
              <w:tl2br w:val="nil"/>
              <w:tr2bl w:val="nil"/>
            </w:tcBorders>
            <w:noWrap w:val="0"/>
            <w:vAlign w:val="center"/>
          </w:tcPr>
          <w:p w14:paraId="379454DD">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064CAFA1">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7" w:type="pct"/>
            <w:tcBorders>
              <w:tl2br w:val="nil"/>
              <w:tr2bl w:val="nil"/>
            </w:tcBorders>
            <w:noWrap w:val="0"/>
            <w:vAlign w:val="center"/>
          </w:tcPr>
          <w:p w14:paraId="3E744405">
            <w:pPr>
              <w:pStyle w:val="19"/>
              <w:pageBreakBefore w:val="0"/>
              <w:wordWrap/>
              <w:bidi w:val="0"/>
              <w:adjustRightInd/>
              <w:snapToGrid/>
              <w:spacing w:line="240" w:lineRule="auto"/>
              <w:ind w:firstLine="0" w:firstLineChars="0"/>
              <w:jc w:val="center"/>
              <w:rPr>
                <w:color w:val="auto"/>
                <w:sz w:val="21"/>
                <w:szCs w:val="21"/>
              </w:rPr>
            </w:pPr>
            <w:r>
              <w:rPr>
                <w:b w:val="0"/>
                <w:bCs w:val="0"/>
                <w:color w:val="auto"/>
                <w:sz w:val="21"/>
                <w:szCs w:val="21"/>
              </w:rPr>
              <w:t>三级</w:t>
            </w:r>
          </w:p>
        </w:tc>
        <w:tc>
          <w:tcPr>
            <w:tcW w:w="455" w:type="pct"/>
            <w:tcBorders>
              <w:tl2br w:val="nil"/>
              <w:tr2bl w:val="nil"/>
            </w:tcBorders>
            <w:noWrap w:val="0"/>
            <w:vAlign w:val="center"/>
          </w:tcPr>
          <w:p w14:paraId="5940845A">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691271E0">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500" w:type="pct"/>
            <w:tcBorders>
              <w:tl2br w:val="nil"/>
              <w:tr2bl w:val="nil"/>
            </w:tcBorders>
            <w:noWrap w:val="0"/>
            <w:vAlign w:val="center"/>
          </w:tcPr>
          <w:p w14:paraId="4A022C0C">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122A5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3B4C2A10">
            <w:pPr>
              <w:pStyle w:val="19"/>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不敏感</w:t>
            </w:r>
          </w:p>
        </w:tc>
        <w:tc>
          <w:tcPr>
            <w:tcW w:w="455" w:type="pct"/>
            <w:tcBorders>
              <w:tl2br w:val="nil"/>
              <w:tr2bl w:val="nil"/>
            </w:tcBorders>
            <w:noWrap w:val="0"/>
            <w:vAlign w:val="center"/>
          </w:tcPr>
          <w:p w14:paraId="645E6812">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17197FA3">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6" w:type="pct"/>
            <w:tcBorders>
              <w:tl2br w:val="nil"/>
              <w:tr2bl w:val="nil"/>
            </w:tcBorders>
            <w:noWrap w:val="0"/>
            <w:vAlign w:val="center"/>
          </w:tcPr>
          <w:p w14:paraId="144D1137">
            <w:pPr>
              <w:pStyle w:val="19"/>
              <w:pageBreakBefore w:val="0"/>
              <w:wordWrap/>
              <w:bidi w:val="0"/>
              <w:adjustRightInd/>
              <w:snapToGrid/>
              <w:spacing w:line="240" w:lineRule="auto"/>
              <w:ind w:firstLine="0" w:firstLineChars="0"/>
              <w:jc w:val="center"/>
              <w:rPr>
                <w:b/>
                <w:color w:val="auto"/>
                <w:sz w:val="21"/>
                <w:szCs w:val="21"/>
              </w:rPr>
            </w:pPr>
            <w:r>
              <w:rPr>
                <w:bCs/>
                <w:color w:val="auto"/>
                <w:sz w:val="21"/>
                <w:szCs w:val="21"/>
              </w:rPr>
              <w:t>二级</w:t>
            </w:r>
          </w:p>
        </w:tc>
        <w:tc>
          <w:tcPr>
            <w:tcW w:w="456" w:type="pct"/>
            <w:tcBorders>
              <w:tl2br w:val="nil"/>
              <w:tr2bl w:val="nil"/>
            </w:tcBorders>
            <w:noWrap w:val="0"/>
            <w:vAlign w:val="center"/>
          </w:tcPr>
          <w:p w14:paraId="689EC595">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39E7E3DD">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57" w:type="pct"/>
            <w:tcBorders>
              <w:tl2br w:val="nil"/>
              <w:tr2bl w:val="nil"/>
            </w:tcBorders>
            <w:noWrap w:val="0"/>
            <w:vAlign w:val="center"/>
          </w:tcPr>
          <w:p w14:paraId="0ED6E288">
            <w:pPr>
              <w:pStyle w:val="19"/>
              <w:pageBreakBefore w:val="0"/>
              <w:wordWrap/>
              <w:bidi w:val="0"/>
              <w:adjustRightInd/>
              <w:snapToGrid/>
              <w:spacing w:line="240" w:lineRule="auto"/>
              <w:ind w:firstLine="0" w:firstLineChars="0"/>
              <w:jc w:val="center"/>
              <w:rPr>
                <w:color w:val="auto"/>
                <w:sz w:val="21"/>
                <w:szCs w:val="21"/>
              </w:rPr>
            </w:pPr>
            <w:r>
              <w:rPr>
                <w:b w:val="0"/>
                <w:bCs/>
                <w:color w:val="auto"/>
                <w:sz w:val="21"/>
                <w:szCs w:val="21"/>
              </w:rPr>
              <w:t>三级</w:t>
            </w:r>
          </w:p>
        </w:tc>
        <w:tc>
          <w:tcPr>
            <w:tcW w:w="455" w:type="pct"/>
            <w:tcBorders>
              <w:tl2br w:val="nil"/>
              <w:tr2bl w:val="nil"/>
            </w:tcBorders>
            <w:noWrap w:val="0"/>
            <w:vAlign w:val="center"/>
          </w:tcPr>
          <w:p w14:paraId="5EB21CA8">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124A56F9">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00" w:type="pct"/>
            <w:tcBorders>
              <w:tl2br w:val="nil"/>
              <w:tr2bl w:val="nil"/>
            </w:tcBorders>
            <w:noWrap w:val="0"/>
            <w:vAlign w:val="center"/>
          </w:tcPr>
          <w:p w14:paraId="0911CD28">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5D773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0"/>
            <w:tcBorders>
              <w:tl2br w:val="nil"/>
              <w:tr2bl w:val="nil"/>
            </w:tcBorders>
            <w:noWrap w:val="0"/>
            <w:vAlign w:val="center"/>
          </w:tcPr>
          <w:p w14:paraId="5B27072D">
            <w:pPr>
              <w:pStyle w:val="19"/>
              <w:pageBreakBefore w:val="0"/>
              <w:wordWrap/>
              <w:bidi w:val="0"/>
              <w:adjustRightInd/>
              <w:snapToGrid/>
              <w:spacing w:line="240" w:lineRule="auto"/>
              <w:ind w:firstLine="0" w:firstLineChars="0"/>
              <w:jc w:val="center"/>
              <w:rPr>
                <w:color w:val="auto"/>
                <w:sz w:val="21"/>
                <w:szCs w:val="21"/>
              </w:rPr>
            </w:pPr>
            <w:r>
              <w:rPr>
                <w:color w:val="auto"/>
                <w:sz w:val="21"/>
                <w:szCs w:val="21"/>
              </w:rPr>
              <w:t>注：</w:t>
            </w:r>
            <w:r>
              <w:rPr>
                <w:rFonts w:hint="eastAsia"/>
                <w:color w:val="auto"/>
                <w:sz w:val="21"/>
                <w:szCs w:val="21"/>
                <w:lang w:eastAsia="zh-CN"/>
              </w:rPr>
              <w:t>“</w:t>
            </w:r>
            <w:r>
              <w:rPr>
                <w:color w:val="auto"/>
                <w:sz w:val="21"/>
                <w:szCs w:val="21"/>
              </w:rPr>
              <w:t>/</w:t>
            </w:r>
            <w:r>
              <w:rPr>
                <w:rFonts w:hint="eastAsia"/>
                <w:color w:val="auto"/>
                <w:sz w:val="21"/>
                <w:szCs w:val="21"/>
                <w:lang w:eastAsia="zh-CN"/>
              </w:rPr>
              <w:t>”</w:t>
            </w:r>
            <w:r>
              <w:rPr>
                <w:color w:val="auto"/>
                <w:sz w:val="21"/>
                <w:szCs w:val="21"/>
              </w:rPr>
              <w:t>表示可不开展土壤环境影响评价工作。</w:t>
            </w:r>
          </w:p>
        </w:tc>
      </w:tr>
    </w:tbl>
    <w:p w14:paraId="5DFA0796">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根据上表判定，本项目土壤环境影响评价等级为</w:t>
      </w:r>
      <w:r>
        <w:rPr>
          <w:rFonts w:hint="eastAsia"/>
          <w:color w:val="auto"/>
          <w:lang w:val="en-US" w:eastAsia="zh-CN"/>
        </w:rPr>
        <w:t>二</w:t>
      </w:r>
      <w:r>
        <w:rPr>
          <w:color w:val="auto"/>
        </w:rPr>
        <w:t>级。</w:t>
      </w:r>
    </w:p>
    <w:p w14:paraId="5C3BA6CF">
      <w:pPr>
        <w:pStyle w:val="4"/>
        <w:pageBreakBefore w:val="0"/>
        <w:wordWrap/>
        <w:bidi w:val="0"/>
        <w:adjustRightInd/>
        <w:snapToGrid/>
        <w:rPr>
          <w:rFonts w:ascii="Times New Roman" w:hAnsi="Times New Roman" w:eastAsia="宋体"/>
          <w:color w:val="auto"/>
        </w:rPr>
      </w:pPr>
      <w:bookmarkStart w:id="53" w:name="_Toc11156"/>
      <w:r>
        <w:rPr>
          <w:rFonts w:hint="eastAsia" w:ascii="Times New Roman" w:hAnsi="Times New Roman" w:eastAsia="宋体"/>
          <w:color w:val="auto"/>
        </w:rPr>
        <w:t xml:space="preserve"> </w:t>
      </w:r>
      <w:bookmarkStart w:id="54" w:name="_Toc17500"/>
      <w:r>
        <w:rPr>
          <w:rFonts w:ascii="Times New Roman" w:hAnsi="Times New Roman" w:eastAsia="宋体"/>
          <w:color w:val="auto"/>
        </w:rPr>
        <w:t>评价范围</w:t>
      </w:r>
      <w:bookmarkEnd w:id="53"/>
      <w:r>
        <w:rPr>
          <w:rFonts w:hint="eastAsia"/>
          <w:color w:val="auto"/>
          <w:lang w:val="en-US" w:eastAsia="zh-CN"/>
        </w:rPr>
        <w:t>及环境敏感区</w:t>
      </w:r>
      <w:bookmarkEnd w:id="54"/>
    </w:p>
    <w:p w14:paraId="253F9CCB">
      <w:pPr>
        <w:pageBreakBefore w:val="0"/>
        <w:numPr>
          <w:ilvl w:val="0"/>
          <w:numId w:val="10"/>
        </w:numPr>
        <w:wordWrap/>
        <w:bidi w:val="0"/>
        <w:adjustRightInd/>
        <w:snapToGrid/>
        <w:ind w:firstLine="482"/>
        <w:rPr>
          <w:b/>
          <w:bCs/>
          <w:color w:val="auto"/>
        </w:rPr>
      </w:pPr>
      <w:r>
        <w:rPr>
          <w:b/>
          <w:bCs/>
          <w:color w:val="auto"/>
        </w:rPr>
        <w:t>大气环境评价范围</w:t>
      </w:r>
    </w:p>
    <w:p w14:paraId="584549A4">
      <w:pPr>
        <w:pageBreakBefore w:val="0"/>
        <w:wordWrap/>
        <w:bidi w:val="0"/>
        <w:adjustRightInd/>
        <w:snapToGrid/>
        <w:ind w:firstLine="480"/>
        <w:rPr>
          <w:color w:val="auto"/>
        </w:rPr>
      </w:pPr>
      <w:r>
        <w:rPr>
          <w:color w:val="auto"/>
        </w:rPr>
        <w:t>根据《环境影响评价技术导则  大气环境》（HJ2.2-2018），环境空气影响评价等级为二级，评价范围取项目厂址为中心区域，边长为5km的矩形区域。</w:t>
      </w:r>
    </w:p>
    <w:p w14:paraId="723D3AE7">
      <w:pPr>
        <w:pageBreakBefore w:val="0"/>
        <w:numPr>
          <w:ilvl w:val="0"/>
          <w:numId w:val="10"/>
        </w:numPr>
        <w:wordWrap/>
        <w:bidi w:val="0"/>
        <w:adjustRightInd/>
        <w:snapToGrid/>
        <w:ind w:firstLine="482"/>
        <w:rPr>
          <w:b/>
          <w:bCs/>
          <w:color w:val="auto"/>
        </w:rPr>
      </w:pPr>
      <w:r>
        <w:rPr>
          <w:b/>
          <w:bCs/>
          <w:color w:val="auto"/>
        </w:rPr>
        <w:t>地表水环境评价范围</w:t>
      </w:r>
    </w:p>
    <w:p w14:paraId="265D9926">
      <w:pPr>
        <w:pageBreakBefore w:val="0"/>
        <w:wordWrap/>
        <w:bidi w:val="0"/>
        <w:adjustRightInd/>
        <w:snapToGrid/>
        <w:ind w:firstLine="480"/>
        <w:rPr>
          <w:color w:val="auto"/>
        </w:rPr>
      </w:pPr>
      <w:r>
        <w:rPr>
          <w:color w:val="auto"/>
        </w:rPr>
        <w:t>根据</w:t>
      </w:r>
      <w:r>
        <w:rPr>
          <w:rFonts w:hint="eastAsia"/>
          <w:color w:val="auto"/>
          <w:lang w:eastAsia="zh-CN"/>
        </w:rPr>
        <w:t>《环境影响评价技术导则 地表水环境》（HJ2.3-2018）</w:t>
      </w:r>
      <w:r>
        <w:rPr>
          <w:color w:val="auto"/>
        </w:rPr>
        <w:t>要求，同时结合本项目工程特点，地表水环境评价范围确定为排污口上游500m至排口下游</w:t>
      </w:r>
      <w:r>
        <w:rPr>
          <w:rFonts w:hint="eastAsia"/>
          <w:color w:val="auto"/>
          <w:lang w:val="en-US" w:eastAsia="zh-CN"/>
        </w:rPr>
        <w:t>87</w:t>
      </w:r>
      <w:r>
        <w:rPr>
          <w:color w:val="auto"/>
        </w:rPr>
        <w:t>00m处。</w:t>
      </w:r>
    </w:p>
    <w:p w14:paraId="5976396F">
      <w:pPr>
        <w:pageBreakBefore w:val="0"/>
        <w:numPr>
          <w:ilvl w:val="0"/>
          <w:numId w:val="10"/>
        </w:numPr>
        <w:wordWrap/>
        <w:bidi w:val="0"/>
        <w:adjustRightInd/>
        <w:snapToGrid/>
        <w:ind w:firstLine="482"/>
        <w:rPr>
          <w:b/>
          <w:bCs/>
          <w:color w:val="auto"/>
        </w:rPr>
      </w:pPr>
      <w:r>
        <w:rPr>
          <w:b/>
          <w:bCs/>
          <w:color w:val="auto"/>
        </w:rPr>
        <w:t>地下水环境评价范围</w:t>
      </w:r>
    </w:p>
    <w:p w14:paraId="4297BABE">
      <w:pPr>
        <w:ind w:firstLine="480"/>
        <w:rPr>
          <w:rFonts w:cs="Times New Roman"/>
          <w:color w:val="auto"/>
        </w:rPr>
      </w:pPr>
      <w:r>
        <w:rPr>
          <w:rFonts w:cs="Times New Roman"/>
          <w:color w:val="auto"/>
        </w:rPr>
        <w:t>根据《地下水环境影响评价技术导则</w:t>
      </w:r>
      <w:r>
        <w:rPr>
          <w:rFonts w:hint="eastAsia" w:cs="Times New Roman"/>
          <w:color w:val="auto"/>
          <w:lang w:val="en-US" w:eastAsia="zh-CN"/>
        </w:rPr>
        <w:t xml:space="preserve"> </w:t>
      </w:r>
      <w:r>
        <w:rPr>
          <w:rFonts w:cs="Times New Roman"/>
          <w:color w:val="auto"/>
        </w:rPr>
        <w:t>地下水环境》（HJ610-2016），地下水环境现状调查评价范围应包括与建设项目相关的地下水环境保护目标，以能说明地下水环境现状，反映调查评价区地下水基本渗流特征，满足地下水环境影响预测和评价为基本原则。</w:t>
      </w:r>
    </w:p>
    <w:p w14:paraId="51E3D61A">
      <w:pPr>
        <w:ind w:firstLine="480"/>
        <w:rPr>
          <w:rFonts w:cs="Times New Roman"/>
          <w:color w:val="auto"/>
        </w:rPr>
      </w:pPr>
      <w:r>
        <w:rPr>
          <w:rFonts w:cs="Times New Roman"/>
          <w:color w:val="auto"/>
        </w:rPr>
        <w:t>建设项目地下水环境现状调查评价范围的确定可采用公式计算法、查表法及自定义法。</w:t>
      </w:r>
    </w:p>
    <w:p w14:paraId="2C997D70">
      <w:pPr>
        <w:ind w:firstLine="480"/>
        <w:rPr>
          <w:rFonts w:cs="Times New Roman"/>
          <w:color w:val="auto"/>
        </w:rPr>
      </w:pPr>
      <w:r>
        <w:rPr>
          <w:rFonts w:cs="Times New Roman"/>
          <w:color w:val="auto"/>
        </w:rPr>
        <w:t>（1）公式计算法</w:t>
      </w:r>
    </w:p>
    <w:p w14:paraId="176DEAEF">
      <w:pPr>
        <w:ind w:firstLine="480"/>
        <w:rPr>
          <w:rFonts w:cs="Times New Roman"/>
          <w:color w:val="auto"/>
        </w:rPr>
      </w:pPr>
      <w:r>
        <w:rPr>
          <w:rFonts w:cs="Times New Roman"/>
          <w:color w:val="auto"/>
        </w:rPr>
        <w:t>当建设项目所在地水文地质条件相对简单，且所掌握的资料能够满足公式计算法的要求时，应采用公式计算法确定：</w:t>
      </w:r>
    </w:p>
    <w:p w14:paraId="6EDAA3F8">
      <w:pPr>
        <w:ind w:firstLine="480"/>
        <w:jc w:val="center"/>
        <w:rPr>
          <w:rFonts w:cs="Times New Roman"/>
          <w:color w:val="auto"/>
        </w:rPr>
      </w:pPr>
      <w:r>
        <w:rPr>
          <w:rFonts w:cs="Times New Roman"/>
          <w:color w:val="auto"/>
        </w:rPr>
        <w:t>L=α×K×I×T/n</w:t>
      </w:r>
      <w:r>
        <w:rPr>
          <w:rFonts w:cs="Times New Roman"/>
          <w:color w:val="auto"/>
          <w:vertAlign w:val="subscript"/>
        </w:rPr>
        <w:t>e</w:t>
      </w:r>
    </w:p>
    <w:p w14:paraId="54D1566E">
      <w:pPr>
        <w:ind w:firstLine="480"/>
        <w:rPr>
          <w:rFonts w:cs="Times New Roman"/>
          <w:color w:val="auto"/>
        </w:rPr>
      </w:pPr>
      <w:r>
        <w:rPr>
          <w:rFonts w:cs="Times New Roman"/>
          <w:color w:val="auto"/>
        </w:rPr>
        <w:t>式中：L—下游迁移距离</w:t>
      </w:r>
    </w:p>
    <w:p w14:paraId="7DEDA508">
      <w:pPr>
        <w:ind w:firstLine="1200" w:firstLineChars="500"/>
        <w:rPr>
          <w:rFonts w:cs="Times New Roman"/>
          <w:color w:val="auto"/>
        </w:rPr>
      </w:pPr>
      <w:r>
        <w:rPr>
          <w:rFonts w:cs="Times New Roman"/>
          <w:i/>
          <w:color w:val="auto"/>
        </w:rPr>
        <w:t>α</w:t>
      </w:r>
      <w:r>
        <w:rPr>
          <w:rFonts w:cs="Times New Roman"/>
          <w:color w:val="auto"/>
        </w:rPr>
        <w:t>—变化系数，</w:t>
      </w:r>
      <w:r>
        <w:rPr>
          <w:rFonts w:cs="Times New Roman"/>
          <w:i/>
          <w:color w:val="auto"/>
        </w:rPr>
        <w:t>α≥</w:t>
      </w:r>
      <w:r>
        <w:rPr>
          <w:rFonts w:cs="Times New Roman"/>
          <w:color w:val="auto"/>
        </w:rPr>
        <w:t>1，一般取2；</w:t>
      </w:r>
    </w:p>
    <w:p w14:paraId="20E11367">
      <w:pPr>
        <w:ind w:left="1559" w:leftChars="473" w:hanging="424" w:hangingChars="177"/>
        <w:rPr>
          <w:rFonts w:cs="Times New Roman"/>
          <w:color w:val="auto"/>
        </w:rPr>
      </w:pPr>
      <w:r>
        <w:rPr>
          <w:rFonts w:cs="Times New Roman"/>
          <w:color w:val="auto"/>
        </w:rPr>
        <w:t>K—渗透系数，m/d；</w:t>
      </w:r>
    </w:p>
    <w:p w14:paraId="75B214AE">
      <w:pPr>
        <w:ind w:firstLine="1132" w:firstLineChars="472"/>
        <w:rPr>
          <w:rFonts w:cs="Times New Roman"/>
          <w:color w:val="auto"/>
        </w:rPr>
      </w:pPr>
      <w:r>
        <w:rPr>
          <w:rFonts w:cs="Times New Roman"/>
          <w:color w:val="auto"/>
        </w:rPr>
        <w:t>I—水力坡度，无量纲；</w:t>
      </w:r>
    </w:p>
    <w:p w14:paraId="4BD0553D">
      <w:pPr>
        <w:ind w:firstLine="1132" w:firstLineChars="472"/>
        <w:rPr>
          <w:rFonts w:cs="Times New Roman"/>
          <w:color w:val="auto"/>
        </w:rPr>
      </w:pPr>
      <w:r>
        <w:rPr>
          <w:rFonts w:cs="Times New Roman"/>
          <w:color w:val="auto"/>
        </w:rPr>
        <w:t>T—质点迁移天数，取值不小于5000 d；</w:t>
      </w:r>
    </w:p>
    <w:p w14:paraId="1262F2EF">
      <w:pPr>
        <w:ind w:firstLine="1132" w:firstLineChars="472"/>
        <w:rPr>
          <w:rFonts w:cs="Times New Roman"/>
          <w:color w:val="auto"/>
        </w:rPr>
      </w:pPr>
      <w:r>
        <w:rPr>
          <w:rFonts w:cs="Times New Roman"/>
          <w:color w:val="auto"/>
        </w:rPr>
        <w:t>n</w:t>
      </w:r>
      <w:r>
        <w:rPr>
          <w:rFonts w:cs="Times New Roman"/>
          <w:color w:val="auto"/>
          <w:vertAlign w:val="subscript"/>
        </w:rPr>
        <w:t>e</w:t>
      </w:r>
      <w:r>
        <w:rPr>
          <w:rFonts w:cs="Times New Roman"/>
          <w:color w:val="auto"/>
        </w:rPr>
        <w:t>—有效孔隙度，无量纲。</w:t>
      </w:r>
    </w:p>
    <w:p w14:paraId="790E7245">
      <w:pPr>
        <w:ind w:firstLine="480"/>
        <w:rPr>
          <w:rFonts w:cs="Times New Roman"/>
          <w:color w:val="auto"/>
        </w:rPr>
      </w:pPr>
      <w:r>
        <w:rPr>
          <w:rFonts w:cs="Times New Roman"/>
          <w:color w:val="auto"/>
        </w:rPr>
        <w:t>（2）查表法</w:t>
      </w:r>
    </w:p>
    <w:p w14:paraId="6CFD83D0">
      <w:pPr>
        <w:ind w:firstLine="480"/>
        <w:rPr>
          <w:rFonts w:cs="Times New Roman"/>
          <w:color w:val="auto"/>
        </w:rPr>
      </w:pPr>
      <w:r>
        <w:rPr>
          <w:rFonts w:cs="Times New Roman"/>
          <w:color w:val="auto"/>
        </w:rPr>
        <w:t>当不满足公式计算法的要求时，可采用查表法确定（表</w:t>
      </w:r>
      <w:r>
        <w:rPr>
          <w:rFonts w:hint="eastAsia" w:cs="Times New Roman"/>
          <w:color w:val="auto"/>
          <w:lang w:val="en-US" w:eastAsia="zh-CN"/>
        </w:rPr>
        <w:t>1.3-11</w:t>
      </w:r>
      <w:r>
        <w:rPr>
          <w:rFonts w:cs="Times New Roman"/>
          <w:color w:val="auto"/>
        </w:rPr>
        <w:t>）。</w:t>
      </w:r>
    </w:p>
    <w:p w14:paraId="2A9EEC9D">
      <w:pPr>
        <w:pStyle w:val="15"/>
        <w:numPr>
          <w:ilvl w:val="0"/>
          <w:numId w:val="9"/>
        </w:numPr>
        <w:tabs>
          <w:tab w:val="clear" w:pos="0"/>
        </w:tabs>
        <w:bidi w:val="0"/>
        <w:ind w:left="0" w:leftChars="0" w:firstLine="0" w:firstLineChars="0"/>
        <w:rPr>
          <w:rFonts w:cs="Times New Roman"/>
          <w:color w:val="auto"/>
        </w:rPr>
      </w:pPr>
      <w:r>
        <w:rPr>
          <w:rFonts w:cs="Times New Roman"/>
          <w:color w:val="auto"/>
        </w:rPr>
        <w:t>地下水环境现状调查评价范围参照</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4"/>
        <w:gridCol w:w="4540"/>
        <w:gridCol w:w="2638"/>
      </w:tblGrid>
      <w:tr w14:paraId="63C7F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986" w:type="pct"/>
            <w:tcBorders>
              <w:tl2br w:val="nil"/>
              <w:tr2bl w:val="nil"/>
            </w:tcBorders>
            <w:shd w:val="clear" w:color="auto" w:fill="auto"/>
            <w:vAlign w:val="center"/>
          </w:tcPr>
          <w:p w14:paraId="2DE805B9">
            <w:pPr>
              <w:pStyle w:val="711"/>
              <w:rPr>
                <w:rFonts w:cs="Times New Roman"/>
                <w:b/>
                <w:bCs/>
                <w:color w:val="auto"/>
              </w:rPr>
            </w:pPr>
            <w:r>
              <w:rPr>
                <w:rFonts w:cs="Times New Roman"/>
                <w:b/>
                <w:bCs/>
                <w:color w:val="auto"/>
              </w:rPr>
              <w:t>评价等级</w:t>
            </w:r>
          </w:p>
        </w:tc>
        <w:tc>
          <w:tcPr>
            <w:tcW w:w="2538" w:type="pct"/>
            <w:tcBorders>
              <w:tl2br w:val="nil"/>
              <w:tr2bl w:val="nil"/>
            </w:tcBorders>
            <w:shd w:val="clear" w:color="auto" w:fill="auto"/>
            <w:vAlign w:val="center"/>
          </w:tcPr>
          <w:p w14:paraId="39305702">
            <w:pPr>
              <w:pStyle w:val="711"/>
              <w:rPr>
                <w:rFonts w:cs="Times New Roman"/>
                <w:b/>
                <w:bCs/>
                <w:color w:val="auto"/>
              </w:rPr>
            </w:pPr>
            <w:r>
              <w:rPr>
                <w:rFonts w:cs="Times New Roman"/>
                <w:b/>
                <w:bCs/>
                <w:color w:val="auto"/>
              </w:rPr>
              <w:t>调查评价面积（km</w:t>
            </w:r>
            <w:r>
              <w:rPr>
                <w:rFonts w:cs="Times New Roman"/>
                <w:b/>
                <w:bCs/>
                <w:color w:val="auto"/>
                <w:vertAlign w:val="superscript"/>
              </w:rPr>
              <w:t>2</w:t>
            </w:r>
            <w:r>
              <w:rPr>
                <w:rFonts w:cs="Times New Roman"/>
                <w:b/>
                <w:bCs/>
                <w:color w:val="auto"/>
              </w:rPr>
              <w:t>）</w:t>
            </w:r>
          </w:p>
        </w:tc>
        <w:tc>
          <w:tcPr>
            <w:tcW w:w="1475" w:type="pct"/>
            <w:tcBorders>
              <w:tl2br w:val="nil"/>
              <w:tr2bl w:val="nil"/>
            </w:tcBorders>
            <w:shd w:val="clear" w:color="auto" w:fill="auto"/>
            <w:vAlign w:val="center"/>
          </w:tcPr>
          <w:p w14:paraId="0E86C88A">
            <w:pPr>
              <w:pStyle w:val="711"/>
              <w:rPr>
                <w:rFonts w:cs="Times New Roman"/>
                <w:b/>
                <w:bCs/>
                <w:color w:val="auto"/>
              </w:rPr>
            </w:pPr>
            <w:r>
              <w:rPr>
                <w:rFonts w:cs="Times New Roman"/>
                <w:b/>
                <w:bCs/>
                <w:color w:val="auto"/>
              </w:rPr>
              <w:t>备注</w:t>
            </w:r>
          </w:p>
        </w:tc>
      </w:tr>
      <w:tr w14:paraId="74F7F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0A4E0C8F">
            <w:pPr>
              <w:pStyle w:val="711"/>
              <w:rPr>
                <w:rFonts w:cs="Times New Roman"/>
                <w:color w:val="auto"/>
              </w:rPr>
            </w:pPr>
            <w:r>
              <w:rPr>
                <w:rFonts w:cs="Times New Roman"/>
                <w:color w:val="auto"/>
              </w:rPr>
              <w:t>一级</w:t>
            </w:r>
          </w:p>
        </w:tc>
        <w:tc>
          <w:tcPr>
            <w:tcW w:w="2538" w:type="pct"/>
            <w:tcBorders>
              <w:tl2br w:val="nil"/>
              <w:tr2bl w:val="nil"/>
            </w:tcBorders>
            <w:shd w:val="clear" w:color="auto" w:fill="auto"/>
            <w:vAlign w:val="center"/>
          </w:tcPr>
          <w:p w14:paraId="6F446E49">
            <w:pPr>
              <w:pStyle w:val="711"/>
              <w:rPr>
                <w:rFonts w:cs="Times New Roman"/>
                <w:color w:val="auto"/>
              </w:rPr>
            </w:pPr>
            <w:r>
              <w:rPr>
                <w:rFonts w:cs="Times New Roman"/>
                <w:color w:val="auto"/>
              </w:rPr>
              <w:t>≥20</w:t>
            </w:r>
          </w:p>
        </w:tc>
        <w:tc>
          <w:tcPr>
            <w:tcW w:w="1475" w:type="pct"/>
            <w:vMerge w:val="restart"/>
            <w:tcBorders>
              <w:tl2br w:val="nil"/>
              <w:tr2bl w:val="nil"/>
            </w:tcBorders>
            <w:shd w:val="clear" w:color="auto" w:fill="auto"/>
            <w:vAlign w:val="center"/>
          </w:tcPr>
          <w:p w14:paraId="2F47EA65">
            <w:pPr>
              <w:pStyle w:val="711"/>
              <w:rPr>
                <w:rFonts w:cs="Times New Roman"/>
                <w:color w:val="auto"/>
              </w:rPr>
            </w:pPr>
            <w:r>
              <w:rPr>
                <w:rFonts w:cs="Times New Roman"/>
                <w:color w:val="auto"/>
              </w:rPr>
              <w:t>应包括重要的地下水环境保护目标，必要时适当扩大范围</w:t>
            </w:r>
          </w:p>
        </w:tc>
      </w:tr>
      <w:tr w14:paraId="16AD38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67208DC5">
            <w:pPr>
              <w:pStyle w:val="711"/>
              <w:rPr>
                <w:rFonts w:cs="Times New Roman"/>
                <w:color w:val="auto"/>
              </w:rPr>
            </w:pPr>
            <w:r>
              <w:rPr>
                <w:rFonts w:cs="Times New Roman"/>
                <w:color w:val="auto"/>
              </w:rPr>
              <w:t>二级</w:t>
            </w:r>
          </w:p>
        </w:tc>
        <w:tc>
          <w:tcPr>
            <w:tcW w:w="2538" w:type="pct"/>
            <w:tcBorders>
              <w:tl2br w:val="nil"/>
              <w:tr2bl w:val="nil"/>
            </w:tcBorders>
            <w:shd w:val="clear" w:color="auto" w:fill="auto"/>
            <w:vAlign w:val="center"/>
          </w:tcPr>
          <w:p w14:paraId="66EB9F26">
            <w:pPr>
              <w:pStyle w:val="711"/>
              <w:rPr>
                <w:rFonts w:cs="Times New Roman"/>
                <w:color w:val="auto"/>
              </w:rPr>
            </w:pPr>
            <w:r>
              <w:rPr>
                <w:rFonts w:cs="Times New Roman"/>
                <w:color w:val="auto"/>
              </w:rPr>
              <w:t>6～20</w:t>
            </w:r>
          </w:p>
        </w:tc>
        <w:tc>
          <w:tcPr>
            <w:tcW w:w="1475" w:type="pct"/>
            <w:vMerge w:val="continue"/>
            <w:tcBorders>
              <w:tl2br w:val="nil"/>
              <w:tr2bl w:val="nil"/>
            </w:tcBorders>
            <w:shd w:val="clear" w:color="auto" w:fill="auto"/>
            <w:vAlign w:val="center"/>
          </w:tcPr>
          <w:p w14:paraId="784553D0">
            <w:pPr>
              <w:pStyle w:val="711"/>
              <w:rPr>
                <w:rFonts w:cs="Times New Roman"/>
                <w:color w:val="auto"/>
              </w:rPr>
            </w:pPr>
          </w:p>
        </w:tc>
      </w:tr>
      <w:tr w14:paraId="7B494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0E64A7F5">
            <w:pPr>
              <w:pStyle w:val="711"/>
              <w:rPr>
                <w:rFonts w:cs="Times New Roman"/>
                <w:color w:val="auto"/>
              </w:rPr>
            </w:pPr>
            <w:r>
              <w:rPr>
                <w:rFonts w:cs="Times New Roman"/>
                <w:color w:val="auto"/>
              </w:rPr>
              <w:t>三级</w:t>
            </w:r>
          </w:p>
        </w:tc>
        <w:tc>
          <w:tcPr>
            <w:tcW w:w="2538" w:type="pct"/>
            <w:tcBorders>
              <w:tl2br w:val="nil"/>
              <w:tr2bl w:val="nil"/>
            </w:tcBorders>
            <w:shd w:val="clear" w:color="auto" w:fill="auto"/>
            <w:vAlign w:val="center"/>
          </w:tcPr>
          <w:p w14:paraId="468C2AAF">
            <w:pPr>
              <w:pStyle w:val="711"/>
              <w:rPr>
                <w:rFonts w:cs="Times New Roman"/>
                <w:color w:val="auto"/>
              </w:rPr>
            </w:pPr>
            <w:r>
              <w:rPr>
                <w:rFonts w:cs="Times New Roman"/>
                <w:color w:val="auto"/>
              </w:rPr>
              <w:t>≤6</w:t>
            </w:r>
          </w:p>
        </w:tc>
        <w:tc>
          <w:tcPr>
            <w:tcW w:w="1475" w:type="pct"/>
            <w:vMerge w:val="continue"/>
            <w:tcBorders>
              <w:tl2br w:val="nil"/>
              <w:tr2bl w:val="nil"/>
            </w:tcBorders>
            <w:shd w:val="clear" w:color="auto" w:fill="auto"/>
            <w:vAlign w:val="center"/>
          </w:tcPr>
          <w:p w14:paraId="0A4E5CC3">
            <w:pPr>
              <w:pStyle w:val="711"/>
              <w:rPr>
                <w:rFonts w:cs="Times New Roman"/>
                <w:color w:val="auto"/>
              </w:rPr>
            </w:pPr>
          </w:p>
        </w:tc>
      </w:tr>
    </w:tbl>
    <w:p w14:paraId="5E046A9D">
      <w:pPr>
        <w:keepNext w:val="0"/>
        <w:keepLines w:val="0"/>
        <w:pageBreakBefore w:val="0"/>
        <w:widowControl w:val="0"/>
        <w:kinsoku/>
        <w:wordWrap/>
        <w:overflowPunct/>
        <w:topLinePunct w:val="0"/>
        <w:autoSpaceDE/>
        <w:autoSpaceDN/>
        <w:bidi w:val="0"/>
        <w:adjustRightInd/>
        <w:snapToGrid/>
        <w:spacing w:before="0" w:beforeLines="50"/>
        <w:textAlignment w:val="auto"/>
        <w:rPr>
          <w:b w:val="0"/>
          <w:bCs w:val="0"/>
          <w:color w:val="auto"/>
        </w:rPr>
      </w:pPr>
      <w:r>
        <w:rPr>
          <w:b w:val="0"/>
          <w:bCs w:val="0"/>
          <w:color w:val="auto"/>
        </w:rPr>
        <w:t>（3）自定义法</w:t>
      </w:r>
    </w:p>
    <w:p w14:paraId="6A7B0244">
      <w:pPr>
        <w:ind w:firstLine="480"/>
        <w:rPr>
          <w:rFonts w:cs="Times New Roman"/>
          <w:color w:val="auto"/>
        </w:rPr>
      </w:pPr>
      <w:r>
        <w:rPr>
          <w:rFonts w:cs="Times New Roman"/>
          <w:color w:val="auto"/>
        </w:rPr>
        <w:t>当计算或查表范围超出所处水文地质单元边界时，应以所处水文地质单元边界为宜，可根据建设项目所在区域水文地质条件确定。</w:t>
      </w:r>
    </w:p>
    <w:p w14:paraId="0C12E6DD">
      <w:pPr>
        <w:ind w:firstLine="480"/>
        <w:rPr>
          <w:rFonts w:eastAsia="宋体" w:cs="Times New Roman"/>
          <w:color w:val="auto"/>
          <w:szCs w:val="24"/>
        </w:rPr>
      </w:pPr>
      <w:r>
        <w:rPr>
          <w:rFonts w:eastAsia="宋体" w:cs="Times New Roman"/>
          <w:color w:val="auto"/>
          <w:szCs w:val="24"/>
        </w:rPr>
        <w:t>根据现场调查及区域水文地质</w:t>
      </w:r>
      <w:r>
        <w:rPr>
          <w:rFonts w:hint="eastAsia" w:eastAsia="宋体" w:cs="Times New Roman"/>
          <w:color w:val="auto"/>
          <w:szCs w:val="24"/>
        </w:rPr>
        <w:t>条件</w:t>
      </w:r>
      <w:r>
        <w:rPr>
          <w:rFonts w:eastAsia="宋体" w:cs="Times New Roman"/>
          <w:color w:val="auto"/>
          <w:szCs w:val="24"/>
        </w:rPr>
        <w:t>，本次选取自定义法确定本项目调查评价范围：项目区</w:t>
      </w:r>
      <w:r>
        <w:rPr>
          <w:rFonts w:hint="eastAsia" w:eastAsia="宋体" w:cs="Times New Roman"/>
          <w:color w:val="auto"/>
          <w:szCs w:val="24"/>
        </w:rPr>
        <w:t>西侧以巴河支流小河沟为界</w:t>
      </w:r>
      <w:r>
        <w:rPr>
          <w:rFonts w:eastAsia="宋体" w:cs="Times New Roman"/>
          <w:color w:val="auto"/>
          <w:szCs w:val="24"/>
        </w:rPr>
        <w:t>，</w:t>
      </w:r>
      <w:r>
        <w:rPr>
          <w:rFonts w:hint="eastAsia" w:eastAsia="宋体" w:cs="Times New Roman"/>
          <w:color w:val="auto"/>
          <w:szCs w:val="24"/>
        </w:rPr>
        <w:t>东南</w:t>
      </w:r>
      <w:r>
        <w:rPr>
          <w:rFonts w:eastAsia="宋体" w:cs="Times New Roman"/>
          <w:color w:val="auto"/>
          <w:szCs w:val="24"/>
        </w:rPr>
        <w:t>侧以</w:t>
      </w:r>
      <w:r>
        <w:rPr>
          <w:rFonts w:hint="eastAsia" w:eastAsia="宋体" w:cs="Times New Roman"/>
          <w:color w:val="auto"/>
          <w:szCs w:val="24"/>
        </w:rPr>
        <w:t>店子河</w:t>
      </w:r>
      <w:r>
        <w:rPr>
          <w:rFonts w:eastAsia="宋体" w:cs="Times New Roman"/>
          <w:color w:val="auto"/>
          <w:szCs w:val="24"/>
        </w:rPr>
        <w:t>为边界，</w:t>
      </w:r>
      <w:r>
        <w:rPr>
          <w:rFonts w:hint="eastAsia" w:eastAsia="宋体" w:cs="Times New Roman"/>
          <w:color w:val="auto"/>
          <w:szCs w:val="24"/>
        </w:rPr>
        <w:t>南</w:t>
      </w:r>
      <w:r>
        <w:rPr>
          <w:rFonts w:eastAsia="宋体" w:cs="Times New Roman"/>
          <w:color w:val="auto"/>
          <w:szCs w:val="24"/>
        </w:rPr>
        <w:t>侧</w:t>
      </w:r>
      <w:r>
        <w:rPr>
          <w:rFonts w:hint="eastAsia" w:eastAsia="宋体" w:cs="Times New Roman"/>
          <w:color w:val="auto"/>
          <w:szCs w:val="24"/>
        </w:rPr>
        <w:t>下</w:t>
      </w:r>
      <w:r>
        <w:rPr>
          <w:rFonts w:eastAsia="宋体" w:cs="Times New Roman"/>
          <w:color w:val="auto"/>
          <w:szCs w:val="24"/>
        </w:rPr>
        <w:t>游</w:t>
      </w:r>
      <w:r>
        <w:rPr>
          <w:rFonts w:hint="eastAsia" w:eastAsia="宋体" w:cs="Times New Roman"/>
          <w:color w:val="auto"/>
          <w:szCs w:val="24"/>
        </w:rPr>
        <w:t>以当地最低侵蚀基准面巴河为界</w:t>
      </w:r>
      <w:r>
        <w:rPr>
          <w:rFonts w:cs="Times New Roman"/>
          <w:color w:val="auto"/>
        </w:rPr>
        <w:t>，</w:t>
      </w:r>
      <w:r>
        <w:rPr>
          <w:rFonts w:hint="eastAsia" w:cs="Times New Roman"/>
          <w:color w:val="auto"/>
        </w:rPr>
        <w:t>北西侧以小河沟与店子河之间的山脊线为界，北东侧以店子河及其支流间的山脊线为界</w:t>
      </w:r>
      <w:r>
        <w:rPr>
          <w:rFonts w:cs="Times New Roman"/>
          <w:color w:val="auto"/>
        </w:rPr>
        <w:t>，评价范围为</w:t>
      </w:r>
      <w:r>
        <w:rPr>
          <w:rFonts w:hint="eastAsia" w:cs="Times New Roman"/>
          <w:color w:val="auto"/>
        </w:rPr>
        <w:t>0.49</w:t>
      </w:r>
      <w:r>
        <w:rPr>
          <w:rFonts w:cs="Times New Roman"/>
          <w:color w:val="auto"/>
        </w:rPr>
        <w:t xml:space="preserve"> km</w:t>
      </w:r>
      <w:r>
        <w:rPr>
          <w:rFonts w:cs="Times New Roman"/>
          <w:color w:val="auto"/>
          <w:vertAlign w:val="superscript"/>
        </w:rPr>
        <w:t>2</w:t>
      </w:r>
      <w:r>
        <w:rPr>
          <w:rFonts w:cs="Times New Roman"/>
          <w:color w:val="auto"/>
        </w:rPr>
        <w:t>。本项目调查评价范围见</w:t>
      </w:r>
      <w:r>
        <w:rPr>
          <w:rFonts w:hint="eastAsia" w:cs="Times New Roman"/>
          <w:color w:val="auto"/>
          <w:lang w:val="en-US" w:eastAsia="zh-CN"/>
        </w:rPr>
        <w:t>下图</w:t>
      </w:r>
      <w:r>
        <w:rPr>
          <w:rFonts w:cs="Times New Roman"/>
          <w:color w:val="auto"/>
        </w:rPr>
        <w:t>。</w:t>
      </w:r>
    </w:p>
    <w:p w14:paraId="4C2F5EF0">
      <w:pPr>
        <w:pStyle w:val="711"/>
        <w:rPr>
          <w:rFonts w:cs="Times New Roman"/>
          <w:color w:val="auto"/>
          <w:sz w:val="30"/>
        </w:rPr>
      </w:pPr>
      <w:r>
        <w:rPr>
          <w:rFonts w:cs="Times New Roman"/>
          <w:color w:val="auto"/>
          <w:sz w:val="30"/>
        </w:rPr>
        <w:drawing>
          <wp:inline distT="0" distB="0" distL="0" distR="0">
            <wp:extent cx="4937760" cy="5039995"/>
            <wp:effectExtent l="0" t="0" r="15240" b="8255"/>
            <wp:docPr id="6926453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45368" name="图片 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57618" cy="5060279"/>
                    </a:xfrm>
                    <a:prstGeom prst="rect">
                      <a:avLst/>
                    </a:prstGeom>
                  </pic:spPr>
                </pic:pic>
              </a:graphicData>
            </a:graphic>
          </wp:inline>
        </w:drawing>
      </w:r>
    </w:p>
    <w:p w14:paraId="6261F44D">
      <w:pPr>
        <w:pStyle w:val="710"/>
        <w:rPr>
          <w:color w:val="auto"/>
        </w:rPr>
      </w:pPr>
      <w:r>
        <w:rPr>
          <w:rFonts w:cs="Times New Roman"/>
          <w:color w:val="auto"/>
        </w:rPr>
        <w:t>图</w:t>
      </w:r>
      <w:r>
        <w:rPr>
          <w:rFonts w:hint="eastAsia" w:cs="Times New Roman"/>
          <w:color w:val="auto"/>
          <w:lang w:val="en-US" w:eastAsia="zh-CN"/>
        </w:rPr>
        <w:t>1.3</w:t>
      </w:r>
      <w:r>
        <w:rPr>
          <w:rFonts w:cs="Times New Roman"/>
          <w:color w:val="auto"/>
        </w:rPr>
        <w:t>-</w:t>
      </w:r>
      <w:r>
        <w:rPr>
          <w:rFonts w:hint="eastAsia" w:cs="Times New Roman"/>
          <w:color w:val="auto"/>
          <w:lang w:val="en-US" w:eastAsia="zh-CN"/>
        </w:rPr>
        <w:t>2</w:t>
      </w:r>
      <w:r>
        <w:rPr>
          <w:rFonts w:cs="Times New Roman"/>
          <w:color w:val="auto"/>
        </w:rPr>
        <w:t xml:space="preserve">  本项目地下水环境调查评价范围</w:t>
      </w:r>
    </w:p>
    <w:p w14:paraId="7868AB2B">
      <w:pPr>
        <w:pageBreakBefore w:val="0"/>
        <w:numPr>
          <w:ilvl w:val="0"/>
          <w:numId w:val="10"/>
        </w:numPr>
        <w:wordWrap/>
        <w:bidi w:val="0"/>
        <w:adjustRightInd/>
        <w:snapToGrid/>
        <w:ind w:firstLine="482"/>
        <w:rPr>
          <w:b/>
          <w:bCs/>
          <w:color w:val="auto"/>
        </w:rPr>
      </w:pPr>
      <w:r>
        <w:rPr>
          <w:b/>
          <w:bCs/>
          <w:color w:val="auto"/>
        </w:rPr>
        <w:t>声环境评价范围</w:t>
      </w:r>
    </w:p>
    <w:p w14:paraId="52B35003">
      <w:pPr>
        <w:pStyle w:val="19"/>
        <w:pageBreakBefore w:val="0"/>
        <w:wordWrap/>
        <w:bidi w:val="0"/>
        <w:adjustRightInd/>
        <w:snapToGrid/>
        <w:rPr>
          <w:color w:val="auto"/>
        </w:rPr>
      </w:pPr>
      <w:r>
        <w:rPr>
          <w:color w:val="auto"/>
        </w:rPr>
        <w:t>根据</w:t>
      </w:r>
      <w:r>
        <w:rPr>
          <w:rFonts w:hint="eastAsia"/>
          <w:color w:val="auto"/>
          <w:lang w:eastAsia="zh-CN"/>
        </w:rPr>
        <w:t>《环境影响评价技术导则 声环境》（HJ2.4-2021）</w:t>
      </w:r>
      <w:r>
        <w:rPr>
          <w:color w:val="auto"/>
        </w:rPr>
        <w:t>中规定</w:t>
      </w:r>
      <w:r>
        <w:rPr>
          <w:rFonts w:hint="eastAsia"/>
          <w:color w:val="auto"/>
          <w:lang w:eastAsia="zh-CN"/>
        </w:rPr>
        <w:t>“</w:t>
      </w:r>
      <w:r>
        <w:rPr>
          <w:color w:val="auto"/>
        </w:rPr>
        <w:t>噪声二级、三级评价范围可根据建设项目所在区域和相邻区域的声环境功能区类别及敏感目标等实际情况适当缩小</w:t>
      </w:r>
      <w:r>
        <w:rPr>
          <w:rFonts w:hint="eastAsia"/>
          <w:color w:val="auto"/>
          <w:lang w:eastAsia="zh-CN"/>
        </w:rPr>
        <w:t>”</w:t>
      </w:r>
      <w:r>
        <w:rPr>
          <w:color w:val="auto"/>
        </w:rPr>
        <w:t>。项目所在区域为</w:t>
      </w:r>
      <w:r>
        <w:rPr>
          <w:rFonts w:hint="eastAsia"/>
          <w:color w:val="auto"/>
          <w:lang w:val="en-US" w:eastAsia="zh-CN"/>
        </w:rPr>
        <w:t>2</w:t>
      </w:r>
      <w:r>
        <w:rPr>
          <w:color w:val="auto"/>
        </w:rPr>
        <w:t>类声功能区，项目声环境评价范围为项目厂界外200m范围内。</w:t>
      </w:r>
    </w:p>
    <w:p w14:paraId="7B2029DF">
      <w:pPr>
        <w:pageBreakBefore w:val="0"/>
        <w:numPr>
          <w:ilvl w:val="0"/>
          <w:numId w:val="10"/>
        </w:numPr>
        <w:wordWrap/>
        <w:bidi w:val="0"/>
        <w:adjustRightInd/>
        <w:snapToGrid/>
        <w:ind w:firstLine="482"/>
        <w:rPr>
          <w:b/>
          <w:bCs/>
          <w:color w:val="auto"/>
        </w:rPr>
      </w:pPr>
      <w:r>
        <w:rPr>
          <w:b/>
          <w:bCs/>
          <w:color w:val="auto"/>
        </w:rPr>
        <w:t>环境风险评价范围</w:t>
      </w:r>
    </w:p>
    <w:p w14:paraId="02F07820">
      <w:pPr>
        <w:pageBreakBefore w:val="0"/>
        <w:wordWrap/>
        <w:bidi w:val="0"/>
        <w:adjustRightInd/>
        <w:snapToGrid/>
        <w:ind w:firstLine="480"/>
        <w:rPr>
          <w:color w:val="auto"/>
        </w:rPr>
      </w:pPr>
      <w:r>
        <w:rPr>
          <w:color w:val="auto"/>
        </w:rPr>
        <w:t>根据《建设项目环境风险评价技术导则》（HJ169-2018）的有关规定，简要分析无需设定评价范围。</w:t>
      </w:r>
    </w:p>
    <w:p w14:paraId="02DF48B8">
      <w:pPr>
        <w:pageBreakBefore w:val="0"/>
        <w:numPr>
          <w:ilvl w:val="0"/>
          <w:numId w:val="10"/>
        </w:numPr>
        <w:wordWrap/>
        <w:bidi w:val="0"/>
        <w:adjustRightInd/>
        <w:snapToGrid/>
        <w:ind w:firstLine="482"/>
        <w:rPr>
          <w:b/>
          <w:bCs/>
          <w:color w:val="auto"/>
        </w:rPr>
      </w:pPr>
      <w:r>
        <w:rPr>
          <w:b/>
          <w:bCs/>
          <w:color w:val="auto"/>
        </w:rPr>
        <w:t>土壤环境评价范围</w:t>
      </w:r>
    </w:p>
    <w:p w14:paraId="65ED22FA">
      <w:pPr>
        <w:pStyle w:val="19"/>
        <w:pageBreakBefore w:val="0"/>
        <w:wordWrap/>
        <w:bidi w:val="0"/>
        <w:adjustRightInd/>
        <w:snapToGrid/>
        <w:jc w:val="left"/>
        <w:rPr>
          <w:color w:val="auto"/>
          <w:szCs w:val="32"/>
        </w:rPr>
      </w:pPr>
      <w:r>
        <w:rPr>
          <w:color w:val="auto"/>
          <w:szCs w:val="32"/>
        </w:rPr>
        <w:t>《环境影响评价技术导则 土壤环境（试行）》（HJ 964-2018）的有关规定，评价范围为项目占地范围外0.05km范围内。</w:t>
      </w:r>
    </w:p>
    <w:bookmarkEnd w:id="36"/>
    <w:bookmarkEnd w:id="37"/>
    <w:bookmarkEnd w:id="38"/>
    <w:bookmarkEnd w:id="39"/>
    <w:p w14:paraId="23A2EF69">
      <w:pPr>
        <w:pStyle w:val="4"/>
        <w:pageBreakBefore w:val="0"/>
        <w:wordWrap/>
        <w:bidi w:val="0"/>
        <w:adjustRightInd/>
        <w:snapToGrid/>
        <w:rPr>
          <w:rFonts w:ascii="Times New Roman" w:hAnsi="Times New Roman" w:eastAsia="宋体"/>
          <w:color w:val="auto"/>
        </w:rPr>
      </w:pPr>
      <w:bookmarkStart w:id="55" w:name="_Toc26084"/>
      <w:bookmarkStart w:id="56" w:name="_Toc505087337"/>
      <w:r>
        <w:rPr>
          <w:rFonts w:hint="eastAsia" w:ascii="Times New Roman" w:hAnsi="Times New Roman" w:eastAsia="宋体"/>
          <w:color w:val="auto"/>
        </w:rPr>
        <w:t xml:space="preserve"> </w:t>
      </w:r>
      <w:bookmarkStart w:id="57" w:name="_Toc27519"/>
      <w:r>
        <w:rPr>
          <w:rFonts w:ascii="Times New Roman" w:hAnsi="Times New Roman" w:eastAsia="宋体"/>
          <w:color w:val="auto"/>
        </w:rPr>
        <w:t>相关规划及环境功能区划</w:t>
      </w:r>
      <w:bookmarkEnd w:id="55"/>
      <w:bookmarkEnd w:id="57"/>
    </w:p>
    <w:bookmarkEnd w:id="56"/>
    <w:p w14:paraId="7669F37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相关规划符合性分析</w:t>
      </w:r>
    </w:p>
    <w:p w14:paraId="1969450E">
      <w:pPr>
        <w:pStyle w:val="6"/>
        <w:pageBreakBefore w:val="0"/>
        <w:wordWrap/>
        <w:bidi w:val="0"/>
        <w:adjustRightInd/>
        <w:snapToGrid/>
        <w:rPr>
          <w:color w:val="auto"/>
        </w:rPr>
      </w:pPr>
      <w:r>
        <w:rPr>
          <w:color w:val="auto"/>
        </w:rPr>
        <w:t>产业政策符合性分析</w:t>
      </w:r>
    </w:p>
    <w:p w14:paraId="6BA851D5">
      <w:pPr>
        <w:pageBreakBefore w:val="0"/>
        <w:wordWrap/>
        <w:bidi w:val="0"/>
        <w:adjustRightInd/>
        <w:snapToGrid/>
        <w:ind w:firstLine="480"/>
        <w:rPr>
          <w:color w:val="auto"/>
          <w:shd w:val="clear" w:color="auto" w:fill="FFFFFF"/>
        </w:rPr>
      </w:pPr>
      <w:r>
        <w:rPr>
          <w:color w:val="auto"/>
          <w:shd w:val="clear" w:color="auto" w:fill="FFFFFF"/>
        </w:rPr>
        <w:t>根据</w:t>
      </w:r>
      <w:r>
        <w:rPr>
          <w:color w:val="auto"/>
        </w:rPr>
        <w:t>《国民经济行业分类》（GB/T4754-2017），项目属于</w:t>
      </w:r>
      <w:r>
        <w:rPr>
          <w:rFonts w:hint="eastAsia"/>
          <w:color w:val="auto"/>
          <w:lang w:eastAsia="zh-CN"/>
        </w:rPr>
        <w:t>“</w:t>
      </w:r>
      <w:r>
        <w:rPr>
          <w:color w:val="auto"/>
        </w:rPr>
        <w:t>D4620污水处理及其再生利用</w:t>
      </w:r>
      <w:r>
        <w:rPr>
          <w:rFonts w:hint="eastAsia"/>
          <w:color w:val="auto"/>
          <w:lang w:eastAsia="zh-CN"/>
        </w:rPr>
        <w:t>”</w:t>
      </w:r>
      <w:r>
        <w:rPr>
          <w:color w:val="auto"/>
        </w:rPr>
        <w:t>类项目。项目的建设用地不属于《禁止用地项目目录》（2012年本）中限制用地和禁止用地范围，项目属于《</w:t>
      </w:r>
      <w:r>
        <w:rPr>
          <w:rFonts w:hint="eastAsia"/>
          <w:color w:val="auto"/>
          <w:lang w:eastAsia="zh-CN"/>
        </w:rPr>
        <w:t>产业结构调整指导目录（2024年本）》</w:t>
      </w:r>
      <w:r>
        <w:rPr>
          <w:color w:val="auto"/>
        </w:rPr>
        <w:t>（</w:t>
      </w:r>
      <w:r>
        <w:rPr>
          <w:rFonts w:hint="eastAsia"/>
          <w:color w:val="auto"/>
          <w:lang w:eastAsia="zh-CN"/>
        </w:rPr>
        <w:t>中华人民共和国国家发展和改革委员会令 第7号</w:t>
      </w:r>
      <w:r>
        <w:rPr>
          <w:color w:val="auto"/>
        </w:rPr>
        <w:t>）中</w:t>
      </w:r>
      <w:r>
        <w:rPr>
          <w:rFonts w:hint="eastAsia"/>
          <w:color w:val="auto"/>
          <w:lang w:eastAsia="zh-CN"/>
        </w:rPr>
        <w:t>“</w:t>
      </w:r>
      <w:r>
        <w:rPr>
          <w:color w:val="auto"/>
        </w:rPr>
        <w:t>第一类 鼓励类</w:t>
      </w:r>
      <w:r>
        <w:rPr>
          <w:rFonts w:hint="eastAsia"/>
          <w:color w:val="auto"/>
          <w:lang w:eastAsia="zh-CN"/>
        </w:rPr>
        <w:t>”</w:t>
      </w:r>
      <w:r>
        <w:rPr>
          <w:color w:val="auto"/>
        </w:rPr>
        <w:t>中</w:t>
      </w:r>
      <w:r>
        <w:rPr>
          <w:rFonts w:hint="eastAsia"/>
          <w:color w:val="auto"/>
          <w:lang w:eastAsia="zh-CN"/>
        </w:rPr>
        <w:t>“</w:t>
      </w:r>
      <w:r>
        <w:rPr>
          <w:color w:val="auto"/>
        </w:rPr>
        <w:t>四十</w:t>
      </w:r>
      <w:r>
        <w:rPr>
          <w:rFonts w:hint="eastAsia"/>
          <w:color w:val="auto"/>
          <w:lang w:val="en-US" w:eastAsia="zh-CN"/>
        </w:rPr>
        <w:t>二</w:t>
      </w:r>
      <w:r>
        <w:rPr>
          <w:color w:val="auto"/>
        </w:rPr>
        <w:t>、环境保护与资源节约综合利用</w:t>
      </w:r>
      <w:r>
        <w:rPr>
          <w:rFonts w:hint="eastAsia"/>
          <w:color w:val="auto"/>
          <w:lang w:eastAsia="zh-CN"/>
        </w:rPr>
        <w:t>”</w:t>
      </w:r>
      <w:r>
        <w:rPr>
          <w:color w:val="auto"/>
        </w:rPr>
        <w:t>之</w:t>
      </w:r>
      <w:r>
        <w:rPr>
          <w:rFonts w:hint="eastAsia"/>
          <w:color w:val="auto"/>
          <w:lang w:eastAsia="zh-CN"/>
        </w:rPr>
        <w:t>“</w:t>
      </w:r>
      <w:r>
        <w:rPr>
          <w:rFonts w:hint="eastAsia"/>
          <w:color w:val="auto"/>
          <w:lang w:val="en-US" w:eastAsia="zh-CN"/>
        </w:rPr>
        <w:t>10.工业“三废”循环利用：“三废”综合利用与治理技术、装备和工程</w:t>
      </w:r>
      <w:r>
        <w:rPr>
          <w:rFonts w:hint="eastAsia"/>
          <w:color w:val="auto"/>
          <w:lang w:eastAsia="zh-CN"/>
        </w:rPr>
        <w:t>”</w:t>
      </w:r>
      <w:r>
        <w:rPr>
          <w:color w:val="auto"/>
        </w:rPr>
        <w:t>。</w:t>
      </w:r>
      <w:r>
        <w:rPr>
          <w:color w:val="auto"/>
          <w:shd w:val="clear" w:color="auto" w:fill="FFFFFF"/>
        </w:rPr>
        <w:t>项目由</w:t>
      </w:r>
      <w:r>
        <w:rPr>
          <w:rFonts w:hint="eastAsia"/>
          <w:color w:val="auto"/>
          <w:lang w:eastAsia="zh-CN"/>
        </w:rPr>
        <w:t>巴州区发展和改革局</w:t>
      </w:r>
      <w:r>
        <w:rPr>
          <w:color w:val="auto"/>
          <w:shd w:val="clear" w:color="auto" w:fill="FFFFFF"/>
        </w:rPr>
        <w:t>以</w:t>
      </w:r>
      <w:r>
        <w:rPr>
          <w:rFonts w:hint="eastAsia"/>
          <w:color w:val="auto"/>
          <w:lang w:eastAsia="zh-CN"/>
        </w:rPr>
        <w:t>“川投资备【2402-511902-04-01-440507】FGQB-0055号”</w:t>
      </w:r>
      <w:r>
        <w:rPr>
          <w:color w:val="auto"/>
          <w:shd w:val="clear" w:color="auto" w:fill="FFFFFF"/>
        </w:rPr>
        <w:t>予以备案。</w:t>
      </w:r>
    </w:p>
    <w:p w14:paraId="4C35CB2F">
      <w:pPr>
        <w:pageBreakBefore w:val="0"/>
        <w:wordWrap/>
        <w:bidi w:val="0"/>
        <w:adjustRightInd/>
        <w:snapToGrid/>
        <w:ind w:firstLine="480"/>
        <w:rPr>
          <w:color w:val="auto"/>
          <w:shd w:val="clear" w:color="auto" w:fill="FFFFFF"/>
        </w:rPr>
      </w:pPr>
      <w:r>
        <w:rPr>
          <w:color w:val="auto"/>
          <w:u w:val="single"/>
          <w:shd w:val="clear" w:color="auto" w:fill="FFFFFF"/>
        </w:rPr>
        <w:t>综上所述，项目的建设符合国家现行产业政策</w:t>
      </w:r>
      <w:r>
        <w:rPr>
          <w:color w:val="auto"/>
          <w:shd w:val="clear" w:color="auto" w:fill="FFFFFF"/>
        </w:rPr>
        <w:t>。</w:t>
      </w:r>
    </w:p>
    <w:p w14:paraId="3E253E63">
      <w:pPr>
        <w:pStyle w:val="6"/>
        <w:pageBreakBefore w:val="0"/>
        <w:wordWrap/>
        <w:bidi w:val="0"/>
        <w:adjustRightInd/>
        <w:snapToGrid/>
        <w:rPr>
          <w:color w:val="auto"/>
        </w:rPr>
      </w:pPr>
      <w:r>
        <w:rPr>
          <w:rFonts w:hint="eastAsia"/>
          <w:color w:val="auto"/>
          <w:lang w:val="en-US" w:eastAsia="zh-CN"/>
        </w:rPr>
        <w:t>与</w:t>
      </w:r>
      <w:r>
        <w:rPr>
          <w:color w:val="auto"/>
        </w:rPr>
        <w:t>《</w:t>
      </w:r>
      <w:r>
        <w:rPr>
          <w:rFonts w:hint="eastAsia"/>
          <w:color w:val="auto"/>
          <w:lang w:eastAsia="zh-CN"/>
        </w:rPr>
        <w:t>巴中曾口-金堂化工园区总体规划（2022-2035年）</w:t>
      </w:r>
      <w:r>
        <w:rPr>
          <w:color w:val="auto"/>
        </w:rPr>
        <w:t>》符合性分析</w:t>
      </w:r>
    </w:p>
    <w:p w14:paraId="313614A6">
      <w:pPr>
        <w:pageBreakBefore w:val="0"/>
        <w:wordWrap/>
        <w:bidi w:val="0"/>
        <w:adjustRightInd/>
        <w:snapToGrid/>
        <w:ind w:firstLine="480"/>
        <w:rPr>
          <w:rFonts w:hint="eastAsia"/>
          <w:color w:val="auto"/>
        </w:rPr>
      </w:pPr>
      <w:r>
        <w:rPr>
          <w:rFonts w:hint="eastAsia"/>
          <w:color w:val="auto"/>
          <w:lang w:eastAsia="zh-CN"/>
        </w:rPr>
        <w:t>四川巴中经济开发区</w:t>
      </w:r>
      <w:r>
        <w:rPr>
          <w:rFonts w:hint="eastAsia"/>
          <w:color w:val="auto"/>
          <w:lang w:val="en-US" w:eastAsia="zh-CN"/>
        </w:rPr>
        <w:t>-曾口区块</w:t>
      </w:r>
      <w:r>
        <w:rPr>
          <w:color w:val="auto"/>
        </w:rPr>
        <w:t>位于</w:t>
      </w:r>
      <w:r>
        <w:rPr>
          <w:rFonts w:hint="eastAsia"/>
          <w:color w:val="auto"/>
          <w:lang w:val="en-US" w:eastAsia="zh-CN"/>
        </w:rPr>
        <w:t>巴中市巴州区</w:t>
      </w:r>
      <w:r>
        <w:rPr>
          <w:color w:val="auto"/>
        </w:rPr>
        <w:t>内，</w:t>
      </w:r>
      <w:r>
        <w:rPr>
          <w:rFonts w:hint="eastAsia"/>
          <w:color w:val="auto"/>
          <w:lang w:eastAsia="zh-CN"/>
        </w:rPr>
        <w:t>巴中曾口-金堂化工园区总体规划（2022-2035年）</w:t>
      </w:r>
      <w:r>
        <w:rPr>
          <w:color w:val="auto"/>
        </w:rPr>
        <w:t>中提出排水方案为：</w:t>
      </w:r>
      <w:r>
        <w:rPr>
          <w:rFonts w:hint="eastAsia"/>
          <w:color w:val="auto"/>
        </w:rPr>
        <w:t>结合曾口区块、金堂区块产业链规划，参考同类项目，预测至规划期末，曾口区块规划工业废水产生量共约1.54万</w:t>
      </w:r>
      <w:r>
        <w:rPr>
          <w:rFonts w:hint="eastAsia"/>
          <w:color w:val="auto"/>
          <w:lang w:eastAsia="zh-CN"/>
        </w:rPr>
        <w:t>m³</w:t>
      </w:r>
      <w:r>
        <w:rPr>
          <w:rFonts w:hint="eastAsia"/>
          <w:color w:val="auto"/>
        </w:rPr>
        <w:t>/天，金堂区块规划工业废水产生量共约0.72万</w:t>
      </w:r>
      <w:r>
        <w:rPr>
          <w:rFonts w:hint="eastAsia"/>
          <w:color w:val="auto"/>
          <w:lang w:eastAsia="zh-CN"/>
        </w:rPr>
        <w:t>m³</w:t>
      </w:r>
      <w:r>
        <w:rPr>
          <w:rFonts w:hint="eastAsia"/>
          <w:color w:val="auto"/>
        </w:rPr>
        <w:t>/天，规划区污水产生总量约为2.26万</w:t>
      </w:r>
      <w:r>
        <w:rPr>
          <w:rFonts w:hint="eastAsia"/>
          <w:color w:val="auto"/>
          <w:lang w:eastAsia="zh-CN"/>
        </w:rPr>
        <w:t>m³</w:t>
      </w:r>
      <w:r>
        <w:rPr>
          <w:rFonts w:hint="eastAsia"/>
          <w:color w:val="auto"/>
        </w:rPr>
        <w:t>/天。</w:t>
      </w:r>
    </w:p>
    <w:p w14:paraId="6624A9A2">
      <w:pPr>
        <w:pageBreakBefore w:val="0"/>
        <w:wordWrap/>
        <w:bidi w:val="0"/>
        <w:adjustRightInd/>
        <w:snapToGrid/>
        <w:ind w:firstLine="480"/>
        <w:rPr>
          <w:rFonts w:hint="eastAsia"/>
          <w:color w:val="auto"/>
        </w:rPr>
      </w:pPr>
      <w:r>
        <w:rPr>
          <w:rFonts w:hint="eastAsia"/>
          <w:color w:val="auto"/>
        </w:rPr>
        <w:t>园区共规划两处污水处理厂，其中曾口区块的规划新建污水处理位于S409与经二街交口处，规划处理规模1.6万</w:t>
      </w:r>
      <w:r>
        <w:rPr>
          <w:rFonts w:hint="eastAsia"/>
          <w:color w:val="auto"/>
          <w:lang w:eastAsia="zh-CN"/>
        </w:rPr>
        <w:t>m³</w:t>
      </w:r>
      <w:r>
        <w:rPr>
          <w:rFonts w:hint="eastAsia"/>
          <w:color w:val="auto"/>
        </w:rPr>
        <w:t>/天（分两期建设），金堂区块的规划新建污水处理厂位于规划西南侧金堂路进入园区入口附近，规划处理规模为0.8万</w:t>
      </w:r>
      <w:r>
        <w:rPr>
          <w:rFonts w:hint="eastAsia"/>
          <w:color w:val="auto"/>
          <w:lang w:eastAsia="zh-CN"/>
        </w:rPr>
        <w:t>m³</w:t>
      </w:r>
      <w:r>
        <w:rPr>
          <w:rFonts w:hint="eastAsia"/>
          <w:color w:val="auto"/>
        </w:rPr>
        <w:t>/天（分两期建设）。为预留未来产业发展空间，曾口和金堂区块规划污水处理厂预留规模较大，建设时结合开发进度和企业排水实际情况，进行分期建设。</w:t>
      </w:r>
    </w:p>
    <w:p w14:paraId="73D55EA2">
      <w:pPr>
        <w:pageBreakBefore w:val="0"/>
        <w:wordWrap/>
        <w:bidi w:val="0"/>
        <w:adjustRightInd/>
        <w:snapToGrid/>
        <w:ind w:firstLine="480"/>
        <w:rPr>
          <w:rFonts w:hint="eastAsia"/>
          <w:color w:val="auto"/>
        </w:rPr>
      </w:pPr>
      <w:r>
        <w:rPr>
          <w:rFonts w:hint="eastAsia"/>
          <w:color w:val="auto"/>
        </w:rPr>
        <w:t>各入驻企业废水原则上须经厂内预处理至《污水综合排放标准》（GB8978-1996）三级标准或《石油化学工业污染物排放标准》（GB31571-2015）等行业排放标准中的间接排放标准后，方可进入各片区污水处理厂处理。污水处理厂处理后的出水水质需达到《城镇污水处理厂污染物排放标准》</w:t>
      </w:r>
      <w:r>
        <w:rPr>
          <w:rFonts w:hint="eastAsia"/>
          <w:color w:val="auto"/>
          <w:lang w:eastAsia="zh-CN"/>
        </w:rPr>
        <w:t>（</w:t>
      </w:r>
      <w:r>
        <w:rPr>
          <w:rFonts w:hint="eastAsia"/>
          <w:color w:val="auto"/>
        </w:rPr>
        <w:t>GB18918-2002</w:t>
      </w:r>
      <w:r>
        <w:rPr>
          <w:rFonts w:hint="eastAsia"/>
          <w:color w:val="auto"/>
          <w:lang w:eastAsia="zh-CN"/>
        </w:rPr>
        <w:t>）</w:t>
      </w:r>
      <w:r>
        <w:rPr>
          <w:rFonts w:hint="eastAsia"/>
          <w:color w:val="auto"/>
        </w:rPr>
        <w:t>一级A标准，处理后的污水就近排入自然水体。</w:t>
      </w:r>
    </w:p>
    <w:p w14:paraId="72BB370B">
      <w:pPr>
        <w:pageBreakBefore w:val="0"/>
        <w:wordWrap/>
        <w:bidi w:val="0"/>
        <w:adjustRightInd/>
        <w:snapToGrid/>
        <w:ind w:firstLine="480"/>
        <w:rPr>
          <w:color w:val="auto"/>
        </w:rPr>
      </w:pPr>
      <w:r>
        <w:rPr>
          <w:color w:val="auto"/>
        </w:rPr>
        <w:t>综上，本项目建设与</w:t>
      </w:r>
      <w:r>
        <w:rPr>
          <w:rFonts w:hint="eastAsia"/>
          <w:color w:val="auto"/>
          <w:lang w:eastAsia="zh-CN"/>
        </w:rPr>
        <w:t>巴中曾口-金堂化工园区总体规划（2022-2035年）</w:t>
      </w:r>
      <w:r>
        <w:rPr>
          <w:color w:val="auto"/>
        </w:rPr>
        <w:t>相符。</w:t>
      </w:r>
    </w:p>
    <w:p w14:paraId="504D8242">
      <w:pPr>
        <w:pStyle w:val="6"/>
        <w:pageBreakBefore w:val="0"/>
        <w:wordWrap/>
        <w:bidi w:val="0"/>
        <w:adjustRightInd/>
        <w:snapToGrid/>
        <w:rPr>
          <w:color w:val="auto"/>
        </w:rPr>
      </w:pPr>
      <w:r>
        <w:rPr>
          <w:color w:val="auto"/>
        </w:rPr>
        <w:t>与《</w:t>
      </w:r>
      <w:r>
        <w:rPr>
          <w:rFonts w:hint="eastAsia"/>
          <w:color w:val="auto"/>
          <w:lang w:eastAsia="zh-CN"/>
        </w:rPr>
        <w:t>四川巴中经济开发区规划修编</w:t>
      </w:r>
      <w:r>
        <w:rPr>
          <w:color w:val="auto"/>
        </w:rPr>
        <w:t>》及其环境影响报告书的符合性分析</w:t>
      </w:r>
    </w:p>
    <w:p w14:paraId="79F955AD">
      <w:pPr>
        <w:pageBreakBefore w:val="0"/>
        <w:wordWrap/>
        <w:bidi w:val="0"/>
        <w:adjustRightInd/>
        <w:snapToGrid/>
        <w:ind w:firstLine="480"/>
        <w:rPr>
          <w:rFonts w:hint="eastAsia"/>
          <w:color w:val="auto"/>
          <w:lang w:val="en-US" w:eastAsia="zh-CN"/>
        </w:rPr>
      </w:pPr>
      <w:r>
        <w:rPr>
          <w:color w:val="auto"/>
        </w:rPr>
        <w:t>目前，新一轮的</w:t>
      </w:r>
      <w:r>
        <w:rPr>
          <w:rFonts w:hint="eastAsia"/>
          <w:color w:val="auto"/>
          <w:lang w:eastAsia="zh-CN"/>
        </w:rPr>
        <w:t>四川巴中经济开发区规划修编</w:t>
      </w:r>
      <w:r>
        <w:rPr>
          <w:rFonts w:hint="eastAsia"/>
          <w:color w:val="auto"/>
        </w:rPr>
        <w:t>已编制完成</w:t>
      </w:r>
      <w:r>
        <w:rPr>
          <w:color w:val="auto"/>
        </w:rPr>
        <w:t>，根据《</w:t>
      </w:r>
      <w:r>
        <w:rPr>
          <w:rFonts w:hint="eastAsia"/>
          <w:color w:val="auto"/>
          <w:lang w:eastAsia="zh-CN"/>
        </w:rPr>
        <w:t>四川巴中经济开发区规划修编</w:t>
      </w:r>
      <w:r>
        <w:rPr>
          <w:rFonts w:hint="eastAsia"/>
          <w:color w:val="auto"/>
          <w:lang w:val="en-US" w:eastAsia="zh-CN"/>
        </w:rPr>
        <w:t>-土地使用规划图</w:t>
      </w:r>
      <w:r>
        <w:rPr>
          <w:color w:val="auto"/>
        </w:rPr>
        <w:t>》（20</w:t>
      </w:r>
      <w:r>
        <w:rPr>
          <w:rFonts w:hint="eastAsia"/>
          <w:color w:val="auto"/>
          <w:lang w:val="en-US" w:eastAsia="zh-CN"/>
        </w:rPr>
        <w:t>23</w:t>
      </w:r>
      <w:r>
        <w:rPr>
          <w:color w:val="auto"/>
        </w:rPr>
        <w:t>年</w:t>
      </w:r>
      <w:r>
        <w:rPr>
          <w:rFonts w:hint="eastAsia"/>
          <w:color w:val="auto"/>
          <w:lang w:val="en-US" w:eastAsia="zh-CN"/>
        </w:rPr>
        <w:t>10</w:t>
      </w:r>
      <w:r>
        <w:rPr>
          <w:color w:val="auto"/>
        </w:rPr>
        <w:t>月）可知，项目用地为</w:t>
      </w:r>
      <w:r>
        <w:rPr>
          <w:rFonts w:hint="eastAsia"/>
          <w:color w:val="auto"/>
          <w:lang w:val="en-US" w:eastAsia="zh-CN"/>
        </w:rPr>
        <w:t>排水用地</w:t>
      </w:r>
      <w:r>
        <w:rPr>
          <w:color w:val="auto"/>
        </w:rPr>
        <w:t>。同时，根据《</w:t>
      </w:r>
      <w:r>
        <w:rPr>
          <w:rFonts w:hint="eastAsia"/>
          <w:color w:val="auto"/>
          <w:lang w:eastAsia="zh-CN"/>
        </w:rPr>
        <w:t>四川巴中经济开发区规划修编</w:t>
      </w:r>
      <w:r>
        <w:rPr>
          <w:rFonts w:hint="eastAsia"/>
          <w:color w:val="auto"/>
          <w:lang w:val="en-US" w:eastAsia="zh-CN"/>
        </w:rPr>
        <w:t>环境影响报告书</w:t>
      </w:r>
      <w:r>
        <w:rPr>
          <w:color w:val="auto"/>
        </w:rPr>
        <w:t>》可知，</w:t>
      </w:r>
      <w:r>
        <w:rPr>
          <w:rFonts w:hint="eastAsia"/>
          <w:color w:val="auto"/>
          <w:lang w:val="en-US" w:eastAsia="zh-CN"/>
        </w:rPr>
        <w:t>规划区工业废水产生量共约1.54万m³/d。规划评价认为，曾口区块规划污水处理规模偏大，应结合开发进度和企业排水实际情况，合理确定污水处理厂近远期建设规模和扩建时序，确保曾口区块已开发区域废水收集率达到100%，处理率达到100%，远期建成规模不超过1.6万m³/d；根据《国务院办公厅关于加强入河入海排污口监督管理工作的实施意见》（国办函〔2022〕17号）、《四川省入河排污口整改提升工作方案》（川水函〔2018〕2号）相关要求，结合规划区的产业情况和区域的排水条件，鉴于规划区属于一个独立的排水分区，建议曾口区块废水通过规划污水处理厂统一处理，共用曾口场镇污水处理厂排口；出水应满足《城镇污水处理厂污染物排放标准》（GB18918-2002）一级A标准，减少污染物排放，降低对河段水环境的影响；由于规划污水处理厂紧邻巴河，建议加强运营期的风险防控。</w:t>
      </w:r>
    </w:p>
    <w:p w14:paraId="14ADDEBE">
      <w:pPr>
        <w:pageBreakBefore w:val="0"/>
        <w:wordWrap/>
        <w:bidi w:val="0"/>
        <w:adjustRightInd/>
        <w:snapToGrid/>
        <w:ind w:firstLine="480"/>
        <w:rPr>
          <w:color w:val="auto"/>
        </w:rPr>
      </w:pPr>
      <w:r>
        <w:rPr>
          <w:rFonts w:hint="eastAsia"/>
          <w:color w:val="auto"/>
          <w:lang w:val="en-US" w:eastAsia="zh-CN"/>
        </w:rPr>
        <w:t>因此，规划环评建议：①结合曾口区块开发进度和企业排水情况，合理确定污水处理厂近期建设规模和扩建时序，确保曾口区块已开发区域废水收集率达到100%，处理率达到100%；②曾口区块远期建成规模不超过1.6万m³/d；③共用曾口场镇污水处理厂入河排口。</w:t>
      </w:r>
    </w:p>
    <w:p w14:paraId="0350E363">
      <w:pPr>
        <w:pageBreakBefore w:val="0"/>
        <w:wordWrap/>
        <w:bidi w:val="0"/>
        <w:adjustRightInd/>
        <w:snapToGrid/>
        <w:ind w:firstLine="480"/>
        <w:rPr>
          <w:color w:val="auto"/>
        </w:rPr>
      </w:pPr>
      <w:r>
        <w:rPr>
          <w:rFonts w:hint="eastAsia"/>
          <w:color w:val="auto"/>
        </w:rPr>
        <w:t>本项目为</w:t>
      </w:r>
      <w:r>
        <w:rPr>
          <w:rFonts w:hint="eastAsia"/>
          <w:color w:val="auto"/>
          <w:lang w:eastAsia="zh-CN"/>
        </w:rPr>
        <w:t>巴中市巴州区曾口片区污水处理厂、环境监测站建设项目</w:t>
      </w:r>
      <w:r>
        <w:rPr>
          <w:rFonts w:hint="eastAsia"/>
          <w:color w:val="auto"/>
        </w:rPr>
        <w:t>（即《</w:t>
      </w:r>
      <w:r>
        <w:rPr>
          <w:rFonts w:hint="eastAsia"/>
          <w:color w:val="auto"/>
          <w:lang w:eastAsia="zh-CN"/>
        </w:rPr>
        <w:t>四川巴中经济开发区规划修编</w:t>
      </w:r>
      <w:r>
        <w:rPr>
          <w:rFonts w:hint="eastAsia"/>
          <w:color w:val="auto"/>
          <w:lang w:val="en-US" w:eastAsia="zh-CN"/>
        </w:rPr>
        <w:t>环境影响报告书</w:t>
      </w:r>
      <w:r>
        <w:rPr>
          <w:rFonts w:hint="eastAsia"/>
          <w:color w:val="auto"/>
        </w:rPr>
        <w:t>》中的</w:t>
      </w:r>
      <w:r>
        <w:rPr>
          <w:rFonts w:hint="eastAsia"/>
          <w:color w:val="auto"/>
          <w:lang w:val="en-US" w:eastAsia="zh-CN"/>
        </w:rPr>
        <w:t>曾口区块污水处理厂</w:t>
      </w:r>
      <w:r>
        <w:rPr>
          <w:rFonts w:hint="eastAsia"/>
          <w:color w:val="auto"/>
        </w:rPr>
        <w:t>），设计规模为</w:t>
      </w:r>
      <w:r>
        <w:rPr>
          <w:rFonts w:hint="eastAsia"/>
          <w:color w:val="auto"/>
          <w:lang w:eastAsia="zh-CN"/>
        </w:rPr>
        <w:t>1.6万m³</w:t>
      </w:r>
      <w:r>
        <w:rPr>
          <w:rFonts w:hint="eastAsia"/>
          <w:color w:val="auto"/>
        </w:rPr>
        <w:t>/d，</w:t>
      </w:r>
      <w:r>
        <w:rPr>
          <w:rFonts w:hint="eastAsia"/>
          <w:color w:val="auto"/>
          <w:lang w:val="en-US" w:eastAsia="zh-CN"/>
        </w:rPr>
        <w:t>能够满足工业废水处理要求，</w:t>
      </w:r>
      <w:r>
        <w:rPr>
          <w:rFonts w:hint="eastAsia"/>
          <w:color w:val="auto"/>
        </w:rPr>
        <w:t>与新一轮规划及规划环评要求相符。</w:t>
      </w:r>
    </w:p>
    <w:p w14:paraId="145FF4D0">
      <w:pPr>
        <w:pStyle w:val="6"/>
        <w:pageBreakBefore w:val="0"/>
        <w:wordWrap/>
        <w:bidi w:val="0"/>
        <w:adjustRightInd/>
        <w:snapToGrid/>
        <w:rPr>
          <w:color w:val="auto"/>
        </w:rPr>
      </w:pPr>
      <w:r>
        <w:rPr>
          <w:color w:val="auto"/>
        </w:rPr>
        <w:t>与相关水污染防治规划文件符合性分析</w:t>
      </w:r>
    </w:p>
    <w:p w14:paraId="7ED932EA">
      <w:pPr>
        <w:pageBreakBefore w:val="0"/>
        <w:wordWrap/>
        <w:bidi w:val="0"/>
        <w:adjustRightInd/>
        <w:snapToGrid/>
        <w:ind w:firstLine="480"/>
        <w:rPr>
          <w:color w:val="auto"/>
        </w:rPr>
      </w:pPr>
      <w:r>
        <w:rPr>
          <w:bCs/>
          <w:color w:val="auto"/>
        </w:rPr>
        <w:t>根据《国务院关于印发水污染防治行动计划的通知》（国发</w:t>
      </w:r>
      <w:r>
        <w:rPr>
          <w:rFonts w:hint="eastAsia"/>
          <w:bCs/>
          <w:color w:val="auto"/>
          <w:lang w:eastAsia="zh-CN"/>
        </w:rPr>
        <w:t>〔</w:t>
      </w:r>
      <w:r>
        <w:rPr>
          <w:bCs/>
          <w:color w:val="auto"/>
        </w:rPr>
        <w:t>2015</w:t>
      </w:r>
      <w:r>
        <w:rPr>
          <w:rFonts w:hint="eastAsia"/>
          <w:bCs/>
          <w:color w:val="auto"/>
          <w:lang w:eastAsia="zh-CN"/>
        </w:rPr>
        <w:t>〕</w:t>
      </w:r>
      <w:r>
        <w:rPr>
          <w:bCs/>
          <w:color w:val="auto"/>
        </w:rPr>
        <w:t>17号）、《四川省人民政府&lt;关于印发水污染防治行动计划四川省工作方案的通知&gt;》（川府发</w:t>
      </w:r>
      <w:r>
        <w:rPr>
          <w:rFonts w:hint="eastAsia"/>
          <w:bCs/>
          <w:color w:val="auto"/>
          <w:lang w:eastAsia="zh-CN"/>
        </w:rPr>
        <w:t>〔</w:t>
      </w:r>
      <w:r>
        <w:rPr>
          <w:bCs/>
          <w:color w:val="auto"/>
        </w:rPr>
        <w:t>2015</w:t>
      </w:r>
      <w:r>
        <w:rPr>
          <w:rFonts w:hint="eastAsia"/>
          <w:bCs/>
          <w:color w:val="auto"/>
          <w:lang w:eastAsia="zh-CN"/>
        </w:rPr>
        <w:t>〕</w:t>
      </w:r>
      <w:r>
        <w:rPr>
          <w:bCs/>
          <w:color w:val="auto"/>
        </w:rPr>
        <w:t>59号）以及《</w:t>
      </w:r>
      <w:r>
        <w:rPr>
          <w:rFonts w:hint="eastAsia"/>
          <w:bCs/>
          <w:color w:val="auto"/>
          <w:lang w:eastAsia="zh-CN"/>
        </w:rPr>
        <w:t>巴中市人民政府关于印发巴中市水污染防治实施方案的通知</w:t>
      </w:r>
      <w:r>
        <w:rPr>
          <w:bCs/>
          <w:color w:val="auto"/>
        </w:rPr>
        <w:t>》（</w:t>
      </w:r>
      <w:r>
        <w:rPr>
          <w:rFonts w:hint="eastAsia"/>
          <w:bCs/>
          <w:color w:val="auto"/>
          <w:lang w:eastAsia="zh-CN"/>
        </w:rPr>
        <w:t>巴府发〔2016〕3号</w:t>
      </w:r>
      <w:r>
        <w:rPr>
          <w:bCs/>
          <w:color w:val="auto"/>
        </w:rPr>
        <w:t>）等相关规范文件分析，具体分析详见下表</w:t>
      </w:r>
      <w:r>
        <w:rPr>
          <w:color w:val="auto"/>
        </w:rPr>
        <w:t>所示。</w:t>
      </w:r>
    </w:p>
    <w:p w14:paraId="39171DA0">
      <w:pPr>
        <w:pStyle w:val="15"/>
        <w:numPr>
          <w:ilvl w:val="0"/>
          <w:numId w:val="11"/>
        </w:numPr>
        <w:tabs>
          <w:tab w:val="clear" w:pos="0"/>
        </w:tabs>
        <w:bidi w:val="0"/>
        <w:ind w:left="0" w:leftChars="0" w:firstLine="0" w:firstLineChars="0"/>
        <w:rPr>
          <w:color w:val="auto"/>
        </w:rPr>
      </w:pPr>
      <w:r>
        <w:rPr>
          <w:color w:val="auto"/>
        </w:rPr>
        <w:t>与相关水污染防治行动计划的符合性分析一览表</w:t>
      </w:r>
    </w:p>
    <w:tbl>
      <w:tblPr>
        <w:tblStyle w:val="4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784"/>
        <w:gridCol w:w="4319"/>
        <w:gridCol w:w="2778"/>
        <w:gridCol w:w="872"/>
      </w:tblGrid>
      <w:tr w14:paraId="74C19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784" w:type="dxa"/>
            <w:tcBorders>
              <w:tl2br w:val="nil"/>
              <w:tr2bl w:val="nil"/>
            </w:tcBorders>
            <w:noWrap w:val="0"/>
            <w:tcMar>
              <w:top w:w="0" w:type="dxa"/>
              <w:left w:w="0" w:type="dxa"/>
              <w:bottom w:w="0" w:type="dxa"/>
              <w:right w:w="0" w:type="dxa"/>
            </w:tcMar>
            <w:vAlign w:val="center"/>
          </w:tcPr>
          <w:p w14:paraId="3F283CE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4319" w:type="dxa"/>
            <w:tcBorders>
              <w:tl2br w:val="nil"/>
              <w:tr2bl w:val="nil"/>
            </w:tcBorders>
            <w:noWrap w:val="0"/>
            <w:vAlign w:val="center"/>
          </w:tcPr>
          <w:p w14:paraId="467795D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具体内容</w:t>
            </w:r>
          </w:p>
        </w:tc>
        <w:tc>
          <w:tcPr>
            <w:tcW w:w="2778" w:type="dxa"/>
            <w:tcBorders>
              <w:tl2br w:val="nil"/>
              <w:tr2bl w:val="nil"/>
            </w:tcBorders>
            <w:noWrap w:val="0"/>
            <w:vAlign w:val="center"/>
          </w:tcPr>
          <w:p w14:paraId="26BE331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项目情况</w:t>
            </w:r>
          </w:p>
        </w:tc>
        <w:tc>
          <w:tcPr>
            <w:tcW w:w="872" w:type="dxa"/>
            <w:tcBorders>
              <w:tl2br w:val="nil"/>
              <w:tr2bl w:val="nil"/>
            </w:tcBorders>
            <w:noWrap w:val="0"/>
            <w:vAlign w:val="center"/>
          </w:tcPr>
          <w:p w14:paraId="46EDAAD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符合性</w:t>
            </w:r>
          </w:p>
        </w:tc>
      </w:tr>
      <w:tr w14:paraId="13582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0019F134">
            <w:pPr>
              <w:pageBreakBefore w:val="0"/>
              <w:wordWrap/>
              <w:bidi w:val="0"/>
              <w:adjustRightInd/>
              <w:snapToGrid/>
              <w:spacing w:line="240" w:lineRule="auto"/>
              <w:ind w:firstLine="0" w:firstLineChars="0"/>
              <w:jc w:val="center"/>
              <w:rPr>
                <w:color w:val="auto"/>
                <w:sz w:val="21"/>
                <w:szCs w:val="21"/>
              </w:rPr>
            </w:pPr>
            <w:r>
              <w:rPr>
                <w:color w:val="auto"/>
                <w:sz w:val="21"/>
                <w:szCs w:val="21"/>
              </w:rPr>
              <w:t>国发</w:t>
            </w:r>
            <w:r>
              <w:rPr>
                <w:rFonts w:hint="eastAsia"/>
                <w:color w:val="auto"/>
                <w:sz w:val="21"/>
                <w:szCs w:val="21"/>
                <w:lang w:eastAsia="zh-CN"/>
              </w:rPr>
              <w:t>〔</w:t>
            </w:r>
            <w:r>
              <w:rPr>
                <w:color w:val="auto"/>
                <w:sz w:val="21"/>
                <w:szCs w:val="21"/>
              </w:rPr>
              <w:t>2015</w:t>
            </w:r>
            <w:r>
              <w:rPr>
                <w:rFonts w:hint="eastAsia"/>
                <w:color w:val="auto"/>
                <w:sz w:val="21"/>
                <w:szCs w:val="21"/>
                <w:lang w:eastAsia="zh-CN"/>
              </w:rPr>
              <w:t>〕</w:t>
            </w:r>
            <w:r>
              <w:rPr>
                <w:color w:val="auto"/>
                <w:sz w:val="21"/>
                <w:szCs w:val="21"/>
              </w:rPr>
              <w:t>17号</w:t>
            </w:r>
          </w:p>
        </w:tc>
        <w:tc>
          <w:tcPr>
            <w:tcW w:w="4319" w:type="dxa"/>
            <w:tcBorders>
              <w:tl2br w:val="nil"/>
              <w:tr2bl w:val="nil"/>
            </w:tcBorders>
            <w:noWrap w:val="0"/>
            <w:vAlign w:val="top"/>
          </w:tcPr>
          <w:p w14:paraId="0F0A7584">
            <w:pPr>
              <w:pageBreakBefore w:val="0"/>
              <w:wordWrap/>
              <w:bidi w:val="0"/>
              <w:adjustRightInd/>
              <w:snapToGrid/>
              <w:spacing w:line="240" w:lineRule="auto"/>
              <w:ind w:firstLine="0" w:firstLineChars="0"/>
              <w:rPr>
                <w:rFonts w:hint="eastAsia"/>
                <w:color w:val="auto"/>
                <w:sz w:val="21"/>
                <w:szCs w:val="21"/>
                <w:lang w:eastAsia="zh-CN"/>
              </w:rPr>
            </w:pPr>
            <w:r>
              <w:rPr>
                <w:rFonts w:hint="eastAsia"/>
                <w:color w:val="auto"/>
                <w:sz w:val="21"/>
                <w:szCs w:val="21"/>
              </w:rPr>
              <w:t>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等污染治理设施。2017年底前，工业集聚区应按规定建成污水集中处理设施，并安装自动在线监控装置</w:t>
            </w:r>
            <w:r>
              <w:rPr>
                <w:rFonts w:hint="eastAsia"/>
                <w:color w:val="auto"/>
                <w:sz w:val="21"/>
                <w:szCs w:val="21"/>
                <w:lang w:eastAsia="zh-CN"/>
              </w:rPr>
              <w:t>。</w:t>
            </w:r>
          </w:p>
          <w:p w14:paraId="3B12F0D0">
            <w:pPr>
              <w:pageBreakBefore w:val="0"/>
              <w:wordWrap/>
              <w:bidi w:val="0"/>
              <w:adjustRightInd/>
              <w:snapToGrid/>
              <w:spacing w:line="240" w:lineRule="auto"/>
              <w:ind w:firstLine="0" w:firstLineChars="0"/>
              <w:rPr>
                <w:color w:val="auto"/>
                <w:kern w:val="0"/>
                <w:sz w:val="21"/>
                <w:szCs w:val="21"/>
              </w:rPr>
            </w:pPr>
            <w:r>
              <w:rPr>
                <w:rFonts w:hint="eastAsia"/>
                <w:color w:val="auto"/>
                <w:sz w:val="21"/>
                <w:szCs w:val="21"/>
              </w:rPr>
              <w:t>推进污泥处理处置。污水处理设施产生的污泥应进行稳定化、无害化和资源化处理处置，禁止处理处置不达标的污泥进入耕地。非法污泥堆放点一律予以取缔。</w:t>
            </w:r>
          </w:p>
        </w:tc>
        <w:tc>
          <w:tcPr>
            <w:tcW w:w="2778" w:type="dxa"/>
            <w:vMerge w:val="restart"/>
            <w:tcBorders>
              <w:tl2br w:val="nil"/>
              <w:tr2bl w:val="nil"/>
            </w:tcBorders>
            <w:noWrap w:val="0"/>
            <w:vAlign w:val="center"/>
          </w:tcPr>
          <w:p w14:paraId="008144B8">
            <w:pPr>
              <w:pageBreakBefore w:val="0"/>
              <w:widowControl/>
              <w:wordWrap/>
              <w:bidi w:val="0"/>
              <w:adjustRightInd/>
              <w:snapToGrid/>
              <w:spacing w:line="240" w:lineRule="auto"/>
              <w:ind w:firstLine="0" w:firstLineChars="0"/>
              <w:rPr>
                <w:color w:val="auto"/>
                <w:sz w:val="21"/>
                <w:szCs w:val="21"/>
              </w:rPr>
            </w:pPr>
            <w:r>
              <w:rPr>
                <w:color w:val="auto"/>
                <w:sz w:val="21"/>
                <w:szCs w:val="21"/>
              </w:rPr>
              <w:t>本项目为新建项目，为实现区域工业废水和生活污水的有效收集处理，符合园区规划。采取</w:t>
            </w:r>
            <w:r>
              <w:rPr>
                <w:rFonts w:hint="eastAsia"/>
                <w:color w:val="auto"/>
                <w:sz w:val="21"/>
                <w:szCs w:val="21"/>
                <w:lang w:eastAsia="zh-CN"/>
              </w:rPr>
              <w:t>“超细格栅+调节池+高级氧化预处理（预留）+水解酸化池+生化池+二沉池+磁混凝沉淀池+深床反硝化+高级氧化深度处理+紫外线消毒”</w:t>
            </w:r>
            <w:r>
              <w:rPr>
                <w:color w:val="auto"/>
                <w:sz w:val="21"/>
                <w:szCs w:val="21"/>
              </w:rPr>
              <w:t>工艺，</w:t>
            </w:r>
            <w:r>
              <w:rPr>
                <w:rFonts w:hint="eastAsia"/>
                <w:color w:val="auto"/>
                <w:sz w:val="21"/>
                <w:szCs w:val="21"/>
              </w:rPr>
              <w:t>出水</w:t>
            </w:r>
            <w:r>
              <w:rPr>
                <w:color w:val="auto"/>
                <w:sz w:val="21"/>
                <w:szCs w:val="21"/>
              </w:rPr>
              <w:t>执行</w:t>
            </w:r>
            <w:r>
              <w:rPr>
                <w:rFonts w:hint="eastAsia"/>
                <w:color w:val="auto"/>
                <w:sz w:val="21"/>
                <w:szCs w:val="21"/>
              </w:rPr>
              <w:t>《城镇污水处理厂污染物排放标准》（GB18918-2002）一级A标准</w:t>
            </w:r>
            <w:r>
              <w:rPr>
                <w:color w:val="auto"/>
                <w:sz w:val="21"/>
                <w:szCs w:val="21"/>
              </w:rPr>
              <w:t>。严格按照国家、地方相关规范及行业要求进行设计、施工以及设备安装，同时配套在线监控系统，对项目水质</w:t>
            </w:r>
            <w:r>
              <w:rPr>
                <w:rFonts w:hint="eastAsia"/>
                <w:color w:val="auto"/>
                <w:sz w:val="21"/>
                <w:szCs w:val="21"/>
                <w:lang w:eastAsia="zh-CN"/>
              </w:rPr>
              <w:t>实时</w:t>
            </w:r>
            <w:r>
              <w:rPr>
                <w:color w:val="auto"/>
                <w:sz w:val="21"/>
                <w:szCs w:val="21"/>
              </w:rPr>
              <w:t>监控。营运期产生的生活污水、污泥脱水废液以及其他废水等经分类收集处理后达标排放，减少污染物外排，降低对周围环境的影响。</w:t>
            </w:r>
          </w:p>
        </w:tc>
        <w:tc>
          <w:tcPr>
            <w:tcW w:w="872" w:type="dxa"/>
            <w:vMerge w:val="restart"/>
            <w:tcBorders>
              <w:tl2br w:val="nil"/>
              <w:tr2bl w:val="nil"/>
            </w:tcBorders>
            <w:noWrap w:val="0"/>
            <w:vAlign w:val="center"/>
          </w:tcPr>
          <w:p w14:paraId="1973188F">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1C7DB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2E9F798A">
            <w:pPr>
              <w:pageBreakBefore w:val="0"/>
              <w:wordWrap/>
              <w:bidi w:val="0"/>
              <w:adjustRightInd/>
              <w:snapToGrid/>
              <w:spacing w:line="240" w:lineRule="auto"/>
              <w:ind w:firstLine="0" w:firstLineChars="0"/>
              <w:jc w:val="center"/>
              <w:rPr>
                <w:color w:val="auto"/>
                <w:sz w:val="21"/>
                <w:szCs w:val="21"/>
              </w:rPr>
            </w:pPr>
            <w:r>
              <w:rPr>
                <w:color w:val="auto"/>
                <w:sz w:val="21"/>
                <w:szCs w:val="21"/>
              </w:rPr>
              <w:t>川府发</w:t>
            </w:r>
            <w:r>
              <w:rPr>
                <w:rFonts w:hint="eastAsia"/>
                <w:color w:val="auto"/>
                <w:sz w:val="21"/>
                <w:szCs w:val="21"/>
                <w:lang w:eastAsia="zh-CN"/>
              </w:rPr>
              <w:t>〔</w:t>
            </w:r>
            <w:r>
              <w:rPr>
                <w:color w:val="auto"/>
                <w:sz w:val="21"/>
                <w:szCs w:val="21"/>
              </w:rPr>
              <w:t>2015</w:t>
            </w:r>
            <w:r>
              <w:rPr>
                <w:rFonts w:hint="eastAsia"/>
                <w:color w:val="auto"/>
                <w:sz w:val="21"/>
                <w:szCs w:val="21"/>
                <w:lang w:eastAsia="zh-CN"/>
              </w:rPr>
              <w:t>〕</w:t>
            </w:r>
            <w:r>
              <w:rPr>
                <w:color w:val="auto"/>
                <w:sz w:val="21"/>
                <w:szCs w:val="21"/>
              </w:rPr>
              <w:t>59号</w:t>
            </w:r>
          </w:p>
        </w:tc>
        <w:tc>
          <w:tcPr>
            <w:tcW w:w="4319" w:type="dxa"/>
            <w:tcBorders>
              <w:tl2br w:val="nil"/>
              <w:tr2bl w:val="nil"/>
            </w:tcBorders>
            <w:noWrap w:val="0"/>
            <w:vAlign w:val="top"/>
          </w:tcPr>
          <w:p w14:paraId="55721DB1">
            <w:pPr>
              <w:pageBreakBefore w:val="0"/>
              <w:wordWrap/>
              <w:bidi w:val="0"/>
              <w:adjustRightInd/>
              <w:snapToGrid/>
              <w:spacing w:line="240" w:lineRule="auto"/>
              <w:ind w:firstLine="0" w:firstLineChars="0"/>
              <w:rPr>
                <w:color w:val="auto"/>
                <w:kern w:val="0"/>
                <w:sz w:val="21"/>
                <w:szCs w:val="21"/>
              </w:rPr>
            </w:pPr>
            <w:r>
              <w:rPr>
                <w:color w:val="auto"/>
                <w:sz w:val="21"/>
                <w:szCs w:val="21"/>
              </w:rPr>
              <w:t>（一）狠抓工业污染防治…3.集中治理工业集聚区水污染…新建、升级工业集聚区应严格执行环境影响评价和环境保护</w:t>
            </w:r>
            <w:r>
              <w:rPr>
                <w:rFonts w:hint="eastAsia"/>
                <w:color w:val="auto"/>
                <w:sz w:val="21"/>
                <w:szCs w:val="21"/>
                <w:lang w:eastAsia="zh-CN"/>
              </w:rPr>
              <w:t>“</w:t>
            </w:r>
            <w:r>
              <w:rPr>
                <w:color w:val="auto"/>
                <w:sz w:val="21"/>
                <w:szCs w:val="21"/>
              </w:rPr>
              <w:t>三同时</w:t>
            </w:r>
            <w:r>
              <w:rPr>
                <w:rFonts w:hint="eastAsia"/>
                <w:color w:val="auto"/>
                <w:sz w:val="21"/>
                <w:szCs w:val="21"/>
                <w:lang w:eastAsia="zh-CN"/>
              </w:rPr>
              <w:t>”</w:t>
            </w:r>
            <w:r>
              <w:rPr>
                <w:color w:val="auto"/>
                <w:sz w:val="21"/>
                <w:szCs w:val="21"/>
              </w:rPr>
              <w:t>制度，同步规划、建设和运行污水垃圾集中处理等污染治理设施，集聚区内的工业废水必须经预处理达到集中处理要求后，方可排入集中污水处理设施…2017年底前，工业集聚区应按规定建成污水集中处理设施并安装自动在线监控装置，涉—磷工业集聚区应增加总磷自动在线监控装置…</w:t>
            </w:r>
          </w:p>
        </w:tc>
        <w:tc>
          <w:tcPr>
            <w:tcW w:w="2778" w:type="dxa"/>
            <w:vMerge w:val="continue"/>
            <w:tcBorders>
              <w:tl2br w:val="nil"/>
              <w:tr2bl w:val="nil"/>
            </w:tcBorders>
            <w:noWrap w:val="0"/>
            <w:vAlign w:val="center"/>
          </w:tcPr>
          <w:p w14:paraId="4E09ECE0">
            <w:pPr>
              <w:pageBreakBefore w:val="0"/>
              <w:wordWrap/>
              <w:bidi w:val="0"/>
              <w:adjustRightInd/>
              <w:snapToGrid/>
              <w:spacing w:line="240" w:lineRule="auto"/>
              <w:ind w:firstLine="0" w:firstLineChars="0"/>
              <w:rPr>
                <w:color w:val="auto"/>
                <w:sz w:val="21"/>
                <w:szCs w:val="21"/>
              </w:rPr>
            </w:pPr>
          </w:p>
        </w:tc>
        <w:tc>
          <w:tcPr>
            <w:tcW w:w="872" w:type="dxa"/>
            <w:vMerge w:val="continue"/>
            <w:tcBorders>
              <w:tl2br w:val="nil"/>
              <w:tr2bl w:val="nil"/>
            </w:tcBorders>
            <w:noWrap w:val="0"/>
            <w:vAlign w:val="center"/>
          </w:tcPr>
          <w:p w14:paraId="53397BBE">
            <w:pPr>
              <w:pageBreakBefore w:val="0"/>
              <w:wordWrap/>
              <w:bidi w:val="0"/>
              <w:adjustRightInd/>
              <w:snapToGrid/>
              <w:spacing w:line="240" w:lineRule="auto"/>
              <w:ind w:firstLine="0" w:firstLineChars="0"/>
              <w:jc w:val="center"/>
              <w:rPr>
                <w:color w:val="auto"/>
                <w:sz w:val="21"/>
                <w:szCs w:val="21"/>
              </w:rPr>
            </w:pPr>
          </w:p>
        </w:tc>
      </w:tr>
      <w:tr w14:paraId="0E9D2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2060C631">
            <w:pPr>
              <w:pageBreakBefore w:val="0"/>
              <w:wordWrap/>
              <w:bidi w:val="0"/>
              <w:adjustRightInd/>
              <w:snapToGrid/>
              <w:spacing w:line="240" w:lineRule="auto"/>
              <w:ind w:firstLine="0" w:firstLineChars="0"/>
              <w:jc w:val="center"/>
              <w:rPr>
                <w:b/>
                <w:bCs/>
                <w:color w:val="auto"/>
                <w:kern w:val="0"/>
                <w:sz w:val="21"/>
                <w:szCs w:val="21"/>
              </w:rPr>
            </w:pPr>
            <w:r>
              <w:rPr>
                <w:rFonts w:hint="eastAsia"/>
                <w:color w:val="auto"/>
                <w:sz w:val="21"/>
                <w:szCs w:val="21"/>
              </w:rPr>
              <w:t>巴府发</w:t>
            </w:r>
            <w:r>
              <w:rPr>
                <w:rFonts w:hint="eastAsia"/>
                <w:color w:val="auto"/>
                <w:sz w:val="21"/>
                <w:szCs w:val="21"/>
                <w:lang w:eastAsia="zh-CN"/>
              </w:rPr>
              <w:t>〔</w:t>
            </w:r>
            <w:r>
              <w:rPr>
                <w:rFonts w:hint="eastAsia"/>
                <w:color w:val="auto"/>
                <w:sz w:val="21"/>
                <w:szCs w:val="21"/>
                <w:lang w:val="en-US" w:eastAsia="zh-CN"/>
              </w:rPr>
              <w:t>2016〕</w:t>
            </w:r>
            <w:r>
              <w:rPr>
                <w:rFonts w:hint="eastAsia"/>
                <w:color w:val="auto"/>
                <w:sz w:val="21"/>
                <w:szCs w:val="21"/>
              </w:rPr>
              <w:t>3号</w:t>
            </w:r>
          </w:p>
        </w:tc>
        <w:tc>
          <w:tcPr>
            <w:tcW w:w="4319" w:type="dxa"/>
            <w:tcBorders>
              <w:tl2br w:val="nil"/>
              <w:tr2bl w:val="nil"/>
            </w:tcBorders>
            <w:noWrap w:val="0"/>
            <w:vAlign w:val="top"/>
          </w:tcPr>
          <w:p w14:paraId="33603DBD">
            <w:pPr>
              <w:pageBreakBefore w:val="0"/>
              <w:wordWrap/>
              <w:bidi w:val="0"/>
              <w:adjustRightInd/>
              <w:snapToGrid/>
              <w:spacing w:line="240" w:lineRule="auto"/>
              <w:ind w:firstLine="0" w:firstLineChars="0"/>
              <w:rPr>
                <w:color w:val="auto"/>
                <w:kern w:val="0"/>
                <w:sz w:val="21"/>
                <w:szCs w:val="21"/>
              </w:rPr>
            </w:pPr>
            <w:r>
              <w:rPr>
                <w:rFonts w:hint="eastAsia"/>
                <w:color w:val="auto"/>
                <w:sz w:val="21"/>
                <w:szCs w:val="21"/>
              </w:rPr>
              <w:t>集中治理工业园区水污染。巴中经济开发区、各县</w:t>
            </w:r>
            <w:r>
              <w:rPr>
                <w:rFonts w:hint="eastAsia"/>
                <w:color w:val="auto"/>
                <w:sz w:val="21"/>
                <w:szCs w:val="21"/>
                <w:lang w:eastAsia="zh-CN"/>
              </w:rPr>
              <w:t>（</w:t>
            </w:r>
            <w:r>
              <w:rPr>
                <w:rFonts w:hint="eastAsia"/>
                <w:color w:val="auto"/>
                <w:sz w:val="21"/>
                <w:szCs w:val="21"/>
              </w:rPr>
              <w:t>区</w:t>
            </w:r>
            <w:r>
              <w:rPr>
                <w:rFonts w:hint="eastAsia"/>
                <w:color w:val="auto"/>
                <w:sz w:val="21"/>
                <w:szCs w:val="21"/>
                <w:lang w:eastAsia="zh-CN"/>
              </w:rPr>
              <w:t>）</w:t>
            </w:r>
            <w:r>
              <w:rPr>
                <w:rFonts w:hint="eastAsia"/>
                <w:color w:val="auto"/>
                <w:sz w:val="21"/>
                <w:szCs w:val="21"/>
              </w:rPr>
              <w:t>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、食品加工区于2016年6月底前，完成水污染现状排查，编制实施水污染整治方案。新建、升级工业园区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应严格执行规划环境影响评价和项目环境影响评价及环境保护</w:t>
            </w:r>
            <w:r>
              <w:rPr>
                <w:rFonts w:hint="eastAsia"/>
                <w:color w:val="auto"/>
                <w:sz w:val="21"/>
                <w:szCs w:val="21"/>
                <w:lang w:eastAsia="zh-CN"/>
              </w:rPr>
              <w:t>“</w:t>
            </w:r>
            <w:r>
              <w:rPr>
                <w:rFonts w:hint="eastAsia"/>
                <w:color w:val="auto"/>
                <w:sz w:val="21"/>
                <w:szCs w:val="21"/>
              </w:rPr>
              <w:t>三同时</w:t>
            </w:r>
            <w:r>
              <w:rPr>
                <w:rFonts w:hint="eastAsia"/>
                <w:color w:val="auto"/>
                <w:sz w:val="21"/>
                <w:szCs w:val="21"/>
                <w:lang w:eastAsia="zh-CN"/>
              </w:rPr>
              <w:t>”</w:t>
            </w:r>
            <w:r>
              <w:rPr>
                <w:rFonts w:hint="eastAsia"/>
                <w:color w:val="auto"/>
                <w:sz w:val="21"/>
                <w:szCs w:val="21"/>
              </w:rPr>
              <w:t>制度，工业废水必须经预处理达到集中处理要求后，方可排入集中污水处理设施。2017年底前，市域工业园区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应按规定建成污水集中处理设施并安装自动在线监控装置。</w:t>
            </w:r>
          </w:p>
        </w:tc>
        <w:tc>
          <w:tcPr>
            <w:tcW w:w="2778" w:type="dxa"/>
            <w:vMerge w:val="continue"/>
            <w:tcBorders>
              <w:tl2br w:val="nil"/>
              <w:tr2bl w:val="nil"/>
            </w:tcBorders>
            <w:noWrap w:val="0"/>
            <w:vAlign w:val="center"/>
          </w:tcPr>
          <w:p w14:paraId="11720AD5">
            <w:pPr>
              <w:pageBreakBefore w:val="0"/>
              <w:wordWrap/>
              <w:bidi w:val="0"/>
              <w:adjustRightInd/>
              <w:snapToGrid/>
              <w:spacing w:line="240" w:lineRule="auto"/>
              <w:ind w:firstLine="0" w:firstLineChars="0"/>
              <w:rPr>
                <w:color w:val="auto"/>
                <w:sz w:val="21"/>
                <w:szCs w:val="21"/>
              </w:rPr>
            </w:pPr>
          </w:p>
        </w:tc>
        <w:tc>
          <w:tcPr>
            <w:tcW w:w="872" w:type="dxa"/>
            <w:vMerge w:val="continue"/>
            <w:tcBorders>
              <w:tl2br w:val="nil"/>
              <w:tr2bl w:val="nil"/>
            </w:tcBorders>
            <w:noWrap w:val="0"/>
            <w:vAlign w:val="center"/>
          </w:tcPr>
          <w:p w14:paraId="23B75C74">
            <w:pPr>
              <w:pageBreakBefore w:val="0"/>
              <w:wordWrap/>
              <w:bidi w:val="0"/>
              <w:adjustRightInd/>
              <w:snapToGrid/>
              <w:spacing w:line="240" w:lineRule="auto"/>
              <w:ind w:firstLine="0" w:firstLineChars="0"/>
              <w:jc w:val="center"/>
              <w:rPr>
                <w:color w:val="auto"/>
                <w:sz w:val="21"/>
                <w:szCs w:val="21"/>
              </w:rPr>
            </w:pPr>
          </w:p>
        </w:tc>
      </w:tr>
    </w:tbl>
    <w:p w14:paraId="1B5EEBED">
      <w:pPr>
        <w:pStyle w:val="6"/>
        <w:keepNext/>
        <w:keepLines/>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与国家及地方有关大气污染防治的规</w:t>
      </w:r>
      <w:r>
        <w:rPr>
          <w:rFonts w:hint="eastAsia"/>
          <w:color w:val="auto"/>
          <w:lang w:eastAsia="zh-CN"/>
        </w:rPr>
        <w:t>范</w:t>
      </w:r>
      <w:r>
        <w:rPr>
          <w:color w:val="auto"/>
        </w:rPr>
        <w:t>文件符合性分析</w:t>
      </w:r>
    </w:p>
    <w:p w14:paraId="7CF123B6">
      <w:pPr>
        <w:pageBreakBefore w:val="0"/>
        <w:wordWrap/>
        <w:bidi w:val="0"/>
        <w:adjustRightInd/>
        <w:snapToGrid/>
        <w:ind w:firstLine="480"/>
        <w:rPr>
          <w:rFonts w:hint="eastAsia"/>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sectPr>
      </w:pPr>
      <w:r>
        <w:rPr>
          <w:rFonts w:hint="eastAsia"/>
          <w:color w:val="auto"/>
        </w:rPr>
        <w:t>本项目建设与国家及地方有关大气污染防治的规范文件符合性分析如下表所示：</w:t>
      </w:r>
    </w:p>
    <w:p w14:paraId="68B56E18">
      <w:pPr>
        <w:pStyle w:val="15"/>
        <w:numPr>
          <w:ilvl w:val="0"/>
          <w:numId w:val="11"/>
        </w:numPr>
        <w:tabs>
          <w:tab w:val="clear" w:pos="0"/>
        </w:tabs>
        <w:bidi w:val="0"/>
        <w:ind w:left="0" w:leftChars="0" w:firstLine="0" w:firstLineChars="0"/>
        <w:rPr>
          <w:color w:val="auto"/>
        </w:rPr>
      </w:pPr>
      <w:r>
        <w:rPr>
          <w:color w:val="auto"/>
        </w:rPr>
        <w:t>相关大气污染防治规范文件符合性分析一览表</w:t>
      </w:r>
    </w:p>
    <w:tbl>
      <w:tblPr>
        <w:tblStyle w:val="4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7587"/>
        <w:gridCol w:w="4074"/>
        <w:gridCol w:w="995"/>
      </w:tblGrid>
      <w:tr w14:paraId="3A375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32" w:type="pct"/>
            <w:tcBorders>
              <w:tl2br w:val="nil"/>
              <w:tr2bl w:val="nil"/>
            </w:tcBorders>
            <w:noWrap w:val="0"/>
            <w:vAlign w:val="center"/>
          </w:tcPr>
          <w:p w14:paraId="2315976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名称</w:t>
            </w:r>
          </w:p>
        </w:tc>
        <w:tc>
          <w:tcPr>
            <w:tcW w:w="2678" w:type="pct"/>
            <w:tcBorders>
              <w:tl2br w:val="nil"/>
              <w:tr2bl w:val="nil"/>
            </w:tcBorders>
            <w:noWrap w:val="0"/>
            <w:vAlign w:val="center"/>
          </w:tcPr>
          <w:p w14:paraId="7575866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具体内容</w:t>
            </w:r>
          </w:p>
        </w:tc>
        <w:tc>
          <w:tcPr>
            <w:tcW w:w="1438" w:type="pct"/>
            <w:tcBorders>
              <w:tl2br w:val="nil"/>
              <w:tr2bl w:val="nil"/>
            </w:tcBorders>
            <w:noWrap w:val="0"/>
            <w:vAlign w:val="center"/>
          </w:tcPr>
          <w:p w14:paraId="1FAE58C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本项目</w:t>
            </w:r>
          </w:p>
        </w:tc>
        <w:tc>
          <w:tcPr>
            <w:tcW w:w="351" w:type="pct"/>
            <w:tcBorders>
              <w:tl2br w:val="nil"/>
              <w:tr2bl w:val="nil"/>
            </w:tcBorders>
            <w:noWrap w:val="0"/>
            <w:vAlign w:val="center"/>
          </w:tcPr>
          <w:p w14:paraId="3CEDE55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符合性</w:t>
            </w:r>
          </w:p>
        </w:tc>
      </w:tr>
      <w:tr w14:paraId="6E57B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2FC52DD6">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eastAsia="宋体" w:cs="Times New Roman"/>
                <w:color w:val="auto"/>
                <w:kern w:val="2"/>
                <w:sz w:val="21"/>
                <w:szCs w:val="21"/>
                <w:highlight w:val="none"/>
                <w:lang w:val="zh-CN" w:eastAsia="zh-CN" w:bidi="zh-CN"/>
              </w:rPr>
              <w:t>《中华人民共和国大气污染防治法》（2018年修正）</w:t>
            </w:r>
          </w:p>
        </w:tc>
        <w:tc>
          <w:tcPr>
            <w:tcW w:w="2678" w:type="pct"/>
            <w:tcBorders>
              <w:tl2br w:val="nil"/>
              <w:tr2bl w:val="nil"/>
            </w:tcBorders>
            <w:noWrap w:val="0"/>
            <w:vAlign w:val="center"/>
          </w:tcPr>
          <w:p w14:paraId="2AEE4E38">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14:paraId="64C4011C">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输煤炭、垃圾、渣土、砂石、土方、灰浆等散装、流体物料的车辆应当采取密闭或者其他措施防止物料遗撒造成扬尘污染，并按照规定路线行驶。</w:t>
            </w:r>
          </w:p>
          <w:p w14:paraId="7D59A643">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装卸物料应当采取密闭或者喷淋等方式防治扬尘污染。</w:t>
            </w:r>
          </w:p>
          <w:p w14:paraId="755465C5">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城市人民政府应当加强道路、广场、停车场和其他公共场所的清扫保洁管理，推行清洁动力机械化清扫等低尘作业方式，防治扬尘污染。</w:t>
            </w:r>
          </w:p>
        </w:tc>
        <w:tc>
          <w:tcPr>
            <w:tcW w:w="1438" w:type="pct"/>
            <w:vMerge w:val="restart"/>
            <w:tcBorders>
              <w:tl2br w:val="nil"/>
              <w:tr2bl w:val="nil"/>
            </w:tcBorders>
            <w:noWrap w:val="0"/>
            <w:vAlign w:val="center"/>
          </w:tcPr>
          <w:p w14:paraId="51BAB59F">
            <w:pPr>
              <w:pageBreakBefore w:val="0"/>
              <w:wordWrap/>
              <w:bidi w:val="0"/>
              <w:adjustRightInd/>
              <w:snapToGrid/>
              <w:spacing w:line="240" w:lineRule="auto"/>
              <w:ind w:firstLine="0" w:firstLineChars="0"/>
              <w:jc w:val="center"/>
              <w:rPr>
                <w:color w:val="auto"/>
                <w:sz w:val="21"/>
                <w:szCs w:val="21"/>
              </w:rPr>
            </w:pPr>
            <w:r>
              <w:rPr>
                <w:color w:val="auto"/>
                <w:sz w:val="21"/>
                <w:szCs w:val="21"/>
              </w:rPr>
              <w:t>本项目为</w:t>
            </w:r>
            <w:r>
              <w:rPr>
                <w:rFonts w:hint="eastAsia"/>
                <w:color w:val="auto"/>
                <w:sz w:val="21"/>
                <w:szCs w:val="21"/>
                <w:lang w:val="en-US" w:eastAsia="zh-CN"/>
              </w:rPr>
              <w:t>巴州区曾口区块工业污水处理厂工程</w:t>
            </w:r>
            <w:r>
              <w:rPr>
                <w:color w:val="auto"/>
                <w:sz w:val="21"/>
                <w:szCs w:val="21"/>
              </w:rPr>
              <w:t>，施工期相关大气污染严格按照相关环保要求落实；运营期主要大气污染物为污水收集预处理、生化处理及污泥处理单元产生的恶臭（硫化氢、氨等）。为此，本项目拟采取</w:t>
            </w:r>
            <w:r>
              <w:rPr>
                <w:rFonts w:hint="eastAsia"/>
                <w:color w:val="auto"/>
                <w:sz w:val="21"/>
                <w:szCs w:val="21"/>
                <w:lang w:eastAsia="zh-CN"/>
              </w:rPr>
              <w:t>“</w:t>
            </w:r>
            <w:r>
              <w:rPr>
                <w:color w:val="auto"/>
                <w:sz w:val="21"/>
                <w:szCs w:val="21"/>
              </w:rPr>
              <w:t>恶臭气体→生物除臭装置</w:t>
            </w:r>
            <w:r>
              <w:rPr>
                <w:rFonts w:hint="eastAsia"/>
                <w:color w:val="auto"/>
                <w:sz w:val="21"/>
                <w:szCs w:val="21"/>
                <w:lang w:eastAsia="zh-CN"/>
              </w:rPr>
              <w:t>”</w:t>
            </w:r>
            <w:r>
              <w:rPr>
                <w:color w:val="auto"/>
                <w:sz w:val="21"/>
                <w:szCs w:val="21"/>
              </w:rPr>
              <w:t>进行处理，部分未被捕集废气呈无组织排放，包括氨、硫化氢等。通过加强机械+自然通风相结合的方式加强通风，设置绿化隔离带。同时，产生的污泥按要求进行妥善、定期及时清运，加强运输车辆密闭处理，运输时间尽量避开外部环境交通高峰时期等敏感阶段。从而，降低该项目对周围环境的影响。</w:t>
            </w:r>
          </w:p>
        </w:tc>
        <w:tc>
          <w:tcPr>
            <w:tcW w:w="351" w:type="pct"/>
            <w:vMerge w:val="restart"/>
            <w:tcBorders>
              <w:tl2br w:val="nil"/>
              <w:tr2bl w:val="nil"/>
            </w:tcBorders>
            <w:noWrap w:val="0"/>
            <w:vAlign w:val="center"/>
          </w:tcPr>
          <w:p w14:paraId="6AB78627">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48240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347C3443">
            <w:pPr>
              <w:pageBreakBefore w:val="0"/>
              <w:wordWrap/>
              <w:bidi w:val="0"/>
              <w:adjustRightInd/>
              <w:snapToGrid/>
              <w:spacing w:line="240" w:lineRule="auto"/>
              <w:ind w:firstLine="0" w:firstLineChars="0"/>
              <w:jc w:val="center"/>
              <w:rPr>
                <w:color w:val="auto"/>
                <w:sz w:val="21"/>
                <w:szCs w:val="21"/>
              </w:rPr>
            </w:pPr>
            <w:r>
              <w:rPr>
                <w:color w:val="auto"/>
                <w:sz w:val="21"/>
                <w:szCs w:val="21"/>
              </w:rPr>
              <w:t>《国务院关于印发大气污染防治行动计划的通知》（国发[2013]37号）</w:t>
            </w:r>
          </w:p>
        </w:tc>
        <w:tc>
          <w:tcPr>
            <w:tcW w:w="2678" w:type="pct"/>
            <w:tcBorders>
              <w:tl2br w:val="nil"/>
              <w:tr2bl w:val="nil"/>
            </w:tcBorders>
            <w:noWrap w:val="0"/>
            <w:vAlign w:val="center"/>
          </w:tcPr>
          <w:p w14:paraId="7C8A8933">
            <w:pPr>
              <w:pageBreakBefore w:val="0"/>
              <w:wordWrap/>
              <w:bidi w:val="0"/>
              <w:adjustRightInd/>
              <w:snapToGrid/>
              <w:spacing w:line="240" w:lineRule="auto"/>
              <w:ind w:firstLine="0" w:firstLineChars="0"/>
              <w:jc w:val="left"/>
              <w:rPr>
                <w:color w:val="auto"/>
                <w:sz w:val="21"/>
                <w:szCs w:val="21"/>
              </w:rPr>
            </w:pPr>
            <w:r>
              <w:rPr>
                <w:color w:val="auto"/>
                <w:sz w:val="21"/>
                <w:szCs w:val="21"/>
              </w:rPr>
              <w:t>（二）</w:t>
            </w:r>
            <w:r>
              <w:rPr>
                <w:rFonts w:hint="eastAsia"/>
                <w:color w:val="auto"/>
                <w:sz w:val="21"/>
                <w:szCs w:val="21"/>
              </w:rPr>
              <w:t>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r>
              <w:rPr>
                <w:color w:val="auto"/>
                <w:sz w:val="21"/>
                <w:szCs w:val="21"/>
              </w:rPr>
              <w:t>（十）</w:t>
            </w:r>
            <w:r>
              <w:rPr>
                <w:rFonts w:hint="eastAsia"/>
                <w:color w:val="auto"/>
                <w:sz w:val="21"/>
                <w:szCs w:val="21"/>
              </w:rPr>
              <w:t>大力发展循环经济。鼓励产业集聚发展，实施园区循环化改造，推进能源梯级利用、水资源循环利用、废物交换利用、土地节约集约利用，促进企业循环式生产、园区循环式发展、产业循环式组合，构建循环型工业体系。推动水泥、钢铁等工业窑炉、高炉实施废物协同处置。大力发展机电产品再制造，推进资源再生利用产业发展。</w:t>
            </w:r>
          </w:p>
        </w:tc>
        <w:tc>
          <w:tcPr>
            <w:tcW w:w="1438" w:type="pct"/>
            <w:vMerge w:val="continue"/>
            <w:tcBorders>
              <w:tl2br w:val="nil"/>
              <w:tr2bl w:val="nil"/>
            </w:tcBorders>
            <w:noWrap w:val="0"/>
            <w:vAlign w:val="center"/>
          </w:tcPr>
          <w:p w14:paraId="6DA77D81">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6BF21E8A">
            <w:pPr>
              <w:pageBreakBefore w:val="0"/>
              <w:wordWrap/>
              <w:bidi w:val="0"/>
              <w:adjustRightInd/>
              <w:snapToGrid/>
              <w:spacing w:line="240" w:lineRule="auto"/>
              <w:ind w:firstLine="0" w:firstLineChars="0"/>
              <w:jc w:val="center"/>
              <w:rPr>
                <w:color w:val="auto"/>
                <w:sz w:val="21"/>
                <w:szCs w:val="21"/>
              </w:rPr>
            </w:pPr>
          </w:p>
        </w:tc>
      </w:tr>
      <w:tr w14:paraId="3116A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3C77E1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color w:val="auto"/>
                <w:sz w:val="21"/>
                <w:szCs w:val="21"/>
              </w:rPr>
            </w:pPr>
            <w:r>
              <w:rPr>
                <w:rFonts w:hint="eastAsia"/>
                <w:color w:val="auto"/>
                <w:sz w:val="21"/>
                <w:szCs w:val="21"/>
              </w:rPr>
              <w:t>《四川省大气污染防治行动计划实施细则》（川办函[2017]102号）</w:t>
            </w:r>
          </w:p>
        </w:tc>
        <w:tc>
          <w:tcPr>
            <w:tcW w:w="2678" w:type="pct"/>
            <w:tcBorders>
              <w:tl2br w:val="nil"/>
              <w:tr2bl w:val="nil"/>
            </w:tcBorders>
            <w:noWrap w:val="0"/>
            <w:vAlign w:val="center"/>
          </w:tcPr>
          <w:p w14:paraId="40A1AE6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深化面源污染治理，加强城市环境综合管理。</w:t>
            </w:r>
          </w:p>
          <w:p w14:paraId="68805AD2">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1.严控工地、道路、堆场扬尘污染。强化城市施工工地扬尘环境管控，积极推行绿色施工，严格执行安全文明施工标准规范，全面推行现场标准化管理。严格落实施工现场围挡、工地物料堆场覆盖、施工现场路面硬化、驶出工地车辆冲洗、拆迁工地湿法作业、渣土运输车辆密闭等扬尘防治要求。研究渣土运输车辆密闭改装标准，确保实现渣土密闭运输。加强建设工地监督检查，督促责任单位落实降尘、压尘和抑尘措施。</w:t>
            </w:r>
          </w:p>
          <w:p w14:paraId="0B4A0B4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深化城市道路扬尘防治。采用绿化和硬化相结合的方式，减少城市道路两侧裸土面积。加大道路洒水降尘力度，推行道路机械化清扫等低尘作业方式，设市城市和县城建成区道路机械化清扫率分别达到90%、85%以上。加强城市道路路政养护管理，减少路面破损。加大城市管理行政执法力度，严格查处抛洒滴漏、带泥行驶、道路乱开乱挖以及擅自清运工程渣土等行为。</w:t>
            </w:r>
          </w:p>
          <w:p w14:paraId="76C8067C">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rFonts w:hint="eastAsia"/>
                <w:color w:val="auto"/>
                <w:sz w:val="21"/>
                <w:szCs w:val="21"/>
              </w:rPr>
              <w:t>强化堆场扬尘控制。强化煤堆、料堆的监督管理，推进视频监控设施安装。大型煤堆、料堆场应建立密闭料仓与传送装置，生产企业中小型堆场和废渣堆场应搭建顶蓬并修筑防风墙。对临时露天堆放的，应加以覆盖或建设自动喷淋装置；对长期堆放的废弃物，应采取覆绿、铺装、硬化、定期喷洒抑尘剂或稳定剂等措施。</w:t>
            </w:r>
          </w:p>
        </w:tc>
        <w:tc>
          <w:tcPr>
            <w:tcW w:w="1438" w:type="pct"/>
            <w:vMerge w:val="continue"/>
            <w:tcBorders>
              <w:tl2br w:val="nil"/>
              <w:tr2bl w:val="nil"/>
            </w:tcBorders>
            <w:noWrap w:val="0"/>
            <w:vAlign w:val="center"/>
          </w:tcPr>
          <w:p w14:paraId="455C6561">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288A284F">
            <w:pPr>
              <w:pageBreakBefore w:val="0"/>
              <w:wordWrap/>
              <w:bidi w:val="0"/>
              <w:adjustRightInd/>
              <w:snapToGrid/>
              <w:spacing w:line="240" w:lineRule="auto"/>
              <w:ind w:firstLine="0" w:firstLineChars="0"/>
              <w:jc w:val="center"/>
              <w:rPr>
                <w:color w:val="auto"/>
                <w:sz w:val="21"/>
                <w:szCs w:val="21"/>
              </w:rPr>
            </w:pPr>
          </w:p>
        </w:tc>
      </w:tr>
      <w:tr w14:paraId="6C061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0D80D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color w:val="auto"/>
                <w:sz w:val="21"/>
                <w:szCs w:val="21"/>
              </w:rPr>
            </w:pPr>
            <w:r>
              <w:rPr>
                <w:color w:val="auto"/>
                <w:sz w:val="21"/>
                <w:szCs w:val="21"/>
              </w:rPr>
              <w:t>巴中市扬尘污染防治条例</w:t>
            </w:r>
          </w:p>
        </w:tc>
        <w:tc>
          <w:tcPr>
            <w:tcW w:w="2678" w:type="pct"/>
            <w:tcBorders>
              <w:tl2br w:val="nil"/>
              <w:tr2bl w:val="nil"/>
            </w:tcBorders>
            <w:noWrap w:val="0"/>
            <w:vAlign w:val="center"/>
          </w:tcPr>
          <w:p w14:paraId="43BFE2E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第三十条运输煤炭、矿石、矿渣、垃圾、渣土、砂石、土方、灰浆、水泥等散装、流体物料的车辆，应当采取完全密闭或者其他措施防止物料遗撒、泄漏、飞扬，经冲洗干净后方可上路行驶并保持车身整洁，按照规定或者核定的时间、路线行驶。</w:t>
            </w:r>
          </w:p>
          <w:p w14:paraId="22FC094A">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市、县级人民政府应当推行建筑垃圾、工程渣土专业化运输，可以划定实行建筑垃圾、工程渣土专业化运输的区域。在划定的区域内，建筑垃圾、工程渣土应当交由具备相应资质的企业运输。</w:t>
            </w:r>
          </w:p>
          <w:p w14:paraId="507240B0">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市、县级人民政府应当建设专用的建筑垃圾处置消纳场所，规范处置行为，防治扬尘污染，推进资源化利用。</w:t>
            </w:r>
          </w:p>
        </w:tc>
        <w:tc>
          <w:tcPr>
            <w:tcW w:w="1438" w:type="pct"/>
            <w:vMerge w:val="continue"/>
            <w:tcBorders>
              <w:tl2br w:val="nil"/>
              <w:tr2bl w:val="nil"/>
            </w:tcBorders>
            <w:noWrap w:val="0"/>
            <w:vAlign w:val="center"/>
          </w:tcPr>
          <w:p w14:paraId="2794BC3D">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31415763">
            <w:pPr>
              <w:pageBreakBefore w:val="0"/>
              <w:wordWrap/>
              <w:bidi w:val="0"/>
              <w:adjustRightInd/>
              <w:snapToGrid/>
              <w:spacing w:line="240" w:lineRule="auto"/>
              <w:ind w:firstLine="0" w:firstLineChars="0"/>
              <w:jc w:val="center"/>
              <w:rPr>
                <w:color w:val="auto"/>
                <w:sz w:val="21"/>
                <w:szCs w:val="21"/>
              </w:rPr>
            </w:pPr>
          </w:p>
        </w:tc>
      </w:tr>
    </w:tbl>
    <w:p w14:paraId="049FA2CC">
      <w:pPr>
        <w:pageBreakBefore w:val="0"/>
        <w:wordWrap/>
        <w:bidi w:val="0"/>
        <w:adjustRightInd/>
        <w:snapToGrid/>
        <w:spacing w:before="120" w:beforeLines="50"/>
        <w:ind w:firstLine="480"/>
        <w:rPr>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p>
    <w:p w14:paraId="2F3F238B">
      <w:pPr>
        <w:pageBreakBefore w:val="0"/>
        <w:wordWrap/>
        <w:bidi w:val="0"/>
        <w:adjustRightInd/>
        <w:snapToGrid/>
        <w:spacing w:before="120" w:beforeLines="50"/>
        <w:ind w:firstLine="480"/>
        <w:rPr>
          <w:color w:val="auto"/>
        </w:rPr>
      </w:pPr>
      <w:r>
        <w:rPr>
          <w:color w:val="auto"/>
        </w:rPr>
        <w:t>综上，国家、省、市各级地方政府出台相应的大气污染防治规范文件，旨在加强大气污染防控治理，提高大气环境质量。本项目为新建项目，建成后正常运行过程中废水收集、预处理、生化处理单元及污泥处理单元产生的臭气，经相应环保处理措施处理后，可实现达标排放。同时，项目建设周边已划定绿地区域。从而，降低该项目对周围环境的影响。因此，符合国家及地方有关大气污染防治规范要求。</w:t>
      </w:r>
    </w:p>
    <w:p w14:paraId="57350515">
      <w:pPr>
        <w:pStyle w:val="6"/>
        <w:pageBreakBefore w:val="0"/>
        <w:wordWrap/>
        <w:bidi w:val="0"/>
        <w:adjustRightInd/>
        <w:snapToGrid/>
        <w:rPr>
          <w:color w:val="auto"/>
        </w:rPr>
      </w:pPr>
      <w:r>
        <w:rPr>
          <w:color w:val="auto"/>
        </w:rPr>
        <w:t>与国家及地方有关土壤污染防治的规范文件符合性分析</w:t>
      </w:r>
    </w:p>
    <w:p w14:paraId="1F0EEC81">
      <w:pPr>
        <w:pageBreakBefore w:val="0"/>
        <w:wordWrap/>
        <w:bidi w:val="0"/>
        <w:adjustRightInd/>
        <w:snapToGrid/>
        <w:ind w:firstLine="480"/>
        <w:rPr>
          <w:rFonts w:hint="eastAsia"/>
          <w:color w:val="auto"/>
        </w:rPr>
      </w:pPr>
      <w:r>
        <w:rPr>
          <w:rFonts w:hint="eastAsia"/>
          <w:color w:val="auto"/>
        </w:rPr>
        <w:t>本项目建设与国家及地方有关土壤污染防治的规范文件符合性分析如下表所示：</w:t>
      </w:r>
    </w:p>
    <w:p w14:paraId="2A771769">
      <w:pPr>
        <w:pStyle w:val="15"/>
        <w:numPr>
          <w:ilvl w:val="0"/>
          <w:numId w:val="11"/>
        </w:numPr>
        <w:tabs>
          <w:tab w:val="clear" w:pos="0"/>
        </w:tabs>
        <w:bidi w:val="0"/>
        <w:ind w:left="0" w:leftChars="0" w:firstLine="0" w:firstLineChars="0"/>
        <w:rPr>
          <w:color w:val="auto"/>
        </w:rPr>
      </w:pPr>
      <w:r>
        <w:rPr>
          <w:color w:val="auto"/>
        </w:rPr>
        <w:t>相关土壤污染防治规范文件符合性分析一览表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2976"/>
        <w:gridCol w:w="3213"/>
        <w:gridCol w:w="942"/>
      </w:tblGrid>
      <w:tr w14:paraId="6CB61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12" w:type="pct"/>
            <w:tcBorders>
              <w:tl2br w:val="nil"/>
              <w:tr2bl w:val="nil"/>
            </w:tcBorders>
            <w:noWrap w:val="0"/>
            <w:vAlign w:val="center"/>
          </w:tcPr>
          <w:p w14:paraId="7C052AE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名称</w:t>
            </w:r>
          </w:p>
        </w:tc>
        <w:tc>
          <w:tcPr>
            <w:tcW w:w="1664" w:type="pct"/>
            <w:tcBorders>
              <w:tl2br w:val="nil"/>
              <w:tr2bl w:val="nil"/>
            </w:tcBorders>
            <w:noWrap w:val="0"/>
            <w:vAlign w:val="center"/>
          </w:tcPr>
          <w:p w14:paraId="33FC83F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具体内容</w:t>
            </w:r>
          </w:p>
        </w:tc>
        <w:tc>
          <w:tcPr>
            <w:tcW w:w="1797" w:type="pct"/>
            <w:tcBorders>
              <w:tl2br w:val="nil"/>
              <w:tr2bl w:val="nil"/>
            </w:tcBorders>
            <w:noWrap w:val="0"/>
            <w:vAlign w:val="center"/>
          </w:tcPr>
          <w:p w14:paraId="6B0DB56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本项目</w:t>
            </w:r>
          </w:p>
        </w:tc>
        <w:tc>
          <w:tcPr>
            <w:tcW w:w="527" w:type="pct"/>
            <w:tcBorders>
              <w:tl2br w:val="nil"/>
              <w:tr2bl w:val="nil"/>
            </w:tcBorders>
            <w:noWrap w:val="0"/>
            <w:vAlign w:val="center"/>
          </w:tcPr>
          <w:p w14:paraId="26AFA1D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符合性</w:t>
            </w:r>
          </w:p>
        </w:tc>
      </w:tr>
      <w:tr w14:paraId="63D24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0AC32319">
            <w:pPr>
              <w:pageBreakBefore w:val="0"/>
              <w:wordWrap/>
              <w:bidi w:val="0"/>
              <w:adjustRightInd/>
              <w:snapToGrid/>
              <w:spacing w:line="240" w:lineRule="auto"/>
              <w:ind w:firstLine="0" w:firstLineChars="0"/>
              <w:jc w:val="center"/>
              <w:rPr>
                <w:color w:val="auto"/>
                <w:sz w:val="21"/>
                <w:szCs w:val="21"/>
              </w:rPr>
            </w:pPr>
            <w:r>
              <w:rPr>
                <w:color w:val="auto"/>
                <w:sz w:val="21"/>
                <w:szCs w:val="21"/>
              </w:rPr>
              <w:t>《国务院关于印发土壤污染防治行动计划的通知》（国发[2016]31号）</w:t>
            </w:r>
          </w:p>
        </w:tc>
        <w:tc>
          <w:tcPr>
            <w:tcW w:w="1664" w:type="pct"/>
            <w:vMerge w:val="restart"/>
            <w:tcBorders>
              <w:tl2br w:val="nil"/>
              <w:tr2bl w:val="nil"/>
            </w:tcBorders>
            <w:noWrap w:val="0"/>
            <w:vAlign w:val="center"/>
          </w:tcPr>
          <w:p w14:paraId="53D58358">
            <w:pPr>
              <w:pageBreakBefore w:val="0"/>
              <w:wordWrap/>
              <w:bidi w:val="0"/>
              <w:adjustRightInd/>
              <w:snapToGrid/>
              <w:spacing w:line="240" w:lineRule="auto"/>
              <w:ind w:firstLine="0" w:firstLineChars="0"/>
              <w:jc w:val="center"/>
              <w:rPr>
                <w:color w:val="auto"/>
                <w:sz w:val="21"/>
                <w:szCs w:val="21"/>
              </w:rPr>
            </w:pPr>
            <w:r>
              <w:rPr>
                <w:color w:val="auto"/>
                <w:sz w:val="21"/>
                <w:szCs w:val="21"/>
              </w:rPr>
              <w:t>…加强污染源监管，做好土壤污染预防工作…加强工业废物处理处置…严禁将城镇生活垃圾、污泥、工业废物直接用作肥料…鼓励将处理达标后的污泥用于园林绿化</w:t>
            </w:r>
          </w:p>
        </w:tc>
        <w:tc>
          <w:tcPr>
            <w:tcW w:w="1797" w:type="pct"/>
            <w:vMerge w:val="restart"/>
            <w:tcBorders>
              <w:tl2br w:val="nil"/>
              <w:tr2bl w:val="nil"/>
            </w:tcBorders>
            <w:noWrap w:val="0"/>
            <w:vAlign w:val="center"/>
          </w:tcPr>
          <w:p w14:paraId="26AA5FDE">
            <w:pPr>
              <w:pageBreakBefore w:val="0"/>
              <w:wordWrap/>
              <w:bidi w:val="0"/>
              <w:adjustRightInd/>
              <w:snapToGrid/>
              <w:spacing w:line="240" w:lineRule="auto"/>
              <w:ind w:firstLine="0" w:firstLineChars="0"/>
              <w:jc w:val="center"/>
              <w:rPr>
                <w:color w:val="auto"/>
                <w:sz w:val="21"/>
                <w:szCs w:val="21"/>
              </w:rPr>
            </w:pPr>
            <w:r>
              <w:rPr>
                <w:color w:val="auto"/>
                <w:sz w:val="21"/>
                <w:szCs w:val="21"/>
              </w:rPr>
              <w:t>经分析，本项目正常运行过程中产生的固体废物主要为预处理过程中产生的栅渣以及大量生化系统产生的污泥。其中，格栅渣等经分类收集、脱水等预处理后，严格按照国家相关行业规范要求处置；污泥经脱水预处理后，根据污泥鉴定检测结果确定定期送交具有相应资</w:t>
            </w:r>
            <w:r>
              <w:rPr>
                <w:rFonts w:hint="eastAsia"/>
                <w:color w:val="auto"/>
                <w:sz w:val="21"/>
                <w:szCs w:val="21"/>
                <w:lang w:eastAsia="zh-CN"/>
              </w:rPr>
              <w:t>质的</w:t>
            </w:r>
            <w:r>
              <w:rPr>
                <w:color w:val="auto"/>
                <w:sz w:val="21"/>
                <w:szCs w:val="21"/>
              </w:rPr>
              <w:t>专业机构妥善处置；生活垃圾由市政环保部门定期收集、清运。另外，生产过程产生的危险废物（废矿物油、废润滑油等）经分类收集、暂存，交由有资质单位处置，同时加强堆场</w:t>
            </w:r>
            <w:r>
              <w:rPr>
                <w:rFonts w:hint="eastAsia"/>
                <w:color w:val="auto"/>
                <w:sz w:val="21"/>
                <w:szCs w:val="21"/>
                <w:lang w:eastAsia="zh-CN"/>
              </w:rPr>
              <w:t>“</w:t>
            </w:r>
            <w:r>
              <w:rPr>
                <w:color w:val="auto"/>
                <w:sz w:val="21"/>
                <w:szCs w:val="21"/>
              </w:rPr>
              <w:t>三防</w:t>
            </w:r>
            <w:r>
              <w:rPr>
                <w:rFonts w:hint="eastAsia"/>
                <w:color w:val="auto"/>
                <w:sz w:val="21"/>
                <w:szCs w:val="21"/>
                <w:lang w:eastAsia="zh-CN"/>
              </w:rPr>
              <w:t>”</w:t>
            </w:r>
            <w:r>
              <w:rPr>
                <w:color w:val="auto"/>
                <w:sz w:val="21"/>
                <w:szCs w:val="21"/>
              </w:rPr>
              <w:t>措施，避免二次污染。</w:t>
            </w:r>
          </w:p>
        </w:tc>
        <w:tc>
          <w:tcPr>
            <w:tcW w:w="527" w:type="pct"/>
            <w:vMerge w:val="restart"/>
            <w:tcBorders>
              <w:tl2br w:val="nil"/>
              <w:tr2bl w:val="nil"/>
            </w:tcBorders>
            <w:noWrap w:val="0"/>
            <w:vAlign w:val="center"/>
          </w:tcPr>
          <w:p w14:paraId="58650DAD">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65973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27E0EEC5">
            <w:pPr>
              <w:pageBreakBefore w:val="0"/>
              <w:wordWrap/>
              <w:bidi w:val="0"/>
              <w:adjustRightInd/>
              <w:snapToGrid/>
              <w:spacing w:line="240" w:lineRule="auto"/>
              <w:ind w:firstLine="0" w:firstLineChars="0"/>
              <w:jc w:val="center"/>
              <w:rPr>
                <w:color w:val="auto"/>
                <w:sz w:val="21"/>
                <w:szCs w:val="21"/>
              </w:rPr>
            </w:pPr>
            <w:r>
              <w:rPr>
                <w:color w:val="auto"/>
                <w:sz w:val="21"/>
                <w:szCs w:val="21"/>
              </w:rPr>
              <w:t>《四川省关于印发土壤污染防治行动计划四川省工作方案的通知》（川府发[2016]63号）</w:t>
            </w:r>
          </w:p>
        </w:tc>
        <w:tc>
          <w:tcPr>
            <w:tcW w:w="1664" w:type="pct"/>
            <w:vMerge w:val="continue"/>
            <w:tcBorders>
              <w:tl2br w:val="nil"/>
              <w:tr2bl w:val="nil"/>
            </w:tcBorders>
            <w:noWrap w:val="0"/>
            <w:vAlign w:val="center"/>
          </w:tcPr>
          <w:p w14:paraId="23574E84">
            <w:pPr>
              <w:pageBreakBefore w:val="0"/>
              <w:wordWrap/>
              <w:bidi w:val="0"/>
              <w:adjustRightInd/>
              <w:snapToGrid/>
              <w:spacing w:line="240" w:lineRule="auto"/>
              <w:ind w:firstLine="0" w:firstLineChars="0"/>
              <w:jc w:val="center"/>
              <w:rPr>
                <w:color w:val="auto"/>
                <w:sz w:val="21"/>
                <w:szCs w:val="21"/>
              </w:rPr>
            </w:pPr>
          </w:p>
        </w:tc>
        <w:tc>
          <w:tcPr>
            <w:tcW w:w="1797" w:type="pct"/>
            <w:vMerge w:val="continue"/>
            <w:tcBorders>
              <w:tl2br w:val="nil"/>
              <w:tr2bl w:val="nil"/>
            </w:tcBorders>
            <w:noWrap w:val="0"/>
            <w:vAlign w:val="center"/>
          </w:tcPr>
          <w:p w14:paraId="7EBBFC3E">
            <w:pPr>
              <w:pageBreakBefore w:val="0"/>
              <w:wordWrap/>
              <w:bidi w:val="0"/>
              <w:adjustRightInd/>
              <w:snapToGrid/>
              <w:spacing w:line="240" w:lineRule="auto"/>
              <w:ind w:firstLine="0" w:firstLineChars="0"/>
              <w:jc w:val="center"/>
              <w:rPr>
                <w:color w:val="auto"/>
                <w:sz w:val="21"/>
                <w:szCs w:val="21"/>
              </w:rPr>
            </w:pPr>
          </w:p>
        </w:tc>
        <w:tc>
          <w:tcPr>
            <w:tcW w:w="527" w:type="pct"/>
            <w:vMerge w:val="continue"/>
            <w:tcBorders>
              <w:tl2br w:val="nil"/>
              <w:tr2bl w:val="nil"/>
            </w:tcBorders>
            <w:noWrap w:val="0"/>
            <w:vAlign w:val="center"/>
          </w:tcPr>
          <w:p w14:paraId="05AEE392">
            <w:pPr>
              <w:pageBreakBefore w:val="0"/>
              <w:wordWrap/>
              <w:bidi w:val="0"/>
              <w:adjustRightInd/>
              <w:snapToGrid/>
              <w:spacing w:line="240" w:lineRule="auto"/>
              <w:ind w:firstLine="0" w:firstLineChars="0"/>
              <w:jc w:val="center"/>
              <w:rPr>
                <w:color w:val="auto"/>
                <w:sz w:val="21"/>
                <w:szCs w:val="21"/>
              </w:rPr>
            </w:pPr>
          </w:p>
        </w:tc>
      </w:tr>
      <w:tr w14:paraId="3F7A6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01B40209">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eastAsia="zh-CN"/>
              </w:rPr>
              <w:t>巴中市</w:t>
            </w:r>
            <w:r>
              <w:rPr>
                <w:color w:val="auto"/>
                <w:sz w:val="21"/>
                <w:szCs w:val="21"/>
              </w:rPr>
              <w:t>政府关于印发</w:t>
            </w:r>
            <w:r>
              <w:rPr>
                <w:rFonts w:hint="eastAsia"/>
                <w:color w:val="auto"/>
                <w:sz w:val="21"/>
                <w:szCs w:val="21"/>
                <w:lang w:eastAsia="zh-CN"/>
              </w:rPr>
              <w:t>巴中市</w:t>
            </w:r>
            <w:r>
              <w:rPr>
                <w:color w:val="auto"/>
                <w:sz w:val="21"/>
                <w:szCs w:val="21"/>
              </w:rPr>
              <w:t>土壤污染防治工作方案的通知》（成府函[2017]54号）</w:t>
            </w:r>
          </w:p>
        </w:tc>
        <w:tc>
          <w:tcPr>
            <w:tcW w:w="1664" w:type="pct"/>
            <w:tcBorders>
              <w:tl2br w:val="nil"/>
              <w:tr2bl w:val="nil"/>
            </w:tcBorders>
            <w:noWrap w:val="0"/>
            <w:vAlign w:val="center"/>
          </w:tcPr>
          <w:p w14:paraId="273BB2D7">
            <w:pPr>
              <w:pageBreakBefore w:val="0"/>
              <w:wordWrap/>
              <w:bidi w:val="0"/>
              <w:adjustRightInd/>
              <w:snapToGrid/>
              <w:spacing w:line="240" w:lineRule="auto"/>
              <w:ind w:firstLine="0" w:firstLineChars="0"/>
              <w:jc w:val="center"/>
              <w:rPr>
                <w:color w:val="auto"/>
                <w:sz w:val="21"/>
                <w:szCs w:val="21"/>
              </w:rPr>
            </w:pPr>
            <w:r>
              <w:rPr>
                <w:color w:val="auto"/>
                <w:sz w:val="21"/>
                <w:szCs w:val="21"/>
              </w:rPr>
              <w:t>…结合区域功能定位和土壤污染防治需要</w:t>
            </w:r>
            <w:r>
              <w:rPr>
                <w:rFonts w:hint="eastAsia"/>
                <w:color w:val="auto"/>
                <w:sz w:val="21"/>
                <w:szCs w:val="21"/>
                <w:lang w:eastAsia="zh-CN"/>
              </w:rPr>
              <w:t>，</w:t>
            </w:r>
            <w:r>
              <w:rPr>
                <w:color w:val="auto"/>
                <w:sz w:val="21"/>
                <w:szCs w:val="21"/>
              </w:rPr>
              <w:t>科学布局污泥、一般工业固体废物、危险废物处置处理设施和场所…严禁将城镇生活垃圾、污泥、工业废物直接用作肥料…</w:t>
            </w:r>
          </w:p>
        </w:tc>
        <w:tc>
          <w:tcPr>
            <w:tcW w:w="1797" w:type="pct"/>
            <w:vMerge w:val="continue"/>
            <w:tcBorders>
              <w:tl2br w:val="nil"/>
              <w:tr2bl w:val="nil"/>
            </w:tcBorders>
            <w:noWrap w:val="0"/>
            <w:vAlign w:val="center"/>
          </w:tcPr>
          <w:p w14:paraId="056F36AD">
            <w:pPr>
              <w:pageBreakBefore w:val="0"/>
              <w:wordWrap/>
              <w:bidi w:val="0"/>
              <w:adjustRightInd/>
              <w:snapToGrid/>
              <w:spacing w:line="240" w:lineRule="auto"/>
              <w:ind w:firstLine="0" w:firstLineChars="0"/>
              <w:jc w:val="center"/>
              <w:rPr>
                <w:color w:val="auto"/>
                <w:sz w:val="21"/>
                <w:szCs w:val="21"/>
              </w:rPr>
            </w:pPr>
          </w:p>
        </w:tc>
        <w:tc>
          <w:tcPr>
            <w:tcW w:w="527" w:type="pct"/>
            <w:vMerge w:val="continue"/>
            <w:tcBorders>
              <w:tl2br w:val="nil"/>
              <w:tr2bl w:val="nil"/>
            </w:tcBorders>
            <w:noWrap w:val="0"/>
            <w:vAlign w:val="center"/>
          </w:tcPr>
          <w:p w14:paraId="3C12DB6E">
            <w:pPr>
              <w:pageBreakBefore w:val="0"/>
              <w:wordWrap/>
              <w:bidi w:val="0"/>
              <w:adjustRightInd/>
              <w:snapToGrid/>
              <w:spacing w:line="240" w:lineRule="auto"/>
              <w:ind w:firstLine="0" w:firstLineChars="0"/>
              <w:jc w:val="center"/>
              <w:rPr>
                <w:color w:val="auto"/>
                <w:sz w:val="21"/>
                <w:szCs w:val="21"/>
              </w:rPr>
            </w:pPr>
          </w:p>
        </w:tc>
      </w:tr>
    </w:tbl>
    <w:p w14:paraId="093CC8BC">
      <w:pPr>
        <w:pageBreakBefore w:val="0"/>
        <w:wordWrap/>
        <w:bidi w:val="0"/>
        <w:adjustRightInd/>
        <w:snapToGrid/>
        <w:spacing w:before="120" w:beforeLines="50"/>
        <w:ind w:firstLine="480"/>
        <w:rPr>
          <w:color w:val="auto"/>
        </w:rPr>
      </w:pPr>
      <w:r>
        <w:rPr>
          <w:color w:val="auto"/>
        </w:rPr>
        <w:t>综上，本项目的建设与国家、地方相关水、大气以及土壤污染防治规划相符，旨在改善区域环境，降低对周围环境的影响。</w:t>
      </w:r>
    </w:p>
    <w:p w14:paraId="10C32FAB">
      <w:pPr>
        <w:pStyle w:val="6"/>
        <w:pageBreakBefore w:val="0"/>
        <w:wordWrap/>
        <w:bidi w:val="0"/>
        <w:adjustRightInd/>
        <w:snapToGrid/>
        <w:rPr>
          <w:color w:val="auto"/>
        </w:rPr>
      </w:pPr>
      <w:r>
        <w:rPr>
          <w:color w:val="auto"/>
        </w:rPr>
        <w:t>与</w:t>
      </w:r>
      <w:r>
        <w:rPr>
          <w:rFonts w:hint="eastAsia"/>
          <w:color w:val="auto"/>
          <w:lang w:val="en-US" w:eastAsia="zh-CN"/>
        </w:rPr>
        <w:t>巴中市</w:t>
      </w:r>
      <w:r>
        <w:rPr>
          <w:rFonts w:hint="eastAsia"/>
          <w:color w:val="auto"/>
          <w:lang w:eastAsia="zh-CN"/>
        </w:rPr>
        <w:t>“</w:t>
      </w:r>
      <w:r>
        <w:rPr>
          <w:color w:val="auto"/>
        </w:rPr>
        <w:t>三线一单</w:t>
      </w:r>
      <w:r>
        <w:rPr>
          <w:rFonts w:hint="eastAsia"/>
          <w:color w:val="auto"/>
          <w:lang w:eastAsia="zh-CN"/>
        </w:rPr>
        <w:t>”</w:t>
      </w:r>
      <w:r>
        <w:rPr>
          <w:color w:val="auto"/>
        </w:rPr>
        <w:t>符合性分析</w:t>
      </w:r>
    </w:p>
    <w:p w14:paraId="753A6DE0">
      <w:pPr>
        <w:pageBreakBefore w:val="0"/>
        <w:wordWrap/>
        <w:bidi w:val="0"/>
        <w:adjustRightInd/>
        <w:snapToGrid/>
        <w:rPr>
          <w:rFonts w:hint="eastAsia"/>
          <w:color w:val="auto"/>
        </w:rPr>
      </w:pPr>
      <w:r>
        <w:rPr>
          <w:rFonts w:hint="eastAsia"/>
          <w:color w:val="auto"/>
        </w:rPr>
        <w:t>根据</w:t>
      </w:r>
      <w:r>
        <w:rPr>
          <w:rFonts w:hint="eastAsia"/>
          <w:color w:val="auto"/>
          <w:lang w:eastAsia="zh-CN"/>
        </w:rPr>
        <w:t>巴中市人民政府</w:t>
      </w:r>
      <w:r>
        <w:rPr>
          <w:rFonts w:hint="eastAsia"/>
          <w:color w:val="auto"/>
        </w:rPr>
        <w:t>《</w:t>
      </w:r>
      <w:r>
        <w:rPr>
          <w:rFonts w:hint="eastAsia"/>
          <w:color w:val="auto"/>
          <w:lang w:eastAsia="zh-CN"/>
        </w:rPr>
        <w:t>关于实施“三线一单”生态环境分区管控的通知</w:t>
      </w:r>
      <w:r>
        <w:rPr>
          <w:rFonts w:hint="eastAsia"/>
          <w:color w:val="auto"/>
        </w:rPr>
        <w:t>》（巴府发〔2021〕5号），建设项目应落实</w:t>
      </w:r>
      <w:r>
        <w:rPr>
          <w:rFonts w:hint="eastAsia"/>
          <w:color w:val="auto"/>
          <w:lang w:eastAsia="zh-CN"/>
        </w:rPr>
        <w:t>“</w:t>
      </w:r>
      <w:r>
        <w:rPr>
          <w:rFonts w:hint="eastAsia"/>
          <w:color w:val="auto"/>
        </w:rPr>
        <w:t>生态保护红线、环境质量底线、资源利用上线和环境准入负面清单</w:t>
      </w:r>
      <w:r>
        <w:rPr>
          <w:rFonts w:hint="eastAsia"/>
          <w:color w:val="auto"/>
          <w:lang w:eastAsia="zh-CN"/>
        </w:rPr>
        <w:t>”</w:t>
      </w:r>
      <w:r>
        <w:rPr>
          <w:rFonts w:hint="eastAsia"/>
          <w:color w:val="auto"/>
        </w:rPr>
        <w:t>（以下简称</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）要求。</w:t>
      </w:r>
    </w:p>
    <w:p w14:paraId="65C100BB">
      <w:pPr>
        <w:pageBreakBefore w:val="0"/>
        <w:wordWrap/>
        <w:bidi w:val="0"/>
        <w:adjustRightInd/>
        <w:snapToGrid/>
        <w:rPr>
          <w:rFonts w:hint="eastAsia"/>
          <w:b/>
          <w:bCs/>
          <w:color w:val="auto"/>
        </w:rPr>
      </w:pPr>
      <w:r>
        <w:rPr>
          <w:rFonts w:hint="eastAsia"/>
          <w:b/>
          <w:bCs/>
          <w:color w:val="auto"/>
        </w:rPr>
        <w:t>（1）生态保护红线</w:t>
      </w:r>
    </w:p>
    <w:p w14:paraId="240D9D02">
      <w:pPr>
        <w:pageBreakBefore w:val="0"/>
        <w:wordWrap/>
        <w:bidi w:val="0"/>
        <w:adjustRightInd/>
        <w:snapToGrid/>
        <w:rPr>
          <w:rFonts w:hint="eastAsia"/>
          <w:color w:val="auto"/>
        </w:rPr>
      </w:pPr>
      <w:r>
        <w:rPr>
          <w:rFonts w:hint="eastAsia"/>
          <w:color w:val="auto"/>
        </w:rPr>
        <w:t>由《</w:t>
      </w:r>
      <w:r>
        <w:rPr>
          <w:rFonts w:hint="eastAsia"/>
          <w:color w:val="auto"/>
          <w:lang w:eastAsia="zh-CN"/>
        </w:rPr>
        <w:t>关于实施“三线一单”生态环境分区管控的通知</w:t>
      </w:r>
      <w:r>
        <w:rPr>
          <w:rFonts w:hint="eastAsia"/>
          <w:color w:val="auto"/>
        </w:rPr>
        <w:t>》（巴府发〔2021〕5号）及</w:t>
      </w:r>
      <w:r>
        <w:rPr>
          <w:rFonts w:hint="eastAsia"/>
          <w:color w:val="auto"/>
          <w:lang w:eastAsia="zh-CN"/>
        </w:rPr>
        <w:t>巴中市</w:t>
      </w:r>
      <w:r>
        <w:rPr>
          <w:rFonts w:hint="eastAsia"/>
          <w:color w:val="auto"/>
        </w:rPr>
        <w:t>生态保护红线分布图可知，本项目位于</w:t>
      </w:r>
      <w:r>
        <w:rPr>
          <w:rFonts w:hint="eastAsia"/>
          <w:color w:val="auto"/>
          <w:lang w:eastAsia="zh-CN"/>
        </w:rPr>
        <w:t>四川省巴中市巴州区曾口镇寿星村13组</w:t>
      </w:r>
      <w:r>
        <w:rPr>
          <w:rFonts w:hint="eastAsia"/>
          <w:color w:val="auto"/>
        </w:rPr>
        <w:t>，本</w:t>
      </w:r>
      <w:r>
        <w:rPr>
          <w:rFonts w:hint="eastAsia"/>
          <w:color w:val="auto"/>
          <w:lang w:eastAsia="zh-CN"/>
        </w:rPr>
        <w:t>项目</w:t>
      </w:r>
      <w:r>
        <w:rPr>
          <w:rFonts w:hint="eastAsia"/>
          <w:color w:val="auto"/>
        </w:rPr>
        <w:t>不涉及生态保护红线。</w:t>
      </w:r>
    </w:p>
    <w:p w14:paraId="2C9A9A3C">
      <w:pPr>
        <w:pageBreakBefore w:val="0"/>
        <w:wordWrap/>
        <w:bidi w:val="0"/>
        <w:adjustRightInd/>
        <w:snapToGrid/>
        <w:rPr>
          <w:rFonts w:hint="eastAsia"/>
          <w:b/>
          <w:bCs/>
          <w:color w:val="auto"/>
        </w:rPr>
      </w:pPr>
      <w:r>
        <w:rPr>
          <w:rFonts w:hint="eastAsia"/>
          <w:b/>
          <w:bCs/>
          <w:color w:val="auto"/>
        </w:rPr>
        <w:t>（2）环境质量底线</w:t>
      </w:r>
    </w:p>
    <w:p w14:paraId="3E84F850">
      <w:pPr>
        <w:pageBreakBefore w:val="0"/>
        <w:wordWrap/>
        <w:bidi w:val="0"/>
        <w:adjustRightInd/>
        <w:snapToGrid/>
        <w:rPr>
          <w:rFonts w:hint="eastAsia"/>
          <w:color w:val="auto"/>
        </w:rPr>
      </w:pPr>
      <w:r>
        <w:rPr>
          <w:rFonts w:hint="eastAsia"/>
          <w:color w:val="auto"/>
        </w:rPr>
        <w:t>本项目所在区域大气环境、地表水环境、声环境质量能满足相应的标准要求，本项目营运期产生的污染物采取相应的环保措施后，能够做到达标排放，对环境影响较小。此外，本项目为污水处理厂建设项目，属于环境正效应项目，项目的建设对区域地表水和地下水环境均有一定的改善作用，因此本项目与环境质量底线要求是相符的。</w:t>
      </w:r>
    </w:p>
    <w:p w14:paraId="356E3D96">
      <w:pPr>
        <w:pageBreakBefore w:val="0"/>
        <w:wordWrap/>
        <w:bidi w:val="0"/>
        <w:adjustRightInd/>
        <w:snapToGrid/>
        <w:rPr>
          <w:rFonts w:hint="eastAsia"/>
          <w:b/>
          <w:bCs/>
          <w:color w:val="auto"/>
        </w:rPr>
      </w:pPr>
      <w:r>
        <w:rPr>
          <w:rFonts w:hint="eastAsia"/>
          <w:b/>
          <w:bCs/>
          <w:color w:val="auto"/>
        </w:rPr>
        <w:t>（3）资源利用上线</w:t>
      </w:r>
    </w:p>
    <w:p w14:paraId="070E03EC">
      <w:pPr>
        <w:pageBreakBefore w:val="0"/>
        <w:wordWrap/>
        <w:bidi w:val="0"/>
        <w:adjustRightInd/>
        <w:snapToGrid/>
        <w:rPr>
          <w:rFonts w:hint="eastAsia"/>
          <w:color w:val="auto"/>
        </w:rPr>
      </w:pPr>
      <w:r>
        <w:rPr>
          <w:rFonts w:hint="eastAsia"/>
          <w:color w:val="auto"/>
        </w:rPr>
        <w:t>项目运营过程中消耗一定量的电、水等资源，项目资源消耗量相对于区域资源利用总量较少，符合资源利用上线要求。</w:t>
      </w:r>
    </w:p>
    <w:p w14:paraId="4ABF883B">
      <w:pPr>
        <w:pageBreakBefore w:val="0"/>
        <w:wordWrap/>
        <w:bidi w:val="0"/>
        <w:adjustRightInd/>
        <w:snapToGrid/>
        <w:rPr>
          <w:rFonts w:hint="eastAsia"/>
          <w:b/>
          <w:bCs/>
          <w:color w:val="auto"/>
        </w:rPr>
      </w:pPr>
      <w:r>
        <w:rPr>
          <w:rFonts w:hint="eastAsia"/>
          <w:b/>
          <w:bCs/>
          <w:color w:val="auto"/>
        </w:rPr>
        <w:t>（4）环境准入清单</w:t>
      </w:r>
    </w:p>
    <w:p w14:paraId="70957BDE">
      <w:pPr>
        <w:pageBreakBefore w:val="0"/>
        <w:wordWrap/>
        <w:bidi w:val="0"/>
        <w:adjustRightInd/>
        <w:snapToGrid/>
        <w:rPr>
          <w:rFonts w:hint="eastAsia"/>
          <w:b/>
          <w:bCs/>
          <w:color w:val="auto"/>
        </w:rPr>
      </w:pPr>
      <w:r>
        <w:rPr>
          <w:rFonts w:hint="eastAsia"/>
          <w:b/>
          <w:bCs/>
          <w:color w:val="auto"/>
        </w:rPr>
        <w:t>①</w:t>
      </w:r>
      <w:r>
        <w:rPr>
          <w:rFonts w:hint="eastAsia"/>
          <w:b/>
          <w:bCs/>
          <w:color w:val="auto"/>
          <w:lang w:eastAsia="zh-CN"/>
        </w:rPr>
        <w:t>巴中市</w:t>
      </w:r>
      <w:r>
        <w:rPr>
          <w:rFonts w:hint="eastAsia"/>
          <w:b/>
          <w:bCs/>
          <w:color w:val="auto"/>
        </w:rPr>
        <w:t>环境管控单元管控要求：</w:t>
      </w:r>
    </w:p>
    <w:p w14:paraId="376FA201">
      <w:pPr>
        <w:pageBreakBefore w:val="0"/>
        <w:wordWrap/>
        <w:bidi w:val="0"/>
        <w:adjustRightInd/>
        <w:snapToGrid/>
        <w:rPr>
          <w:rFonts w:hint="eastAsia"/>
          <w:color w:val="auto"/>
        </w:rPr>
      </w:pPr>
      <w:r>
        <w:rPr>
          <w:rFonts w:hint="eastAsia"/>
          <w:color w:val="auto"/>
        </w:rPr>
        <w:t>根据《</w:t>
      </w:r>
      <w:r>
        <w:rPr>
          <w:rFonts w:hint="eastAsia"/>
          <w:color w:val="auto"/>
          <w:lang w:eastAsia="zh-CN"/>
        </w:rPr>
        <w:t>巴中市人民政府关于实施“三线一单”生态环境分区管控的通知</w:t>
      </w:r>
      <w:r>
        <w:rPr>
          <w:rFonts w:hint="eastAsia"/>
          <w:color w:val="auto"/>
        </w:rPr>
        <w:t>》（</w:t>
      </w:r>
      <w:r>
        <w:rPr>
          <w:rFonts w:hint="eastAsia"/>
          <w:color w:val="auto"/>
          <w:lang w:eastAsia="zh-CN"/>
        </w:rPr>
        <w:t>巴府发〔2021〕5号</w:t>
      </w:r>
      <w:r>
        <w:rPr>
          <w:rFonts w:hint="eastAsia"/>
          <w:color w:val="auto"/>
        </w:rPr>
        <w:t>），将全市行政区域从生态环境保护角度划分为优先保护、重点管控和一般管控三类环境管控单元。</w:t>
      </w:r>
    </w:p>
    <w:p w14:paraId="54D6CC9C">
      <w:pPr>
        <w:pageBreakBefore w:val="0"/>
        <w:wordWrap/>
        <w:bidi w:val="0"/>
        <w:adjustRightInd/>
        <w:snapToGrid/>
        <w:rPr>
          <w:color w:val="auto"/>
        </w:rPr>
      </w:pPr>
      <w:r>
        <w:rPr>
          <w:rFonts w:hint="eastAsia"/>
          <w:color w:val="auto"/>
          <w:lang w:eastAsia="zh-CN"/>
        </w:rPr>
        <w:t>——</w:t>
      </w:r>
      <w:r>
        <w:rPr>
          <w:rFonts w:hint="eastAsia"/>
          <w:color w:val="auto"/>
        </w:rPr>
        <w:t>优先保护单元，以生态环境保护为主的区域，全市划分优先保护单元13个，主要包括生态保护红线、自然保护地、饮用水水源保护区和重点生态环境敏感区、脆弱区等。以生态环境保护优先为原则，严格执行相关法律、法规要求，严守生态环境质量底线，确保生态环境功能不降低。</w:t>
      </w:r>
    </w:p>
    <w:p w14:paraId="0AB4BD5E">
      <w:pPr>
        <w:pageBreakBefore w:val="0"/>
        <w:wordWrap/>
        <w:bidi w:val="0"/>
        <w:adjustRightInd/>
        <w:snapToGrid/>
        <w:rPr>
          <w:rFonts w:hint="eastAsia"/>
          <w:color w:val="auto"/>
        </w:rPr>
      </w:pPr>
      <w:r>
        <w:rPr>
          <w:rFonts w:hint="eastAsia"/>
          <w:color w:val="auto"/>
        </w:rPr>
        <w:t>——重点管控单元，涉及水、大气、土壤等资源环境要素重点管控的区域，全市划分重点管控单元21个，主要包括人口密集的城镇规划区和产业集聚的工业园区（工业集聚区）等。有针对性地加强污染物排放控制和环境风险防控，不断提升资源利用效率，解决生态环境质量不达标、生态环境风险突出等问题，制定差别化的生态环境准入要求。</w:t>
      </w:r>
    </w:p>
    <w:p w14:paraId="7035A0E8">
      <w:pPr>
        <w:pageBreakBefore w:val="0"/>
        <w:wordWrap/>
        <w:bidi w:val="0"/>
        <w:adjustRightInd/>
        <w:snapToGrid/>
        <w:rPr>
          <w:rFonts w:hint="eastAsia"/>
          <w:color w:val="auto"/>
        </w:rPr>
      </w:pPr>
      <w:r>
        <w:rPr>
          <w:rFonts w:hint="eastAsia"/>
          <w:color w:val="auto"/>
        </w:rPr>
        <w:t>——一般管控单元，除优先保护单元和重点管控单元之外的其他区域，全市共划分一般管控单元5个。执行区域生态环境保护的基本要求，重点加强农业、生活等领域污染治理。</w:t>
      </w:r>
    </w:p>
    <w:p w14:paraId="42DFA026">
      <w:pPr>
        <w:pageBreakBefore w:val="0"/>
        <w:wordWrap/>
        <w:bidi w:val="0"/>
        <w:adjustRightInd/>
        <w:snapToGrid/>
        <w:rPr>
          <w:rFonts w:hint="eastAsia"/>
          <w:color w:val="auto"/>
          <w:lang w:val="en-US" w:eastAsia="zh-CN"/>
        </w:rPr>
      </w:pPr>
      <w:r>
        <w:rPr>
          <w:rFonts w:hint="eastAsia"/>
          <w:color w:val="auto"/>
          <w:lang w:val="en-US" w:eastAsia="zh-CN"/>
        </w:rPr>
        <w:t>巴中市人民政府于2021年7月1日发布了《巴中市人民政府关于实施“三线一单”生态环境分区管控的通知》（巴府发〔2021〕5号），本项目与巴中市生态环境分区管控图位置关系如下：</w:t>
      </w:r>
    </w:p>
    <w:p w14:paraId="1B67DCA8">
      <w:pPr>
        <w:pStyle w:val="23"/>
        <w:keepNext w:val="0"/>
        <w:keepLines w:val="0"/>
        <w:pageBreakBefore w:val="0"/>
        <w:widowControl w:val="0"/>
        <w:kinsoku/>
        <w:wordWrap/>
        <w:overflowPunct/>
        <w:topLinePunct w:val="0"/>
        <w:autoSpaceDE/>
        <w:autoSpaceDN/>
        <w:bidi w:val="0"/>
        <w:adjustRightInd/>
        <w:snapToGrid/>
        <w:spacing w:after="0"/>
        <w:ind w:left="0" w:leftChars="0" w:rightChars="0" w:firstLine="0" w:firstLineChars="0"/>
        <w:jc w:val="center"/>
        <w:textAlignment w:val="auto"/>
        <w:rPr>
          <w:color w:val="auto"/>
          <w:highlight w:val="none"/>
        </w:rPr>
      </w:pP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2856230</wp:posOffset>
                </wp:positionH>
                <wp:positionV relativeFrom="paragraph">
                  <wp:posOffset>2352675</wp:posOffset>
                </wp:positionV>
                <wp:extent cx="1038225" cy="349885"/>
                <wp:effectExtent l="1127760" t="198120" r="24765" b="23495"/>
                <wp:wrapNone/>
                <wp:docPr id="81" name="矩形标注 31"/>
                <wp:cNvGraphicFramePr/>
                <a:graphic xmlns:a="http://schemas.openxmlformats.org/drawingml/2006/main">
                  <a:graphicData uri="http://schemas.microsoft.com/office/word/2010/wordprocessingShape">
                    <wps:wsp>
                      <wps:cNvSpPr/>
                      <wps:spPr>
                        <a:xfrm>
                          <a:off x="2675255" y="7720965"/>
                          <a:ext cx="1038225" cy="349885"/>
                        </a:xfrm>
                        <a:prstGeom prst="wedgeRectCallout">
                          <a:avLst>
                            <a:gd name="adj1" fmla="val -157400"/>
                            <a:gd name="adj2" fmla="val -102994"/>
                          </a:avLst>
                        </a:prstGeom>
                        <a:solidFill>
                          <a:srgbClr val="FFFFFF"/>
                        </a:solidFill>
                        <a:ln w="25400" cap="flat" cmpd="sng" algn="ctr">
                          <a:solidFill>
                            <a:srgbClr val="000000"/>
                          </a:solidFill>
                          <a:prstDash val="solid"/>
                        </a:ln>
                        <a:effectLst/>
                      </wps:spPr>
                      <wps:txbx>
                        <w:txbxContent>
                          <w:p w14:paraId="23DB25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1" o:spid="_x0000_s1026" o:spt="61" type="#_x0000_t61" style="position:absolute;left:0pt;margin-left:224.9pt;margin-top:185.25pt;height:27.55pt;width:81.75pt;z-index:251672576;v-text-anchor:middle;mso-width-relative:page;mso-height-relative:page;" fillcolor="#FFFFFF" filled="t" stroked="t" coordsize="21600,21600" o:gfxdata="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CSrXSvZAAAACwEAAA8AAAAAAAAAAQAgAAAA&#10;IgAAAGRycy9kb3ducmV2LnhtbFBLAQIUABQAAAAIAIdO4kBuiJDptQIAAGsFAAAOAAAAAAAAAAEA&#10;IAAAACgBAABkcnMvZTJvRG9jLnhtbFBLBQYAAAAABgAGAFkBAABPBgAAAAA=&#10;" adj="-23198,-11447">
                <v:fill on="t" focussize="0,0"/>
                <v:stroke weight="2pt" color="#000000" joinstyle="round"/>
                <v:imagedata o:title=""/>
                <o:lock v:ext="edit" aspectratio="f"/>
                <v:textbox>
                  <w:txbxContent>
                    <w:p w14:paraId="23DB25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v:textbox>
              </v:shape>
            </w:pict>
          </mc:Fallback>
        </mc:AlternateContent>
      </w:r>
      <w:r>
        <w:rPr>
          <w:color w:val="auto"/>
          <w:highlight w:val="none"/>
        </w:rPr>
        <w:drawing>
          <wp:inline distT="0" distB="0" distL="114300" distR="114300">
            <wp:extent cx="4987925" cy="3243580"/>
            <wp:effectExtent l="0" t="0" r="0" b="0"/>
            <wp:docPr id="8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7"/>
                    <pic:cNvPicPr>
                      <a:picLocks noChangeAspect="1"/>
                    </pic:cNvPicPr>
                  </pic:nvPicPr>
                  <pic:blipFill>
                    <a:blip r:embed="rId36"/>
                    <a:srcRect t="3835" b="4092"/>
                    <a:stretch>
                      <a:fillRect/>
                    </a:stretch>
                  </pic:blipFill>
                  <pic:spPr>
                    <a:xfrm>
                      <a:off x="0" y="0"/>
                      <a:ext cx="4987925" cy="3243580"/>
                    </a:xfrm>
                    <a:prstGeom prst="rect">
                      <a:avLst/>
                    </a:prstGeom>
                    <a:noFill/>
                    <a:ln>
                      <a:noFill/>
                    </a:ln>
                  </pic:spPr>
                </pic:pic>
              </a:graphicData>
            </a:graphic>
          </wp:inline>
        </w:drawing>
      </w:r>
    </w:p>
    <w:p w14:paraId="1F588550">
      <w:pPr>
        <w:pStyle w:val="15"/>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 xml:space="preserve"> 项目与巴中市生态保护红线图位置关系</w:t>
      </w:r>
    </w:p>
    <w:p w14:paraId="01DF80C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olor w:val="auto"/>
          <w:highlight w:val="none"/>
          <w:lang w:val="en-US" w:eastAsia="zh-CN"/>
        </w:rPr>
      </w:pPr>
      <w:r>
        <w:rPr>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2831465</wp:posOffset>
                </wp:positionH>
                <wp:positionV relativeFrom="paragraph">
                  <wp:posOffset>2439670</wp:posOffset>
                </wp:positionV>
                <wp:extent cx="1038225" cy="349885"/>
                <wp:effectExtent l="0" t="0" r="0" b="0"/>
                <wp:wrapNone/>
                <wp:docPr id="79" name="矩形标注 31"/>
                <wp:cNvGraphicFramePr/>
                <a:graphic xmlns:a="http://schemas.openxmlformats.org/drawingml/2006/main">
                  <a:graphicData uri="http://schemas.microsoft.com/office/word/2010/wordprocessingShape">
                    <wps:wsp>
                      <wps:cNvSpPr/>
                      <wps:spPr>
                        <a:xfrm>
                          <a:off x="2675255" y="7720965"/>
                          <a:ext cx="1038225" cy="349885"/>
                        </a:xfrm>
                        <a:prstGeom prst="wedgeRectCallout">
                          <a:avLst>
                            <a:gd name="adj1" fmla="val -155891"/>
                            <a:gd name="adj2" fmla="val -98293"/>
                          </a:avLst>
                        </a:prstGeom>
                        <a:solidFill>
                          <a:srgbClr val="FFFFFF"/>
                        </a:solidFill>
                        <a:ln w="25400" cap="flat" cmpd="sng" algn="ctr">
                          <a:solidFill>
                            <a:srgbClr val="000000"/>
                          </a:solidFill>
                          <a:prstDash val="solid"/>
                        </a:ln>
                        <a:effectLst/>
                      </wps:spPr>
                      <wps:txbx>
                        <w:txbxContent>
                          <w:p w14:paraId="753803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1" o:spid="_x0000_s1026" o:spt="61" type="#_x0000_t61" style="position:absolute;left:0pt;margin-left:222.95pt;margin-top:192.1pt;height:27.55pt;width:81.75pt;z-index:251670528;v-text-anchor:middle;mso-width-relative:page;mso-height-relative:page;" fillcolor="#FFFFFF" filled="t" stroked="t" coordsize="21600,21600" o:gfxdata="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ExfxkTZAAAACwEAAA8AAAAAAAAAAQAg&#10;AAAAIgAAAGRycy9kb3ducmV2LnhtbFBLAQIUABQAAAAIAIdO4kCMQbrIuAIAAGoFAAAOAAAAAAAA&#10;AAEAIAAAACgBAABkcnMvZTJvRG9jLnhtbFBLBQYAAAAABgAGAFkBAABSBgAAAAA=&#10;" adj="-22872,-10431">
                <v:fill on="t" focussize="0,0"/>
                <v:stroke weight="2pt" color="#000000" joinstyle="round"/>
                <v:imagedata o:title=""/>
                <o:lock v:ext="edit" aspectratio="f"/>
                <v:textbox>
                  <w:txbxContent>
                    <w:p w14:paraId="753803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v:textbox>
              </v:shape>
            </w:pict>
          </mc:Fallback>
        </mc:AlternateContent>
      </w:r>
      <w:r>
        <w:rPr>
          <w:rFonts w:hint="eastAsia" w:ascii="Times New Roman" w:hAnsi="Times New Roman" w:eastAsia="宋体"/>
          <w:color w:val="auto"/>
          <w:highlight w:val="none"/>
          <w:lang w:val="en-US" w:eastAsia="zh-CN"/>
        </w:rPr>
        <w:drawing>
          <wp:inline distT="0" distB="0" distL="114300" distR="114300">
            <wp:extent cx="4977130" cy="3521075"/>
            <wp:effectExtent l="0" t="0" r="0" b="0"/>
            <wp:docPr id="87" name="图片 88" descr="综合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8" descr="综合管控单元"/>
                    <pic:cNvPicPr>
                      <a:picLocks noChangeAspect="1"/>
                    </pic:cNvPicPr>
                  </pic:nvPicPr>
                  <pic:blipFill>
                    <a:blip r:embed="rId37"/>
                    <a:stretch>
                      <a:fillRect/>
                    </a:stretch>
                  </pic:blipFill>
                  <pic:spPr>
                    <a:xfrm>
                      <a:off x="0" y="0"/>
                      <a:ext cx="4977130" cy="3521075"/>
                    </a:xfrm>
                    <a:prstGeom prst="rect">
                      <a:avLst/>
                    </a:prstGeom>
                    <a:noFill/>
                    <a:ln>
                      <a:noFill/>
                    </a:ln>
                  </pic:spPr>
                </pic:pic>
              </a:graphicData>
            </a:graphic>
          </wp:inline>
        </w:drawing>
      </w:r>
    </w:p>
    <w:p w14:paraId="3EAD02EA">
      <w:pPr>
        <w:pStyle w:val="15"/>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项目与巴中市环境管控单元位置关系</w:t>
      </w:r>
    </w:p>
    <w:p w14:paraId="68AE71CB">
      <w:pPr>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auto"/>
          <w:highlight w:val="none"/>
          <w:lang w:val="en-US" w:eastAsia="zh-CN"/>
        </w:rPr>
      </w:pP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2758440</wp:posOffset>
                </wp:positionH>
                <wp:positionV relativeFrom="paragraph">
                  <wp:posOffset>2430145</wp:posOffset>
                </wp:positionV>
                <wp:extent cx="1037590" cy="353060"/>
                <wp:effectExtent l="0" t="0" r="0" b="0"/>
                <wp:wrapNone/>
                <wp:docPr id="80" name="矩形标注 36"/>
                <wp:cNvGraphicFramePr/>
                <a:graphic xmlns:a="http://schemas.openxmlformats.org/drawingml/2006/main">
                  <a:graphicData uri="http://schemas.microsoft.com/office/word/2010/wordprocessingShape">
                    <wps:wsp>
                      <wps:cNvSpPr/>
                      <wps:spPr>
                        <a:xfrm>
                          <a:off x="3153410" y="3213100"/>
                          <a:ext cx="1037590" cy="353060"/>
                        </a:xfrm>
                        <a:prstGeom prst="wedgeRectCallout">
                          <a:avLst>
                            <a:gd name="adj1" fmla="val -146266"/>
                            <a:gd name="adj2" fmla="val -137949"/>
                          </a:avLst>
                        </a:prstGeom>
                        <a:solidFill>
                          <a:srgbClr val="FFFFFF"/>
                        </a:solidFill>
                        <a:ln w="25400" cap="flat" cmpd="sng" algn="ctr">
                          <a:solidFill>
                            <a:srgbClr val="000000"/>
                          </a:solidFill>
                          <a:prstDash val="solid"/>
                        </a:ln>
                        <a:effectLst/>
                      </wps:spPr>
                      <wps:txbx>
                        <w:txbxContent>
                          <w:p w14:paraId="735BA1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000000"/>
                                <w:sz w:val="21"/>
                                <w:szCs w:val="21"/>
                                <w:lang w:eastAsia="zh-CN"/>
                              </w:rPr>
                            </w:pPr>
                            <w:r>
                              <w:rPr>
                                <w:rFonts w:hint="eastAsia" w:eastAsia="宋体"/>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6" o:spid="_x0000_s1026" o:spt="61" type="#_x0000_t61" style="position:absolute;left:0pt;margin-left:217.2pt;margin-top:191.35pt;height:27.8pt;width:81.7pt;z-index:251671552;v-text-anchor:middle;mso-width-relative:page;mso-height-relative:page;" fillcolor="#FFFFFF" filled="t" stroked="t" coordsize="21600,21600" o:gfxdata="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3ymIXbAAAACwEAAA8AAAAAAAAAAQAgAAAA&#10;IgAAAGRycy9kb3ducmV2LnhtbFBLAQIUABQAAAAIAIdO4kB5tBJHswIAAGsFAAAOAAAAAAAAAAEA&#10;IAAAACoBAABkcnMvZTJvRG9jLnhtbFBLBQYAAAAABgAGAFkBAABPBgAAAAA=&#10;" adj="-20793,-18997">
                <v:fill on="t" focussize="0,0"/>
                <v:stroke weight="2pt" color="#000000" joinstyle="round"/>
                <v:imagedata o:title=""/>
                <o:lock v:ext="edit" aspectratio="f"/>
                <v:textbox>
                  <w:txbxContent>
                    <w:p w14:paraId="735BA1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000000"/>
                          <w:sz w:val="21"/>
                          <w:szCs w:val="21"/>
                          <w:lang w:eastAsia="zh-CN"/>
                        </w:rPr>
                      </w:pPr>
                      <w:r>
                        <w:rPr>
                          <w:rFonts w:hint="eastAsia" w:eastAsia="宋体"/>
                          <w:color w:val="auto"/>
                          <w:sz w:val="21"/>
                          <w:szCs w:val="21"/>
                          <w:lang w:eastAsia="zh-CN"/>
                        </w:rPr>
                        <w:t>本项目位置</w:t>
                      </w:r>
                    </w:p>
                  </w:txbxContent>
                </v:textbox>
              </v:shape>
            </w:pict>
          </mc:Fallback>
        </mc:AlternateContent>
      </w:r>
      <w:r>
        <w:rPr>
          <w:rFonts w:hint="eastAsia"/>
          <w:color w:val="auto"/>
          <w:highlight w:val="none"/>
          <w:lang w:val="en-US" w:eastAsia="zh-CN"/>
        </w:rPr>
        <w:drawing>
          <wp:inline distT="0" distB="0" distL="114300" distR="114300">
            <wp:extent cx="4869180" cy="3162300"/>
            <wp:effectExtent l="0" t="0" r="0" b="0"/>
            <wp:docPr id="88" name="图片 89" descr="生态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9" descr="生态空间"/>
                    <pic:cNvPicPr>
                      <a:picLocks noChangeAspect="1"/>
                    </pic:cNvPicPr>
                  </pic:nvPicPr>
                  <pic:blipFill>
                    <a:blip r:embed="rId38"/>
                    <a:stretch>
                      <a:fillRect/>
                    </a:stretch>
                  </pic:blipFill>
                  <pic:spPr>
                    <a:xfrm>
                      <a:off x="0" y="0"/>
                      <a:ext cx="4869180" cy="3162300"/>
                    </a:xfrm>
                    <a:prstGeom prst="rect">
                      <a:avLst/>
                    </a:prstGeom>
                    <a:noFill/>
                    <a:ln>
                      <a:noFill/>
                    </a:ln>
                  </pic:spPr>
                </pic:pic>
              </a:graphicData>
            </a:graphic>
          </wp:inline>
        </w:drawing>
      </w:r>
    </w:p>
    <w:p w14:paraId="2CD3E7BA">
      <w:pPr>
        <w:pStyle w:val="15"/>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rFonts w:hint="eastAsia"/>
          <w:color w:val="auto"/>
          <w:lang w:val="en-US" w:eastAsia="zh-CN"/>
        </w:rPr>
        <w:t xml:space="preserve"> 本项目与巴中市环境管控单元位置关系图</w:t>
      </w:r>
    </w:p>
    <w:p w14:paraId="0EA573BF">
      <w:pPr>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lang w:val="en-US" w:eastAsia="zh-CN"/>
        </w:rPr>
      </w:pPr>
      <w:r>
        <w:rPr>
          <w:rFonts w:hint="eastAsia"/>
          <w:color w:val="auto"/>
          <w:highlight w:val="none"/>
          <w:lang w:val="en-US" w:eastAsia="zh-CN"/>
        </w:rPr>
        <w:t>本项目位于四川省巴中市巴州区，经在四川省生态环境厅“三线一单”</w:t>
      </w:r>
      <w:r>
        <w:rPr>
          <w:rFonts w:hint="eastAsia" w:ascii="Times New Roman" w:hAnsi="Times New Roman" w:eastAsia="宋体" w:cs="Times New Roman"/>
          <w:color w:val="auto"/>
          <w:highlight w:val="none"/>
          <w:lang w:val="en-US" w:eastAsia="zh-CN"/>
        </w:rPr>
        <w:t>符合性分析平台查询，项目所属区域共涉及5个环境管控单元，详见下图。项目符合性分析见</w:t>
      </w:r>
      <w:r>
        <w:rPr>
          <w:rFonts w:hint="eastAsia" w:cs="Times New Roman"/>
          <w:color w:val="auto"/>
          <w:highlight w:val="none"/>
          <w:lang w:val="en-US" w:eastAsia="zh-CN"/>
        </w:rPr>
        <w:t>表1.5-5</w:t>
      </w:r>
      <w:r>
        <w:rPr>
          <w:rFonts w:hint="eastAsia" w:ascii="Times New Roman" w:hAnsi="Times New Roman" w:eastAsia="宋体" w:cs="Times New Roman"/>
          <w:color w:val="auto"/>
          <w:highlight w:val="none"/>
          <w:lang w:val="en-US" w:eastAsia="zh-CN"/>
        </w:rPr>
        <w:t>。</w:t>
      </w:r>
    </w:p>
    <w:p w14:paraId="295A4C8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drawing>
          <wp:inline distT="0" distB="0" distL="114300" distR="114300">
            <wp:extent cx="5035550" cy="3926205"/>
            <wp:effectExtent l="0" t="0" r="12700" b="17145"/>
            <wp:docPr id="89" name="图片 92" descr="83198e96a9ea2c055b7e836a1ae89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2" descr="83198e96a9ea2c055b7e836a1ae89fc"/>
                    <pic:cNvPicPr>
                      <a:picLocks noChangeAspect="1"/>
                    </pic:cNvPicPr>
                  </pic:nvPicPr>
                  <pic:blipFill>
                    <a:blip r:embed="rId39"/>
                    <a:stretch>
                      <a:fillRect/>
                    </a:stretch>
                  </pic:blipFill>
                  <pic:spPr>
                    <a:xfrm>
                      <a:off x="0" y="0"/>
                      <a:ext cx="5035550" cy="3926205"/>
                    </a:xfrm>
                    <a:prstGeom prst="rect">
                      <a:avLst/>
                    </a:prstGeom>
                    <a:noFill/>
                    <a:ln>
                      <a:noFill/>
                    </a:ln>
                  </pic:spPr>
                </pic:pic>
              </a:graphicData>
            </a:graphic>
          </wp:inline>
        </w:drawing>
      </w:r>
    </w:p>
    <w:p w14:paraId="735B3C96">
      <w:pPr>
        <w:pStyle w:val="15"/>
        <w:numPr>
          <w:ilvl w:val="0"/>
          <w:numId w:val="0"/>
        </w:numPr>
        <w:tabs>
          <w:tab w:val="clear" w:pos="0"/>
        </w:tabs>
        <w:bidi w:val="0"/>
        <w:ind w:leftChars="0"/>
        <w:jc w:val="center"/>
        <w:rPr>
          <w:rFonts w:hint="eastAsia"/>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4</w:t>
      </w:r>
      <w:r>
        <w:rPr>
          <w:color w:val="auto"/>
        </w:rPr>
        <w:fldChar w:fldCharType="end"/>
      </w:r>
      <w:r>
        <w:rPr>
          <w:rFonts w:hint="eastAsia"/>
          <w:color w:val="auto"/>
          <w:lang w:val="en-US" w:eastAsia="zh-CN"/>
        </w:rPr>
        <w:t xml:space="preserve">  四川省“三线一单”符合性查询结果</w:t>
      </w:r>
    </w:p>
    <w:p w14:paraId="31794A8A">
      <w:pPr>
        <w:pStyle w:val="15"/>
        <w:numPr>
          <w:ilvl w:val="0"/>
          <w:numId w:val="11"/>
        </w:numPr>
        <w:tabs>
          <w:tab w:val="clear" w:pos="0"/>
        </w:tabs>
        <w:bidi w:val="0"/>
        <w:ind w:left="0" w:leftChars="0" w:firstLine="0" w:firstLineChars="0"/>
        <w:rPr>
          <w:rFonts w:hint="eastAsia"/>
          <w:color w:val="auto"/>
          <w:lang w:val="en-US" w:eastAsia="zh-CN"/>
        </w:rPr>
      </w:pPr>
      <w:r>
        <w:rPr>
          <w:rFonts w:hint="eastAsia"/>
          <w:color w:val="auto"/>
          <w:lang w:val="en-US" w:eastAsia="zh-CN"/>
        </w:rPr>
        <w:t>本项目涉及的环境管控单元一览表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682"/>
        <w:gridCol w:w="1659"/>
        <w:gridCol w:w="1232"/>
        <w:gridCol w:w="928"/>
        <w:gridCol w:w="1581"/>
        <w:gridCol w:w="1700"/>
      </w:tblGrid>
      <w:tr w14:paraId="5A4D8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4D272B44">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环境管控单元编码</w:t>
            </w:r>
          </w:p>
        </w:tc>
        <w:tc>
          <w:tcPr>
            <w:tcW w:w="986" w:type="pct"/>
            <w:tcBorders>
              <w:tl2br w:val="nil"/>
              <w:tr2bl w:val="nil"/>
            </w:tcBorders>
            <w:noWrap w:val="0"/>
            <w:vAlign w:val="center"/>
          </w:tcPr>
          <w:p w14:paraId="3653E5FC">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环境管控单元名称</w:t>
            </w:r>
          </w:p>
        </w:tc>
        <w:tc>
          <w:tcPr>
            <w:tcW w:w="743" w:type="pct"/>
            <w:tcBorders>
              <w:tl2br w:val="nil"/>
              <w:tr2bl w:val="nil"/>
            </w:tcBorders>
            <w:noWrap w:val="0"/>
            <w:vAlign w:val="center"/>
          </w:tcPr>
          <w:p w14:paraId="1F66B799">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所属市（州）</w:t>
            </w:r>
          </w:p>
        </w:tc>
        <w:tc>
          <w:tcPr>
            <w:tcW w:w="570" w:type="pct"/>
            <w:tcBorders>
              <w:tl2br w:val="nil"/>
              <w:tr2bl w:val="nil"/>
            </w:tcBorders>
            <w:noWrap w:val="0"/>
            <w:vAlign w:val="center"/>
          </w:tcPr>
          <w:p w14:paraId="6E71066E">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所属区县</w:t>
            </w:r>
          </w:p>
        </w:tc>
        <w:tc>
          <w:tcPr>
            <w:tcW w:w="941" w:type="pct"/>
            <w:tcBorders>
              <w:tl2br w:val="nil"/>
              <w:tr2bl w:val="nil"/>
            </w:tcBorders>
            <w:noWrap w:val="0"/>
            <w:vAlign w:val="center"/>
          </w:tcPr>
          <w:p w14:paraId="446A5A6B">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准入清单类型</w:t>
            </w:r>
          </w:p>
        </w:tc>
        <w:tc>
          <w:tcPr>
            <w:tcW w:w="1009" w:type="pct"/>
            <w:tcBorders>
              <w:tl2br w:val="nil"/>
              <w:tr2bl w:val="nil"/>
            </w:tcBorders>
            <w:noWrap w:val="0"/>
            <w:vAlign w:val="center"/>
          </w:tcPr>
          <w:p w14:paraId="02CDEF89">
            <w:pPr>
              <w:pageBreakBefore w:val="0"/>
              <w:widowControl/>
              <w:wordWrap/>
              <w:bidi w:val="0"/>
              <w:adjustRightInd/>
              <w:snapToGrid/>
              <w:spacing w:line="240" w:lineRule="auto"/>
              <w:ind w:firstLine="0" w:firstLineChars="0"/>
              <w:jc w:val="center"/>
              <w:rPr>
                <w:rStyle w:val="54"/>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管控类型</w:t>
            </w:r>
          </w:p>
        </w:tc>
      </w:tr>
      <w:tr w14:paraId="65844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4A2500BC">
            <w:pPr>
              <w:pStyle w:val="12"/>
              <w:pageBreakBefore w:val="0"/>
              <w:wordWrap/>
              <w:bidi w:val="0"/>
              <w:adjustRightInd/>
              <w:snapToGrid/>
              <w:rPr>
                <w:color w:val="auto"/>
                <w:lang w:val="en-US" w:eastAsia="zh-CN"/>
              </w:rPr>
            </w:pPr>
            <w:r>
              <w:rPr>
                <w:rFonts w:hint="eastAsia"/>
                <w:color w:val="auto"/>
                <w:lang w:val="en-US" w:eastAsia="zh-CN"/>
              </w:rPr>
              <w:t>YS5119022210003</w:t>
            </w:r>
          </w:p>
        </w:tc>
        <w:tc>
          <w:tcPr>
            <w:tcW w:w="986" w:type="pct"/>
            <w:tcBorders>
              <w:tl2br w:val="nil"/>
              <w:tr2bl w:val="nil"/>
            </w:tcBorders>
            <w:noWrap w:val="0"/>
            <w:vAlign w:val="center"/>
          </w:tcPr>
          <w:p w14:paraId="3CDF0A44">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巴河-巴州区-手傍岩-控制单元</w:t>
            </w:r>
          </w:p>
        </w:tc>
        <w:tc>
          <w:tcPr>
            <w:tcW w:w="743" w:type="pct"/>
            <w:tcBorders>
              <w:tl2br w:val="nil"/>
              <w:tr2bl w:val="nil"/>
            </w:tcBorders>
            <w:noWrap w:val="0"/>
            <w:vAlign w:val="center"/>
          </w:tcPr>
          <w:p w14:paraId="6F946EEE">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4A1CA28D">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640E0A37">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水环境管控分区</w:t>
            </w:r>
          </w:p>
        </w:tc>
        <w:tc>
          <w:tcPr>
            <w:tcW w:w="1009" w:type="pct"/>
            <w:tcBorders>
              <w:tl2br w:val="nil"/>
              <w:tr2bl w:val="nil"/>
            </w:tcBorders>
            <w:noWrap w:val="0"/>
            <w:vAlign w:val="center"/>
          </w:tcPr>
          <w:p w14:paraId="3C927812">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水环境工业污染重点管控区</w:t>
            </w:r>
          </w:p>
        </w:tc>
      </w:tr>
      <w:tr w14:paraId="39715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187C6B69">
            <w:pPr>
              <w:pStyle w:val="12"/>
              <w:pageBreakBefore w:val="0"/>
              <w:wordWrap/>
              <w:bidi w:val="0"/>
              <w:adjustRightInd/>
              <w:snapToGrid/>
              <w:rPr>
                <w:color w:val="auto"/>
                <w:lang w:val="en-US" w:eastAsia="zh-CN"/>
              </w:rPr>
            </w:pPr>
            <w:r>
              <w:rPr>
                <w:rFonts w:hint="eastAsia"/>
                <w:color w:val="auto"/>
                <w:lang w:val="en-US" w:eastAsia="zh-CN"/>
              </w:rPr>
              <w:t>YS5119022310003</w:t>
            </w:r>
          </w:p>
        </w:tc>
        <w:tc>
          <w:tcPr>
            <w:tcW w:w="986" w:type="pct"/>
            <w:tcBorders>
              <w:tl2br w:val="nil"/>
              <w:tr2bl w:val="nil"/>
            </w:tcBorders>
            <w:noWrap w:val="0"/>
            <w:vAlign w:val="center"/>
          </w:tcPr>
          <w:p w14:paraId="78E96A55">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巴中新能源新材料产业园（曾口区块）</w:t>
            </w:r>
          </w:p>
        </w:tc>
        <w:tc>
          <w:tcPr>
            <w:tcW w:w="743" w:type="pct"/>
            <w:tcBorders>
              <w:tl2br w:val="nil"/>
              <w:tr2bl w:val="nil"/>
            </w:tcBorders>
            <w:noWrap w:val="0"/>
            <w:vAlign w:val="center"/>
          </w:tcPr>
          <w:p w14:paraId="54B545D2">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0D49976E">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45F9202B">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大气环境管控分区</w:t>
            </w:r>
          </w:p>
        </w:tc>
        <w:tc>
          <w:tcPr>
            <w:tcW w:w="1009" w:type="pct"/>
            <w:tcBorders>
              <w:tl2br w:val="nil"/>
              <w:tr2bl w:val="nil"/>
            </w:tcBorders>
            <w:noWrap w:val="0"/>
            <w:vAlign w:val="center"/>
          </w:tcPr>
          <w:p w14:paraId="1F67455F">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大气环境高排放重点管控区</w:t>
            </w:r>
          </w:p>
        </w:tc>
      </w:tr>
      <w:tr w14:paraId="77FE37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76D5CEA6">
            <w:pPr>
              <w:pStyle w:val="12"/>
              <w:pageBreakBefore w:val="0"/>
              <w:wordWrap/>
              <w:bidi w:val="0"/>
              <w:adjustRightInd/>
              <w:snapToGrid/>
              <w:rPr>
                <w:color w:val="auto"/>
                <w:lang w:val="en-US" w:eastAsia="zh-CN"/>
              </w:rPr>
            </w:pPr>
            <w:r>
              <w:rPr>
                <w:rFonts w:hint="eastAsia"/>
                <w:color w:val="auto"/>
                <w:lang w:val="en-US" w:eastAsia="zh-CN"/>
              </w:rPr>
              <w:t>YS5119022530001</w:t>
            </w:r>
          </w:p>
        </w:tc>
        <w:tc>
          <w:tcPr>
            <w:tcW w:w="986" w:type="pct"/>
            <w:tcBorders>
              <w:tl2br w:val="nil"/>
              <w:tr2bl w:val="nil"/>
            </w:tcBorders>
            <w:noWrap w:val="0"/>
            <w:vAlign w:val="center"/>
          </w:tcPr>
          <w:p w14:paraId="1A773AC8">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巴州区城镇开发边界</w:t>
            </w:r>
          </w:p>
        </w:tc>
        <w:tc>
          <w:tcPr>
            <w:tcW w:w="743" w:type="pct"/>
            <w:tcBorders>
              <w:tl2br w:val="nil"/>
              <w:tr2bl w:val="nil"/>
            </w:tcBorders>
            <w:noWrap w:val="0"/>
            <w:vAlign w:val="center"/>
          </w:tcPr>
          <w:p w14:paraId="786D9853">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4F803CAA">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3CA580D6">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自然资源管控分区</w:t>
            </w:r>
          </w:p>
        </w:tc>
        <w:tc>
          <w:tcPr>
            <w:tcW w:w="1009" w:type="pct"/>
            <w:tcBorders>
              <w:tl2br w:val="nil"/>
              <w:tr2bl w:val="nil"/>
            </w:tcBorders>
            <w:noWrap w:val="0"/>
            <w:vAlign w:val="center"/>
          </w:tcPr>
          <w:p w14:paraId="28D081FA">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土地资源重点管控区</w:t>
            </w:r>
          </w:p>
        </w:tc>
      </w:tr>
      <w:tr w14:paraId="5D341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7A9A06AB">
            <w:pPr>
              <w:pStyle w:val="12"/>
              <w:pageBreakBefore w:val="0"/>
              <w:wordWrap/>
              <w:bidi w:val="0"/>
              <w:adjustRightInd/>
              <w:snapToGrid/>
              <w:rPr>
                <w:color w:val="auto"/>
                <w:lang w:val="en-US" w:eastAsia="zh-CN"/>
              </w:rPr>
            </w:pPr>
            <w:r>
              <w:rPr>
                <w:rFonts w:hint="eastAsia"/>
                <w:color w:val="auto"/>
                <w:lang w:val="en-US" w:eastAsia="zh-CN"/>
              </w:rPr>
              <w:t>YS5119022550001</w:t>
            </w:r>
          </w:p>
        </w:tc>
        <w:tc>
          <w:tcPr>
            <w:tcW w:w="986" w:type="pct"/>
            <w:tcBorders>
              <w:tl2br w:val="nil"/>
              <w:tr2bl w:val="nil"/>
            </w:tcBorders>
            <w:noWrap w:val="0"/>
            <w:vAlign w:val="center"/>
          </w:tcPr>
          <w:p w14:paraId="45014387">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巴州区自然资源重点管控区</w:t>
            </w:r>
          </w:p>
        </w:tc>
        <w:tc>
          <w:tcPr>
            <w:tcW w:w="743" w:type="pct"/>
            <w:tcBorders>
              <w:tl2br w:val="nil"/>
              <w:tr2bl w:val="nil"/>
            </w:tcBorders>
            <w:noWrap w:val="0"/>
            <w:vAlign w:val="center"/>
          </w:tcPr>
          <w:p w14:paraId="06790D5F">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4AF0C9A2">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65498703">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自然资源管控分区</w:t>
            </w:r>
          </w:p>
        </w:tc>
        <w:tc>
          <w:tcPr>
            <w:tcW w:w="1009" w:type="pct"/>
            <w:tcBorders>
              <w:tl2br w:val="nil"/>
              <w:tr2bl w:val="nil"/>
            </w:tcBorders>
            <w:noWrap w:val="0"/>
            <w:vAlign w:val="center"/>
          </w:tcPr>
          <w:p w14:paraId="7076A7A2">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自然资源重点管控区</w:t>
            </w:r>
          </w:p>
        </w:tc>
      </w:tr>
      <w:tr w14:paraId="1EA46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0323B2FF">
            <w:pPr>
              <w:pStyle w:val="12"/>
              <w:pageBreakBefore w:val="0"/>
              <w:wordWrap/>
              <w:bidi w:val="0"/>
              <w:adjustRightInd/>
              <w:snapToGrid/>
              <w:rPr>
                <w:color w:val="auto"/>
                <w:lang w:val="en-US" w:eastAsia="zh-CN"/>
              </w:rPr>
            </w:pPr>
            <w:r>
              <w:rPr>
                <w:rFonts w:hint="eastAsia"/>
                <w:color w:val="auto"/>
                <w:lang w:val="en-US" w:eastAsia="zh-CN"/>
              </w:rPr>
              <w:t>ZH51190220004</w:t>
            </w:r>
          </w:p>
        </w:tc>
        <w:tc>
          <w:tcPr>
            <w:tcW w:w="986" w:type="pct"/>
            <w:tcBorders>
              <w:tl2br w:val="nil"/>
              <w:tr2bl w:val="nil"/>
            </w:tcBorders>
            <w:noWrap w:val="0"/>
            <w:vAlign w:val="center"/>
          </w:tcPr>
          <w:p w14:paraId="218A240C">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巴中新能源新材料产业园（曾口区块）</w:t>
            </w:r>
          </w:p>
        </w:tc>
        <w:tc>
          <w:tcPr>
            <w:tcW w:w="743" w:type="pct"/>
            <w:tcBorders>
              <w:tl2br w:val="nil"/>
              <w:tr2bl w:val="nil"/>
            </w:tcBorders>
            <w:noWrap w:val="0"/>
            <w:vAlign w:val="center"/>
          </w:tcPr>
          <w:p w14:paraId="492A904F">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1C1F89E4">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7B122A52">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环境管控单元</w:t>
            </w:r>
          </w:p>
        </w:tc>
        <w:tc>
          <w:tcPr>
            <w:tcW w:w="1009" w:type="pct"/>
            <w:tcBorders>
              <w:tl2br w:val="nil"/>
              <w:tr2bl w:val="nil"/>
            </w:tcBorders>
            <w:noWrap w:val="0"/>
            <w:vAlign w:val="center"/>
          </w:tcPr>
          <w:p w14:paraId="250E5F37">
            <w:pPr>
              <w:pStyle w:val="700"/>
              <w:pageBreakBefore w:val="0"/>
              <w:widowControl/>
              <w:wordWrap/>
              <w:bidi w:val="0"/>
              <w:adjustRightInd/>
              <w:snapToGrid/>
              <w:spacing w:line="240" w:lineRule="auto"/>
              <w:ind w:firstLine="0" w:firstLineChars="0"/>
              <w:jc w:val="center"/>
              <w:rPr>
                <w:rStyle w:val="54"/>
                <w:rFonts w:ascii="宋体" w:hAnsi="宋体" w:eastAsia="宋体" w:cs="Times New Roman"/>
                <w:color w:val="auto"/>
                <w:kern w:val="2"/>
                <w:sz w:val="21"/>
                <w:szCs w:val="21"/>
                <w:lang w:val="en-US" w:eastAsia="zh-CN" w:bidi="ar-SA"/>
              </w:rPr>
            </w:pPr>
            <w:r>
              <w:rPr>
                <w:rStyle w:val="54"/>
                <w:rFonts w:hint="eastAsia" w:ascii="宋体" w:hAnsi="宋体" w:eastAsia="宋体" w:cs="Times New Roman"/>
                <w:color w:val="auto"/>
                <w:kern w:val="2"/>
                <w:sz w:val="21"/>
                <w:szCs w:val="21"/>
                <w:lang w:val="en-US" w:eastAsia="zh-CN" w:bidi="ar-SA"/>
              </w:rPr>
              <w:t>环境综合管控单元工业重点管控单元</w:t>
            </w:r>
          </w:p>
        </w:tc>
      </w:tr>
    </w:tbl>
    <w:p w14:paraId="157FF912">
      <w:pPr>
        <w:pStyle w:val="69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highlight w:val="none"/>
          <w:lang w:val="en-US" w:eastAsia="zh-CN"/>
        </w:rPr>
      </w:pPr>
      <w:r>
        <w:rPr>
          <w:rFonts w:hint="default" w:ascii="Segoe Print" w:hAnsi="Segoe Print" w:eastAsia="Segoe Print"/>
          <w:color w:val="auto"/>
          <w:sz w:val="28"/>
          <w:szCs w:val="24"/>
        </w:rPr>
        <w:drawing>
          <wp:inline distT="0" distB="0" distL="114300" distR="114300">
            <wp:extent cx="5474970" cy="3285490"/>
            <wp:effectExtent l="0" t="0" r="0" b="0"/>
            <wp:docPr id="9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3"/>
                    <pic:cNvPicPr>
                      <a:picLocks noChangeAspect="1"/>
                    </pic:cNvPicPr>
                  </pic:nvPicPr>
                  <pic:blipFill>
                    <a:blip r:embed="rId40"/>
                    <a:stretch>
                      <a:fillRect/>
                    </a:stretch>
                  </pic:blipFill>
                  <pic:spPr>
                    <a:xfrm>
                      <a:off x="0" y="0"/>
                      <a:ext cx="5474970" cy="3285490"/>
                    </a:xfrm>
                    <a:prstGeom prst="rect">
                      <a:avLst/>
                    </a:prstGeom>
                    <a:noFill/>
                    <a:ln>
                      <a:noFill/>
                    </a:ln>
                  </pic:spPr>
                </pic:pic>
              </a:graphicData>
            </a:graphic>
          </wp:inline>
        </w:drawing>
      </w:r>
    </w:p>
    <w:p w14:paraId="7EAC840E">
      <w:pPr>
        <w:pStyle w:val="15"/>
        <w:numPr>
          <w:ilvl w:val="0"/>
          <w:numId w:val="0"/>
        </w:numPr>
        <w:tabs>
          <w:tab w:val="clear" w:pos="0"/>
        </w:tabs>
        <w:bidi w:val="0"/>
        <w:ind w:leftChars="0"/>
        <w:jc w:val="center"/>
        <w:rPr>
          <w:rFonts w:hint="default"/>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rFonts w:hint="default"/>
          <w:color w:val="auto"/>
        </w:rPr>
        <w:t>本项目与</w:t>
      </w:r>
      <w:r>
        <w:rPr>
          <w:rFonts w:hint="eastAsia"/>
          <w:color w:val="auto"/>
          <w:lang w:val="en-US" w:eastAsia="zh-CN"/>
        </w:rPr>
        <w:t>巴中市</w:t>
      </w:r>
      <w:r>
        <w:rPr>
          <w:rFonts w:hint="default"/>
          <w:color w:val="auto"/>
        </w:rPr>
        <w:t>环境管控单元位置关系图</w:t>
      </w:r>
    </w:p>
    <w:p w14:paraId="7BA049AB">
      <w:pPr>
        <w:pageBreakBefore w:val="0"/>
        <w:wordWrap/>
        <w:bidi w:val="0"/>
        <w:adjustRightInd/>
        <w:snapToGrid/>
        <w:ind w:left="482" w:firstLine="0" w:firstLineChars="0"/>
        <w:rPr>
          <w:rFonts w:hint="eastAsia"/>
          <w:bCs/>
          <w:color w:val="auto"/>
        </w:rPr>
      </w:pPr>
      <w:r>
        <w:rPr>
          <w:rFonts w:hint="eastAsia"/>
          <w:color w:val="auto"/>
          <w:highlight w:val="none"/>
          <w:lang w:val="en-US" w:eastAsia="zh-CN"/>
        </w:rPr>
        <w:t>本项目与上述环境管控单元符合性分析见下表。</w:t>
      </w:r>
    </w:p>
    <w:p w14:paraId="5A2E52D7">
      <w:pPr>
        <w:pStyle w:val="13"/>
        <w:pageBreakBefore w:val="0"/>
        <w:wordWrap/>
        <w:bidi w:val="0"/>
        <w:adjustRightInd/>
        <w:snapToGrid/>
        <w:rPr>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sectPr>
      </w:pPr>
    </w:p>
    <w:p w14:paraId="0CBDB833">
      <w:pPr>
        <w:pStyle w:val="15"/>
        <w:numPr>
          <w:ilvl w:val="0"/>
          <w:numId w:val="11"/>
        </w:numPr>
        <w:tabs>
          <w:tab w:val="clear" w:pos="0"/>
        </w:tabs>
        <w:bidi w:val="0"/>
        <w:ind w:left="0" w:leftChars="0" w:firstLine="0" w:firstLineChars="0"/>
        <w:rPr>
          <w:rFonts w:hint="default"/>
          <w:color w:val="auto"/>
          <w:lang w:val="en-US"/>
        </w:rPr>
      </w:pPr>
      <w:r>
        <w:rPr>
          <w:rFonts w:hint="eastAsia"/>
          <w:color w:val="auto"/>
          <w:lang w:val="en-US" w:eastAsia="zh-CN"/>
        </w:rPr>
        <w:t>生态环境准入清单</w:t>
      </w:r>
    </w:p>
    <w:tbl>
      <w:tblPr>
        <w:tblStyle w:val="70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25"/>
        <w:gridCol w:w="912"/>
        <w:gridCol w:w="4669"/>
        <w:gridCol w:w="1364"/>
        <w:gridCol w:w="4130"/>
        <w:gridCol w:w="1612"/>
        <w:gridCol w:w="494"/>
      </w:tblGrid>
      <w:tr w14:paraId="49C93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825" w:type="dxa"/>
            <w:tcBorders>
              <w:tl2br w:val="nil"/>
              <w:tr2bl w:val="nil"/>
            </w:tcBorders>
            <w:noWrap w:val="0"/>
            <w:vAlign w:val="center"/>
          </w:tcPr>
          <w:p w14:paraId="093624C9">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环境管控单元编码</w:t>
            </w:r>
          </w:p>
        </w:tc>
        <w:tc>
          <w:tcPr>
            <w:tcW w:w="912" w:type="dxa"/>
            <w:tcBorders>
              <w:tl2br w:val="nil"/>
              <w:tr2bl w:val="nil"/>
            </w:tcBorders>
            <w:noWrap w:val="0"/>
            <w:vAlign w:val="center"/>
          </w:tcPr>
          <w:p w14:paraId="23F0A71C">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环境管控单元名称</w:t>
            </w:r>
          </w:p>
        </w:tc>
        <w:tc>
          <w:tcPr>
            <w:tcW w:w="4669" w:type="dxa"/>
            <w:tcBorders>
              <w:tl2br w:val="nil"/>
              <w:tr2bl w:val="nil"/>
            </w:tcBorders>
            <w:noWrap w:val="0"/>
            <w:vAlign w:val="center"/>
          </w:tcPr>
          <w:p w14:paraId="4E604B70">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巴中市普适性清单</w:t>
            </w:r>
          </w:p>
        </w:tc>
        <w:tc>
          <w:tcPr>
            <w:tcW w:w="1364" w:type="dxa"/>
            <w:tcBorders>
              <w:tl2br w:val="nil"/>
              <w:tr2bl w:val="nil"/>
            </w:tcBorders>
            <w:noWrap w:val="0"/>
            <w:vAlign w:val="center"/>
          </w:tcPr>
          <w:p w14:paraId="561E88CA">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管控类别</w:t>
            </w:r>
          </w:p>
        </w:tc>
        <w:tc>
          <w:tcPr>
            <w:tcW w:w="4130" w:type="dxa"/>
            <w:tcBorders>
              <w:tl2br w:val="nil"/>
              <w:tr2bl w:val="nil"/>
            </w:tcBorders>
            <w:noWrap w:val="0"/>
            <w:vAlign w:val="center"/>
          </w:tcPr>
          <w:p w14:paraId="265F1032">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单元特性管控要求</w:t>
            </w:r>
          </w:p>
        </w:tc>
        <w:tc>
          <w:tcPr>
            <w:tcW w:w="1612" w:type="dxa"/>
            <w:tcBorders>
              <w:tl2br w:val="nil"/>
              <w:tr2bl w:val="nil"/>
            </w:tcBorders>
            <w:noWrap w:val="0"/>
            <w:vAlign w:val="center"/>
          </w:tcPr>
          <w:p w14:paraId="7BF2488F">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本项目情况</w:t>
            </w:r>
          </w:p>
        </w:tc>
        <w:tc>
          <w:tcPr>
            <w:tcW w:w="494" w:type="dxa"/>
            <w:tcBorders>
              <w:tl2br w:val="nil"/>
              <w:tr2bl w:val="nil"/>
            </w:tcBorders>
            <w:noWrap w:val="0"/>
            <w:vAlign w:val="center"/>
          </w:tcPr>
          <w:p w14:paraId="3FCCD4F7">
            <w:pPr>
              <w:pStyle w:val="12"/>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符合性</w:t>
            </w:r>
          </w:p>
        </w:tc>
      </w:tr>
      <w:tr w14:paraId="6278A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CBD36AD">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YS5119022210003</w:t>
            </w:r>
          </w:p>
        </w:tc>
        <w:tc>
          <w:tcPr>
            <w:tcW w:w="912" w:type="dxa"/>
            <w:vMerge w:val="restart"/>
            <w:tcBorders>
              <w:tl2br w:val="nil"/>
              <w:tr2bl w:val="nil"/>
            </w:tcBorders>
            <w:noWrap w:val="0"/>
            <w:vAlign w:val="center"/>
          </w:tcPr>
          <w:p w14:paraId="18F92FAD">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restart"/>
            <w:tcBorders>
              <w:tl2br w:val="nil"/>
              <w:tr2bl w:val="nil"/>
            </w:tcBorders>
            <w:noWrap w:val="0"/>
            <w:vAlign w:val="center"/>
          </w:tcPr>
          <w:p w14:paraId="417A1DD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733E9D3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FA8AFD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1F09D4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1DD4CFA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081D36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5E9B915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EA14C7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3F051C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F150BC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7C47BFD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768496D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BC76A7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6097076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D89C2B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1686024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2D7DAD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122E76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5FE2E90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276DC0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0ABBBB9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6D09C7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6A7F497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56280D8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FE6A11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2BADEDC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7C8592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1CF698F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9981C3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39A1856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DA053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185EE48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169AA0D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410A554B">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禁止开发建设活动的要求</w:t>
            </w:r>
          </w:p>
          <w:p w14:paraId="6212F56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限制开发建设活动的要求</w:t>
            </w:r>
          </w:p>
          <w:p w14:paraId="5AD40D1B">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严控磷铵、黄磷等产业违规新增产能加快退出不符合产业政策和环保要求、不满足安全生产条件的涉磷企业</w:t>
            </w:r>
          </w:p>
          <w:p w14:paraId="202B311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允许开发建设活动的要求</w:t>
            </w:r>
          </w:p>
          <w:p w14:paraId="5D51A15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不符合空间布局要求活动的退出要求</w:t>
            </w:r>
          </w:p>
          <w:p w14:paraId="125FC2B9">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其他空间布局约束要求</w:t>
            </w:r>
          </w:p>
        </w:tc>
        <w:tc>
          <w:tcPr>
            <w:tcW w:w="1612" w:type="dxa"/>
            <w:tcBorders>
              <w:tl2br w:val="nil"/>
              <w:tr2bl w:val="nil"/>
            </w:tcBorders>
            <w:noWrap w:val="0"/>
            <w:vAlign w:val="center"/>
          </w:tcPr>
          <w:p w14:paraId="11B059A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本项目为工业废水处理项目，不涉及磷铵、黄磷等，满足要求</w:t>
            </w:r>
          </w:p>
        </w:tc>
        <w:tc>
          <w:tcPr>
            <w:tcW w:w="494" w:type="dxa"/>
            <w:tcBorders>
              <w:tl2br w:val="nil"/>
              <w:tr2bl w:val="nil"/>
            </w:tcBorders>
            <w:noWrap w:val="0"/>
            <w:vAlign w:val="center"/>
          </w:tcPr>
          <w:p w14:paraId="36CFA1E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4C576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EF8FF9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2FDB3BC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107DA00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0E20BE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868BA3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ADB3D9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157902D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55F91D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11F870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180967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240F741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F48F81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47C24A1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7628800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D6A715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7EDB231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76D99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1D4B224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B4BBDE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098D536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11793EF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7DED70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67F3767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9934D6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6714F2B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5FDF422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9DB66F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4F49AD8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BEB67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1746595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418FA9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14E90C6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B58F5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0E1540B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35BC572B">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1AD1156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城镇污水污染控制措施要求</w:t>
            </w:r>
          </w:p>
          <w:p w14:paraId="79FFC84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工业废水污染控制措施要求</w:t>
            </w:r>
          </w:p>
          <w:p w14:paraId="769911E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深入实施工业企业污水处理设施升级改造，全面实现工业废水达标排放。2、强化工业集聚区污水治理，推进工业污水集中处理设施及配套收集系统建设与提标升级改造，大力推进现有污水收集、处理设施问题排查及整治；完善园区及企业雨污分流系统，全面推进医药、化工等行业初期雨水收集处理，推动有条件的园区实施入园企业“一企一管、明管输送、实时监测”。3、加强工业园区集中污水处理设施运行监管</w:t>
            </w:r>
            <w:r>
              <w:rPr>
                <w:rStyle w:val="54"/>
                <w:rFonts w:hint="eastAsia" w:eastAsia="宋体" w:cs="Times New Roman"/>
                <w:color w:val="auto"/>
                <w:kern w:val="2"/>
                <w:sz w:val="21"/>
                <w:szCs w:val="21"/>
                <w:lang w:val="en-US" w:eastAsia="zh-CN" w:bidi="ar-SA"/>
              </w:rPr>
              <w:t>，加</w:t>
            </w:r>
            <w:r>
              <w:rPr>
                <w:rStyle w:val="54"/>
                <w:rFonts w:hint="default" w:ascii="Times New Roman" w:hAnsi="Times New Roman" w:eastAsia="宋体" w:cs="Times New Roman"/>
                <w:color w:val="auto"/>
                <w:kern w:val="2"/>
                <w:sz w:val="21"/>
                <w:szCs w:val="21"/>
                <w:lang w:val="en-US" w:eastAsia="zh-CN" w:bidi="ar-SA"/>
              </w:rPr>
              <w:t>强企业废水预处理和排水管理，鼓励纳管企业与园区污水处理厂运营单位通过签订委托处理合同等方式协同处理废水。4、加强新化学物质环境管理，严格执行《新化学物质环境管理登记办法》，落实企业新化学物质环境风险防控主体责任。落实国家《优先控制化学品名录（第一批）》《优先控制化学品名录（第二批）》《重点管控新污染物清单（2023年版）》环境风险管控措施。</w:t>
            </w:r>
          </w:p>
          <w:p w14:paraId="3BDD691E">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农业面源水污染控制措施要求</w:t>
            </w:r>
          </w:p>
          <w:p w14:paraId="1E320FF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p>
          <w:p w14:paraId="46031FC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船舶港口水污染控制措施要求</w:t>
            </w:r>
          </w:p>
          <w:p w14:paraId="48D0C81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p>
          <w:p w14:paraId="527E86C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饮用水水源和</w:t>
            </w:r>
            <w:r>
              <w:rPr>
                <w:rStyle w:val="54"/>
                <w:rFonts w:hint="eastAsia" w:eastAsia="宋体" w:cs="Times New Roman"/>
                <w:color w:val="auto"/>
                <w:kern w:val="2"/>
                <w:sz w:val="21"/>
                <w:szCs w:val="21"/>
                <w:lang w:val="en-US" w:eastAsia="zh-CN" w:bidi="ar-SA"/>
              </w:rPr>
              <w:t>其他</w:t>
            </w:r>
            <w:r>
              <w:rPr>
                <w:rStyle w:val="54"/>
                <w:rFonts w:hint="default" w:ascii="Times New Roman" w:hAnsi="Times New Roman" w:eastAsia="宋体" w:cs="Times New Roman"/>
                <w:color w:val="auto"/>
                <w:kern w:val="2"/>
                <w:sz w:val="21"/>
                <w:szCs w:val="21"/>
                <w:lang w:val="en-US" w:eastAsia="zh-CN" w:bidi="ar-SA"/>
              </w:rPr>
              <w:t>特殊水体保护要求</w:t>
            </w:r>
          </w:p>
        </w:tc>
        <w:tc>
          <w:tcPr>
            <w:tcW w:w="1612" w:type="dxa"/>
            <w:tcBorders>
              <w:tl2br w:val="nil"/>
              <w:tr2bl w:val="nil"/>
            </w:tcBorders>
            <w:noWrap w:val="0"/>
            <w:vAlign w:val="center"/>
          </w:tcPr>
          <w:p w14:paraId="7EE75C2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本项目为新建工业废水处理厂及其配套</w:t>
            </w:r>
            <w:r>
              <w:rPr>
                <w:rStyle w:val="54"/>
                <w:rFonts w:hint="eastAsia" w:eastAsia="宋体" w:cs="Times New Roman"/>
                <w:color w:val="auto"/>
                <w:kern w:val="2"/>
                <w:sz w:val="21"/>
                <w:szCs w:val="21"/>
                <w:lang w:val="en-US" w:eastAsia="zh-CN" w:bidi="ar-SA"/>
              </w:rPr>
              <w:t>管</w:t>
            </w:r>
            <w:r>
              <w:rPr>
                <w:rStyle w:val="54"/>
                <w:rFonts w:hint="default" w:ascii="Times New Roman" w:hAnsi="Times New Roman" w:eastAsia="宋体" w:cs="Times New Roman"/>
                <w:color w:val="auto"/>
                <w:kern w:val="2"/>
                <w:sz w:val="21"/>
                <w:szCs w:val="21"/>
                <w:lang w:val="en-US" w:eastAsia="zh-CN" w:bidi="ar-SA"/>
              </w:rPr>
              <w:t>网建设项目，项目建成后，园区企业工业废水经污水管网进入本项目处理，能够实现曾口区块工业废水达标排放；</w:t>
            </w:r>
          </w:p>
        </w:tc>
        <w:tc>
          <w:tcPr>
            <w:tcW w:w="494" w:type="dxa"/>
            <w:tcBorders>
              <w:tl2br w:val="nil"/>
              <w:tr2bl w:val="nil"/>
            </w:tcBorders>
            <w:noWrap w:val="0"/>
            <w:vAlign w:val="center"/>
          </w:tcPr>
          <w:p w14:paraId="3092E3B9">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23051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4FFD6A6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7689479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21B3285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301504D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5326A0F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3E35E9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0332F9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46E8B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40BFFE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11C449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3B50252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9E1619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2A9B3A4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035EF9C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549085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1F783C4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D74940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27A7DEA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01A62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4B60F9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5407F1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78FA06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6084A01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077709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2EAB991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F92367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AD6D24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67FE01F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72CADE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32AD949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06B2AB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3D353EB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BF3802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0452E22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2A8AD1A2">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环境风险防控</w:t>
            </w:r>
          </w:p>
        </w:tc>
        <w:tc>
          <w:tcPr>
            <w:tcW w:w="4130" w:type="dxa"/>
            <w:tcBorders>
              <w:tl2br w:val="nil"/>
              <w:tr2bl w:val="nil"/>
            </w:tcBorders>
            <w:noWrap w:val="0"/>
            <w:vAlign w:val="center"/>
          </w:tcPr>
          <w:p w14:paraId="7E2AAD1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禁止在长江干支流岸线一公里范围内新建、扩建化工园区和化工项目。按要求设置生态隔离带，建设相应的防护工程。合理设置与抗风险能力相匹配的事故调蓄设施和环境应急措施。强化工业园区环境风险防控工作，突出全防全控，完善各项环境风险防范制度，确保将风险防范纳入日常环境管理制度体系。加强执法监督，实现对工业园区、重点工矿企业和主要环境风险类型的动态监控。</w:t>
            </w:r>
          </w:p>
        </w:tc>
        <w:tc>
          <w:tcPr>
            <w:tcW w:w="1612" w:type="dxa"/>
            <w:tcBorders>
              <w:tl2br w:val="nil"/>
              <w:tr2bl w:val="nil"/>
            </w:tcBorders>
            <w:noWrap w:val="0"/>
            <w:vAlign w:val="center"/>
          </w:tcPr>
          <w:p w14:paraId="610D55A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本项目为工业污水处理项目，并设置了隔离带</w:t>
            </w:r>
            <w:r>
              <w:rPr>
                <w:rStyle w:val="54"/>
                <w:rFonts w:hint="eastAsia" w:eastAsia="宋体" w:cs="Times New Roman"/>
                <w:color w:val="auto"/>
                <w:kern w:val="2"/>
                <w:sz w:val="21"/>
                <w:szCs w:val="21"/>
                <w:lang w:val="en-US" w:eastAsia="zh-CN" w:bidi="ar-SA"/>
              </w:rPr>
              <w:t>和</w:t>
            </w:r>
            <w:r>
              <w:rPr>
                <w:rStyle w:val="54"/>
                <w:rFonts w:hint="default" w:ascii="Times New Roman" w:hAnsi="Times New Roman" w:eastAsia="宋体" w:cs="Times New Roman"/>
                <w:color w:val="auto"/>
                <w:kern w:val="2"/>
                <w:sz w:val="21"/>
                <w:szCs w:val="21"/>
                <w:lang w:val="en-US" w:eastAsia="zh-CN" w:bidi="ar-SA"/>
              </w:rPr>
              <w:t>相应防护措施，并完善了各项环境风险防控措施，能够满足要求</w:t>
            </w:r>
          </w:p>
        </w:tc>
        <w:tc>
          <w:tcPr>
            <w:tcW w:w="494" w:type="dxa"/>
            <w:tcBorders>
              <w:tl2br w:val="nil"/>
              <w:tr2bl w:val="nil"/>
            </w:tcBorders>
            <w:noWrap w:val="0"/>
            <w:vAlign w:val="center"/>
          </w:tcPr>
          <w:p w14:paraId="44AC6DDC">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0F935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0468FFED">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724D835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747873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50C48DE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3DDBC56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FE3C6E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76EF091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231D71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34B73E2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291129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1583E9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38A79A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69B1120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1FA857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8AA7A9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B1D27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C0EAB4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74BA919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2920D9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686D18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487DC7B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4F8E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0FFB078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FDE87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0FEF3C0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73E1F9A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3312B4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611D832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CBAAD2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1575766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A98C8D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32F8091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7366F0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41472C1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29125A46">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3441CF4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加强高耗水行业用水定额管理，以水定产，严格控制高耗水新建、改建、扩建项目。</w:t>
            </w:r>
          </w:p>
        </w:tc>
        <w:tc>
          <w:tcPr>
            <w:tcW w:w="1612" w:type="dxa"/>
            <w:tcBorders>
              <w:tl2br w:val="nil"/>
              <w:tr2bl w:val="nil"/>
            </w:tcBorders>
            <w:noWrap w:val="0"/>
            <w:vAlign w:val="center"/>
          </w:tcPr>
          <w:p w14:paraId="30F3117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本项目不属于高耗水项目</w:t>
            </w:r>
          </w:p>
        </w:tc>
        <w:tc>
          <w:tcPr>
            <w:tcW w:w="494" w:type="dxa"/>
            <w:tcBorders>
              <w:tl2br w:val="nil"/>
              <w:tr2bl w:val="nil"/>
            </w:tcBorders>
            <w:noWrap w:val="0"/>
            <w:vAlign w:val="center"/>
          </w:tcPr>
          <w:p w14:paraId="4149588B">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55100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FC5661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YS5119022310003</w:t>
            </w:r>
          </w:p>
        </w:tc>
        <w:tc>
          <w:tcPr>
            <w:tcW w:w="912" w:type="dxa"/>
            <w:vMerge w:val="restart"/>
            <w:tcBorders>
              <w:tl2br w:val="nil"/>
              <w:tr2bl w:val="nil"/>
            </w:tcBorders>
            <w:noWrap w:val="0"/>
            <w:vAlign w:val="center"/>
          </w:tcPr>
          <w:p w14:paraId="04CE859D">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4AD4754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5BE1F51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07BD8D3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C57AFE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068D0DB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1F06EE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7D93495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36755C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75D5A59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6862A7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24CA901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3D2BBA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ED312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2D5CCF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1BA0AC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538BF53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C74608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CBDF31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738B5B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D6A301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79AE278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3E160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28D100A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336AA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4843B9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3459972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1BF2F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7E8325F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EA248D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7E1AE87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51153A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49DD2C6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4230CB80">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296C2F3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禁止开发建设活动的要求</w:t>
            </w:r>
          </w:p>
          <w:p w14:paraId="61E11E9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2F505B4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限制开发建设活动的要求</w:t>
            </w:r>
          </w:p>
          <w:p w14:paraId="66C1D0B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693DF81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允许开发建设活动的要求</w:t>
            </w:r>
          </w:p>
          <w:p w14:paraId="0145822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393A1059">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不符合空间布局要求活动的退出要求</w:t>
            </w:r>
          </w:p>
          <w:p w14:paraId="3D9B3FB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01A4F02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其他空间布局约束要求</w:t>
            </w:r>
          </w:p>
          <w:p w14:paraId="34E8420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3270081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4285767F">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6F97F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68577597">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3EB4911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6705A1D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062761A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1CA138A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8C179C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749F4A9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9E35A1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6A7C1DB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9014D0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5206C79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37A89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2E41B9A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1FD1A18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0CA713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24261AB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352E09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23C7D7B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49D554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E0D278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165E932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F73F21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142FF9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B27B3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45737A4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534179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429294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3B23736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D8041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5287DC7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D78D75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4068A70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C67A66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2A8DEBB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43B4CFD2">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1326389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大气环境质量执行标准</w:t>
            </w:r>
          </w:p>
          <w:p w14:paraId="34D8533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《环境空气质量标准》（GB3095-2012）：二级</w:t>
            </w:r>
          </w:p>
          <w:p w14:paraId="07B059F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区域大气污染物削减/替代要求</w:t>
            </w:r>
          </w:p>
          <w:p w14:paraId="0C375D3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2EC898C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燃煤和其他能源大气污染控制要求</w:t>
            </w:r>
          </w:p>
          <w:p w14:paraId="2EF7716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119119B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工业废气污染控制要求</w:t>
            </w:r>
          </w:p>
          <w:p w14:paraId="33545B3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1、全面淘汰10蒸吨/小时及以下燃煤锅炉，原则上不再新建35蒸吨/小时及以下的燃煤锅炉，推进县级及以上城市建成区淘汰35蒸吨/小时及以下燃煤锅炉，以工业余热、电厂热力、清洁能源等替代煤炭。</w:t>
            </w:r>
          </w:p>
          <w:p w14:paraId="4B2FC1E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2、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14:paraId="1C67D4BE">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机动车船大气污染控制要求</w:t>
            </w:r>
          </w:p>
          <w:p w14:paraId="4B662D5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1097220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扬尘污染控制要求</w:t>
            </w:r>
          </w:p>
          <w:p w14:paraId="0F403939">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34A5343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农业生产经营活动大气污染控制要求</w:t>
            </w:r>
          </w:p>
          <w:p w14:paraId="0E5C09D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5564760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重点行业企业专项治理要求</w:t>
            </w:r>
          </w:p>
          <w:p w14:paraId="1C562C5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加快实施低VOCs含量原辅材料替代。持续开展VOCs治理设施提级增效，对采用单一低温等离子、光氧化、光催化以及非水溶性VOCs废气采用单一喷淋吸收等治理技术且无法稳定达标的，加快推进升级改造。强化VOCs无组织排放整治。石化、化工等行业加强非正常工况废气排放管控。推进涉VOCs产业集群治理提升</w:t>
            </w:r>
          </w:p>
          <w:p w14:paraId="786EF0A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其他大气污染物排放管控要求</w:t>
            </w:r>
          </w:p>
          <w:p w14:paraId="61A7F5A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1F4303E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所在地大气环境质量满足《环境空气质量标准》（GB3095-2012）中二级要求；项目不使用锅炉和工业炉窑，不属于上述高污染企业；不涉及VOCs相关原辅料的使用；污水处理产生的废气经措施处理后能够达标排放，对周边大气环境影响较小。</w:t>
            </w:r>
          </w:p>
          <w:p w14:paraId="48DD2FB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p>
        </w:tc>
        <w:tc>
          <w:tcPr>
            <w:tcW w:w="494" w:type="dxa"/>
            <w:tcBorders>
              <w:tl2br w:val="nil"/>
              <w:tr2bl w:val="nil"/>
            </w:tcBorders>
            <w:noWrap w:val="0"/>
            <w:vAlign w:val="center"/>
          </w:tcPr>
          <w:p w14:paraId="0FA53262">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30D22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4F84BE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1A739FFC">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750C9C5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23E8E7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5F11F1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759D2A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6B9C2E5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D2CFD9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708C080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A5D428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4CD2994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AF3632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1C637F2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6E5CA00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9FEB42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612B2C1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F7E953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5C821E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89983C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4D11CD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7D8F955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153CFD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521D2B2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B60E56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1FCBFE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09C763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CF7B9C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0414F2E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35CD0A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303512D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C3090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3643AD9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7AE48B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2395984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D31FD1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环境风险防控</w:t>
            </w:r>
          </w:p>
        </w:tc>
        <w:tc>
          <w:tcPr>
            <w:tcW w:w="4130" w:type="dxa"/>
            <w:vMerge w:val="restart"/>
            <w:tcBorders>
              <w:tl2br w:val="nil"/>
              <w:tr2bl w:val="nil"/>
            </w:tcBorders>
            <w:noWrap w:val="0"/>
            <w:vAlign w:val="center"/>
          </w:tcPr>
          <w:p w14:paraId="0CF070F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452C370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6DE209ED">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0E82E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093D7949">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010E9386">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72706E3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7F56EA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1AAF672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D49F88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41686C2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4EA8D6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0AF9933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4A1FF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55DF517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661BD8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0BF7C83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39784E9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9BFC03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12B5FFF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042BA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28560BF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B19553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F662A6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60DDEC7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8D737A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338054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A072E8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11CBE9A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44FEF0E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1F38DD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237843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8A53EA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20586C2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133F8C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18439FE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B4E8F1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08E9847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4CBE5AD5">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资源开发效率要求</w:t>
            </w:r>
          </w:p>
        </w:tc>
        <w:tc>
          <w:tcPr>
            <w:tcW w:w="4130" w:type="dxa"/>
            <w:vMerge w:val="continue"/>
            <w:tcBorders>
              <w:tl2br w:val="nil"/>
              <w:tr2bl w:val="nil"/>
            </w:tcBorders>
            <w:noWrap w:val="0"/>
            <w:vAlign w:val="center"/>
          </w:tcPr>
          <w:p w14:paraId="04ECB5D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30B8422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3B980084">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1826C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B312ADC">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YS5119022530001</w:t>
            </w:r>
          </w:p>
        </w:tc>
        <w:tc>
          <w:tcPr>
            <w:tcW w:w="912" w:type="dxa"/>
            <w:vMerge w:val="restart"/>
            <w:tcBorders>
              <w:tl2br w:val="nil"/>
              <w:tr2bl w:val="nil"/>
            </w:tcBorders>
            <w:noWrap w:val="0"/>
            <w:vAlign w:val="center"/>
          </w:tcPr>
          <w:p w14:paraId="1EE4927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05209F0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2E24FE0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3634F05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639E7A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0885AFD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4AB91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3F1B9F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A35950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17C2D68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19DD25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587D5C4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1E55572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EF149A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2A8B927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26B05C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7D193D0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79B598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0118A0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3FE8133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E8A086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5F960F3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093445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0F5386B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1267B7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4F6BFC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7B94071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C8785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624F705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E0E20E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4A10DB8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B8F5DD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502CF93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ED33A49">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786D70D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以城镇开发建设现状为基础，综合考虑资源承载能力、人口分布、经济布局、城乡统筹、城镇无序蔓延科学预留一定比例的留白区，为未来发展留有开发空间城镇建设和发展不得违法违规侵占河道、湖面、滩地2.城镇开发边界调整报国土空间规划原审批机关审批</w:t>
            </w:r>
          </w:p>
        </w:tc>
        <w:tc>
          <w:tcPr>
            <w:tcW w:w="1612" w:type="dxa"/>
            <w:tcBorders>
              <w:tl2br w:val="nil"/>
              <w:tr2bl w:val="nil"/>
            </w:tcBorders>
            <w:noWrap w:val="0"/>
            <w:vAlign w:val="center"/>
          </w:tcPr>
          <w:p w14:paraId="65AF249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01C36C20">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33986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0AF87BF">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5CD3242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2971CFC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31E2EC2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37E058D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E7F9FE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2BF783D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985E03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4F74E24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56A44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6ECF647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623505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553AB5E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406AAAE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0856A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339AD42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6C115E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0490244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27E0D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71B6306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0D3C8FA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17A00C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057D4D5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0E5BF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62912B8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1D38D59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BD8A8E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476D3FA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6A9389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511D7D3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1CF4D3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336EA8D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D7784A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38A42B2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5EFD4E8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污染物排放管控</w:t>
            </w:r>
          </w:p>
        </w:tc>
        <w:tc>
          <w:tcPr>
            <w:tcW w:w="4130" w:type="dxa"/>
            <w:vMerge w:val="restart"/>
            <w:tcBorders>
              <w:tl2br w:val="nil"/>
              <w:tr2bl w:val="nil"/>
            </w:tcBorders>
            <w:noWrap w:val="0"/>
            <w:vAlign w:val="center"/>
          </w:tcPr>
          <w:p w14:paraId="6A244C8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5F04A47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78E17E16">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7440B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3BBAE0FF">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3472E585">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501CB97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1A8D5FD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8A3ED5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14588D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6AE7CFF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47D65A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754667A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96C487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596BE9D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1E0A27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576DCF9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27A756E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50992C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244DDCD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CFA1CA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62284BD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878737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699A4B6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162F0CC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C4911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776FD5D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7BE0D1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56230D6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03692EE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74B764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4D72D65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03F941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672F5D5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2EC03F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6337FB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66CFAB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644619E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EBDB2E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环境风险防控</w:t>
            </w:r>
          </w:p>
        </w:tc>
        <w:tc>
          <w:tcPr>
            <w:tcW w:w="4130" w:type="dxa"/>
            <w:vMerge w:val="continue"/>
            <w:tcBorders>
              <w:tl2br w:val="nil"/>
              <w:tr2bl w:val="nil"/>
            </w:tcBorders>
            <w:noWrap w:val="0"/>
            <w:vAlign w:val="center"/>
          </w:tcPr>
          <w:p w14:paraId="186FD11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37667A3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36B070E6">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3C9AC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C0FDB9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43C386B0">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4F89AF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2600DE7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539B73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F5DFC3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5CCB5DA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226429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5B16C64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2084A8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64D013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BEF279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4B1A338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3C6DB18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865DB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5668800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2BAFFF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6F79014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CE75C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0BA09B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78A2292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FED045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5268949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4227EF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785E652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69DA2C0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8D012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34C7049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88A88C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472961E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34F49D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1C48B2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8FB186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6522DE1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06AE21B">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4AE03F8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土地资源开发效率要求</w:t>
            </w:r>
          </w:p>
          <w:p w14:paraId="4C3757C1">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土地资源开发利用量不得超过土地资源利用上线控制性指标。</w:t>
            </w:r>
          </w:p>
          <w:p w14:paraId="14FAF2D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能源资源开发效率要求</w:t>
            </w:r>
          </w:p>
          <w:p w14:paraId="06B83D5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其他资源开发效率要求</w:t>
            </w:r>
          </w:p>
        </w:tc>
        <w:tc>
          <w:tcPr>
            <w:tcW w:w="1612" w:type="dxa"/>
            <w:tcBorders>
              <w:tl2br w:val="nil"/>
              <w:tr2bl w:val="nil"/>
            </w:tcBorders>
            <w:noWrap w:val="0"/>
            <w:vAlign w:val="center"/>
          </w:tcPr>
          <w:p w14:paraId="5D76EC9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250E4865">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437B4D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A237365">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YS5119022550001</w:t>
            </w:r>
          </w:p>
        </w:tc>
        <w:tc>
          <w:tcPr>
            <w:tcW w:w="912" w:type="dxa"/>
            <w:vMerge w:val="restart"/>
            <w:tcBorders>
              <w:tl2br w:val="nil"/>
              <w:tr2bl w:val="nil"/>
            </w:tcBorders>
            <w:noWrap w:val="0"/>
            <w:vAlign w:val="center"/>
          </w:tcPr>
          <w:p w14:paraId="716CC92A">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2465C9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7FE2B82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4EA4E27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E06B3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29DB9B9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C5C093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4D86EA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26726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4DDF662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14FABC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54EE93A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70E7592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76AB0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75109E9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C1776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6E56B0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07D67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6989601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3040CC7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9D917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6DEBBE2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A4D1DA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34F6575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34387C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E4E724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7AFEB1B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4BF296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0118922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1FA17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7A5389E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8D7330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21C0799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69A150E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空间布局约束</w:t>
            </w:r>
          </w:p>
        </w:tc>
        <w:tc>
          <w:tcPr>
            <w:tcW w:w="4130" w:type="dxa"/>
            <w:vMerge w:val="restart"/>
            <w:tcBorders>
              <w:tl2br w:val="nil"/>
              <w:tr2bl w:val="nil"/>
            </w:tcBorders>
            <w:noWrap w:val="0"/>
            <w:vAlign w:val="center"/>
          </w:tcPr>
          <w:p w14:paraId="5A7E351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263AD2A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08381BC3">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6D8FF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BB09DA3">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7C2D8BE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169DAE3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2601090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4CC0F4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97C79D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556FF21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948383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7B3F139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5237CF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0E7302B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5B118A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7C3FD8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3AD44A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B6E89A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4E9D68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DF4B04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162E8E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B698C1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0C862E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6579E21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E2742C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189EFC8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41A943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1E68F60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1ED1BB9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D2015A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501185D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1F9AE7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7C84EA7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4DC149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1A2B106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28A9A6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3187C24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A725EE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污染物排放管控</w:t>
            </w:r>
          </w:p>
        </w:tc>
        <w:tc>
          <w:tcPr>
            <w:tcW w:w="4130" w:type="dxa"/>
            <w:vMerge w:val="continue"/>
            <w:tcBorders>
              <w:tl2br w:val="nil"/>
              <w:tr2bl w:val="nil"/>
            </w:tcBorders>
            <w:noWrap w:val="0"/>
            <w:vAlign w:val="center"/>
          </w:tcPr>
          <w:p w14:paraId="08873A5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151A869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4156E9A8">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0011C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EB82EFA">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606333D1">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2462680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7D1F1FD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578270D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DD2B7D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728A0EE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133E5F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3DF439C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792563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685421B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287FE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72D6475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09D6711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933CDE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D692C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77FC8B4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28AE91C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1EE97B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49BFBD7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2309702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869AE9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141FBA7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D47C53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02E686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EC1FAF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660DD1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7138C15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FCCEE3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6DB3941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8F34E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4DC4C8E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722C25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1F62F66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00E66D5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环境风险防控</w:t>
            </w:r>
          </w:p>
        </w:tc>
        <w:tc>
          <w:tcPr>
            <w:tcW w:w="4130" w:type="dxa"/>
            <w:vMerge w:val="continue"/>
            <w:tcBorders>
              <w:tl2br w:val="nil"/>
              <w:tr2bl w:val="nil"/>
            </w:tcBorders>
            <w:noWrap w:val="0"/>
            <w:vAlign w:val="center"/>
          </w:tcPr>
          <w:p w14:paraId="7DE3167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72B91D9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319E8A3A">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40158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58515E9">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1268E172">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4E85146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6B426B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76BED45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EB8A6E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43EE016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69989E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160A35B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0AAD76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12102D4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672601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308D367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65D87CC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0D6FD8F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05EBC5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D8DBEE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058B033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4BBA0E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1AEDC1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3A45173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44C3665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4BEAC8C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1ACC298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1FD495D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5B7CDA1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AF5F5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27E1AA0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2970AD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758567C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3FF13FF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46D22DE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p w14:paraId="535E29C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4B47D8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B9226B5">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13A98BF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土地资源开发效率要求</w:t>
            </w:r>
          </w:p>
          <w:p w14:paraId="7AF791A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能源资源开发效率要求</w:t>
            </w:r>
          </w:p>
          <w:p w14:paraId="441E9A8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其他资源开发效率要求</w:t>
            </w:r>
          </w:p>
        </w:tc>
        <w:tc>
          <w:tcPr>
            <w:tcW w:w="1612" w:type="dxa"/>
            <w:tcBorders>
              <w:tl2br w:val="nil"/>
              <w:tr2bl w:val="nil"/>
            </w:tcBorders>
            <w:noWrap w:val="0"/>
            <w:vAlign w:val="center"/>
          </w:tcPr>
          <w:p w14:paraId="710FDB4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399DB9AC">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4037D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583E3F99">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ZH51190220004</w:t>
            </w:r>
          </w:p>
        </w:tc>
        <w:tc>
          <w:tcPr>
            <w:tcW w:w="912" w:type="dxa"/>
            <w:vMerge w:val="restart"/>
            <w:tcBorders>
              <w:tl2br w:val="nil"/>
              <w:tr2bl w:val="nil"/>
            </w:tcBorders>
            <w:noWrap w:val="0"/>
            <w:vAlign w:val="center"/>
          </w:tcPr>
          <w:p w14:paraId="5E8A76AB">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restart"/>
            <w:tcBorders>
              <w:tl2br w:val="nil"/>
              <w:tr2bl w:val="nil"/>
            </w:tcBorders>
            <w:noWrap w:val="0"/>
            <w:vAlign w:val="center"/>
          </w:tcPr>
          <w:p w14:paraId="1716625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382D417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449A4DF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144A1AF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1172CC7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2AC63C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23FBFE9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360E4DF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31F8ADC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-严格执行《矿产资源开采管理办法》的相关规定。</w:t>
            </w:r>
          </w:p>
          <w:p w14:paraId="77B9245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1CB4477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4E2015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6F279F6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w:t>
            </w:r>
          </w:p>
          <w:p w14:paraId="58E8BFF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7FFB8BF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00C1469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（1）为达2025年及2035年环境空气质量目标，14个工业重点管控单元大气污染物允许排放量2025年为：PM2.5允许排放量4950吨、SO2允许排放量3502吨、NOx允许排放量8906吨、VOCs 允许排放量12506吨，2035年为：PM2.5允许排放量4595吨、SO2允许排放量3133吨、NOx允许排放量8656吨、VOCs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74E1170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CB898A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-污水收集处理率达100%。</w:t>
            </w:r>
          </w:p>
          <w:p w14:paraId="7CF8E53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6A46B3C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4277244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0787543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1.污染物排放绩效水平准入要求：</w:t>
            </w:r>
          </w:p>
          <w:p w14:paraId="58B4D99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42E5287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42929E3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7A7E0EE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1CA6D7B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762F5A2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17603EA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5B9237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2D234D1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2971FAD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10CBC07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622C7E4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1D5333A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5C4367A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301ADB3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75DC8CF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6003A92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51C6544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4A8B907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28CBCED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63BCEDE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32D8C3C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7C7DBCD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3432952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FBC642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1FC1155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6B99CAD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2E59443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720A5EA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5F45703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339EDE1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48DC042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6DAF2BB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7A271132">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1F90CAA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禁止开发建设活动的要求</w:t>
            </w:r>
          </w:p>
          <w:p w14:paraId="45D7BBB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（1）禁止引入产业政策禁止类项目、清洁生产指标达不到二级水平或低于全国同类企业平均清洁生产水平的项目、不符合行业准入条件的项目</w:t>
            </w:r>
          </w:p>
          <w:p w14:paraId="6347206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（2）其他执行工业重点管控单元普适性管控要求</w:t>
            </w:r>
          </w:p>
          <w:p w14:paraId="206298E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限制开发建设活动的要求</w:t>
            </w:r>
          </w:p>
          <w:p w14:paraId="3B12FB5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49E3597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允许开发建设活动的要求</w:t>
            </w:r>
          </w:p>
          <w:p w14:paraId="666FACB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p w14:paraId="4079714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不符合空间布局要求活动的退出要求</w:t>
            </w:r>
          </w:p>
          <w:p w14:paraId="4D85E8F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6DE3BA2D">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其他空间布局约束要求</w:t>
            </w:r>
          </w:p>
          <w:p w14:paraId="0F2AFDC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6D4B506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本项目不属于禁止引入企业，满足工业重点管控单元普适性管控要求</w:t>
            </w:r>
          </w:p>
        </w:tc>
        <w:tc>
          <w:tcPr>
            <w:tcW w:w="494" w:type="dxa"/>
            <w:tcBorders>
              <w:tl2br w:val="nil"/>
              <w:tr2bl w:val="nil"/>
            </w:tcBorders>
            <w:noWrap w:val="0"/>
            <w:vAlign w:val="center"/>
          </w:tcPr>
          <w:p w14:paraId="2D3AE4DD">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0B737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3D8DB56">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225E5B30">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0E32DBB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6469167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11E4F7B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264A01B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0A27AAB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347BEEC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02F567E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1501CFA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0D48AAB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-严格执行《矿产资源开采管理办法》的相关规定。</w:t>
            </w:r>
          </w:p>
          <w:p w14:paraId="7BB9248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30B8E9D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41D8735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6858A51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590C6C5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w:t>
            </w:r>
          </w:p>
          <w:p w14:paraId="51F0B47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4259825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3D8C12E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（1）为达2025年及2035年环境空气质量目标，14个工业重点管控单元大气污染物允许排放量2025年为：PM2.5允许排放量4950吨、SO2允许排放量3502吨、NOx允许排放量8906吨、VOCs 允许排放量12506吨，2035年为：PM2.5允许排放量4595吨、SO2允许排放量3133吨、NOx允许排放量8656吨、VOCs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5DE6622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474136E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-污水收集处理率达100%。</w:t>
            </w:r>
          </w:p>
          <w:p w14:paraId="579012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73C2A2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7B4B476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4D7F46F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1.污染物排放绩效水平准入要求：</w:t>
            </w:r>
          </w:p>
          <w:p w14:paraId="727A9D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0044B57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5B54B77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47BD866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39593D4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5F6846F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2DF983D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1A78A24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0EFCA9B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2C79C5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6448CF9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417399F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308C2E6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52CCA2D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326A56B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3C8C7E8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206659E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161AD0A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34006B3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555E1E4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-巴中市2025年地下水开采</w:t>
            </w:r>
            <w:r>
              <w:rPr>
                <w:rStyle w:val="54"/>
                <w:rFonts w:hint="eastAsia" w:eastAsia="宋体" w:cs="Times New Roman"/>
                <w:color w:val="auto"/>
                <w:kern w:val="0"/>
                <w:sz w:val="21"/>
                <w:szCs w:val="21"/>
                <w:lang w:val="en-US" w:eastAsia="zh-CN" w:bidi="ar-SA"/>
              </w:rPr>
              <w:t>控制</w:t>
            </w:r>
            <w:r>
              <w:rPr>
                <w:rStyle w:val="54"/>
                <w:rFonts w:hint="default" w:ascii="Times New Roman" w:hAnsi="Times New Roman" w:eastAsia="宋体" w:cs="Times New Roman"/>
                <w:color w:val="auto"/>
                <w:kern w:val="0"/>
                <w:sz w:val="21"/>
                <w:szCs w:val="21"/>
                <w:lang w:val="en-US" w:eastAsia="zh-CN" w:bidi="ar-SA"/>
              </w:rPr>
              <w:t>量保持在1400万m³以内。</w:t>
            </w:r>
          </w:p>
          <w:p w14:paraId="22893A1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1682944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2689C2C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0F012D2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243AFEA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5D3C36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06DCDB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1A76EA4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01BE579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4A69F19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155A8DD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17C359B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7DDE196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40F0DFD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04B0890E">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5B55CDB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现有源提标升级改造</w:t>
            </w:r>
          </w:p>
          <w:p w14:paraId="37D33C2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（1）项目产生的生产废水由企业自行处理达到《污水排放综合标准》三级或相应的行业排放标准后排入园区污水处理厂处理达《城镇污水处理厂污染物排放标准》一级A标或更严格标准后排放。</w:t>
            </w:r>
          </w:p>
          <w:p w14:paraId="576FA467">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（2）其他执行工业重点管控单元普适性管控要求。</w:t>
            </w:r>
          </w:p>
          <w:p w14:paraId="3F12CBF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新增源等量或倍量替代</w:t>
            </w:r>
          </w:p>
          <w:p w14:paraId="2D29CDB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4D81644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新增源排放标准限值</w:t>
            </w:r>
          </w:p>
          <w:p w14:paraId="0E5A0165">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48526E5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污染物排放绩效水平准入要求</w:t>
            </w:r>
          </w:p>
          <w:p w14:paraId="0C0A8BE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68C8211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其他污染物排放管控要求</w:t>
            </w:r>
          </w:p>
          <w:p w14:paraId="3690B5DE">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5EF2639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本项目为新建工业废水处理厂，园区污水经本污水处理厂达到《城镇污水处理厂污染物排放标准》一级A标后排入巴河；满足工业重点管控单元普适性管控要求。</w:t>
            </w:r>
          </w:p>
        </w:tc>
        <w:tc>
          <w:tcPr>
            <w:tcW w:w="494" w:type="dxa"/>
            <w:tcBorders>
              <w:tl2br w:val="nil"/>
              <w:tr2bl w:val="nil"/>
            </w:tcBorders>
            <w:noWrap w:val="0"/>
            <w:vAlign w:val="center"/>
          </w:tcPr>
          <w:p w14:paraId="36023E81">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10E1C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56F8B75">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7AEC38EB">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56BD266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461C775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5046E7E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42E14F7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302AD3F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518C475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58DDB21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71102B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11DBC3F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-严格执行《矿产资源开采管理办法》的相关规定。</w:t>
            </w:r>
          </w:p>
          <w:p w14:paraId="76BFFBA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36ABFF1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5BF9368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79320F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4F287F2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w:t>
            </w:r>
          </w:p>
          <w:p w14:paraId="5A44BE0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52C3C38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6E65DCE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（1）为达2025年及2035年环境空气质量目标，14个工业重点管控单元大气污染物允许排放量2025年为：PM2.5允许排放量4950吨、SO2允许排放量3502吨、NOx允许排放量8906吨、VOCs 允许排放量12506吨，2035年为：PM2.5允许排放量4595吨、SO2允许排放量3133吨、NOx允许排放量8656吨、VOCs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2A03FD5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6D92B74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-污水收集处理率达100%。</w:t>
            </w:r>
          </w:p>
          <w:p w14:paraId="637AF6A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708AA72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1FB7B5B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7FEBC0E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1.污染物排放绩效水平准入要求：</w:t>
            </w:r>
          </w:p>
          <w:p w14:paraId="1725E5C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6FC2933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63D6F5D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15C2A1C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6B47090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6B54C88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7CCDD0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746DD2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47E43AB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4896CC7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334AF7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56B19F1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4B0C904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26EACC6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5405C7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6DA916F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06F5D74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2B5937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0C0EEEB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7846B5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112D64C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00126FE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07CAF34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01D851A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0973AD2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E4889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448942A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12D4C79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749316C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6F161D4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03FFD3A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2E564B5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500DAAA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20CF9D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7D71FEA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环境风险防控</w:t>
            </w:r>
          </w:p>
        </w:tc>
        <w:tc>
          <w:tcPr>
            <w:tcW w:w="4130" w:type="dxa"/>
            <w:tcBorders>
              <w:tl2br w:val="nil"/>
              <w:tr2bl w:val="nil"/>
            </w:tcBorders>
            <w:noWrap w:val="0"/>
            <w:vAlign w:val="center"/>
          </w:tcPr>
          <w:p w14:paraId="6031BB3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严格管控类农用地管控要求</w:t>
            </w:r>
          </w:p>
          <w:p w14:paraId="11D8998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2E410E8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安全利用类农用地管控要求</w:t>
            </w:r>
          </w:p>
          <w:p w14:paraId="570FE40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0E5B1419">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污染地块管控要求</w:t>
            </w:r>
          </w:p>
          <w:p w14:paraId="40CF32A2">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1DCE296E">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园区环境风险防控要求</w:t>
            </w:r>
          </w:p>
          <w:p w14:paraId="7B4D33F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高度重视园区环境安全工作，构建“企业-园区-流域”三级防控体系，实现“事故废水不出涉事企业、不出园区管网、不进园区周边水系”的风险防控目标。</w:t>
            </w:r>
          </w:p>
          <w:p w14:paraId="32E55F68">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其他执行工业重点管控单元普适性管控要求。</w:t>
            </w:r>
          </w:p>
          <w:p w14:paraId="09813BF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企业环境风险防控要求</w:t>
            </w:r>
          </w:p>
          <w:p w14:paraId="4276503E">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（1）严禁企业自设工业垃圾填埋场所。</w:t>
            </w:r>
          </w:p>
          <w:p w14:paraId="1FB105D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（2）其他执行工业重点管控单元普适性管控要求。</w:t>
            </w:r>
          </w:p>
          <w:p w14:paraId="049CE886">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其他环境风险防控要求</w:t>
            </w:r>
          </w:p>
          <w:p w14:paraId="6EE3711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7CE5DB2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本项目不设置工业垃圾填埋场，厂区内设置应急体系，并于园区联动，实现“事故废水不出涉事企业、不出园区管网、不进园区周边水系”的风险防控目标，满足工业重点管控单元普适性管控要求</w:t>
            </w:r>
          </w:p>
        </w:tc>
        <w:tc>
          <w:tcPr>
            <w:tcW w:w="494" w:type="dxa"/>
            <w:tcBorders>
              <w:tl2br w:val="nil"/>
              <w:tr2bl w:val="nil"/>
            </w:tcBorders>
            <w:noWrap w:val="0"/>
            <w:vAlign w:val="center"/>
          </w:tcPr>
          <w:p w14:paraId="52EE7E31">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r w14:paraId="0F150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4C928F43">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23BADF27">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2CACA70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空间布局约束：</w:t>
            </w:r>
          </w:p>
          <w:p w14:paraId="5862052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禁止开发建设活动的要求</w:t>
            </w:r>
          </w:p>
          <w:p w14:paraId="6376D28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3849B49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75BE2F4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53BDD20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6CA8018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限制开发建设活动的要求</w:t>
            </w:r>
          </w:p>
          <w:p w14:paraId="012A248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1B77339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-严格执行《矿产资源开采管理办法》的相关规定。</w:t>
            </w:r>
          </w:p>
          <w:p w14:paraId="2C386AE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339A660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不符合空间布局要求活动的退出要求</w:t>
            </w:r>
          </w:p>
          <w:p w14:paraId="5CB8628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5A57338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其他空间布局约束要求</w:t>
            </w:r>
          </w:p>
          <w:p w14:paraId="6186B19C">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w:t>
            </w:r>
          </w:p>
          <w:p w14:paraId="49F0F0E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污染物排放管控：</w:t>
            </w:r>
          </w:p>
          <w:p w14:paraId="25791E5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允许排放量要求</w:t>
            </w:r>
          </w:p>
          <w:p w14:paraId="421239F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（1）为达2025年及2035年环境空气质量目标，14个工业重点管控单元大气污染物允许排放量2025年为：PM2.5允许排放量4950吨、SO2允许排放量3502吨、NOx允许排放量8906吨、VOCs 允许排放量12506吨，2035年为：PM2.5允许排放量4595吨、SO2允许排放量3133吨、NOx允许排放量8656吨、VOCs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4373DD6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现有源提标升级改造</w:t>
            </w:r>
          </w:p>
          <w:p w14:paraId="1356AB9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-污水收集处理率达100%。</w:t>
            </w:r>
          </w:p>
          <w:p w14:paraId="682C0496">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74CCAE0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79A528B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其他污染物排放管控要求</w:t>
            </w:r>
          </w:p>
          <w:p w14:paraId="5053D32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1.污染物排放绩效水平准入要求：</w:t>
            </w:r>
          </w:p>
          <w:p w14:paraId="51263A0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1BAC1E6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58883E8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08FD237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6EB194C4">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2E2A2DA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6433C25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环境风险防控：</w:t>
            </w:r>
          </w:p>
          <w:p w14:paraId="25E81C9E">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联防联控要求</w:t>
            </w:r>
          </w:p>
          <w:p w14:paraId="645A644F">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7BACE44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其他环境风险防控要求</w:t>
            </w:r>
          </w:p>
          <w:p w14:paraId="5BAC90B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6ED9E0F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248D21B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1849C13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23496E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资源开发利用效率要求：</w:t>
            </w:r>
          </w:p>
          <w:p w14:paraId="50613B1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水资源利用总量要求</w:t>
            </w:r>
          </w:p>
          <w:p w14:paraId="6182DA6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57855BD1">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p>
          <w:p w14:paraId="1E24077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地下水开采要求</w:t>
            </w:r>
          </w:p>
          <w:p w14:paraId="3AAC0E39">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112F116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1CD798D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能源利用总量及效率要求</w:t>
            </w:r>
          </w:p>
          <w:p w14:paraId="504E1F3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0FB0C005">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224AF56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1798A7F2">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191441DB">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44EE8618">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禁燃区要求</w:t>
            </w:r>
          </w:p>
          <w:p w14:paraId="278D29A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65C72F43">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其他资源利用效率要求</w:t>
            </w:r>
          </w:p>
          <w:p w14:paraId="5BEE553D">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665DC657">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739D9D4A">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3D27D030">
            <w:pPr>
              <w:pStyle w:val="701"/>
              <w:pageBreakBefore w:val="0"/>
              <w:widowControl w:val="0"/>
              <w:wordWrap/>
              <w:bidi w:val="0"/>
              <w:adjustRightInd/>
              <w:snapToGrid/>
              <w:spacing w:line="240" w:lineRule="auto"/>
              <w:ind w:firstLine="0" w:firstLineChars="0"/>
              <w:jc w:val="both"/>
              <w:rPr>
                <w:rStyle w:val="54"/>
                <w:rFonts w:hint="default" w:ascii="Times New Roman" w:hAnsi="Times New Roman" w:eastAsia="宋体" w:cs="Times New Roman"/>
                <w:color w:val="auto"/>
                <w:kern w:val="0"/>
                <w:sz w:val="21"/>
                <w:szCs w:val="21"/>
                <w:lang w:val="en-US" w:eastAsia="zh-CN" w:bidi="ar-SA"/>
              </w:rPr>
            </w:pPr>
            <w:r>
              <w:rPr>
                <w:rStyle w:val="54"/>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6E65A678">
            <w:pPr>
              <w:pStyle w:val="701"/>
              <w:pageBreakBefore w:val="0"/>
              <w:widowControl/>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20F1182F">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水资源利用效率要求</w:t>
            </w:r>
          </w:p>
          <w:p w14:paraId="35D5839B">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38F2AEC3">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地下水开采要求</w:t>
            </w:r>
          </w:p>
          <w:p w14:paraId="06D13B4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33977B5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能源利用效率要求</w:t>
            </w:r>
          </w:p>
          <w:p w14:paraId="7128BBF0">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执行工业重点管控单元普适性管控要求。</w:t>
            </w:r>
          </w:p>
          <w:p w14:paraId="67DB2ADA">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其他资源利用效率要求</w:t>
            </w:r>
          </w:p>
          <w:p w14:paraId="484AA58C">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113FA274">
            <w:pPr>
              <w:pStyle w:val="701"/>
              <w:pageBreakBefore w:val="0"/>
              <w:widowControl/>
              <w:shd w:val="clear" w:color="auto" w:fill="FFFFFF"/>
              <w:wordWrap/>
              <w:bidi w:val="0"/>
              <w:adjustRightInd/>
              <w:snapToGrid/>
              <w:spacing w:line="240" w:lineRule="auto"/>
              <w:ind w:firstLine="0" w:firstLineChars="0"/>
              <w:jc w:val="left"/>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满足工业重点管控单元普适性管控要求</w:t>
            </w:r>
          </w:p>
        </w:tc>
        <w:tc>
          <w:tcPr>
            <w:tcW w:w="494" w:type="dxa"/>
            <w:tcBorders>
              <w:tl2br w:val="nil"/>
              <w:tr2bl w:val="nil"/>
            </w:tcBorders>
            <w:noWrap w:val="0"/>
            <w:vAlign w:val="center"/>
          </w:tcPr>
          <w:p w14:paraId="1E72C423">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4"/>
                <w:rFonts w:hint="default" w:ascii="Times New Roman" w:hAnsi="Times New Roman" w:eastAsia="宋体" w:cs="Times New Roman"/>
                <w:color w:val="auto"/>
                <w:kern w:val="2"/>
                <w:sz w:val="21"/>
                <w:szCs w:val="21"/>
                <w:lang w:val="en-US" w:eastAsia="zh-CN" w:bidi="ar-SA"/>
              </w:rPr>
            </w:pPr>
            <w:r>
              <w:rPr>
                <w:rStyle w:val="54"/>
                <w:rFonts w:hint="default" w:ascii="Times New Roman" w:hAnsi="Times New Roman" w:eastAsia="宋体" w:cs="Times New Roman"/>
                <w:color w:val="auto"/>
                <w:kern w:val="2"/>
                <w:sz w:val="21"/>
                <w:szCs w:val="21"/>
                <w:lang w:val="en-US" w:eastAsia="zh-CN" w:bidi="ar-SA"/>
              </w:rPr>
              <w:t>符合</w:t>
            </w:r>
          </w:p>
        </w:tc>
      </w:tr>
    </w:tbl>
    <w:p w14:paraId="68D84FEE">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color w:val="auto"/>
        </w:rPr>
      </w:pPr>
      <w:r>
        <w:rPr>
          <w:rFonts w:hint="eastAsia"/>
          <w:color w:val="auto"/>
        </w:rPr>
        <w:t>由上表可知，本项目符合</w:t>
      </w:r>
      <w:r>
        <w:rPr>
          <w:rFonts w:hint="eastAsia"/>
          <w:color w:val="auto"/>
          <w:lang w:eastAsia="zh-CN"/>
        </w:rPr>
        <w:t>巴中市</w:t>
      </w:r>
      <w:r>
        <w:rPr>
          <w:rFonts w:hint="eastAsia"/>
          <w:color w:val="auto"/>
        </w:rPr>
        <w:t>五大区域生态环境管控要求。</w:t>
      </w:r>
    </w:p>
    <w:p w14:paraId="608B9535">
      <w:pPr>
        <w:pageBreakBefore w:val="0"/>
        <w:wordWrap/>
        <w:bidi w:val="0"/>
        <w:adjustRightInd/>
        <w:snapToGrid/>
        <w:ind w:firstLine="480"/>
        <w:rPr>
          <w:rFonts w:hint="eastAsia"/>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r>
        <w:rPr>
          <w:rFonts w:hint="eastAsia"/>
          <w:color w:val="auto"/>
        </w:rPr>
        <w:t>综上所述，项目不在生态保护红线内、未超出环境质量底线及资源利用上线、未列入环境准入负面清单内，因此项目的建设符合</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的要求。</w:t>
      </w:r>
    </w:p>
    <w:p w14:paraId="3AF9DA70">
      <w:pPr>
        <w:pStyle w:val="5"/>
        <w:pageBreakBefore w:val="0"/>
        <w:wordWrap/>
        <w:bidi w:val="0"/>
        <w:adjustRightInd/>
        <w:snapToGrid/>
        <w:rPr>
          <w:color w:val="auto"/>
        </w:rPr>
      </w:pPr>
      <w:r>
        <w:rPr>
          <w:rFonts w:hint="eastAsia"/>
          <w:color w:val="auto"/>
        </w:rPr>
        <w:t xml:space="preserve"> </w:t>
      </w:r>
      <w:r>
        <w:rPr>
          <w:color w:val="auto"/>
        </w:rPr>
        <w:t>项目建设的必要性</w:t>
      </w:r>
    </w:p>
    <w:p w14:paraId="259D1316">
      <w:pPr>
        <w:pageBreakBefore w:val="0"/>
        <w:wordWrap/>
        <w:bidi w:val="0"/>
        <w:adjustRightInd/>
        <w:snapToGrid/>
        <w:rPr>
          <w:b/>
          <w:bCs/>
          <w:i w:val="0"/>
          <w:iCs w:val="0"/>
          <w:color w:val="auto"/>
        </w:rPr>
      </w:pPr>
      <w:r>
        <w:rPr>
          <w:b/>
          <w:bCs/>
          <w:i w:val="0"/>
          <w:iCs w:val="0"/>
          <w:color w:val="auto"/>
        </w:rPr>
        <w:t>1．</w:t>
      </w:r>
      <w:r>
        <w:rPr>
          <w:rFonts w:hint="eastAsia"/>
          <w:b/>
          <w:bCs/>
          <w:i w:val="0"/>
          <w:iCs w:val="0"/>
          <w:color w:val="auto"/>
        </w:rPr>
        <w:t>项目实施是改善当地市政基础设施的需要</w:t>
      </w:r>
    </w:p>
    <w:p w14:paraId="00AFFCF2">
      <w:pPr>
        <w:pageBreakBefore w:val="0"/>
        <w:wordWrap/>
        <w:bidi w:val="0"/>
        <w:adjustRightInd/>
        <w:snapToGrid/>
        <w:rPr>
          <w:color w:val="auto"/>
        </w:rPr>
      </w:pPr>
      <w:r>
        <w:rPr>
          <w:rFonts w:hint="eastAsia"/>
          <w:color w:val="auto"/>
        </w:rPr>
        <w:t>为了改善城乡生活生态投资环境，改善城市形象，拓展城乡发展空间，为巴中曾口</w:t>
      </w:r>
      <w:r>
        <w:rPr>
          <w:rFonts w:hint="eastAsia"/>
          <w:color w:val="auto"/>
          <w:lang w:eastAsia="zh-CN"/>
        </w:rPr>
        <w:t>—</w:t>
      </w:r>
      <w:r>
        <w:rPr>
          <w:rFonts w:hint="eastAsia"/>
          <w:color w:val="auto"/>
        </w:rPr>
        <w:t>金堂化工园区提供良好的市政基础配套设施，增强巴中曾口</w:t>
      </w:r>
      <w:r>
        <w:rPr>
          <w:rFonts w:hint="eastAsia"/>
          <w:color w:val="auto"/>
          <w:lang w:eastAsia="zh-CN"/>
        </w:rPr>
        <w:t>—</w:t>
      </w:r>
      <w:r>
        <w:rPr>
          <w:rFonts w:hint="eastAsia"/>
          <w:color w:val="auto"/>
        </w:rPr>
        <w:t>金堂化工园区的环境承载能力。需要提供更为完善的公共产品及公共服务体系，尤其是要求环境治理、环境保护跟上巴中</w:t>
      </w:r>
      <w:r>
        <w:rPr>
          <w:rFonts w:hint="eastAsia"/>
          <w:color w:val="auto"/>
          <w:lang w:eastAsia="zh-CN"/>
        </w:rPr>
        <w:t>曾口—金堂</w:t>
      </w:r>
      <w:r>
        <w:rPr>
          <w:rFonts w:hint="eastAsia"/>
          <w:color w:val="auto"/>
        </w:rPr>
        <w:t>化工园区建设的步伐，以求满足发展的需要。市政基础设施建设是形成产业链的基础条件，基础设施建设有助于实现巴中</w:t>
      </w:r>
      <w:r>
        <w:rPr>
          <w:rFonts w:hint="eastAsia"/>
          <w:color w:val="auto"/>
          <w:lang w:eastAsia="zh-CN"/>
        </w:rPr>
        <w:t>曾口—金堂</w:t>
      </w:r>
      <w:r>
        <w:rPr>
          <w:rFonts w:hint="eastAsia"/>
          <w:color w:val="auto"/>
        </w:rPr>
        <w:t>化工园区发展规划目标。</w:t>
      </w:r>
    </w:p>
    <w:p w14:paraId="71F5F021">
      <w:pPr>
        <w:pageBreakBefore w:val="0"/>
        <w:numPr>
          <w:ilvl w:val="0"/>
          <w:numId w:val="12"/>
        </w:numPr>
        <w:wordWrap/>
        <w:bidi w:val="0"/>
        <w:adjustRightInd/>
        <w:snapToGrid/>
        <w:rPr>
          <w:rFonts w:hint="eastAsia"/>
          <w:b/>
          <w:bCs/>
          <w:color w:val="auto"/>
        </w:rPr>
      </w:pPr>
      <w:r>
        <w:rPr>
          <w:rFonts w:hint="eastAsia"/>
          <w:b/>
          <w:bCs/>
          <w:color w:val="auto"/>
        </w:rPr>
        <w:t>项目实施是促进经济发展的需要</w:t>
      </w:r>
    </w:p>
    <w:p w14:paraId="0492EC25">
      <w:pPr>
        <w:pageBreakBefore w:val="0"/>
        <w:wordWrap/>
        <w:bidi w:val="0"/>
        <w:adjustRightInd/>
        <w:snapToGrid/>
        <w:rPr>
          <w:color w:val="auto"/>
        </w:rPr>
      </w:pPr>
      <w:r>
        <w:rPr>
          <w:color w:val="auto"/>
        </w:rPr>
        <w:t>根据相关规划，城市发展目标中论述要保护自然形态，组建生态空间，把园区建设成为现代化城市。水环境的治理和改善是生态稳定的先决条件，因此本项目的建设充分贯彻了城市发展战略，完善了区域内污水收集处理系统，将有力地促进</w:t>
      </w:r>
      <w:r>
        <w:rPr>
          <w:rFonts w:hint="eastAsia"/>
          <w:color w:val="auto"/>
          <w:lang w:eastAsia="zh-CN"/>
        </w:rPr>
        <w:t>巴州区</w:t>
      </w:r>
      <w:r>
        <w:rPr>
          <w:color w:val="auto"/>
        </w:rPr>
        <w:t>环境建设的步伐和进程，是实现</w:t>
      </w:r>
      <w:r>
        <w:rPr>
          <w:rFonts w:hint="eastAsia"/>
          <w:color w:val="auto"/>
          <w:lang w:eastAsia="zh-CN"/>
        </w:rPr>
        <w:t>巴州区</w:t>
      </w:r>
      <w:r>
        <w:rPr>
          <w:color w:val="auto"/>
        </w:rPr>
        <w:t>可持续发展的需要。</w:t>
      </w:r>
    </w:p>
    <w:p w14:paraId="241CA648">
      <w:pPr>
        <w:pageBreakBefore w:val="0"/>
        <w:numPr>
          <w:ilvl w:val="0"/>
          <w:numId w:val="12"/>
        </w:numPr>
        <w:wordWrap/>
        <w:bidi w:val="0"/>
        <w:adjustRightInd/>
        <w:snapToGrid/>
        <w:ind w:left="0" w:leftChars="0" w:firstLine="482" w:firstLineChars="200"/>
        <w:rPr>
          <w:rFonts w:hint="eastAsia"/>
          <w:b/>
          <w:bCs/>
          <w:color w:val="auto"/>
        </w:rPr>
      </w:pPr>
      <w:r>
        <w:rPr>
          <w:rFonts w:hint="eastAsia"/>
          <w:b/>
          <w:bCs/>
          <w:color w:val="auto"/>
        </w:rPr>
        <w:t>项目的实施是提高城镇化水平的需要</w:t>
      </w:r>
    </w:p>
    <w:p w14:paraId="2BCC9B67">
      <w:pPr>
        <w:pageBreakBefore w:val="0"/>
        <w:wordWrap/>
        <w:bidi w:val="0"/>
        <w:adjustRightInd/>
        <w:snapToGrid/>
        <w:rPr>
          <w:rFonts w:hint="eastAsia" w:eastAsia="宋体"/>
          <w:color w:val="auto"/>
          <w:lang w:val="en-US" w:eastAsia="zh-CN"/>
        </w:rPr>
      </w:pPr>
      <w:r>
        <w:rPr>
          <w:rFonts w:hint="eastAsia"/>
          <w:color w:val="auto"/>
        </w:rPr>
        <w:t>巴中曾口</w:t>
      </w:r>
      <w:r>
        <w:rPr>
          <w:rFonts w:hint="eastAsia"/>
          <w:color w:val="auto"/>
          <w:lang w:eastAsia="zh-CN"/>
        </w:rPr>
        <w:t>—</w:t>
      </w:r>
      <w:r>
        <w:rPr>
          <w:rFonts w:hint="eastAsia"/>
          <w:color w:val="auto"/>
        </w:rPr>
        <w:t>金堂化工园区市政基础设施的完善程度将成为吸引外来投资的先决条件。现代城镇建设要求合理安排城镇建设，达到保护和改善城镇生态环境，优化人居环境，促进城镇可持续发展的目的。城镇化基础设施，是城镇现代化建设的重要内容，是改善生活环境和提高广大人民群众生活质量的公益事业。随着城镇化进程的加快，原有城镇的区域边界将加快向外扩张，需要更多的基础设施解决新的城市人口的生活需要和支撑经济发展的硬环境。因此，包括城镇道路、市政设施在内的基础设施建设也成为衡量一个地区综合实力的重要指标，决定着一个地区的经济发展后劲和发展活力。这就对市政基础设施建设提出了更高和更加迫切的要求</w:t>
      </w:r>
      <w:r>
        <w:rPr>
          <w:rFonts w:hint="eastAsia"/>
          <w:color w:val="auto"/>
          <w:lang w:eastAsia="zh-CN"/>
        </w:rPr>
        <w:t>。</w:t>
      </w:r>
    </w:p>
    <w:p w14:paraId="5CB2628A">
      <w:pPr>
        <w:pageBreakBefore w:val="0"/>
        <w:wordWrap/>
        <w:bidi w:val="0"/>
        <w:adjustRightInd/>
        <w:snapToGrid/>
        <w:rPr>
          <w:b/>
          <w:bCs/>
          <w:color w:val="auto"/>
        </w:rPr>
      </w:pPr>
      <w:r>
        <w:rPr>
          <w:b/>
          <w:bCs/>
          <w:color w:val="auto"/>
        </w:rPr>
        <w:t>4．</w:t>
      </w:r>
      <w:r>
        <w:rPr>
          <w:rFonts w:hint="eastAsia"/>
          <w:b/>
          <w:bCs/>
          <w:color w:val="auto"/>
        </w:rPr>
        <w:t>项目实施是提高巴中曾口</w:t>
      </w:r>
      <w:r>
        <w:rPr>
          <w:rFonts w:hint="eastAsia"/>
          <w:b/>
          <w:bCs/>
          <w:color w:val="auto"/>
          <w:lang w:eastAsia="zh-CN"/>
        </w:rPr>
        <w:t>—</w:t>
      </w:r>
      <w:r>
        <w:rPr>
          <w:rFonts w:hint="eastAsia"/>
          <w:b/>
          <w:bCs/>
          <w:color w:val="auto"/>
        </w:rPr>
        <w:t>金堂化工园区生态环境保护的需要</w:t>
      </w:r>
    </w:p>
    <w:p w14:paraId="5909ED45">
      <w:pPr>
        <w:pageBreakBefore w:val="0"/>
        <w:wordWrap/>
        <w:bidi w:val="0"/>
        <w:adjustRightInd/>
        <w:snapToGrid/>
        <w:rPr>
          <w:rFonts w:hint="eastAsia"/>
          <w:color w:val="auto"/>
        </w:rPr>
      </w:pPr>
      <w:r>
        <w:rPr>
          <w:rFonts w:hint="eastAsia"/>
          <w:color w:val="auto"/>
        </w:rPr>
        <w:t>通过本项目建设，将改善产业园园区生态环境，改善巴河水质。同时，为该园区污水彻底治理提供保障。也为园区招商引资提高一个良好的生态环境，跟企业入驻门槛，降低企业初期投资成本及运营成本。</w:t>
      </w:r>
    </w:p>
    <w:p w14:paraId="5AD79A13">
      <w:pPr>
        <w:pageBreakBefore w:val="0"/>
        <w:wordWrap/>
        <w:bidi w:val="0"/>
        <w:adjustRightInd/>
        <w:snapToGrid/>
        <w:rPr>
          <w:rFonts w:hint="eastAsia"/>
          <w:color w:val="auto"/>
        </w:rPr>
      </w:pPr>
      <w:r>
        <w:rPr>
          <w:rFonts w:hint="eastAsia"/>
          <w:color w:val="auto"/>
        </w:rPr>
        <w:t>因此，本项目尽早建成对巴中</w:t>
      </w:r>
      <w:r>
        <w:rPr>
          <w:rFonts w:hint="eastAsia"/>
          <w:color w:val="auto"/>
          <w:lang w:eastAsia="zh-CN"/>
        </w:rPr>
        <w:t>曾口—金堂</w:t>
      </w:r>
      <w:r>
        <w:rPr>
          <w:rFonts w:hint="eastAsia"/>
          <w:color w:val="auto"/>
        </w:rPr>
        <w:t>化工园区有着重大意义，对保证排水安全，促进城镇建设及地区经济的持续发展，改善城市生态环境、投资环境，提高居民生活质量等方面，都具有重要的意义，是十分必要的。</w:t>
      </w:r>
    </w:p>
    <w:p w14:paraId="344EE2EE">
      <w:pPr>
        <w:pageBreakBefore w:val="0"/>
        <w:wordWrap/>
        <w:bidi w:val="0"/>
        <w:adjustRightInd/>
        <w:snapToGrid/>
        <w:rPr>
          <w:b/>
          <w:bCs/>
          <w:color w:val="auto"/>
        </w:rPr>
      </w:pPr>
      <w:r>
        <w:rPr>
          <w:b/>
          <w:bCs/>
          <w:color w:val="auto"/>
        </w:rPr>
        <w:t>5．</w:t>
      </w:r>
      <w:r>
        <w:rPr>
          <w:rFonts w:hint="eastAsia"/>
          <w:b/>
          <w:bCs/>
          <w:color w:val="auto"/>
        </w:rPr>
        <w:t>落实科学发展观和构建和谐社会的要求</w:t>
      </w:r>
    </w:p>
    <w:p w14:paraId="569541DB">
      <w:pPr>
        <w:pageBreakBefore w:val="0"/>
        <w:wordWrap/>
        <w:bidi w:val="0"/>
        <w:adjustRightInd/>
        <w:snapToGrid/>
        <w:rPr>
          <w:color w:val="auto"/>
        </w:rPr>
      </w:pPr>
      <w:r>
        <w:rPr>
          <w:rFonts w:hint="eastAsia"/>
          <w:color w:val="auto"/>
        </w:rPr>
        <w:t>按照落实科学发展观和构建社会主义和谐社会的要求，坚持城乡统筹发展，进一步调整国民收入分配格局，走工业反哺农业、城市支持农村的道路，逐步改变城乡二元结构，努力消除城乡协调发展的体制性障碍，促进资源城乡之间合理配置，建立城乡社会事业和基础设施共同发展的运行机制。</w:t>
      </w:r>
    </w:p>
    <w:p w14:paraId="162C2E75">
      <w:pPr>
        <w:pageBreakBefore w:val="0"/>
        <w:wordWrap/>
        <w:bidi w:val="0"/>
        <w:adjustRightInd/>
        <w:snapToGrid/>
        <w:rPr>
          <w:b/>
          <w:bCs/>
          <w:color w:val="auto"/>
        </w:rPr>
      </w:pPr>
      <w:r>
        <w:rPr>
          <w:rFonts w:hint="eastAsia"/>
          <w:b/>
          <w:bCs/>
          <w:color w:val="auto"/>
          <w:lang w:val="en-US" w:eastAsia="zh-CN"/>
        </w:rPr>
        <w:t>6</w:t>
      </w:r>
      <w:r>
        <w:rPr>
          <w:b/>
          <w:bCs/>
          <w:color w:val="auto"/>
        </w:rPr>
        <w:t>．</w:t>
      </w:r>
      <w:r>
        <w:rPr>
          <w:rFonts w:hint="eastAsia"/>
          <w:b/>
          <w:bCs/>
          <w:color w:val="auto"/>
        </w:rPr>
        <w:t>满足园区招商引资的要求</w:t>
      </w:r>
    </w:p>
    <w:p w14:paraId="3FE201A5">
      <w:pPr>
        <w:pageBreakBefore w:val="0"/>
        <w:wordWrap/>
        <w:bidi w:val="0"/>
        <w:adjustRightInd/>
        <w:snapToGrid/>
        <w:rPr>
          <w:rFonts w:hint="eastAsia"/>
          <w:color w:val="auto"/>
        </w:rPr>
      </w:pPr>
      <w:r>
        <w:rPr>
          <w:rFonts w:hint="eastAsia"/>
          <w:color w:val="auto"/>
        </w:rPr>
        <w:t>从目前园区招商引资，很多意向性企业想入驻巴中曾口</w:t>
      </w:r>
      <w:r>
        <w:rPr>
          <w:rFonts w:hint="eastAsia"/>
          <w:color w:val="auto"/>
          <w:lang w:eastAsia="zh-CN"/>
        </w:rPr>
        <w:t>—</w:t>
      </w:r>
      <w:r>
        <w:rPr>
          <w:rFonts w:hint="eastAsia"/>
          <w:color w:val="auto"/>
        </w:rPr>
        <w:t>金堂化工园区，苦于现在工业园污水收集及没有污水处理厂处理污水，而环境保护意识中不能以过往的发展眼光来要求，除了发展经济之外，环境保护也很重要，这</w:t>
      </w:r>
      <w:r>
        <w:rPr>
          <w:rFonts w:hint="eastAsia"/>
          <w:color w:val="auto"/>
          <w:lang w:eastAsia="zh-CN"/>
        </w:rPr>
        <w:t>就</w:t>
      </w:r>
      <w:r>
        <w:rPr>
          <w:rFonts w:hint="eastAsia"/>
          <w:color w:val="auto"/>
        </w:rPr>
        <w:t>入驻的企业提出了更加严格要求，而企业处理污水达到城市综合污水排放标准，势必会加大设备处理的投资，这对企业来说无限增加了投资成本。而该项目的实施可以解决大多数一般污染企业的污水处理问题。而对应严重污染企业，只要污水出来后达到综合污水排放标准三级，就可以直接排入新建的污水处理厂截污管道。</w:t>
      </w:r>
    </w:p>
    <w:p w14:paraId="56E45F8D">
      <w:pPr>
        <w:pageBreakBefore w:val="0"/>
        <w:wordWrap/>
        <w:bidi w:val="0"/>
        <w:adjustRightInd/>
        <w:snapToGrid/>
        <w:rPr>
          <w:color w:val="auto"/>
        </w:rPr>
      </w:pPr>
      <w:r>
        <w:rPr>
          <w:rFonts w:hint="eastAsia"/>
          <w:color w:val="auto"/>
        </w:rPr>
        <w:t>从此意义上来说，一个好的投资环境、生产环境对企业来说是较有很大的吸引力的，可以降低企业的投资成本。从园区招商引资层面上来说，该项目的建设也势在必行。</w:t>
      </w:r>
    </w:p>
    <w:p w14:paraId="09B5046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环境功能区划</w:t>
      </w:r>
    </w:p>
    <w:p w14:paraId="6CBB4BF3">
      <w:pPr>
        <w:pageBreakBefore w:val="0"/>
        <w:wordWrap/>
        <w:bidi w:val="0"/>
        <w:adjustRightInd/>
        <w:snapToGrid/>
        <w:ind w:firstLine="482"/>
        <w:rPr>
          <w:b/>
          <w:color w:val="auto"/>
        </w:rPr>
      </w:pPr>
      <w:r>
        <w:rPr>
          <w:b/>
          <w:color w:val="auto"/>
        </w:rPr>
        <w:t>1、环境空气</w:t>
      </w:r>
    </w:p>
    <w:p w14:paraId="049DC21C">
      <w:pPr>
        <w:pageBreakBefore w:val="0"/>
        <w:wordWrap/>
        <w:bidi w:val="0"/>
        <w:adjustRightInd/>
        <w:snapToGrid/>
        <w:ind w:firstLine="480"/>
        <w:rPr>
          <w:color w:val="auto"/>
        </w:rPr>
      </w:pPr>
      <w:r>
        <w:rPr>
          <w:color w:val="auto"/>
        </w:rPr>
        <w:t>本项目位于</w:t>
      </w:r>
      <w:r>
        <w:rPr>
          <w:rFonts w:hint="eastAsia"/>
          <w:color w:val="auto"/>
          <w:lang w:eastAsia="zh-CN"/>
        </w:rPr>
        <w:t>巴中巴州区</w:t>
      </w:r>
      <w:r>
        <w:rPr>
          <w:color w:val="auto"/>
        </w:rPr>
        <w:t>内，项目所在地周边主要为工业企业和绿地，因此，本项目所在地为二类环境空气功能区。</w:t>
      </w:r>
    </w:p>
    <w:p w14:paraId="7F9A204C">
      <w:pPr>
        <w:pageBreakBefore w:val="0"/>
        <w:wordWrap/>
        <w:bidi w:val="0"/>
        <w:adjustRightInd/>
        <w:snapToGrid/>
        <w:ind w:firstLine="482"/>
        <w:rPr>
          <w:b/>
          <w:color w:val="auto"/>
        </w:rPr>
      </w:pPr>
      <w:r>
        <w:rPr>
          <w:b/>
          <w:color w:val="auto"/>
        </w:rPr>
        <w:t>2、地表水</w:t>
      </w:r>
    </w:p>
    <w:p w14:paraId="20906DC7">
      <w:pPr>
        <w:pageBreakBefore w:val="0"/>
        <w:wordWrap/>
        <w:bidi w:val="0"/>
        <w:adjustRightInd/>
        <w:snapToGrid/>
        <w:ind w:firstLine="480"/>
        <w:rPr>
          <w:b/>
          <w:color w:val="auto"/>
        </w:rPr>
      </w:pPr>
      <w:r>
        <w:rPr>
          <w:color w:val="auto"/>
        </w:rPr>
        <w:t>项目尾水处理达标后排入</w:t>
      </w:r>
      <w:r>
        <w:rPr>
          <w:rFonts w:hint="eastAsia"/>
          <w:color w:val="auto"/>
          <w:lang w:eastAsia="zh-CN"/>
        </w:rPr>
        <w:t>巴河</w:t>
      </w:r>
      <w:r>
        <w:rPr>
          <w:color w:val="auto"/>
        </w:rPr>
        <w:t>，为</w:t>
      </w:r>
      <w:r>
        <w:rPr>
          <w:color w:val="auto"/>
        </w:rPr>
        <w:fldChar w:fldCharType="begin"/>
      </w:r>
      <w:r>
        <w:rPr>
          <w:color w:val="auto"/>
        </w:rPr>
        <w:instrText xml:space="preserve"> = 3 \* ROMAN </w:instrText>
      </w:r>
      <w:r>
        <w:rPr>
          <w:color w:val="auto"/>
        </w:rPr>
        <w:fldChar w:fldCharType="separate"/>
      </w:r>
      <w:r>
        <w:rPr>
          <w:color w:val="auto"/>
        </w:rPr>
        <w:t>II</w:t>
      </w:r>
      <w:r>
        <w:rPr>
          <w:color w:val="auto"/>
        </w:rPr>
        <w:fldChar w:fldCharType="end"/>
      </w:r>
      <w:r>
        <w:rPr>
          <w:color w:val="auto"/>
        </w:rPr>
        <w:t>类水域功能区。</w:t>
      </w:r>
    </w:p>
    <w:p w14:paraId="42F21247">
      <w:pPr>
        <w:pageBreakBefore w:val="0"/>
        <w:wordWrap/>
        <w:bidi w:val="0"/>
        <w:adjustRightInd/>
        <w:snapToGrid/>
        <w:ind w:firstLine="482"/>
        <w:rPr>
          <w:b/>
          <w:color w:val="auto"/>
        </w:rPr>
      </w:pPr>
      <w:r>
        <w:rPr>
          <w:b/>
          <w:color w:val="auto"/>
        </w:rPr>
        <w:t>3、地下水</w:t>
      </w:r>
    </w:p>
    <w:p w14:paraId="51F4B50A">
      <w:pPr>
        <w:ind w:firstLine="480"/>
        <w:rPr>
          <w:rFonts w:hint="default" w:ascii="Times New Roman" w:hAnsi="Times New Roman" w:cs="Times New Roman"/>
          <w:color w:val="auto"/>
        </w:rPr>
      </w:pPr>
      <w:bookmarkStart w:id="58" w:name="_Toc317974768"/>
      <w:bookmarkStart w:id="59" w:name="_Toc317876402"/>
      <w:bookmarkStart w:id="60" w:name="_Toc317876328"/>
      <w:bookmarkStart w:id="61" w:name="_Toc317876254"/>
      <w:bookmarkStart w:id="62" w:name="_Toc327221702"/>
      <w:bookmarkStart w:id="63" w:name="_Toc317876073"/>
      <w:r>
        <w:rPr>
          <w:rFonts w:hint="default" w:ascii="Times New Roman" w:hAnsi="Times New Roman" w:cs="Times New Roman"/>
          <w:color w:val="auto"/>
        </w:rPr>
        <w:t>地下水系统是一个具有综合服务功能的开放系统，是维持社会经济发展的重要供水水源，也是维持生态环境系统稳定的重要因素。本次评价确定工程区地下水环境功能从两个方面进行：</w:t>
      </w:r>
    </w:p>
    <w:p w14:paraId="33D22D21">
      <w:pPr>
        <w:ind w:firstLine="480"/>
        <w:rPr>
          <w:rFonts w:hint="default" w:ascii="Times New Roman" w:hAnsi="Times New Roman" w:cs="Times New Roman"/>
          <w:color w:val="auto"/>
        </w:rPr>
      </w:pPr>
      <w:r>
        <w:rPr>
          <w:rFonts w:hint="default" w:ascii="Times New Roman" w:hAnsi="Times New Roman" w:cs="Times New Roman"/>
          <w:color w:val="auto"/>
        </w:rPr>
        <w:t>（1）依据《全国地下水功能区划分技术大纲》的要求和规定；</w:t>
      </w:r>
    </w:p>
    <w:p w14:paraId="211A256E">
      <w:pPr>
        <w:ind w:firstLine="480"/>
        <w:rPr>
          <w:rFonts w:hint="default" w:ascii="Times New Roman" w:hAnsi="Times New Roman" w:cs="Times New Roman"/>
          <w:color w:val="auto"/>
        </w:rPr>
      </w:pPr>
      <w:r>
        <w:rPr>
          <w:rFonts w:hint="default" w:ascii="Times New Roman" w:hAnsi="Times New Roman" w:cs="Times New Roman"/>
          <w:color w:val="auto"/>
        </w:rPr>
        <w:t>（2）根据实地调查的本项目工程区地下水环境状况。</w:t>
      </w:r>
    </w:p>
    <w:p w14:paraId="031AA9A8">
      <w:pPr>
        <w:ind w:firstLine="480"/>
        <w:rPr>
          <w:rFonts w:hint="default" w:ascii="Times New Roman" w:hAnsi="Times New Roman" w:cs="Times New Roman"/>
          <w:color w:val="auto"/>
        </w:rPr>
      </w:pPr>
      <w:r>
        <w:rPr>
          <w:rFonts w:hint="default" w:ascii="Times New Roman" w:hAnsi="Times New Roman" w:cs="Times New Roman"/>
          <w:color w:val="auto"/>
        </w:rPr>
        <w:t>简述如下：</w:t>
      </w:r>
    </w:p>
    <w:p w14:paraId="30EB4A74">
      <w:pPr>
        <w:ind w:firstLine="480"/>
        <w:rPr>
          <w:rFonts w:hint="default" w:ascii="Times New Roman" w:hAnsi="Times New Roman" w:cs="Times New Roman"/>
          <w:color w:val="auto"/>
        </w:rPr>
      </w:pPr>
      <w:r>
        <w:rPr>
          <w:rFonts w:hint="default" w:ascii="Times New Roman" w:hAnsi="Times New Roman" w:cs="Times New Roman"/>
          <w:color w:val="auto"/>
        </w:rPr>
        <w:t>（1）关于地下水功能及其划分</w:t>
      </w:r>
    </w:p>
    <w:p w14:paraId="4D94155D">
      <w:pPr>
        <w:ind w:firstLine="480"/>
        <w:rPr>
          <w:rFonts w:hint="default" w:ascii="Times New Roman" w:hAnsi="Times New Roman" w:cs="Times New Roman"/>
          <w:color w:val="auto"/>
        </w:rPr>
      </w:pPr>
      <w:r>
        <w:rPr>
          <w:rFonts w:hint="default" w:ascii="Times New Roman" w:hAnsi="Times New Roman" w:cs="Times New Roman"/>
          <w:color w:val="auto"/>
        </w:rPr>
        <w:t>地下水功能是指地下水的水质和水量及其在空间和时间上的变化对人类社会和环境所产生的作用或效应，它由地下水的资源功能、生态环境功能和地质环境功能组成。</w:t>
      </w:r>
    </w:p>
    <w:p w14:paraId="45047DBB">
      <w:pPr>
        <w:ind w:firstLine="480"/>
        <w:rPr>
          <w:rFonts w:hint="default" w:ascii="Times New Roman" w:hAnsi="Times New Roman" w:cs="Times New Roman"/>
          <w:color w:val="auto"/>
        </w:rPr>
      </w:pPr>
      <w:r>
        <w:rPr>
          <w:rFonts w:hint="default" w:ascii="Times New Roman" w:hAnsi="Times New Roman" w:cs="Times New Roman"/>
          <w:color w:val="auto"/>
        </w:rPr>
        <w:t>1）地下水的资源功能是指具备一定的补给、储存和更新条件的地下水资源供给保障作用或效应。为了保持地下水的资源供给功能，首先在水量上，地下水要得到可持续的稳定补给，这样才能保障可持续开发。</w:t>
      </w:r>
    </w:p>
    <w:p w14:paraId="58584CD1">
      <w:pPr>
        <w:ind w:firstLine="480"/>
        <w:rPr>
          <w:rFonts w:hint="default" w:ascii="Times New Roman" w:hAnsi="Times New Roman" w:cs="Times New Roman"/>
          <w:color w:val="auto"/>
        </w:rPr>
      </w:pPr>
      <w:r>
        <w:rPr>
          <w:rFonts w:hint="default" w:ascii="Times New Roman" w:hAnsi="Times New Roman" w:cs="Times New Roman"/>
          <w:color w:val="auto"/>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补给和调节。地下水位下降和水质恶化对地表生态系统会带来严重影响。</w:t>
      </w:r>
    </w:p>
    <w:p w14:paraId="4E87DE9E">
      <w:pPr>
        <w:ind w:firstLine="480"/>
        <w:rPr>
          <w:rFonts w:hint="default" w:ascii="Times New Roman" w:hAnsi="Times New Roman" w:cs="Times New Roman"/>
          <w:color w:val="auto"/>
        </w:rPr>
      </w:pPr>
      <w:r>
        <w:rPr>
          <w:rFonts w:hint="default" w:ascii="Times New Roman" w:hAnsi="Times New Roman" w:cs="Times New Roman"/>
          <w:color w:val="auto"/>
        </w:rPr>
        <w:t>3）地下水的地质环境功能是指地下水的地质安全保障功能，是指地下水系统对其所赋存的地质环境稳定性所具有支撑和保护的作用或效应，如果地下水系统发生变化，则地质环境出现相应的改变。</w:t>
      </w:r>
    </w:p>
    <w:p w14:paraId="4D74346E">
      <w:pPr>
        <w:ind w:firstLine="480"/>
        <w:rPr>
          <w:rFonts w:hint="default" w:ascii="Times New Roman" w:hAnsi="Times New Roman" w:cs="Times New Roman"/>
          <w:color w:val="auto"/>
        </w:rPr>
      </w:pPr>
      <w:r>
        <w:rPr>
          <w:rFonts w:hint="default" w:ascii="Times New Roman" w:hAnsi="Times New Roman" w:cs="Times New Roman"/>
          <w:color w:val="auto"/>
        </w:rPr>
        <w:t>（2）地下水环境调查</w:t>
      </w:r>
    </w:p>
    <w:p w14:paraId="7E0C426A">
      <w:pPr>
        <w:ind w:firstLine="480"/>
        <w:rPr>
          <w:rFonts w:hint="default" w:ascii="Times New Roman" w:hAnsi="Times New Roman" w:cs="Times New Roman"/>
          <w:color w:val="auto"/>
        </w:rPr>
      </w:pPr>
      <w:r>
        <w:rPr>
          <w:rFonts w:hint="default" w:ascii="Times New Roman" w:hAnsi="Times New Roman" w:cs="Times New Roman"/>
          <w:color w:val="auto"/>
        </w:rPr>
        <w:t>通过对评价区环境状况、地下水、地表水及居民用水调查，本项目评价区地下水类型包括第四系松散岩类孔隙水和基岩裂隙水，其中松散岩类孔隙水赋存于第四系冲积层（Q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）及第四系上更新冲积层上段（Q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）冲积层孔隙中，基岩裂隙水赋存于白垩系下统白龙组（K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b）浅层裂隙风化带中。</w:t>
      </w:r>
    </w:p>
    <w:p w14:paraId="375CD046">
      <w:pPr>
        <w:ind w:firstLine="480"/>
        <w:rPr>
          <w:rFonts w:hint="default" w:ascii="Times New Roman" w:hAnsi="Times New Roman" w:cs="Times New Roman"/>
          <w:color w:val="auto"/>
        </w:rPr>
      </w:pPr>
      <w:r>
        <w:rPr>
          <w:rFonts w:hint="default" w:ascii="Times New Roman" w:hAnsi="Times New Roman" w:cs="Times New Roman"/>
          <w:color w:val="auto"/>
        </w:rPr>
        <w:t>根据现场调查，项目位于巴中市巴州区曾口镇寿星村13组，区域不涉及已有或规划的地下水集中式饮用水水源保护区以及与地下水环境相关的其它保护区，也不属于已有或规划的集中式饮用水水源补给径流区。项目场址附近分布有寿星村散居农户（部分待拆迁），经调查，评价范围内共存在散户居民约25户53人，地下水资源的开发利用主要为当地散户居民的分散式饮用地下水井，大部分为1户1井，少部分为2~3户合用1井，共存在分散饮用水井约16口，其</w:t>
      </w:r>
      <w:r>
        <w:rPr>
          <w:rFonts w:hint="default" w:ascii="Times New Roman" w:hAnsi="Times New Roman" w:eastAsia="宋体" w:cs="Times New Roman"/>
          <w:snapToGrid w:val="0"/>
          <w:color w:val="auto"/>
          <w:kern w:val="0"/>
          <w:szCs w:val="24"/>
        </w:rPr>
        <w:t>居民井</w:t>
      </w:r>
      <w:r>
        <w:rPr>
          <w:rFonts w:hint="default" w:ascii="Times New Roman" w:hAnsi="Times New Roman" w:cs="Times New Roman"/>
          <w:color w:val="auto"/>
        </w:rPr>
        <w:t>地下水枯水期水位埋深约0.61</w:t>
      </w:r>
      <w:r>
        <w:rPr>
          <w:rFonts w:hint="eastAsia" w:ascii="Times New Roman" w:hAnsi="Times New Roman" w:cs="Times New Roman"/>
          <w:color w:val="auto"/>
          <w:lang w:val="en-US" w:eastAsia="zh-CN"/>
        </w:rPr>
        <w:t>~</w:t>
      </w:r>
      <w:r>
        <w:rPr>
          <w:rFonts w:hint="default" w:ascii="Times New Roman" w:hAnsi="Times New Roman" w:cs="Times New Roman"/>
          <w:color w:val="auto"/>
        </w:rPr>
        <w:t>4.90m，丰水期水位埋深约为0.10~4.10m，开采方式主要为大口井、管井开采等方式，无集中式地下水饮用水源地。评价范围内无大型企业取用地下水，评价区未出现突出的水资源利用问题。</w:t>
      </w:r>
    </w:p>
    <w:p w14:paraId="7EAED954">
      <w:pPr>
        <w:ind w:firstLine="480"/>
        <w:rPr>
          <w:rFonts w:hint="default" w:ascii="Times New Roman" w:hAnsi="Times New Roman" w:cs="Times New Roman"/>
          <w:color w:val="auto"/>
          <w:szCs w:val="24"/>
        </w:rPr>
      </w:pPr>
      <w:r>
        <w:rPr>
          <w:rFonts w:hint="default" w:ascii="Times New Roman" w:hAnsi="Times New Roman" w:cs="Times New Roman"/>
          <w:color w:val="auto"/>
          <w:kern w:val="0"/>
        </w:rPr>
        <w:t>综上，</w:t>
      </w:r>
      <w:r>
        <w:rPr>
          <w:rFonts w:hint="default" w:ascii="Times New Roman" w:hAnsi="Times New Roman" w:cs="Times New Roman"/>
          <w:color w:val="auto"/>
        </w:rPr>
        <w:t>本项目评价区内地下水未得以集中开发和利用，仅作为部分零星散户居民的分散饮用水源，且无与地下水相关的水源保护区和其它资源保护区。根据《全国地下水功能区划分技术大纲》的要求和实地调查项目区的地下水环境状况，本项目评价区地下水</w:t>
      </w:r>
      <w:r>
        <w:rPr>
          <w:rFonts w:hint="default" w:ascii="Times New Roman" w:hAnsi="Times New Roman" w:cs="Times New Roman"/>
          <w:color w:val="auto"/>
          <w:szCs w:val="24"/>
        </w:rPr>
        <w:t>环境的主要功能为分散供水和生态涵养功能。</w:t>
      </w:r>
    </w:p>
    <w:p w14:paraId="1CD14598">
      <w:pPr>
        <w:spacing w:after="120" w:line="240" w:lineRule="auto"/>
        <w:ind w:firstLine="0" w:firstLineChars="0"/>
        <w:jc w:val="center"/>
        <w:rPr>
          <w:rFonts w:cs="Times New Roman"/>
          <w:b/>
          <w:color w:val="auto"/>
          <w:sz w:val="21"/>
        </w:rPr>
      </w:pPr>
      <w:r>
        <w:rPr>
          <w:color w:val="auto"/>
        </w:rPr>
        <w:drawing>
          <wp:inline distT="0" distB="0" distL="0" distR="0">
            <wp:extent cx="2591435" cy="2320290"/>
            <wp:effectExtent l="0" t="0" r="18415" b="3810"/>
            <wp:docPr id="1307854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54474" name="图片 1"/>
                    <pic:cNvPicPr>
                      <a:picLocks noChangeAspect="1"/>
                    </pic:cNvPicPr>
                  </pic:nvPicPr>
                  <pic:blipFill>
                    <a:blip r:embed="rId41"/>
                    <a:stretch>
                      <a:fillRect/>
                    </a:stretch>
                  </pic:blipFill>
                  <pic:spPr>
                    <a:xfrm>
                      <a:off x="0" y="0"/>
                      <a:ext cx="2593031" cy="2321458"/>
                    </a:xfrm>
                    <a:prstGeom prst="rect">
                      <a:avLst/>
                    </a:prstGeom>
                  </pic:spPr>
                </pic:pic>
              </a:graphicData>
            </a:graphic>
          </wp:inline>
        </w:drawing>
      </w:r>
      <w:r>
        <w:rPr>
          <w:rFonts w:hint="eastAsia" w:cs="Times New Roman"/>
          <w:b/>
          <w:color w:val="auto"/>
          <w:sz w:val="21"/>
        </w:rPr>
        <w:t xml:space="preserve"> </w:t>
      </w:r>
      <w:r>
        <w:rPr>
          <w:color w:val="auto"/>
        </w:rPr>
        <w:drawing>
          <wp:inline distT="0" distB="0" distL="0" distR="0">
            <wp:extent cx="2537460" cy="2311400"/>
            <wp:effectExtent l="0" t="0" r="15240" b="12700"/>
            <wp:docPr id="1657990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90532" name="图片 1"/>
                    <pic:cNvPicPr>
                      <a:picLocks noChangeAspect="1"/>
                    </pic:cNvPicPr>
                  </pic:nvPicPr>
                  <pic:blipFill>
                    <a:blip r:embed="rId42"/>
                    <a:srcRect b="9499"/>
                    <a:stretch>
                      <a:fillRect/>
                    </a:stretch>
                  </pic:blipFill>
                  <pic:spPr>
                    <a:xfrm>
                      <a:off x="0" y="0"/>
                      <a:ext cx="2552331" cy="2325101"/>
                    </a:xfrm>
                    <a:prstGeom prst="rect">
                      <a:avLst/>
                    </a:prstGeom>
                    <a:ln>
                      <a:noFill/>
                    </a:ln>
                  </pic:spPr>
                </pic:pic>
              </a:graphicData>
            </a:graphic>
          </wp:inline>
        </w:drawing>
      </w:r>
    </w:p>
    <w:p w14:paraId="2816FA04">
      <w:pPr>
        <w:spacing w:after="120" w:line="240" w:lineRule="auto"/>
        <w:ind w:firstLine="0" w:firstLineChars="0"/>
        <w:jc w:val="center"/>
        <w:rPr>
          <w:b/>
          <w:color w:val="auto"/>
        </w:rPr>
      </w:pPr>
      <w:r>
        <w:rPr>
          <w:rFonts w:cs="Times New Roman"/>
          <w:b/>
          <w:color w:val="auto"/>
          <w:sz w:val="21"/>
        </w:rPr>
        <w:t>图</w:t>
      </w:r>
      <w:r>
        <w:rPr>
          <w:rFonts w:hint="eastAsia" w:cs="Times New Roman"/>
          <w:b/>
          <w:color w:val="auto"/>
          <w:sz w:val="21"/>
          <w:lang w:val="en-US" w:eastAsia="zh-CN"/>
        </w:rPr>
        <w:t>1.5</w:t>
      </w:r>
      <w:r>
        <w:rPr>
          <w:rFonts w:cs="Times New Roman"/>
          <w:b/>
          <w:color w:val="auto"/>
          <w:sz w:val="21"/>
        </w:rPr>
        <w:t>-</w:t>
      </w:r>
      <w:r>
        <w:rPr>
          <w:rFonts w:hint="eastAsia" w:cs="Times New Roman"/>
          <w:b/>
          <w:color w:val="auto"/>
          <w:sz w:val="21"/>
          <w:lang w:val="en-US" w:eastAsia="zh-CN"/>
        </w:rPr>
        <w:t>6</w:t>
      </w:r>
      <w:r>
        <w:rPr>
          <w:rFonts w:cs="Times New Roman"/>
          <w:b/>
          <w:color w:val="auto"/>
          <w:sz w:val="21"/>
        </w:rPr>
        <w:t xml:space="preserve">  分散农户水井现状照片</w:t>
      </w:r>
      <w:bookmarkEnd w:id="58"/>
      <w:bookmarkEnd w:id="59"/>
      <w:bookmarkEnd w:id="60"/>
      <w:bookmarkEnd w:id="61"/>
      <w:bookmarkEnd w:id="62"/>
      <w:bookmarkEnd w:id="63"/>
    </w:p>
    <w:p w14:paraId="4EFFDD90">
      <w:pPr>
        <w:pageBreakBefore w:val="0"/>
        <w:wordWrap/>
        <w:bidi w:val="0"/>
        <w:adjustRightInd/>
        <w:snapToGrid/>
        <w:ind w:firstLine="482"/>
        <w:rPr>
          <w:b/>
          <w:color w:val="auto"/>
        </w:rPr>
      </w:pPr>
      <w:r>
        <w:rPr>
          <w:b/>
          <w:color w:val="auto"/>
        </w:rPr>
        <w:t>4、声环境</w:t>
      </w:r>
    </w:p>
    <w:p w14:paraId="5E41632D">
      <w:pPr>
        <w:pageBreakBefore w:val="0"/>
        <w:wordWrap/>
        <w:bidi w:val="0"/>
        <w:adjustRightInd/>
        <w:snapToGrid/>
        <w:ind w:firstLine="480"/>
        <w:rPr>
          <w:color w:val="auto"/>
        </w:rPr>
      </w:pPr>
      <w:r>
        <w:rPr>
          <w:color w:val="auto"/>
        </w:rPr>
        <w:t>本项目位于</w:t>
      </w:r>
      <w:r>
        <w:rPr>
          <w:rFonts w:hint="eastAsia"/>
          <w:color w:val="auto"/>
          <w:lang w:eastAsia="zh-CN"/>
        </w:rPr>
        <w:t>巴中巴州区</w:t>
      </w:r>
      <w:r>
        <w:rPr>
          <w:color w:val="auto"/>
        </w:rPr>
        <w:t>，为</w:t>
      </w:r>
      <w:r>
        <w:rPr>
          <w:rFonts w:hint="eastAsia"/>
          <w:color w:val="auto"/>
          <w:lang w:val="en-US" w:eastAsia="zh-CN"/>
        </w:rPr>
        <w:t>2</w:t>
      </w:r>
      <w:r>
        <w:rPr>
          <w:color w:val="auto"/>
        </w:rPr>
        <w:t>类声环境功能区。</w:t>
      </w:r>
    </w:p>
    <w:p w14:paraId="68633593">
      <w:pPr>
        <w:pStyle w:val="4"/>
        <w:pageBreakBefore w:val="0"/>
        <w:wordWrap/>
        <w:bidi w:val="0"/>
        <w:adjustRightInd/>
        <w:snapToGrid/>
        <w:rPr>
          <w:rFonts w:ascii="Times New Roman" w:hAnsi="Times New Roman" w:eastAsia="宋体"/>
          <w:color w:val="auto"/>
        </w:rPr>
      </w:pPr>
      <w:bookmarkStart w:id="64" w:name="_Toc10385"/>
      <w:r>
        <w:rPr>
          <w:rFonts w:hint="eastAsia" w:ascii="Times New Roman" w:hAnsi="Times New Roman" w:eastAsia="宋体"/>
          <w:color w:val="auto"/>
        </w:rPr>
        <w:t xml:space="preserve"> </w:t>
      </w:r>
      <w:bookmarkStart w:id="65" w:name="_Toc18644"/>
      <w:r>
        <w:rPr>
          <w:rFonts w:ascii="Times New Roman" w:hAnsi="Times New Roman" w:eastAsia="宋体"/>
          <w:color w:val="auto"/>
        </w:rPr>
        <w:t>项目外环境关系及选址合理性分析</w:t>
      </w:r>
      <w:bookmarkEnd w:id="64"/>
      <w:bookmarkEnd w:id="65"/>
    </w:p>
    <w:p w14:paraId="71E5F30E">
      <w:pPr>
        <w:pStyle w:val="5"/>
        <w:pageBreakBefore w:val="0"/>
        <w:wordWrap/>
        <w:bidi w:val="0"/>
        <w:adjustRightInd/>
        <w:snapToGrid/>
        <w:rPr>
          <w:color w:val="auto"/>
        </w:rPr>
      </w:pPr>
      <w:r>
        <w:rPr>
          <w:rFonts w:hint="eastAsia"/>
          <w:color w:val="auto"/>
          <w:lang w:val="en-US" w:eastAsia="zh-CN"/>
        </w:rPr>
        <w:t xml:space="preserve"> </w:t>
      </w:r>
      <w:r>
        <w:rPr>
          <w:color w:val="auto"/>
        </w:rPr>
        <w:t>项目外环境关系</w:t>
      </w:r>
    </w:p>
    <w:p w14:paraId="6ED859DD">
      <w:pPr>
        <w:pageBreakBefore w:val="0"/>
        <w:wordWrap/>
        <w:bidi w:val="0"/>
        <w:adjustRightInd/>
        <w:snapToGrid/>
        <w:ind w:firstLine="480"/>
        <w:rPr>
          <w:rFonts w:hint="default" w:eastAsia="宋体"/>
          <w:color w:val="auto"/>
          <w:lang w:val="en-US" w:eastAsia="zh-CN"/>
        </w:rPr>
      </w:pPr>
      <w:r>
        <w:rPr>
          <w:color w:val="auto"/>
        </w:rPr>
        <w:t>项目位于</w:t>
      </w:r>
      <w:r>
        <w:rPr>
          <w:rFonts w:hint="eastAsia"/>
          <w:color w:val="auto"/>
          <w:lang w:eastAsia="zh-CN"/>
        </w:rPr>
        <w:t>巴州区曾口镇寿星村13组</w:t>
      </w:r>
      <w:r>
        <w:rPr>
          <w:color w:val="auto"/>
        </w:rPr>
        <w:t>，项目</w:t>
      </w:r>
      <w:r>
        <w:rPr>
          <w:rFonts w:hint="eastAsia"/>
          <w:color w:val="auto"/>
          <w:lang w:val="en-US" w:eastAsia="zh-CN"/>
        </w:rPr>
        <w:t>南侧紧邻S409省道，约80m为巴河，跨河355m有10户散居居民；西侧200m、280m、290m分别有1户，2户和5户散居居民；北侧10m、220m、265m分别有3户、2户和6户散居居民；东侧10m、12m、50m、215m分别有1户、2户、5户和1户散居居民；其余为林地或者耕地。</w:t>
      </w:r>
    </w:p>
    <w:p w14:paraId="3081B9C2">
      <w:pPr>
        <w:pageBreakBefore w:val="0"/>
        <w:wordWrap/>
        <w:bidi w:val="0"/>
        <w:adjustRightInd/>
        <w:snapToGrid/>
        <w:ind w:firstLine="480"/>
        <w:rPr>
          <w:rFonts w:hint="eastAsia"/>
          <w:color w:val="auto"/>
        </w:rPr>
      </w:pPr>
      <w:r>
        <w:rPr>
          <w:rFonts w:hint="eastAsia"/>
          <w:color w:val="auto"/>
        </w:rPr>
        <w:t>根据调查，项目拟建排口下游</w:t>
      </w:r>
      <w:r>
        <w:rPr>
          <w:rFonts w:hint="eastAsia"/>
          <w:color w:val="auto"/>
          <w:lang w:val="en-US" w:eastAsia="zh-CN"/>
        </w:rPr>
        <w:t>约8.7k</w:t>
      </w:r>
      <w:r>
        <w:rPr>
          <w:rFonts w:hint="eastAsia"/>
          <w:color w:val="auto"/>
        </w:rPr>
        <w:t>m为国控考核断面-</w:t>
      </w:r>
      <w:r>
        <w:rPr>
          <w:rFonts w:hint="eastAsia"/>
          <w:color w:val="auto"/>
          <w:lang w:val="en-US" w:eastAsia="zh-CN"/>
        </w:rPr>
        <w:t>金碑</w:t>
      </w:r>
      <w:r>
        <w:rPr>
          <w:rFonts w:hint="eastAsia"/>
          <w:color w:val="auto"/>
        </w:rPr>
        <w:t>断面，下游10km范围无集中式地表水饮用水源取水口，不涉及饮用水源保护区等敏感区域。</w:t>
      </w:r>
    </w:p>
    <w:p w14:paraId="1F3DDFFD">
      <w:pPr>
        <w:pageBreakBefore w:val="0"/>
        <w:wordWrap/>
        <w:bidi w:val="0"/>
        <w:adjustRightInd/>
        <w:snapToGrid/>
        <w:ind w:firstLine="480"/>
        <w:rPr>
          <w:color w:val="auto"/>
        </w:rPr>
      </w:pPr>
      <w:r>
        <w:rPr>
          <w:rFonts w:hint="eastAsia"/>
          <w:color w:val="auto"/>
        </w:rPr>
        <w:t>综上，项目所在区域周围评价范围内无自然保护区、风景名胜区、文物保护单位、饮用水源取水口等特殊环境敏感区。</w:t>
      </w:r>
    </w:p>
    <w:p w14:paraId="721C479D">
      <w:pPr>
        <w:pStyle w:val="5"/>
        <w:pageBreakBefore w:val="0"/>
        <w:wordWrap/>
        <w:bidi w:val="0"/>
        <w:adjustRightInd/>
        <w:snapToGrid/>
        <w:rPr>
          <w:color w:val="auto"/>
        </w:rPr>
      </w:pPr>
      <w:r>
        <w:rPr>
          <w:rFonts w:hint="eastAsia"/>
          <w:color w:val="auto"/>
          <w:lang w:val="en-US" w:eastAsia="zh-CN"/>
        </w:rPr>
        <w:t xml:space="preserve"> </w:t>
      </w:r>
      <w:r>
        <w:rPr>
          <w:color w:val="auto"/>
        </w:rPr>
        <w:t>项目主要环境保护目标</w:t>
      </w:r>
    </w:p>
    <w:p w14:paraId="066B76DA">
      <w:pPr>
        <w:pageBreakBefore w:val="0"/>
        <w:wordWrap/>
        <w:bidi w:val="0"/>
        <w:adjustRightInd/>
        <w:snapToGrid/>
        <w:ind w:firstLine="480"/>
        <w:rPr>
          <w:color w:val="auto"/>
        </w:rPr>
      </w:pPr>
      <w:r>
        <w:rPr>
          <w:color w:val="auto"/>
        </w:rPr>
        <w:t>项目</w:t>
      </w:r>
      <w:r>
        <w:rPr>
          <w:rFonts w:hint="eastAsia"/>
          <w:color w:val="auto"/>
          <w:lang w:eastAsia="zh-CN"/>
        </w:rPr>
        <w:t>位于巴州区曾口镇寿星村13组</w:t>
      </w:r>
      <w:r>
        <w:rPr>
          <w:color w:val="auto"/>
        </w:rPr>
        <w:t>，通过现场勘查，确定项目评价范围内的主要环境保护敏感目标如表1.</w:t>
      </w:r>
      <w:r>
        <w:rPr>
          <w:rFonts w:hint="eastAsia"/>
          <w:color w:val="auto"/>
          <w:lang w:val="en-US" w:eastAsia="zh-CN"/>
        </w:rPr>
        <w:t>6</w:t>
      </w:r>
      <w:r>
        <w:rPr>
          <w:color w:val="auto"/>
        </w:rPr>
        <w:t>-1。</w:t>
      </w:r>
    </w:p>
    <w:p w14:paraId="580D5741">
      <w:pPr>
        <w:pageBreakBefore w:val="0"/>
        <w:wordWrap/>
        <w:bidi w:val="0"/>
        <w:adjustRightInd/>
        <w:snapToGrid/>
        <w:ind w:firstLine="480"/>
        <w:rPr>
          <w:color w:val="auto"/>
        </w:rPr>
      </w:pPr>
      <w:r>
        <w:rPr>
          <w:color w:val="auto"/>
        </w:rPr>
        <w:t>项目为污水治理工程，属基础设施建设，用地性质为</w:t>
      </w:r>
      <w:r>
        <w:rPr>
          <w:rFonts w:hint="eastAsia"/>
          <w:color w:val="auto"/>
          <w:lang w:eastAsia="zh-CN"/>
        </w:rPr>
        <w:t>巴州区</w:t>
      </w:r>
      <w:r>
        <w:rPr>
          <w:color w:val="auto"/>
        </w:rPr>
        <w:t>规划的市政设施用地</w:t>
      </w:r>
      <w:r>
        <w:rPr>
          <w:bCs/>
          <w:color w:val="auto"/>
        </w:rPr>
        <w:t>。</w:t>
      </w:r>
      <w:r>
        <w:rPr>
          <w:rFonts w:hint="eastAsia"/>
          <w:bCs/>
          <w:color w:val="auto"/>
        </w:rPr>
        <w:t>根据《</w:t>
      </w:r>
      <w:r>
        <w:rPr>
          <w:rFonts w:hint="eastAsia"/>
          <w:bCs/>
          <w:color w:val="auto"/>
          <w:lang w:val="en-US" w:eastAsia="zh-CN"/>
        </w:rPr>
        <w:t>四川巴中经济开发区规划修编环境影响报告书</w:t>
      </w:r>
      <w:r>
        <w:rPr>
          <w:rFonts w:hint="eastAsia"/>
          <w:bCs/>
          <w:color w:val="auto"/>
        </w:rPr>
        <w:t>》，该园区规划范围内预留可用于建设污水处理设施的地块仅有本项目拟使用地块；本项目主要服务于</w:t>
      </w:r>
      <w:r>
        <w:rPr>
          <w:rFonts w:hint="eastAsia"/>
          <w:bCs/>
          <w:color w:val="auto"/>
          <w:lang w:eastAsia="zh-CN"/>
        </w:rPr>
        <w:t>四川巴中经济开发区-曾口区块</w:t>
      </w:r>
      <w:r>
        <w:rPr>
          <w:rFonts w:hint="eastAsia"/>
          <w:bCs/>
          <w:color w:val="auto"/>
        </w:rPr>
        <w:t>，主要为工业污水，考虑就近处理原则，故选址在园区内位于污水管网末端附近的地块。</w:t>
      </w:r>
      <w:r>
        <w:rPr>
          <w:color w:val="auto"/>
        </w:rPr>
        <w:t>项目在施工期和运行期落实本环评报告提出的各项污染治理措施治理后，各项污染物均实现达标排放，不会对区域环境产生明显影响。</w:t>
      </w:r>
    </w:p>
    <w:p w14:paraId="0B42019D">
      <w:pPr>
        <w:pageBreakBefore w:val="0"/>
        <w:wordWrap/>
        <w:bidi w:val="0"/>
        <w:adjustRightInd/>
        <w:snapToGrid/>
        <w:ind w:firstLine="480"/>
        <w:rPr>
          <w:color w:val="auto"/>
        </w:rPr>
      </w:pPr>
      <w:r>
        <w:rPr>
          <w:color w:val="auto"/>
          <w:u w:val="single"/>
        </w:rPr>
        <w:t>综上所述，项目选址</w:t>
      </w:r>
      <w:r>
        <w:rPr>
          <w:rFonts w:hint="eastAsia"/>
          <w:color w:val="auto"/>
          <w:u w:val="single"/>
          <w:lang w:eastAsia="zh-CN"/>
        </w:rPr>
        <w:t>位于巴州区曾口镇寿星村13组</w:t>
      </w:r>
      <w:r>
        <w:rPr>
          <w:color w:val="auto"/>
          <w:u w:val="single"/>
        </w:rPr>
        <w:t>，与周围形成的工业格局相容，外环境无重大环境制约因素，选址合理</w:t>
      </w:r>
      <w:r>
        <w:rPr>
          <w:color w:val="auto"/>
        </w:rPr>
        <w:t>。</w:t>
      </w:r>
    </w:p>
    <w:p w14:paraId="1AE5A655">
      <w:pPr>
        <w:pStyle w:val="15"/>
        <w:bidi w:val="0"/>
        <w:ind w:left="0" w:leftChars="0" w:firstLine="0" w:firstLineChars="0"/>
        <w:rPr>
          <w:color w:val="auto"/>
        </w:rPr>
      </w:pPr>
      <w:r>
        <w:rPr>
          <w:color w:val="auto"/>
        </w:rPr>
        <w:t>环境保护目标表</w:t>
      </w:r>
      <w:bookmarkEnd w:id="32"/>
      <w:bookmarkEnd w:id="33"/>
      <w:bookmarkEnd w:id="34"/>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1008"/>
        <w:gridCol w:w="903"/>
        <w:gridCol w:w="1072"/>
        <w:gridCol w:w="914"/>
        <w:gridCol w:w="400"/>
        <w:gridCol w:w="541"/>
        <w:gridCol w:w="1031"/>
        <w:gridCol w:w="1942"/>
      </w:tblGrid>
      <w:tr w14:paraId="47641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19" w:type="pct"/>
            <w:vMerge w:val="restart"/>
            <w:tcBorders>
              <w:tl2br w:val="nil"/>
              <w:tr2bl w:val="nil"/>
            </w:tcBorders>
            <w:noWrap w:val="0"/>
            <w:tcMar>
              <w:top w:w="0" w:type="dxa"/>
              <w:left w:w="0" w:type="dxa"/>
              <w:bottom w:w="0" w:type="dxa"/>
              <w:right w:w="0" w:type="dxa"/>
            </w:tcMar>
            <w:vAlign w:val="center"/>
          </w:tcPr>
          <w:p w14:paraId="6D8E1F12">
            <w:pPr>
              <w:pStyle w:val="20"/>
              <w:pageBreakBefore w:val="0"/>
              <w:wordWrap/>
              <w:bidi w:val="0"/>
              <w:adjustRightInd/>
              <w:snapToGrid/>
              <w:spacing w:after="0" w:line="240" w:lineRule="auto"/>
              <w:ind w:left="0" w:leftChars="0" w:firstLine="0" w:firstLineChars="0"/>
              <w:jc w:val="center"/>
              <w:rPr>
                <w:b/>
                <w:bCs/>
                <w:color w:val="auto"/>
                <w:sz w:val="21"/>
                <w:szCs w:val="21"/>
              </w:rPr>
            </w:pPr>
            <w:r>
              <w:rPr>
                <w:b/>
                <w:bCs/>
                <w:color w:val="auto"/>
                <w:sz w:val="21"/>
                <w:szCs w:val="21"/>
              </w:rPr>
              <w:t>环境因素</w:t>
            </w:r>
          </w:p>
        </w:tc>
        <w:tc>
          <w:tcPr>
            <w:tcW w:w="1096" w:type="pct"/>
            <w:gridSpan w:val="2"/>
            <w:tcBorders>
              <w:tl2br w:val="nil"/>
              <w:tr2bl w:val="nil"/>
            </w:tcBorders>
            <w:noWrap w:val="0"/>
            <w:tcMar>
              <w:top w:w="0" w:type="dxa"/>
              <w:left w:w="0" w:type="dxa"/>
              <w:bottom w:w="0" w:type="dxa"/>
              <w:right w:w="0" w:type="dxa"/>
            </w:tcMar>
            <w:vAlign w:val="center"/>
          </w:tcPr>
          <w:p w14:paraId="5E353FB9">
            <w:pPr>
              <w:pStyle w:val="20"/>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坐标/m</w:t>
            </w:r>
          </w:p>
        </w:tc>
        <w:tc>
          <w:tcPr>
            <w:tcW w:w="643" w:type="pct"/>
            <w:vMerge w:val="restart"/>
            <w:tcBorders>
              <w:tl2br w:val="nil"/>
              <w:tr2bl w:val="nil"/>
            </w:tcBorders>
            <w:noWrap w:val="0"/>
            <w:tcMar>
              <w:top w:w="0" w:type="dxa"/>
              <w:left w:w="0" w:type="dxa"/>
              <w:bottom w:w="0" w:type="dxa"/>
              <w:right w:w="0" w:type="dxa"/>
            </w:tcMar>
            <w:vAlign w:val="center"/>
          </w:tcPr>
          <w:p w14:paraId="38145939">
            <w:pPr>
              <w:pStyle w:val="20"/>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eastAsia="zh-CN"/>
              </w:rPr>
            </w:pPr>
            <w:r>
              <w:rPr>
                <w:b/>
                <w:bCs/>
                <w:color w:val="auto"/>
                <w:sz w:val="21"/>
                <w:szCs w:val="21"/>
              </w:rPr>
              <w:t>保护</w:t>
            </w:r>
            <w:r>
              <w:rPr>
                <w:rFonts w:hint="eastAsia"/>
                <w:b/>
                <w:bCs/>
                <w:color w:val="auto"/>
                <w:sz w:val="21"/>
                <w:szCs w:val="21"/>
                <w:lang w:val="en-US" w:eastAsia="zh-CN"/>
              </w:rPr>
              <w:t>对象</w:t>
            </w:r>
          </w:p>
        </w:tc>
        <w:tc>
          <w:tcPr>
            <w:tcW w:w="551" w:type="pct"/>
            <w:vMerge w:val="restart"/>
            <w:tcBorders>
              <w:tl2br w:val="nil"/>
              <w:tr2bl w:val="nil"/>
            </w:tcBorders>
            <w:noWrap w:val="0"/>
            <w:tcMar>
              <w:top w:w="0" w:type="dxa"/>
              <w:left w:w="0" w:type="dxa"/>
              <w:bottom w:w="0" w:type="dxa"/>
              <w:right w:w="0" w:type="dxa"/>
            </w:tcMar>
            <w:vAlign w:val="center"/>
          </w:tcPr>
          <w:p w14:paraId="2D23927F">
            <w:pPr>
              <w:pStyle w:val="20"/>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eastAsia="zh-CN"/>
              </w:rPr>
            </w:pPr>
            <w:r>
              <w:rPr>
                <w:rFonts w:hint="eastAsia"/>
                <w:b/>
                <w:bCs/>
                <w:color w:val="auto"/>
                <w:sz w:val="21"/>
                <w:szCs w:val="21"/>
                <w:lang w:val="en-US" w:eastAsia="zh-CN"/>
              </w:rPr>
              <w:t>保护内容</w:t>
            </w:r>
          </w:p>
        </w:tc>
        <w:tc>
          <w:tcPr>
            <w:tcW w:w="248" w:type="pct"/>
            <w:vMerge w:val="restart"/>
            <w:tcBorders>
              <w:tl2br w:val="nil"/>
              <w:tr2bl w:val="nil"/>
            </w:tcBorders>
            <w:noWrap w:val="0"/>
            <w:tcMar>
              <w:top w:w="0" w:type="dxa"/>
              <w:left w:w="0" w:type="dxa"/>
              <w:bottom w:w="0" w:type="dxa"/>
              <w:right w:w="0" w:type="dxa"/>
            </w:tcMar>
            <w:vAlign w:val="center"/>
          </w:tcPr>
          <w:p w14:paraId="1D1BBCFE">
            <w:pPr>
              <w:pStyle w:val="20"/>
              <w:pageBreakBefore w:val="0"/>
              <w:wordWrap/>
              <w:bidi w:val="0"/>
              <w:adjustRightInd/>
              <w:snapToGrid/>
              <w:spacing w:after="0" w:line="240" w:lineRule="auto"/>
              <w:ind w:left="0" w:leftChars="0" w:firstLine="0" w:firstLineChars="0"/>
              <w:jc w:val="center"/>
              <w:rPr>
                <w:b/>
                <w:bCs/>
                <w:color w:val="auto"/>
                <w:sz w:val="21"/>
                <w:szCs w:val="21"/>
              </w:rPr>
            </w:pPr>
            <w:r>
              <w:rPr>
                <w:b/>
                <w:bCs/>
                <w:color w:val="auto"/>
                <w:sz w:val="21"/>
                <w:szCs w:val="21"/>
              </w:rPr>
              <w:t>方位</w:t>
            </w:r>
          </w:p>
        </w:tc>
        <w:tc>
          <w:tcPr>
            <w:tcW w:w="309" w:type="pct"/>
            <w:vMerge w:val="restart"/>
            <w:tcBorders>
              <w:tl2br w:val="nil"/>
              <w:tr2bl w:val="nil"/>
            </w:tcBorders>
            <w:noWrap w:val="0"/>
            <w:tcMar>
              <w:top w:w="0" w:type="dxa"/>
              <w:left w:w="0" w:type="dxa"/>
              <w:bottom w:w="0" w:type="dxa"/>
              <w:right w:w="0" w:type="dxa"/>
            </w:tcMar>
            <w:vAlign w:val="center"/>
          </w:tcPr>
          <w:p w14:paraId="6A40CF6C">
            <w:pPr>
              <w:pStyle w:val="20"/>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b/>
                <w:bCs/>
                <w:color w:val="auto"/>
                <w:sz w:val="21"/>
                <w:szCs w:val="21"/>
              </w:rPr>
              <w:t>距离</w:t>
            </w:r>
          </w:p>
        </w:tc>
        <w:tc>
          <w:tcPr>
            <w:tcW w:w="618" w:type="pct"/>
            <w:vMerge w:val="restart"/>
            <w:tcBorders>
              <w:tl2br w:val="nil"/>
              <w:tr2bl w:val="nil"/>
            </w:tcBorders>
            <w:noWrap w:val="0"/>
            <w:tcMar>
              <w:top w:w="0" w:type="dxa"/>
              <w:left w:w="0" w:type="dxa"/>
              <w:bottom w:w="0" w:type="dxa"/>
              <w:right w:w="0" w:type="dxa"/>
            </w:tcMar>
            <w:vAlign w:val="center"/>
          </w:tcPr>
          <w:p w14:paraId="6C901D2D">
            <w:pPr>
              <w:pStyle w:val="20"/>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rPr>
              <w:t>规模</w:t>
            </w:r>
            <w:r>
              <w:rPr>
                <w:rFonts w:hint="eastAsia"/>
                <w:b/>
                <w:bCs/>
                <w:color w:val="auto"/>
                <w:sz w:val="21"/>
                <w:szCs w:val="21"/>
                <w:lang w:eastAsia="zh-CN"/>
              </w:rPr>
              <w:t>（</w:t>
            </w:r>
            <w:r>
              <w:rPr>
                <w:rFonts w:hint="eastAsia"/>
                <w:b/>
                <w:bCs/>
                <w:color w:val="auto"/>
                <w:sz w:val="21"/>
                <w:szCs w:val="21"/>
                <w:lang w:val="en-US" w:eastAsia="zh-CN"/>
              </w:rPr>
              <w:t>人口数</w:t>
            </w:r>
            <w:r>
              <w:rPr>
                <w:rFonts w:hint="eastAsia"/>
                <w:b/>
                <w:bCs/>
                <w:color w:val="auto"/>
                <w:sz w:val="21"/>
                <w:szCs w:val="21"/>
                <w:lang w:eastAsia="zh-CN"/>
              </w:rPr>
              <w:t>）</w:t>
            </w:r>
          </w:p>
        </w:tc>
        <w:tc>
          <w:tcPr>
            <w:tcW w:w="1113" w:type="pct"/>
            <w:vMerge w:val="restart"/>
            <w:tcBorders>
              <w:tl2br w:val="nil"/>
              <w:tr2bl w:val="nil"/>
            </w:tcBorders>
            <w:noWrap w:val="0"/>
            <w:tcMar>
              <w:top w:w="0" w:type="dxa"/>
              <w:left w:w="0" w:type="dxa"/>
              <w:bottom w:w="0" w:type="dxa"/>
              <w:right w:w="0" w:type="dxa"/>
            </w:tcMar>
            <w:vAlign w:val="center"/>
          </w:tcPr>
          <w:p w14:paraId="399BEAB6">
            <w:pPr>
              <w:pStyle w:val="20"/>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环境功能区</w:t>
            </w:r>
          </w:p>
        </w:tc>
      </w:tr>
      <w:tr w14:paraId="3DB93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3EC8F3BB">
            <w:pPr>
              <w:pStyle w:val="20"/>
              <w:pageBreakBefore w:val="0"/>
              <w:wordWrap/>
              <w:bidi w:val="0"/>
              <w:adjustRightInd/>
              <w:snapToGrid/>
              <w:spacing w:after="0" w:line="240" w:lineRule="auto"/>
              <w:ind w:left="0" w:leftChars="0" w:firstLine="0" w:firstLineChars="0"/>
              <w:jc w:val="center"/>
              <w:rPr>
                <w:color w:val="auto"/>
              </w:rPr>
            </w:pPr>
          </w:p>
        </w:tc>
        <w:tc>
          <w:tcPr>
            <w:tcW w:w="577" w:type="pct"/>
            <w:tcBorders>
              <w:tl2br w:val="nil"/>
              <w:tr2bl w:val="nil"/>
            </w:tcBorders>
            <w:noWrap w:val="0"/>
            <w:tcMar>
              <w:top w:w="0" w:type="dxa"/>
              <w:left w:w="0" w:type="dxa"/>
              <w:bottom w:w="0" w:type="dxa"/>
              <w:right w:w="0" w:type="dxa"/>
            </w:tcMar>
            <w:vAlign w:val="center"/>
          </w:tcPr>
          <w:p w14:paraId="41037061">
            <w:pPr>
              <w:pStyle w:val="20"/>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X</w:t>
            </w:r>
          </w:p>
        </w:tc>
        <w:tc>
          <w:tcPr>
            <w:tcW w:w="518" w:type="pct"/>
            <w:tcBorders>
              <w:tl2br w:val="nil"/>
              <w:tr2bl w:val="nil"/>
            </w:tcBorders>
            <w:noWrap w:val="0"/>
            <w:tcMar>
              <w:top w:w="0" w:type="dxa"/>
              <w:left w:w="0" w:type="dxa"/>
              <w:bottom w:w="0" w:type="dxa"/>
              <w:right w:w="0" w:type="dxa"/>
            </w:tcMar>
            <w:vAlign w:val="center"/>
          </w:tcPr>
          <w:p w14:paraId="61F9CE66">
            <w:pPr>
              <w:pStyle w:val="20"/>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Y</w:t>
            </w:r>
          </w:p>
        </w:tc>
        <w:tc>
          <w:tcPr>
            <w:tcW w:w="643" w:type="pct"/>
            <w:vMerge w:val="continue"/>
            <w:tcBorders>
              <w:tl2br w:val="nil"/>
              <w:tr2bl w:val="nil"/>
            </w:tcBorders>
            <w:noWrap w:val="0"/>
            <w:tcMar>
              <w:top w:w="0" w:type="dxa"/>
              <w:left w:w="0" w:type="dxa"/>
              <w:bottom w:w="0" w:type="dxa"/>
              <w:right w:w="0" w:type="dxa"/>
            </w:tcMar>
            <w:vAlign w:val="center"/>
          </w:tcPr>
          <w:p w14:paraId="5D662EE1">
            <w:pPr>
              <w:pStyle w:val="20"/>
              <w:pageBreakBefore w:val="0"/>
              <w:wordWrap/>
              <w:bidi w:val="0"/>
              <w:adjustRightInd/>
              <w:snapToGrid/>
              <w:spacing w:after="0" w:line="240" w:lineRule="auto"/>
              <w:ind w:left="0" w:leftChars="0" w:firstLine="0" w:firstLineChars="0"/>
              <w:jc w:val="center"/>
              <w:rPr>
                <w:b/>
                <w:bCs/>
                <w:color w:val="auto"/>
                <w:sz w:val="21"/>
                <w:szCs w:val="21"/>
              </w:rPr>
            </w:pPr>
          </w:p>
        </w:tc>
        <w:tc>
          <w:tcPr>
            <w:tcW w:w="551" w:type="pct"/>
            <w:vMerge w:val="continue"/>
            <w:tcBorders>
              <w:tl2br w:val="nil"/>
              <w:tr2bl w:val="nil"/>
            </w:tcBorders>
            <w:noWrap w:val="0"/>
            <w:tcMar>
              <w:top w:w="0" w:type="dxa"/>
              <w:left w:w="0" w:type="dxa"/>
              <w:bottom w:w="0" w:type="dxa"/>
              <w:right w:w="0" w:type="dxa"/>
            </w:tcMar>
            <w:vAlign w:val="center"/>
          </w:tcPr>
          <w:p w14:paraId="70FE1581">
            <w:pPr>
              <w:pStyle w:val="20"/>
              <w:pageBreakBefore w:val="0"/>
              <w:wordWrap/>
              <w:bidi w:val="0"/>
              <w:adjustRightInd/>
              <w:snapToGrid/>
              <w:spacing w:after="0" w:line="240" w:lineRule="auto"/>
              <w:ind w:left="0" w:leftChars="0" w:firstLine="0" w:firstLineChars="0"/>
              <w:jc w:val="center"/>
              <w:rPr>
                <w:b/>
                <w:bCs/>
                <w:color w:val="auto"/>
                <w:sz w:val="21"/>
                <w:szCs w:val="21"/>
              </w:rPr>
            </w:pPr>
          </w:p>
        </w:tc>
        <w:tc>
          <w:tcPr>
            <w:tcW w:w="248" w:type="pct"/>
            <w:vMerge w:val="continue"/>
            <w:tcBorders>
              <w:tl2br w:val="nil"/>
              <w:tr2bl w:val="nil"/>
            </w:tcBorders>
            <w:noWrap w:val="0"/>
            <w:tcMar>
              <w:top w:w="0" w:type="dxa"/>
              <w:left w:w="0" w:type="dxa"/>
              <w:bottom w:w="0" w:type="dxa"/>
              <w:right w:w="0" w:type="dxa"/>
            </w:tcMar>
            <w:vAlign w:val="center"/>
          </w:tcPr>
          <w:p w14:paraId="6EF26C05">
            <w:pPr>
              <w:pStyle w:val="20"/>
              <w:pageBreakBefore w:val="0"/>
              <w:wordWrap/>
              <w:bidi w:val="0"/>
              <w:adjustRightInd/>
              <w:snapToGrid/>
              <w:spacing w:after="0" w:line="240" w:lineRule="auto"/>
              <w:ind w:left="0" w:leftChars="0" w:firstLine="0" w:firstLineChars="0"/>
              <w:jc w:val="center"/>
              <w:rPr>
                <w:b/>
                <w:bCs/>
                <w:color w:val="auto"/>
                <w:sz w:val="21"/>
                <w:szCs w:val="21"/>
              </w:rPr>
            </w:pPr>
          </w:p>
        </w:tc>
        <w:tc>
          <w:tcPr>
            <w:tcW w:w="309" w:type="pct"/>
            <w:vMerge w:val="continue"/>
            <w:tcBorders>
              <w:tl2br w:val="nil"/>
              <w:tr2bl w:val="nil"/>
            </w:tcBorders>
            <w:noWrap w:val="0"/>
            <w:tcMar>
              <w:top w:w="0" w:type="dxa"/>
              <w:left w:w="0" w:type="dxa"/>
              <w:bottom w:w="0" w:type="dxa"/>
              <w:right w:w="0" w:type="dxa"/>
            </w:tcMar>
            <w:vAlign w:val="center"/>
          </w:tcPr>
          <w:p w14:paraId="21FEBC2D">
            <w:pPr>
              <w:pStyle w:val="20"/>
              <w:pageBreakBefore w:val="0"/>
              <w:wordWrap/>
              <w:bidi w:val="0"/>
              <w:adjustRightInd/>
              <w:snapToGrid/>
              <w:spacing w:after="0" w:line="240" w:lineRule="auto"/>
              <w:ind w:left="0" w:leftChars="0" w:firstLine="0" w:firstLineChars="0"/>
              <w:jc w:val="center"/>
              <w:rPr>
                <w:b/>
                <w:bCs/>
                <w:color w:val="auto"/>
                <w:sz w:val="21"/>
                <w:szCs w:val="21"/>
              </w:rPr>
            </w:pPr>
          </w:p>
        </w:tc>
        <w:tc>
          <w:tcPr>
            <w:tcW w:w="618" w:type="pct"/>
            <w:vMerge w:val="continue"/>
            <w:tcBorders>
              <w:tl2br w:val="nil"/>
              <w:tr2bl w:val="nil"/>
            </w:tcBorders>
            <w:noWrap w:val="0"/>
            <w:tcMar>
              <w:top w:w="0" w:type="dxa"/>
              <w:left w:w="0" w:type="dxa"/>
              <w:bottom w:w="0" w:type="dxa"/>
              <w:right w:w="0" w:type="dxa"/>
            </w:tcMar>
            <w:vAlign w:val="center"/>
          </w:tcPr>
          <w:p w14:paraId="677227E5">
            <w:pPr>
              <w:pStyle w:val="20"/>
              <w:pageBreakBefore w:val="0"/>
              <w:wordWrap/>
              <w:bidi w:val="0"/>
              <w:adjustRightInd/>
              <w:snapToGrid/>
              <w:spacing w:after="0" w:line="240" w:lineRule="auto"/>
              <w:ind w:left="0" w:leftChars="0" w:firstLine="0" w:firstLineChars="0"/>
              <w:jc w:val="center"/>
              <w:rPr>
                <w:b/>
                <w:bCs/>
                <w:color w:val="auto"/>
                <w:sz w:val="21"/>
                <w:szCs w:val="21"/>
              </w:rPr>
            </w:pPr>
          </w:p>
        </w:tc>
        <w:tc>
          <w:tcPr>
            <w:tcW w:w="1113" w:type="pct"/>
            <w:vMerge w:val="continue"/>
            <w:tcBorders>
              <w:tl2br w:val="nil"/>
              <w:tr2bl w:val="nil"/>
            </w:tcBorders>
            <w:noWrap w:val="0"/>
            <w:tcMar>
              <w:top w:w="0" w:type="dxa"/>
              <w:left w:w="0" w:type="dxa"/>
              <w:bottom w:w="0" w:type="dxa"/>
              <w:right w:w="0" w:type="dxa"/>
            </w:tcMar>
            <w:vAlign w:val="center"/>
          </w:tcPr>
          <w:p w14:paraId="145EB534">
            <w:pPr>
              <w:pStyle w:val="20"/>
              <w:pageBreakBefore w:val="0"/>
              <w:wordWrap/>
              <w:bidi w:val="0"/>
              <w:adjustRightInd/>
              <w:snapToGrid/>
              <w:spacing w:after="0" w:line="240" w:lineRule="auto"/>
              <w:ind w:left="0" w:leftChars="0" w:firstLine="0" w:firstLineChars="0"/>
              <w:jc w:val="center"/>
              <w:rPr>
                <w:b/>
                <w:bCs/>
                <w:color w:val="auto"/>
                <w:sz w:val="21"/>
                <w:szCs w:val="21"/>
              </w:rPr>
            </w:pPr>
          </w:p>
        </w:tc>
      </w:tr>
      <w:tr w14:paraId="23CB1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restart"/>
            <w:tcBorders>
              <w:tl2br w:val="nil"/>
              <w:tr2bl w:val="nil"/>
            </w:tcBorders>
            <w:noWrap w:val="0"/>
            <w:tcMar>
              <w:top w:w="0" w:type="dxa"/>
              <w:left w:w="0" w:type="dxa"/>
              <w:bottom w:w="0" w:type="dxa"/>
              <w:right w:w="0" w:type="dxa"/>
            </w:tcMar>
            <w:vAlign w:val="center"/>
          </w:tcPr>
          <w:p w14:paraId="7642E6EC">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环境空气（边长5km）</w:t>
            </w:r>
          </w:p>
        </w:tc>
        <w:tc>
          <w:tcPr>
            <w:tcW w:w="577" w:type="pct"/>
            <w:tcBorders>
              <w:tl2br w:val="nil"/>
              <w:tr2bl w:val="nil"/>
            </w:tcBorders>
            <w:noWrap w:val="0"/>
            <w:tcMar>
              <w:top w:w="0" w:type="dxa"/>
              <w:left w:w="0" w:type="dxa"/>
              <w:bottom w:w="0" w:type="dxa"/>
              <w:right w:w="0" w:type="dxa"/>
            </w:tcMar>
            <w:vAlign w:val="center"/>
          </w:tcPr>
          <w:p w14:paraId="4BE0DDFA">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106.871211</w:t>
            </w:r>
          </w:p>
        </w:tc>
        <w:tc>
          <w:tcPr>
            <w:tcW w:w="518" w:type="pct"/>
            <w:tcBorders>
              <w:tl2br w:val="nil"/>
              <w:tr2bl w:val="nil"/>
            </w:tcBorders>
            <w:noWrap w:val="0"/>
            <w:tcMar>
              <w:top w:w="0" w:type="dxa"/>
              <w:left w:w="0" w:type="dxa"/>
              <w:bottom w:w="0" w:type="dxa"/>
              <w:right w:w="0" w:type="dxa"/>
            </w:tcMar>
            <w:vAlign w:val="center"/>
          </w:tcPr>
          <w:p w14:paraId="0F69E5F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31.769011</w:t>
            </w:r>
          </w:p>
        </w:tc>
        <w:tc>
          <w:tcPr>
            <w:tcW w:w="643" w:type="pct"/>
            <w:tcBorders>
              <w:tl2br w:val="nil"/>
              <w:tr2bl w:val="nil"/>
            </w:tcBorders>
            <w:noWrap w:val="0"/>
            <w:tcMar>
              <w:top w:w="0" w:type="dxa"/>
              <w:left w:w="0" w:type="dxa"/>
              <w:bottom w:w="0" w:type="dxa"/>
              <w:right w:w="0" w:type="dxa"/>
            </w:tcMar>
            <w:vAlign w:val="center"/>
          </w:tcPr>
          <w:p w14:paraId="322012A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曾口镇中心小学校</w:t>
            </w:r>
          </w:p>
        </w:tc>
        <w:tc>
          <w:tcPr>
            <w:tcW w:w="551" w:type="pct"/>
            <w:tcBorders>
              <w:tl2br w:val="nil"/>
              <w:tr2bl w:val="nil"/>
            </w:tcBorders>
            <w:noWrap w:val="0"/>
            <w:tcMar>
              <w:top w:w="0" w:type="dxa"/>
              <w:left w:w="0" w:type="dxa"/>
              <w:bottom w:w="0" w:type="dxa"/>
              <w:right w:w="0" w:type="dxa"/>
            </w:tcMar>
            <w:vAlign w:val="center"/>
          </w:tcPr>
          <w:p w14:paraId="103BD8B8">
            <w:pPr>
              <w:pStyle w:val="20"/>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学校</w:t>
            </w:r>
          </w:p>
        </w:tc>
        <w:tc>
          <w:tcPr>
            <w:tcW w:w="248" w:type="pct"/>
            <w:tcBorders>
              <w:tl2br w:val="nil"/>
              <w:tr2bl w:val="nil"/>
            </w:tcBorders>
            <w:noWrap w:val="0"/>
            <w:tcMar>
              <w:top w:w="0" w:type="dxa"/>
              <w:left w:w="0" w:type="dxa"/>
              <w:bottom w:w="0" w:type="dxa"/>
              <w:right w:w="0" w:type="dxa"/>
            </w:tcMar>
            <w:vAlign w:val="center"/>
          </w:tcPr>
          <w:p w14:paraId="5AB1F92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西北</w:t>
            </w:r>
          </w:p>
        </w:tc>
        <w:tc>
          <w:tcPr>
            <w:tcW w:w="309" w:type="pct"/>
            <w:tcBorders>
              <w:tl2br w:val="nil"/>
              <w:tr2bl w:val="nil"/>
            </w:tcBorders>
            <w:noWrap w:val="0"/>
            <w:tcMar>
              <w:top w:w="0" w:type="dxa"/>
              <w:left w:w="0" w:type="dxa"/>
              <w:bottom w:w="0" w:type="dxa"/>
              <w:right w:w="0" w:type="dxa"/>
            </w:tcMar>
            <w:vAlign w:val="center"/>
          </w:tcPr>
          <w:p w14:paraId="7BEA846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2.7km</w:t>
            </w:r>
          </w:p>
        </w:tc>
        <w:tc>
          <w:tcPr>
            <w:tcW w:w="618" w:type="pct"/>
            <w:tcBorders>
              <w:tl2br w:val="nil"/>
              <w:tr2bl w:val="nil"/>
            </w:tcBorders>
            <w:noWrap w:val="0"/>
            <w:tcMar>
              <w:top w:w="0" w:type="dxa"/>
              <w:left w:w="0" w:type="dxa"/>
              <w:bottom w:w="0" w:type="dxa"/>
              <w:right w:w="0" w:type="dxa"/>
            </w:tcMar>
            <w:vAlign w:val="center"/>
          </w:tcPr>
          <w:p w14:paraId="57D84B81">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约300人</w:t>
            </w:r>
          </w:p>
        </w:tc>
        <w:tc>
          <w:tcPr>
            <w:tcW w:w="1113" w:type="pct"/>
            <w:vMerge w:val="restart"/>
            <w:tcBorders>
              <w:tl2br w:val="nil"/>
              <w:tr2bl w:val="nil"/>
            </w:tcBorders>
            <w:noWrap w:val="0"/>
            <w:tcMar>
              <w:top w:w="0" w:type="dxa"/>
              <w:left w:w="0" w:type="dxa"/>
              <w:bottom w:w="0" w:type="dxa"/>
              <w:right w:w="0" w:type="dxa"/>
            </w:tcMar>
            <w:vAlign w:val="center"/>
          </w:tcPr>
          <w:p w14:paraId="59C305FF">
            <w:pPr>
              <w:pStyle w:val="20"/>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eastAsia="zh-CN"/>
              </w:rPr>
              <w:t>（</w:t>
            </w:r>
            <w:r>
              <w:rPr>
                <w:color w:val="auto"/>
                <w:sz w:val="21"/>
                <w:szCs w:val="21"/>
              </w:rPr>
              <w:t>GB3095-2012</w:t>
            </w:r>
            <w:r>
              <w:rPr>
                <w:rFonts w:hint="eastAsia"/>
                <w:color w:val="auto"/>
                <w:sz w:val="21"/>
                <w:szCs w:val="21"/>
                <w:lang w:eastAsia="zh-CN"/>
              </w:rPr>
              <w:t>）</w:t>
            </w:r>
            <w:r>
              <w:rPr>
                <w:color w:val="auto"/>
                <w:sz w:val="21"/>
                <w:szCs w:val="21"/>
              </w:rPr>
              <w:t>二级标准及其修改单</w:t>
            </w:r>
          </w:p>
        </w:tc>
      </w:tr>
      <w:tr w14:paraId="4E546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24668774">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25EED8E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106.866641</w:t>
            </w:r>
          </w:p>
        </w:tc>
        <w:tc>
          <w:tcPr>
            <w:tcW w:w="518" w:type="pct"/>
            <w:tcBorders>
              <w:tl2br w:val="nil"/>
              <w:tr2bl w:val="nil"/>
            </w:tcBorders>
            <w:noWrap w:val="0"/>
            <w:tcMar>
              <w:top w:w="0" w:type="dxa"/>
              <w:left w:w="0" w:type="dxa"/>
              <w:bottom w:w="0" w:type="dxa"/>
              <w:right w:w="0" w:type="dxa"/>
            </w:tcMar>
            <w:vAlign w:val="center"/>
          </w:tcPr>
          <w:p w14:paraId="12C7C904">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31.775652</w:t>
            </w:r>
          </w:p>
        </w:tc>
        <w:tc>
          <w:tcPr>
            <w:tcW w:w="643" w:type="pct"/>
            <w:tcBorders>
              <w:tl2br w:val="nil"/>
              <w:tr2bl w:val="nil"/>
            </w:tcBorders>
            <w:noWrap w:val="0"/>
            <w:tcMar>
              <w:top w:w="0" w:type="dxa"/>
              <w:left w:w="0" w:type="dxa"/>
              <w:bottom w:w="0" w:type="dxa"/>
              <w:right w:w="0" w:type="dxa"/>
            </w:tcMar>
            <w:vAlign w:val="center"/>
          </w:tcPr>
          <w:p w14:paraId="4791D5E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巴州区曾口中学校</w:t>
            </w:r>
          </w:p>
        </w:tc>
        <w:tc>
          <w:tcPr>
            <w:tcW w:w="551" w:type="pct"/>
            <w:tcBorders>
              <w:tl2br w:val="nil"/>
              <w:tr2bl w:val="nil"/>
            </w:tcBorders>
            <w:noWrap w:val="0"/>
            <w:tcMar>
              <w:top w:w="0" w:type="dxa"/>
              <w:left w:w="0" w:type="dxa"/>
              <w:bottom w:w="0" w:type="dxa"/>
              <w:right w:w="0" w:type="dxa"/>
            </w:tcMar>
            <w:vAlign w:val="center"/>
          </w:tcPr>
          <w:p w14:paraId="7F57C590">
            <w:pPr>
              <w:pStyle w:val="20"/>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学校</w:t>
            </w:r>
          </w:p>
        </w:tc>
        <w:tc>
          <w:tcPr>
            <w:tcW w:w="248" w:type="pct"/>
            <w:tcBorders>
              <w:tl2br w:val="nil"/>
              <w:tr2bl w:val="nil"/>
            </w:tcBorders>
            <w:noWrap w:val="0"/>
            <w:tcMar>
              <w:top w:w="0" w:type="dxa"/>
              <w:left w:w="0" w:type="dxa"/>
              <w:bottom w:w="0" w:type="dxa"/>
              <w:right w:w="0" w:type="dxa"/>
            </w:tcMar>
            <w:vAlign w:val="center"/>
          </w:tcPr>
          <w:p w14:paraId="568EDD8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西北</w:t>
            </w:r>
          </w:p>
        </w:tc>
        <w:tc>
          <w:tcPr>
            <w:tcW w:w="309" w:type="pct"/>
            <w:tcBorders>
              <w:tl2br w:val="nil"/>
              <w:tr2bl w:val="nil"/>
            </w:tcBorders>
            <w:noWrap w:val="0"/>
            <w:tcMar>
              <w:top w:w="0" w:type="dxa"/>
              <w:left w:w="0" w:type="dxa"/>
              <w:bottom w:w="0" w:type="dxa"/>
              <w:right w:w="0" w:type="dxa"/>
            </w:tcMar>
            <w:vAlign w:val="center"/>
          </w:tcPr>
          <w:p w14:paraId="2B30012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3.4km</w:t>
            </w:r>
          </w:p>
        </w:tc>
        <w:tc>
          <w:tcPr>
            <w:tcW w:w="618" w:type="pct"/>
            <w:tcBorders>
              <w:tl2br w:val="nil"/>
              <w:tr2bl w:val="nil"/>
            </w:tcBorders>
            <w:noWrap w:val="0"/>
            <w:tcMar>
              <w:top w:w="0" w:type="dxa"/>
              <w:left w:w="0" w:type="dxa"/>
              <w:bottom w:w="0" w:type="dxa"/>
              <w:right w:w="0" w:type="dxa"/>
            </w:tcMar>
            <w:vAlign w:val="center"/>
          </w:tcPr>
          <w:p w14:paraId="32B8867A">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约800人</w:t>
            </w:r>
          </w:p>
        </w:tc>
        <w:tc>
          <w:tcPr>
            <w:tcW w:w="1113" w:type="pct"/>
            <w:vMerge w:val="continue"/>
            <w:tcBorders>
              <w:tl2br w:val="nil"/>
              <w:tr2bl w:val="nil"/>
            </w:tcBorders>
            <w:noWrap w:val="0"/>
            <w:tcMar>
              <w:top w:w="0" w:type="dxa"/>
              <w:left w:w="0" w:type="dxa"/>
              <w:bottom w:w="0" w:type="dxa"/>
              <w:right w:w="0" w:type="dxa"/>
            </w:tcMar>
            <w:vAlign w:val="center"/>
          </w:tcPr>
          <w:p w14:paraId="536D6286">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6E226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7ED2D05A">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399EC84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106.870803</w:t>
            </w:r>
          </w:p>
        </w:tc>
        <w:tc>
          <w:tcPr>
            <w:tcW w:w="518" w:type="pct"/>
            <w:tcBorders>
              <w:tl2br w:val="nil"/>
              <w:tr2bl w:val="nil"/>
            </w:tcBorders>
            <w:noWrap w:val="0"/>
            <w:tcMar>
              <w:top w:w="0" w:type="dxa"/>
              <w:left w:w="0" w:type="dxa"/>
              <w:bottom w:w="0" w:type="dxa"/>
              <w:right w:w="0" w:type="dxa"/>
            </w:tcMar>
            <w:vAlign w:val="center"/>
          </w:tcPr>
          <w:p w14:paraId="56AE106B">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31.770642</w:t>
            </w:r>
          </w:p>
        </w:tc>
        <w:tc>
          <w:tcPr>
            <w:tcW w:w="643" w:type="pct"/>
            <w:tcBorders>
              <w:tl2br w:val="nil"/>
              <w:tr2bl w:val="nil"/>
            </w:tcBorders>
            <w:noWrap w:val="0"/>
            <w:tcMar>
              <w:top w:w="0" w:type="dxa"/>
              <w:left w:w="0" w:type="dxa"/>
              <w:bottom w:w="0" w:type="dxa"/>
              <w:right w:w="0" w:type="dxa"/>
            </w:tcMar>
            <w:vAlign w:val="center"/>
          </w:tcPr>
          <w:p w14:paraId="609A608A">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曾口镇</w:t>
            </w:r>
          </w:p>
        </w:tc>
        <w:tc>
          <w:tcPr>
            <w:tcW w:w="551" w:type="pct"/>
            <w:tcBorders>
              <w:tl2br w:val="nil"/>
              <w:tr2bl w:val="nil"/>
            </w:tcBorders>
            <w:noWrap w:val="0"/>
            <w:tcMar>
              <w:top w:w="0" w:type="dxa"/>
              <w:left w:w="0" w:type="dxa"/>
              <w:bottom w:w="0" w:type="dxa"/>
              <w:right w:w="0" w:type="dxa"/>
            </w:tcMar>
            <w:vAlign w:val="center"/>
          </w:tcPr>
          <w:p w14:paraId="477C00B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人群聚集区</w:t>
            </w:r>
          </w:p>
        </w:tc>
        <w:tc>
          <w:tcPr>
            <w:tcW w:w="248" w:type="pct"/>
            <w:tcBorders>
              <w:tl2br w:val="nil"/>
              <w:tr2bl w:val="nil"/>
            </w:tcBorders>
            <w:noWrap w:val="0"/>
            <w:tcMar>
              <w:top w:w="0" w:type="dxa"/>
              <w:left w:w="0" w:type="dxa"/>
              <w:bottom w:w="0" w:type="dxa"/>
              <w:right w:w="0" w:type="dxa"/>
            </w:tcMar>
            <w:vAlign w:val="center"/>
          </w:tcPr>
          <w:p w14:paraId="64623FC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西北</w:t>
            </w:r>
          </w:p>
        </w:tc>
        <w:tc>
          <w:tcPr>
            <w:tcW w:w="309" w:type="pct"/>
            <w:tcBorders>
              <w:tl2br w:val="nil"/>
              <w:tr2bl w:val="nil"/>
            </w:tcBorders>
            <w:noWrap w:val="0"/>
            <w:tcMar>
              <w:top w:w="0" w:type="dxa"/>
              <w:left w:w="0" w:type="dxa"/>
              <w:bottom w:w="0" w:type="dxa"/>
              <w:right w:w="0" w:type="dxa"/>
            </w:tcMar>
            <w:vAlign w:val="center"/>
          </w:tcPr>
          <w:p w14:paraId="595FBFD4">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2km</w:t>
            </w:r>
          </w:p>
        </w:tc>
        <w:tc>
          <w:tcPr>
            <w:tcW w:w="618" w:type="pct"/>
            <w:tcBorders>
              <w:tl2br w:val="nil"/>
              <w:tr2bl w:val="nil"/>
            </w:tcBorders>
            <w:noWrap w:val="0"/>
            <w:tcMar>
              <w:top w:w="0" w:type="dxa"/>
              <w:left w:w="0" w:type="dxa"/>
              <w:bottom w:w="0" w:type="dxa"/>
              <w:right w:w="0" w:type="dxa"/>
            </w:tcMar>
            <w:vAlign w:val="center"/>
          </w:tcPr>
          <w:p w14:paraId="722C8F91">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5000</w:t>
            </w:r>
            <w:r>
              <w:rPr>
                <w:color w:val="auto"/>
                <w:sz w:val="21"/>
                <w:szCs w:val="21"/>
              </w:rPr>
              <w:t>人</w:t>
            </w:r>
          </w:p>
        </w:tc>
        <w:tc>
          <w:tcPr>
            <w:tcW w:w="1113" w:type="pct"/>
            <w:vMerge w:val="continue"/>
            <w:tcBorders>
              <w:tl2br w:val="nil"/>
              <w:tr2bl w:val="nil"/>
            </w:tcBorders>
            <w:noWrap w:val="0"/>
            <w:tcMar>
              <w:top w:w="0" w:type="dxa"/>
              <w:left w:w="0" w:type="dxa"/>
              <w:bottom w:w="0" w:type="dxa"/>
              <w:right w:w="0" w:type="dxa"/>
            </w:tcMar>
            <w:vAlign w:val="center"/>
          </w:tcPr>
          <w:p w14:paraId="529D2741">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18223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5960F83B">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7F33816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106.881017</w:t>
            </w:r>
          </w:p>
        </w:tc>
        <w:tc>
          <w:tcPr>
            <w:tcW w:w="518" w:type="pct"/>
            <w:tcBorders>
              <w:tl2br w:val="nil"/>
              <w:tr2bl w:val="nil"/>
            </w:tcBorders>
            <w:noWrap w:val="0"/>
            <w:tcMar>
              <w:top w:w="0" w:type="dxa"/>
              <w:left w:w="0" w:type="dxa"/>
              <w:bottom w:w="0" w:type="dxa"/>
              <w:right w:w="0" w:type="dxa"/>
            </w:tcMar>
            <w:vAlign w:val="center"/>
          </w:tcPr>
          <w:p w14:paraId="7CED8FC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31.765411</w:t>
            </w:r>
          </w:p>
        </w:tc>
        <w:tc>
          <w:tcPr>
            <w:tcW w:w="643" w:type="pct"/>
            <w:tcBorders>
              <w:tl2br w:val="nil"/>
              <w:tr2bl w:val="nil"/>
            </w:tcBorders>
            <w:noWrap w:val="0"/>
            <w:tcMar>
              <w:top w:w="0" w:type="dxa"/>
              <w:left w:w="0" w:type="dxa"/>
              <w:bottom w:w="0" w:type="dxa"/>
              <w:right w:w="0" w:type="dxa"/>
            </w:tcMar>
            <w:vAlign w:val="center"/>
          </w:tcPr>
          <w:p w14:paraId="030691B1">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寿星村</w:t>
            </w:r>
          </w:p>
        </w:tc>
        <w:tc>
          <w:tcPr>
            <w:tcW w:w="551" w:type="pct"/>
            <w:tcBorders>
              <w:tl2br w:val="nil"/>
              <w:tr2bl w:val="nil"/>
            </w:tcBorders>
            <w:noWrap w:val="0"/>
            <w:tcMar>
              <w:top w:w="0" w:type="dxa"/>
              <w:left w:w="0" w:type="dxa"/>
              <w:bottom w:w="0" w:type="dxa"/>
              <w:right w:w="0" w:type="dxa"/>
            </w:tcMar>
            <w:vAlign w:val="center"/>
          </w:tcPr>
          <w:p w14:paraId="5BAF665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5B1D377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西北</w:t>
            </w:r>
          </w:p>
        </w:tc>
        <w:tc>
          <w:tcPr>
            <w:tcW w:w="309" w:type="pct"/>
            <w:tcBorders>
              <w:tl2br w:val="nil"/>
              <w:tr2bl w:val="nil"/>
            </w:tcBorders>
            <w:noWrap w:val="0"/>
            <w:tcMar>
              <w:top w:w="0" w:type="dxa"/>
              <w:left w:w="0" w:type="dxa"/>
              <w:bottom w:w="0" w:type="dxa"/>
              <w:right w:w="0" w:type="dxa"/>
            </w:tcMar>
            <w:vAlign w:val="center"/>
          </w:tcPr>
          <w:p w14:paraId="72AD38A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1.4km</w:t>
            </w:r>
          </w:p>
        </w:tc>
        <w:tc>
          <w:tcPr>
            <w:tcW w:w="618" w:type="pct"/>
            <w:tcBorders>
              <w:tl2br w:val="nil"/>
              <w:tr2bl w:val="nil"/>
            </w:tcBorders>
            <w:noWrap w:val="0"/>
            <w:tcMar>
              <w:top w:w="0" w:type="dxa"/>
              <w:left w:w="0" w:type="dxa"/>
              <w:bottom w:w="0" w:type="dxa"/>
              <w:right w:w="0" w:type="dxa"/>
            </w:tcMar>
            <w:vAlign w:val="center"/>
          </w:tcPr>
          <w:p w14:paraId="237EA52D">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700</w:t>
            </w:r>
            <w:r>
              <w:rPr>
                <w:color w:val="auto"/>
                <w:sz w:val="21"/>
                <w:szCs w:val="21"/>
              </w:rPr>
              <w:t>人</w:t>
            </w:r>
          </w:p>
        </w:tc>
        <w:tc>
          <w:tcPr>
            <w:tcW w:w="1113" w:type="pct"/>
            <w:vMerge w:val="continue"/>
            <w:tcBorders>
              <w:tl2br w:val="nil"/>
              <w:tr2bl w:val="nil"/>
            </w:tcBorders>
            <w:noWrap w:val="0"/>
            <w:tcMar>
              <w:top w:w="0" w:type="dxa"/>
              <w:left w:w="0" w:type="dxa"/>
              <w:bottom w:w="0" w:type="dxa"/>
              <w:right w:w="0" w:type="dxa"/>
            </w:tcMar>
            <w:vAlign w:val="center"/>
          </w:tcPr>
          <w:p w14:paraId="3900317F">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24A66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370945EE">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3ABE15D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106.900372</w:t>
            </w:r>
          </w:p>
        </w:tc>
        <w:tc>
          <w:tcPr>
            <w:tcW w:w="518" w:type="pct"/>
            <w:tcBorders>
              <w:tl2br w:val="nil"/>
              <w:tr2bl w:val="nil"/>
            </w:tcBorders>
            <w:noWrap w:val="0"/>
            <w:tcMar>
              <w:top w:w="0" w:type="dxa"/>
              <w:left w:w="0" w:type="dxa"/>
              <w:bottom w:w="0" w:type="dxa"/>
              <w:right w:w="0" w:type="dxa"/>
            </w:tcMar>
            <w:vAlign w:val="center"/>
          </w:tcPr>
          <w:p w14:paraId="1AB3A18E">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31.759414</w:t>
            </w:r>
          </w:p>
        </w:tc>
        <w:tc>
          <w:tcPr>
            <w:tcW w:w="643" w:type="pct"/>
            <w:tcBorders>
              <w:tl2br w:val="nil"/>
              <w:tr2bl w:val="nil"/>
            </w:tcBorders>
            <w:noWrap w:val="0"/>
            <w:tcMar>
              <w:top w:w="0" w:type="dxa"/>
              <w:left w:w="0" w:type="dxa"/>
              <w:bottom w:w="0" w:type="dxa"/>
              <w:right w:w="0" w:type="dxa"/>
            </w:tcMar>
            <w:vAlign w:val="center"/>
          </w:tcPr>
          <w:p w14:paraId="16AEF79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石溪村</w:t>
            </w:r>
          </w:p>
        </w:tc>
        <w:tc>
          <w:tcPr>
            <w:tcW w:w="551" w:type="pct"/>
            <w:tcBorders>
              <w:tl2br w:val="nil"/>
              <w:tr2bl w:val="nil"/>
            </w:tcBorders>
            <w:noWrap w:val="0"/>
            <w:tcMar>
              <w:top w:w="0" w:type="dxa"/>
              <w:left w:w="0" w:type="dxa"/>
              <w:bottom w:w="0" w:type="dxa"/>
              <w:right w:w="0" w:type="dxa"/>
            </w:tcMar>
            <w:vAlign w:val="center"/>
          </w:tcPr>
          <w:p w14:paraId="10356A8B">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26B68D54">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东北</w:t>
            </w:r>
          </w:p>
        </w:tc>
        <w:tc>
          <w:tcPr>
            <w:tcW w:w="309" w:type="pct"/>
            <w:tcBorders>
              <w:tl2br w:val="nil"/>
              <w:tr2bl w:val="nil"/>
            </w:tcBorders>
            <w:noWrap w:val="0"/>
            <w:tcMar>
              <w:top w:w="0" w:type="dxa"/>
              <w:left w:w="0" w:type="dxa"/>
              <w:bottom w:w="0" w:type="dxa"/>
              <w:right w:w="0" w:type="dxa"/>
            </w:tcMar>
            <w:vAlign w:val="center"/>
          </w:tcPr>
          <w:p w14:paraId="452594A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1km</w:t>
            </w:r>
          </w:p>
        </w:tc>
        <w:tc>
          <w:tcPr>
            <w:tcW w:w="618" w:type="pct"/>
            <w:tcBorders>
              <w:tl2br w:val="nil"/>
              <w:tr2bl w:val="nil"/>
            </w:tcBorders>
            <w:noWrap w:val="0"/>
            <w:tcMar>
              <w:top w:w="0" w:type="dxa"/>
              <w:left w:w="0" w:type="dxa"/>
              <w:bottom w:w="0" w:type="dxa"/>
              <w:right w:w="0" w:type="dxa"/>
            </w:tcMar>
            <w:vAlign w:val="center"/>
          </w:tcPr>
          <w:p w14:paraId="7FBFD77E">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w:t>
            </w:r>
            <w:r>
              <w:rPr>
                <w:color w:val="auto"/>
                <w:sz w:val="21"/>
                <w:szCs w:val="21"/>
              </w:rPr>
              <w:t>00人</w:t>
            </w:r>
          </w:p>
        </w:tc>
        <w:tc>
          <w:tcPr>
            <w:tcW w:w="1113" w:type="pct"/>
            <w:vMerge w:val="continue"/>
            <w:tcBorders>
              <w:tl2br w:val="nil"/>
              <w:tr2bl w:val="nil"/>
            </w:tcBorders>
            <w:noWrap w:val="0"/>
            <w:tcMar>
              <w:top w:w="0" w:type="dxa"/>
              <w:left w:w="0" w:type="dxa"/>
              <w:bottom w:w="0" w:type="dxa"/>
              <w:right w:w="0" w:type="dxa"/>
            </w:tcMar>
            <w:vAlign w:val="center"/>
          </w:tcPr>
          <w:p w14:paraId="635E76E2">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03AA9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398CBC61">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63C85B17">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106.908354</w:t>
            </w:r>
          </w:p>
        </w:tc>
        <w:tc>
          <w:tcPr>
            <w:tcW w:w="518" w:type="pct"/>
            <w:tcBorders>
              <w:tl2br w:val="nil"/>
              <w:tr2bl w:val="nil"/>
            </w:tcBorders>
            <w:noWrap w:val="0"/>
            <w:tcMar>
              <w:top w:w="0" w:type="dxa"/>
              <w:left w:w="0" w:type="dxa"/>
              <w:bottom w:w="0" w:type="dxa"/>
              <w:right w:w="0" w:type="dxa"/>
            </w:tcMar>
            <w:vAlign w:val="center"/>
          </w:tcPr>
          <w:p w14:paraId="72B94612">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31.753620</w:t>
            </w:r>
          </w:p>
        </w:tc>
        <w:tc>
          <w:tcPr>
            <w:tcW w:w="643" w:type="pct"/>
            <w:tcBorders>
              <w:tl2br w:val="nil"/>
              <w:tr2bl w:val="nil"/>
            </w:tcBorders>
            <w:noWrap w:val="0"/>
            <w:tcMar>
              <w:top w:w="0" w:type="dxa"/>
              <w:left w:w="0" w:type="dxa"/>
              <w:bottom w:w="0" w:type="dxa"/>
              <w:right w:w="0" w:type="dxa"/>
            </w:tcMar>
            <w:vAlign w:val="center"/>
          </w:tcPr>
          <w:p w14:paraId="5391581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芦山村</w:t>
            </w:r>
          </w:p>
        </w:tc>
        <w:tc>
          <w:tcPr>
            <w:tcW w:w="551" w:type="pct"/>
            <w:tcBorders>
              <w:tl2br w:val="nil"/>
              <w:tr2bl w:val="nil"/>
            </w:tcBorders>
            <w:noWrap w:val="0"/>
            <w:tcMar>
              <w:top w:w="0" w:type="dxa"/>
              <w:left w:w="0" w:type="dxa"/>
              <w:bottom w:w="0" w:type="dxa"/>
              <w:right w:w="0" w:type="dxa"/>
            </w:tcMar>
            <w:vAlign w:val="center"/>
          </w:tcPr>
          <w:p w14:paraId="57CB44F0">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77080B2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东</w:t>
            </w:r>
          </w:p>
        </w:tc>
        <w:tc>
          <w:tcPr>
            <w:tcW w:w="309" w:type="pct"/>
            <w:tcBorders>
              <w:tl2br w:val="nil"/>
              <w:tr2bl w:val="nil"/>
            </w:tcBorders>
            <w:noWrap w:val="0"/>
            <w:tcMar>
              <w:top w:w="0" w:type="dxa"/>
              <w:left w:w="0" w:type="dxa"/>
              <w:bottom w:w="0" w:type="dxa"/>
              <w:right w:w="0" w:type="dxa"/>
            </w:tcMar>
            <w:vAlign w:val="center"/>
          </w:tcPr>
          <w:p w14:paraId="0AB990E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1.5km</w:t>
            </w:r>
          </w:p>
        </w:tc>
        <w:tc>
          <w:tcPr>
            <w:tcW w:w="618" w:type="pct"/>
            <w:tcBorders>
              <w:tl2br w:val="nil"/>
              <w:tr2bl w:val="nil"/>
            </w:tcBorders>
            <w:noWrap w:val="0"/>
            <w:tcMar>
              <w:top w:w="0" w:type="dxa"/>
              <w:left w:w="0" w:type="dxa"/>
              <w:bottom w:w="0" w:type="dxa"/>
              <w:right w:w="0" w:type="dxa"/>
            </w:tcMar>
            <w:vAlign w:val="center"/>
          </w:tcPr>
          <w:p w14:paraId="0E14F1EE">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约600人</w:t>
            </w:r>
          </w:p>
        </w:tc>
        <w:tc>
          <w:tcPr>
            <w:tcW w:w="1113" w:type="pct"/>
            <w:vMerge w:val="continue"/>
            <w:tcBorders>
              <w:tl2br w:val="nil"/>
              <w:tr2bl w:val="nil"/>
            </w:tcBorders>
            <w:noWrap w:val="0"/>
            <w:tcMar>
              <w:top w:w="0" w:type="dxa"/>
              <w:left w:w="0" w:type="dxa"/>
              <w:bottom w:w="0" w:type="dxa"/>
              <w:right w:w="0" w:type="dxa"/>
            </w:tcMar>
            <w:vAlign w:val="center"/>
          </w:tcPr>
          <w:p w14:paraId="35276411">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430FF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2D3B4F50">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1C1D73A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106.904514</w:t>
            </w:r>
          </w:p>
        </w:tc>
        <w:tc>
          <w:tcPr>
            <w:tcW w:w="518" w:type="pct"/>
            <w:tcBorders>
              <w:tl2br w:val="nil"/>
              <w:tr2bl w:val="nil"/>
            </w:tcBorders>
            <w:noWrap w:val="0"/>
            <w:tcMar>
              <w:top w:w="0" w:type="dxa"/>
              <w:left w:w="0" w:type="dxa"/>
              <w:bottom w:w="0" w:type="dxa"/>
              <w:right w:w="0" w:type="dxa"/>
            </w:tcMar>
            <w:vAlign w:val="center"/>
          </w:tcPr>
          <w:p w14:paraId="684ACC2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31.744098</w:t>
            </w:r>
          </w:p>
        </w:tc>
        <w:tc>
          <w:tcPr>
            <w:tcW w:w="643" w:type="pct"/>
            <w:tcBorders>
              <w:tl2br w:val="nil"/>
              <w:tr2bl w:val="nil"/>
            </w:tcBorders>
            <w:noWrap w:val="0"/>
            <w:tcMar>
              <w:top w:w="0" w:type="dxa"/>
              <w:left w:w="0" w:type="dxa"/>
              <w:bottom w:w="0" w:type="dxa"/>
              <w:right w:w="0" w:type="dxa"/>
            </w:tcMar>
            <w:vAlign w:val="center"/>
          </w:tcPr>
          <w:p w14:paraId="7651060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江临村</w:t>
            </w:r>
          </w:p>
        </w:tc>
        <w:tc>
          <w:tcPr>
            <w:tcW w:w="551" w:type="pct"/>
            <w:tcBorders>
              <w:tl2br w:val="nil"/>
              <w:tr2bl w:val="nil"/>
            </w:tcBorders>
            <w:noWrap w:val="0"/>
            <w:tcMar>
              <w:top w:w="0" w:type="dxa"/>
              <w:left w:w="0" w:type="dxa"/>
              <w:bottom w:w="0" w:type="dxa"/>
              <w:right w:w="0" w:type="dxa"/>
            </w:tcMar>
            <w:vAlign w:val="center"/>
          </w:tcPr>
          <w:p w14:paraId="25BE32DC">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4EA9BC1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东南</w:t>
            </w:r>
          </w:p>
        </w:tc>
        <w:tc>
          <w:tcPr>
            <w:tcW w:w="309" w:type="pct"/>
            <w:tcBorders>
              <w:tl2br w:val="nil"/>
              <w:tr2bl w:val="nil"/>
            </w:tcBorders>
            <w:noWrap w:val="0"/>
            <w:tcMar>
              <w:top w:w="0" w:type="dxa"/>
              <w:left w:w="0" w:type="dxa"/>
              <w:bottom w:w="0" w:type="dxa"/>
              <w:right w:w="0" w:type="dxa"/>
            </w:tcMar>
            <w:vAlign w:val="center"/>
          </w:tcPr>
          <w:p w14:paraId="2C362D4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1.5km</w:t>
            </w:r>
          </w:p>
        </w:tc>
        <w:tc>
          <w:tcPr>
            <w:tcW w:w="618" w:type="pct"/>
            <w:tcBorders>
              <w:tl2br w:val="nil"/>
              <w:tr2bl w:val="nil"/>
            </w:tcBorders>
            <w:noWrap w:val="0"/>
            <w:tcMar>
              <w:top w:w="0" w:type="dxa"/>
              <w:left w:w="0" w:type="dxa"/>
              <w:bottom w:w="0" w:type="dxa"/>
              <w:right w:w="0" w:type="dxa"/>
            </w:tcMar>
            <w:vAlign w:val="center"/>
          </w:tcPr>
          <w:p w14:paraId="0A56E7D2">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400</w:t>
            </w:r>
            <w:r>
              <w:rPr>
                <w:color w:val="auto"/>
                <w:sz w:val="21"/>
                <w:szCs w:val="21"/>
              </w:rPr>
              <w:t>人</w:t>
            </w:r>
          </w:p>
        </w:tc>
        <w:tc>
          <w:tcPr>
            <w:tcW w:w="1113" w:type="pct"/>
            <w:vMerge w:val="continue"/>
            <w:tcBorders>
              <w:tl2br w:val="nil"/>
              <w:tr2bl w:val="nil"/>
            </w:tcBorders>
            <w:noWrap w:val="0"/>
            <w:tcMar>
              <w:top w:w="0" w:type="dxa"/>
              <w:left w:w="0" w:type="dxa"/>
              <w:bottom w:w="0" w:type="dxa"/>
              <w:right w:w="0" w:type="dxa"/>
            </w:tcMar>
            <w:vAlign w:val="center"/>
          </w:tcPr>
          <w:p w14:paraId="5340A650">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238CB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27E46817">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272674F3">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106.898398</w:t>
            </w:r>
          </w:p>
        </w:tc>
        <w:tc>
          <w:tcPr>
            <w:tcW w:w="518" w:type="pct"/>
            <w:tcBorders>
              <w:tl2br w:val="nil"/>
              <w:tr2bl w:val="nil"/>
            </w:tcBorders>
            <w:noWrap w:val="0"/>
            <w:tcMar>
              <w:top w:w="0" w:type="dxa"/>
              <w:left w:w="0" w:type="dxa"/>
              <w:bottom w:w="0" w:type="dxa"/>
              <w:right w:w="0" w:type="dxa"/>
            </w:tcMar>
            <w:vAlign w:val="center"/>
          </w:tcPr>
          <w:p w14:paraId="416AE19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31.738128</w:t>
            </w:r>
          </w:p>
        </w:tc>
        <w:tc>
          <w:tcPr>
            <w:tcW w:w="643" w:type="pct"/>
            <w:tcBorders>
              <w:tl2br w:val="nil"/>
              <w:tr2bl w:val="nil"/>
            </w:tcBorders>
            <w:noWrap w:val="0"/>
            <w:tcMar>
              <w:top w:w="0" w:type="dxa"/>
              <w:left w:w="0" w:type="dxa"/>
              <w:bottom w:w="0" w:type="dxa"/>
              <w:right w:w="0" w:type="dxa"/>
            </w:tcMar>
            <w:vAlign w:val="center"/>
          </w:tcPr>
          <w:p w14:paraId="677433B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五通桥村</w:t>
            </w:r>
          </w:p>
        </w:tc>
        <w:tc>
          <w:tcPr>
            <w:tcW w:w="551" w:type="pct"/>
            <w:tcBorders>
              <w:tl2br w:val="nil"/>
              <w:tr2bl w:val="nil"/>
            </w:tcBorders>
            <w:noWrap w:val="0"/>
            <w:tcMar>
              <w:top w:w="0" w:type="dxa"/>
              <w:left w:w="0" w:type="dxa"/>
              <w:bottom w:w="0" w:type="dxa"/>
              <w:right w:w="0" w:type="dxa"/>
            </w:tcMar>
            <w:vAlign w:val="center"/>
          </w:tcPr>
          <w:p w14:paraId="2D56B120">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36DD031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东南</w:t>
            </w:r>
          </w:p>
        </w:tc>
        <w:tc>
          <w:tcPr>
            <w:tcW w:w="309" w:type="pct"/>
            <w:tcBorders>
              <w:tl2br w:val="nil"/>
              <w:tr2bl w:val="nil"/>
            </w:tcBorders>
            <w:noWrap w:val="0"/>
            <w:tcMar>
              <w:top w:w="0" w:type="dxa"/>
              <w:left w:w="0" w:type="dxa"/>
              <w:bottom w:w="0" w:type="dxa"/>
              <w:right w:w="0" w:type="dxa"/>
            </w:tcMar>
            <w:vAlign w:val="center"/>
          </w:tcPr>
          <w:p w14:paraId="729E131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1.7km</w:t>
            </w:r>
          </w:p>
        </w:tc>
        <w:tc>
          <w:tcPr>
            <w:tcW w:w="618" w:type="pct"/>
            <w:tcBorders>
              <w:tl2br w:val="nil"/>
              <w:tr2bl w:val="nil"/>
            </w:tcBorders>
            <w:noWrap w:val="0"/>
            <w:tcMar>
              <w:top w:w="0" w:type="dxa"/>
              <w:left w:w="0" w:type="dxa"/>
              <w:bottom w:w="0" w:type="dxa"/>
              <w:right w:w="0" w:type="dxa"/>
            </w:tcMar>
            <w:vAlign w:val="center"/>
          </w:tcPr>
          <w:p w14:paraId="3B89C78A">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500</w:t>
            </w:r>
            <w:r>
              <w:rPr>
                <w:color w:val="auto"/>
                <w:sz w:val="21"/>
                <w:szCs w:val="21"/>
              </w:rPr>
              <w:t>人</w:t>
            </w:r>
          </w:p>
        </w:tc>
        <w:tc>
          <w:tcPr>
            <w:tcW w:w="1113" w:type="pct"/>
            <w:vMerge w:val="continue"/>
            <w:tcBorders>
              <w:tl2br w:val="nil"/>
              <w:tr2bl w:val="nil"/>
            </w:tcBorders>
            <w:noWrap w:val="0"/>
            <w:tcMar>
              <w:top w:w="0" w:type="dxa"/>
              <w:left w:w="0" w:type="dxa"/>
              <w:bottom w:w="0" w:type="dxa"/>
              <w:right w:w="0" w:type="dxa"/>
            </w:tcMar>
            <w:vAlign w:val="center"/>
          </w:tcPr>
          <w:p w14:paraId="1011E9CC">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32DBC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1F3DB72E">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69805597">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106.888356</w:t>
            </w:r>
          </w:p>
        </w:tc>
        <w:tc>
          <w:tcPr>
            <w:tcW w:w="518" w:type="pct"/>
            <w:tcBorders>
              <w:tl2br w:val="nil"/>
              <w:tr2bl w:val="nil"/>
            </w:tcBorders>
            <w:noWrap w:val="0"/>
            <w:tcMar>
              <w:top w:w="0" w:type="dxa"/>
              <w:left w:w="0" w:type="dxa"/>
              <w:bottom w:w="0" w:type="dxa"/>
              <w:right w:w="0" w:type="dxa"/>
            </w:tcMar>
            <w:vAlign w:val="center"/>
          </w:tcPr>
          <w:p w14:paraId="6C94F424">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31.732404</w:t>
            </w:r>
          </w:p>
        </w:tc>
        <w:tc>
          <w:tcPr>
            <w:tcW w:w="643" w:type="pct"/>
            <w:tcBorders>
              <w:tl2br w:val="nil"/>
              <w:tr2bl w:val="nil"/>
            </w:tcBorders>
            <w:noWrap w:val="0"/>
            <w:tcMar>
              <w:top w:w="0" w:type="dxa"/>
              <w:left w:w="0" w:type="dxa"/>
              <w:bottom w:w="0" w:type="dxa"/>
              <w:right w:w="0" w:type="dxa"/>
            </w:tcMar>
            <w:vAlign w:val="center"/>
          </w:tcPr>
          <w:p w14:paraId="6E34BD7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燕山村</w:t>
            </w:r>
          </w:p>
        </w:tc>
        <w:tc>
          <w:tcPr>
            <w:tcW w:w="551" w:type="pct"/>
            <w:tcBorders>
              <w:tl2br w:val="nil"/>
              <w:tr2bl w:val="nil"/>
            </w:tcBorders>
            <w:noWrap w:val="0"/>
            <w:tcMar>
              <w:top w:w="0" w:type="dxa"/>
              <w:left w:w="0" w:type="dxa"/>
              <w:bottom w:w="0" w:type="dxa"/>
              <w:right w:w="0" w:type="dxa"/>
            </w:tcMar>
            <w:vAlign w:val="center"/>
          </w:tcPr>
          <w:p w14:paraId="13411C5D">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52AAC79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南</w:t>
            </w:r>
          </w:p>
        </w:tc>
        <w:tc>
          <w:tcPr>
            <w:tcW w:w="309" w:type="pct"/>
            <w:tcBorders>
              <w:tl2br w:val="nil"/>
              <w:tr2bl w:val="nil"/>
            </w:tcBorders>
            <w:noWrap w:val="0"/>
            <w:tcMar>
              <w:top w:w="0" w:type="dxa"/>
              <w:left w:w="0" w:type="dxa"/>
              <w:bottom w:w="0" w:type="dxa"/>
              <w:right w:w="0" w:type="dxa"/>
            </w:tcMar>
            <w:vAlign w:val="center"/>
          </w:tcPr>
          <w:p w14:paraId="134948F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2.3km</w:t>
            </w:r>
          </w:p>
        </w:tc>
        <w:tc>
          <w:tcPr>
            <w:tcW w:w="618" w:type="pct"/>
            <w:tcBorders>
              <w:tl2br w:val="nil"/>
              <w:tr2bl w:val="nil"/>
            </w:tcBorders>
            <w:noWrap w:val="0"/>
            <w:tcMar>
              <w:top w:w="0" w:type="dxa"/>
              <w:left w:w="0" w:type="dxa"/>
              <w:bottom w:w="0" w:type="dxa"/>
              <w:right w:w="0" w:type="dxa"/>
            </w:tcMar>
            <w:vAlign w:val="center"/>
          </w:tcPr>
          <w:p w14:paraId="1C2F023E">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150</w:t>
            </w:r>
            <w:r>
              <w:rPr>
                <w:color w:val="auto"/>
                <w:sz w:val="21"/>
                <w:szCs w:val="21"/>
              </w:rPr>
              <w:t>人</w:t>
            </w:r>
          </w:p>
        </w:tc>
        <w:tc>
          <w:tcPr>
            <w:tcW w:w="1113" w:type="pct"/>
            <w:vMerge w:val="continue"/>
            <w:tcBorders>
              <w:tl2br w:val="nil"/>
              <w:tr2bl w:val="nil"/>
            </w:tcBorders>
            <w:noWrap w:val="0"/>
            <w:tcMar>
              <w:top w:w="0" w:type="dxa"/>
              <w:left w:w="0" w:type="dxa"/>
              <w:bottom w:w="0" w:type="dxa"/>
              <w:right w:w="0" w:type="dxa"/>
            </w:tcMar>
            <w:vAlign w:val="center"/>
          </w:tcPr>
          <w:p w14:paraId="69C59567">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1D72D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cBorders>
              <w:tl2br w:val="nil"/>
              <w:tr2bl w:val="nil"/>
            </w:tcBorders>
            <w:noWrap w:val="0"/>
            <w:tcMar>
              <w:top w:w="0" w:type="dxa"/>
              <w:left w:w="0" w:type="dxa"/>
              <w:bottom w:w="0" w:type="dxa"/>
              <w:right w:w="0" w:type="dxa"/>
            </w:tcMar>
            <w:vAlign w:val="center"/>
          </w:tcPr>
          <w:p w14:paraId="495812AF">
            <w:pPr>
              <w:pStyle w:val="20"/>
              <w:pageBreakBefore w:val="0"/>
              <w:wordWrap/>
              <w:bidi w:val="0"/>
              <w:adjustRightInd/>
              <w:snapToGrid/>
              <w:spacing w:after="0" w:line="240" w:lineRule="auto"/>
              <w:ind w:left="0" w:leftChars="0" w:firstLine="0" w:firstLineChars="0"/>
              <w:jc w:val="center"/>
              <w:rPr>
                <w:color w:val="auto"/>
                <w:sz w:val="21"/>
                <w:szCs w:val="21"/>
              </w:rPr>
            </w:pPr>
          </w:p>
        </w:tc>
        <w:tc>
          <w:tcPr>
            <w:tcW w:w="577" w:type="pct"/>
            <w:tcBorders>
              <w:tl2br w:val="nil"/>
              <w:tr2bl w:val="nil"/>
            </w:tcBorders>
            <w:noWrap w:val="0"/>
            <w:tcMar>
              <w:top w:w="0" w:type="dxa"/>
              <w:left w:w="0" w:type="dxa"/>
              <w:bottom w:w="0" w:type="dxa"/>
              <w:right w:w="0" w:type="dxa"/>
            </w:tcMar>
            <w:vAlign w:val="center"/>
          </w:tcPr>
          <w:p w14:paraId="7ED371CE">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106.879429</w:t>
            </w:r>
          </w:p>
        </w:tc>
        <w:tc>
          <w:tcPr>
            <w:tcW w:w="518" w:type="pct"/>
            <w:tcBorders>
              <w:tl2br w:val="nil"/>
              <w:tr2bl w:val="nil"/>
            </w:tcBorders>
            <w:noWrap w:val="0"/>
            <w:tcMar>
              <w:top w:w="0" w:type="dxa"/>
              <w:left w:w="0" w:type="dxa"/>
              <w:bottom w:w="0" w:type="dxa"/>
              <w:right w:w="0" w:type="dxa"/>
            </w:tcMar>
            <w:vAlign w:val="center"/>
          </w:tcPr>
          <w:p w14:paraId="406DE7C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31.745595</w:t>
            </w:r>
          </w:p>
        </w:tc>
        <w:tc>
          <w:tcPr>
            <w:tcW w:w="643" w:type="pct"/>
            <w:tcBorders>
              <w:tl2br w:val="nil"/>
              <w:tr2bl w:val="nil"/>
            </w:tcBorders>
            <w:noWrap w:val="0"/>
            <w:tcMar>
              <w:top w:w="0" w:type="dxa"/>
              <w:left w:w="0" w:type="dxa"/>
              <w:bottom w:w="0" w:type="dxa"/>
              <w:right w:w="0" w:type="dxa"/>
            </w:tcMar>
            <w:vAlign w:val="center"/>
          </w:tcPr>
          <w:p w14:paraId="408162B4">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吉公村</w:t>
            </w:r>
          </w:p>
        </w:tc>
        <w:tc>
          <w:tcPr>
            <w:tcW w:w="551" w:type="pct"/>
            <w:tcBorders>
              <w:tl2br w:val="nil"/>
              <w:tr2bl w:val="nil"/>
            </w:tcBorders>
            <w:noWrap w:val="0"/>
            <w:tcMar>
              <w:top w:w="0" w:type="dxa"/>
              <w:left w:w="0" w:type="dxa"/>
              <w:bottom w:w="0" w:type="dxa"/>
              <w:right w:w="0" w:type="dxa"/>
            </w:tcMar>
            <w:vAlign w:val="center"/>
          </w:tcPr>
          <w:p w14:paraId="18ED88C4">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248" w:type="pct"/>
            <w:tcBorders>
              <w:tl2br w:val="nil"/>
              <w:tr2bl w:val="nil"/>
            </w:tcBorders>
            <w:noWrap w:val="0"/>
            <w:tcMar>
              <w:top w:w="0" w:type="dxa"/>
              <w:left w:w="0" w:type="dxa"/>
              <w:bottom w:w="0" w:type="dxa"/>
              <w:right w:w="0" w:type="dxa"/>
            </w:tcMar>
            <w:vAlign w:val="center"/>
          </w:tcPr>
          <w:p w14:paraId="776438A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西南</w:t>
            </w:r>
          </w:p>
        </w:tc>
        <w:tc>
          <w:tcPr>
            <w:tcW w:w="309" w:type="pct"/>
            <w:tcBorders>
              <w:tl2br w:val="nil"/>
              <w:tr2bl w:val="nil"/>
            </w:tcBorders>
            <w:noWrap w:val="0"/>
            <w:tcMar>
              <w:top w:w="0" w:type="dxa"/>
              <w:left w:w="0" w:type="dxa"/>
              <w:bottom w:w="0" w:type="dxa"/>
              <w:right w:w="0" w:type="dxa"/>
            </w:tcMar>
            <w:vAlign w:val="center"/>
          </w:tcPr>
          <w:p w14:paraId="20C156C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1.2km</w:t>
            </w:r>
          </w:p>
        </w:tc>
        <w:tc>
          <w:tcPr>
            <w:tcW w:w="618" w:type="pct"/>
            <w:tcBorders>
              <w:tl2br w:val="nil"/>
              <w:tr2bl w:val="nil"/>
            </w:tcBorders>
            <w:noWrap w:val="0"/>
            <w:tcMar>
              <w:top w:w="0" w:type="dxa"/>
              <w:left w:w="0" w:type="dxa"/>
              <w:bottom w:w="0" w:type="dxa"/>
              <w:right w:w="0" w:type="dxa"/>
            </w:tcMar>
            <w:vAlign w:val="center"/>
          </w:tcPr>
          <w:p w14:paraId="5E900042">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color w:val="auto"/>
                <w:sz w:val="21"/>
                <w:szCs w:val="21"/>
              </w:rPr>
              <w:t>约</w:t>
            </w:r>
            <w:r>
              <w:rPr>
                <w:rFonts w:hint="eastAsia"/>
                <w:color w:val="auto"/>
                <w:sz w:val="21"/>
                <w:szCs w:val="21"/>
                <w:lang w:val="en-US" w:eastAsia="zh-CN"/>
              </w:rPr>
              <w:t>300人</w:t>
            </w:r>
          </w:p>
        </w:tc>
        <w:tc>
          <w:tcPr>
            <w:tcW w:w="1113" w:type="pct"/>
            <w:vMerge w:val="continue"/>
            <w:tcBorders>
              <w:tl2br w:val="nil"/>
              <w:tr2bl w:val="nil"/>
            </w:tcBorders>
            <w:noWrap w:val="0"/>
            <w:tcMar>
              <w:top w:w="0" w:type="dxa"/>
              <w:left w:w="0" w:type="dxa"/>
              <w:bottom w:w="0" w:type="dxa"/>
              <w:right w:w="0" w:type="dxa"/>
            </w:tcMar>
            <w:vAlign w:val="center"/>
          </w:tcPr>
          <w:p w14:paraId="1BA80B37">
            <w:pPr>
              <w:pStyle w:val="20"/>
              <w:pageBreakBefore w:val="0"/>
              <w:wordWrap/>
              <w:bidi w:val="0"/>
              <w:adjustRightInd/>
              <w:snapToGrid/>
              <w:spacing w:after="0" w:line="240" w:lineRule="auto"/>
              <w:ind w:left="0" w:leftChars="0" w:firstLine="0" w:firstLineChars="0"/>
              <w:jc w:val="center"/>
              <w:rPr>
                <w:color w:val="auto"/>
                <w:sz w:val="21"/>
                <w:szCs w:val="21"/>
              </w:rPr>
            </w:pPr>
          </w:p>
        </w:tc>
      </w:tr>
      <w:tr w14:paraId="02AFF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tcBorders>
              <w:tl2br w:val="nil"/>
              <w:tr2bl w:val="nil"/>
            </w:tcBorders>
            <w:noWrap w:val="0"/>
            <w:tcMar>
              <w:top w:w="0" w:type="dxa"/>
              <w:left w:w="0" w:type="dxa"/>
              <w:bottom w:w="0" w:type="dxa"/>
              <w:right w:w="0" w:type="dxa"/>
            </w:tcMar>
            <w:vAlign w:val="center"/>
          </w:tcPr>
          <w:p w14:paraId="6497A28C">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地表水环境</w:t>
            </w:r>
          </w:p>
        </w:tc>
        <w:tc>
          <w:tcPr>
            <w:tcW w:w="1740" w:type="pct"/>
            <w:gridSpan w:val="3"/>
            <w:tcBorders>
              <w:tl2br w:val="nil"/>
              <w:tr2bl w:val="nil"/>
            </w:tcBorders>
            <w:noWrap w:val="0"/>
            <w:tcMar>
              <w:top w:w="0" w:type="dxa"/>
              <w:left w:w="0" w:type="dxa"/>
              <w:bottom w:w="0" w:type="dxa"/>
              <w:right w:w="0" w:type="dxa"/>
            </w:tcMar>
            <w:vAlign w:val="center"/>
          </w:tcPr>
          <w:p w14:paraId="5A853807">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eastAsia="zh-CN"/>
              </w:rPr>
              <w:t>巴河</w:t>
            </w:r>
          </w:p>
        </w:tc>
        <w:tc>
          <w:tcPr>
            <w:tcW w:w="551" w:type="pct"/>
            <w:tcBorders>
              <w:tl2br w:val="nil"/>
              <w:tr2bl w:val="nil"/>
            </w:tcBorders>
            <w:noWrap w:val="0"/>
            <w:tcMar>
              <w:top w:w="0" w:type="dxa"/>
              <w:left w:w="0" w:type="dxa"/>
              <w:bottom w:w="0" w:type="dxa"/>
              <w:right w:w="0" w:type="dxa"/>
            </w:tcMar>
            <w:vAlign w:val="center"/>
          </w:tcPr>
          <w:p w14:paraId="79EA18D0">
            <w:pPr>
              <w:pStyle w:val="20"/>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color w:val="auto"/>
                <w:sz w:val="21"/>
                <w:szCs w:val="21"/>
              </w:rPr>
              <w:t>地表水</w:t>
            </w:r>
          </w:p>
        </w:tc>
        <w:tc>
          <w:tcPr>
            <w:tcW w:w="248" w:type="pct"/>
            <w:tcBorders>
              <w:tl2br w:val="nil"/>
              <w:tr2bl w:val="nil"/>
            </w:tcBorders>
            <w:noWrap w:val="0"/>
            <w:tcMar>
              <w:top w:w="0" w:type="dxa"/>
              <w:left w:w="0" w:type="dxa"/>
              <w:bottom w:w="0" w:type="dxa"/>
              <w:right w:w="0" w:type="dxa"/>
            </w:tcMar>
            <w:vAlign w:val="center"/>
          </w:tcPr>
          <w:p w14:paraId="58405CF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西南</w:t>
            </w:r>
          </w:p>
        </w:tc>
        <w:tc>
          <w:tcPr>
            <w:tcW w:w="309" w:type="pct"/>
            <w:tcBorders>
              <w:tl2br w:val="nil"/>
              <w:tr2bl w:val="nil"/>
            </w:tcBorders>
            <w:noWrap w:val="0"/>
            <w:tcMar>
              <w:top w:w="0" w:type="dxa"/>
              <w:left w:w="0" w:type="dxa"/>
              <w:bottom w:w="0" w:type="dxa"/>
              <w:right w:w="0" w:type="dxa"/>
            </w:tcMar>
            <w:vAlign w:val="center"/>
          </w:tcPr>
          <w:p w14:paraId="2D1C9B0B">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70m</w:t>
            </w:r>
          </w:p>
        </w:tc>
        <w:tc>
          <w:tcPr>
            <w:tcW w:w="618" w:type="pct"/>
            <w:tcBorders>
              <w:tl2br w:val="nil"/>
              <w:tr2bl w:val="nil"/>
            </w:tcBorders>
            <w:noWrap w:val="0"/>
            <w:tcMar>
              <w:top w:w="0" w:type="dxa"/>
              <w:left w:w="0" w:type="dxa"/>
              <w:bottom w:w="0" w:type="dxa"/>
              <w:right w:w="0" w:type="dxa"/>
            </w:tcMar>
            <w:vAlign w:val="center"/>
          </w:tcPr>
          <w:p w14:paraId="6D9BA7F5">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Ⅲ类功能</w:t>
            </w:r>
          </w:p>
        </w:tc>
        <w:tc>
          <w:tcPr>
            <w:tcW w:w="1113" w:type="pct"/>
            <w:tcBorders>
              <w:tl2br w:val="nil"/>
              <w:tr2bl w:val="nil"/>
            </w:tcBorders>
            <w:noWrap w:val="0"/>
            <w:tcMar>
              <w:top w:w="0" w:type="dxa"/>
              <w:left w:w="0" w:type="dxa"/>
              <w:bottom w:w="0" w:type="dxa"/>
              <w:right w:w="0" w:type="dxa"/>
            </w:tcMar>
            <w:vAlign w:val="center"/>
          </w:tcPr>
          <w:p w14:paraId="5241025D">
            <w:pPr>
              <w:pageBreakBefore w:val="0"/>
              <w:wordWrap/>
              <w:bidi w:val="0"/>
              <w:adjustRightInd/>
              <w:snapToGrid/>
              <w:spacing w:line="240" w:lineRule="auto"/>
              <w:ind w:firstLine="0" w:firstLineChars="0"/>
              <w:jc w:val="center"/>
              <w:rPr>
                <w:color w:val="auto"/>
                <w:sz w:val="21"/>
                <w:szCs w:val="21"/>
              </w:rPr>
            </w:pPr>
            <w:r>
              <w:rPr>
                <w:color w:val="auto"/>
                <w:spacing w:val="1"/>
                <w:kern w:val="0"/>
                <w:sz w:val="21"/>
                <w:szCs w:val="21"/>
              </w:rPr>
              <w:t>GB3838-2002</w:t>
            </w:r>
            <w:r>
              <w:rPr>
                <w:rFonts w:hint="eastAsia"/>
                <w:color w:val="auto"/>
                <w:spacing w:val="1"/>
                <w:kern w:val="0"/>
                <w:sz w:val="21"/>
                <w:szCs w:val="21"/>
                <w:lang w:val="en-US" w:eastAsia="zh-CN"/>
              </w:rPr>
              <w:t>中</w:t>
            </w:r>
            <w:r>
              <w:rPr>
                <w:color w:val="auto"/>
                <w:spacing w:val="1"/>
                <w:kern w:val="0"/>
                <w:sz w:val="21"/>
                <w:szCs w:val="21"/>
              </w:rPr>
              <w:t>Ⅲ类</w:t>
            </w:r>
          </w:p>
        </w:tc>
      </w:tr>
      <w:tr w14:paraId="64AFC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tcBorders>
              <w:tl2br w:val="nil"/>
              <w:tr2bl w:val="nil"/>
            </w:tcBorders>
            <w:noWrap w:val="0"/>
            <w:tcMar>
              <w:top w:w="0" w:type="dxa"/>
              <w:left w:w="0" w:type="dxa"/>
              <w:bottom w:w="0" w:type="dxa"/>
              <w:right w:w="0" w:type="dxa"/>
            </w:tcMar>
            <w:vAlign w:val="center"/>
          </w:tcPr>
          <w:p w14:paraId="51635739">
            <w:pPr>
              <w:pStyle w:val="20"/>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声环境</w:t>
            </w:r>
          </w:p>
        </w:tc>
        <w:tc>
          <w:tcPr>
            <w:tcW w:w="3467" w:type="pct"/>
            <w:gridSpan w:val="7"/>
            <w:tcBorders>
              <w:tl2br w:val="nil"/>
              <w:tr2bl w:val="nil"/>
            </w:tcBorders>
            <w:noWrap w:val="0"/>
            <w:tcMar>
              <w:top w:w="0" w:type="dxa"/>
              <w:left w:w="0" w:type="dxa"/>
              <w:bottom w:w="0" w:type="dxa"/>
              <w:right w:w="0" w:type="dxa"/>
            </w:tcMar>
            <w:vAlign w:val="center"/>
          </w:tcPr>
          <w:p w14:paraId="323F615B">
            <w:pPr>
              <w:pStyle w:val="20"/>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val="en-US" w:eastAsia="zh-CN"/>
              </w:rPr>
              <w:t>项目</w:t>
            </w:r>
            <w:r>
              <w:rPr>
                <w:rFonts w:hint="eastAsia"/>
                <w:color w:val="auto"/>
                <w:sz w:val="21"/>
                <w:szCs w:val="21"/>
              </w:rPr>
              <w:t>红线外200米范围内居民住户</w:t>
            </w:r>
          </w:p>
        </w:tc>
        <w:tc>
          <w:tcPr>
            <w:tcW w:w="1113" w:type="pct"/>
            <w:tcBorders>
              <w:tl2br w:val="nil"/>
              <w:tr2bl w:val="nil"/>
            </w:tcBorders>
            <w:noWrap w:val="0"/>
            <w:tcMar>
              <w:top w:w="0" w:type="dxa"/>
              <w:left w:w="0" w:type="dxa"/>
              <w:bottom w:w="0" w:type="dxa"/>
              <w:right w:w="0" w:type="dxa"/>
            </w:tcMar>
            <w:vAlign w:val="center"/>
          </w:tcPr>
          <w:p w14:paraId="570A91B4">
            <w:pPr>
              <w:pStyle w:val="20"/>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GB3096-2008</w:t>
            </w:r>
            <w:r>
              <w:rPr>
                <w:rFonts w:hint="eastAsia"/>
                <w:color w:val="auto"/>
                <w:sz w:val="21"/>
                <w:szCs w:val="21"/>
                <w:lang w:val="en-US" w:eastAsia="zh-CN"/>
              </w:rPr>
              <w:t>中</w:t>
            </w:r>
            <w:r>
              <w:rPr>
                <w:rFonts w:hint="eastAsia"/>
                <w:color w:val="auto"/>
                <w:sz w:val="21"/>
                <w:szCs w:val="21"/>
              </w:rPr>
              <w:t>2类</w:t>
            </w:r>
          </w:p>
        </w:tc>
      </w:tr>
      <w:tr w14:paraId="7810A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tcBorders>
              <w:tl2br w:val="nil"/>
              <w:tr2bl w:val="nil"/>
            </w:tcBorders>
            <w:noWrap w:val="0"/>
            <w:tcMar>
              <w:top w:w="0" w:type="dxa"/>
              <w:left w:w="0" w:type="dxa"/>
              <w:bottom w:w="0" w:type="dxa"/>
              <w:right w:w="0" w:type="dxa"/>
            </w:tcMar>
            <w:vAlign w:val="center"/>
          </w:tcPr>
          <w:p w14:paraId="1630CD4B">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地下水环境</w:t>
            </w:r>
          </w:p>
        </w:tc>
        <w:tc>
          <w:tcPr>
            <w:tcW w:w="3467" w:type="pct"/>
            <w:gridSpan w:val="7"/>
            <w:tcBorders>
              <w:tl2br w:val="nil"/>
              <w:tr2bl w:val="nil"/>
            </w:tcBorders>
            <w:noWrap w:val="0"/>
            <w:tcMar>
              <w:top w:w="0" w:type="dxa"/>
              <w:left w:w="0" w:type="dxa"/>
              <w:bottom w:w="0" w:type="dxa"/>
              <w:right w:w="0" w:type="dxa"/>
            </w:tcMar>
            <w:vAlign w:val="center"/>
          </w:tcPr>
          <w:p w14:paraId="36EBC078">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评价范围内，具有开发利用价值的含水层</w:t>
            </w:r>
          </w:p>
        </w:tc>
        <w:tc>
          <w:tcPr>
            <w:tcW w:w="1113" w:type="pct"/>
            <w:tcBorders>
              <w:tl2br w:val="nil"/>
              <w:tr2bl w:val="nil"/>
            </w:tcBorders>
            <w:noWrap w:val="0"/>
            <w:tcMar>
              <w:top w:w="0" w:type="dxa"/>
              <w:left w:w="0" w:type="dxa"/>
              <w:bottom w:w="0" w:type="dxa"/>
              <w:right w:w="0" w:type="dxa"/>
            </w:tcMar>
            <w:vAlign w:val="center"/>
          </w:tcPr>
          <w:p w14:paraId="5EE5A882">
            <w:pPr>
              <w:pStyle w:val="20"/>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GB/T14848-2017中III类标准</w:t>
            </w:r>
          </w:p>
        </w:tc>
      </w:tr>
      <w:tr w14:paraId="246C7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tcBorders>
              <w:tl2br w:val="nil"/>
              <w:tr2bl w:val="nil"/>
            </w:tcBorders>
            <w:noWrap w:val="0"/>
            <w:tcMar>
              <w:top w:w="0" w:type="dxa"/>
              <w:left w:w="0" w:type="dxa"/>
              <w:bottom w:w="0" w:type="dxa"/>
              <w:right w:w="0" w:type="dxa"/>
            </w:tcMar>
            <w:vAlign w:val="center"/>
          </w:tcPr>
          <w:p w14:paraId="49460A35">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土壤</w:t>
            </w:r>
          </w:p>
        </w:tc>
        <w:tc>
          <w:tcPr>
            <w:tcW w:w="3467" w:type="pct"/>
            <w:gridSpan w:val="7"/>
            <w:tcBorders>
              <w:tl2br w:val="nil"/>
              <w:tr2bl w:val="nil"/>
            </w:tcBorders>
            <w:noWrap w:val="0"/>
            <w:tcMar>
              <w:top w:w="0" w:type="dxa"/>
              <w:left w:w="0" w:type="dxa"/>
              <w:bottom w:w="0" w:type="dxa"/>
              <w:right w:w="0" w:type="dxa"/>
            </w:tcMar>
            <w:vAlign w:val="center"/>
          </w:tcPr>
          <w:p w14:paraId="7A4FF21A">
            <w:pPr>
              <w:pStyle w:val="20"/>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厂界外1km范围</w:t>
            </w:r>
          </w:p>
        </w:tc>
        <w:tc>
          <w:tcPr>
            <w:tcW w:w="1113" w:type="pct"/>
            <w:tcBorders>
              <w:tl2br w:val="nil"/>
              <w:tr2bl w:val="nil"/>
            </w:tcBorders>
            <w:noWrap w:val="0"/>
            <w:tcMar>
              <w:top w:w="0" w:type="dxa"/>
              <w:left w:w="0" w:type="dxa"/>
              <w:bottom w:w="0" w:type="dxa"/>
              <w:right w:w="0" w:type="dxa"/>
            </w:tcMar>
            <w:vAlign w:val="center"/>
          </w:tcPr>
          <w:p w14:paraId="22D6B72E">
            <w:pPr>
              <w:pStyle w:val="20"/>
              <w:pageBreakBefore w:val="0"/>
              <w:wordWrap/>
              <w:bidi w:val="0"/>
              <w:adjustRightInd/>
              <w:snapToGrid/>
              <w:spacing w:after="0" w:line="240" w:lineRule="auto"/>
              <w:ind w:left="0" w:leftChars="0" w:firstLine="0" w:firstLineChars="0"/>
              <w:jc w:val="center"/>
              <w:rPr>
                <w:rFonts w:hint="eastAsia"/>
                <w:color w:val="auto"/>
                <w:sz w:val="21"/>
                <w:szCs w:val="21"/>
              </w:rPr>
            </w:pPr>
            <w:r>
              <w:rPr>
                <w:rFonts w:hint="eastAsia"/>
                <w:color w:val="auto"/>
                <w:sz w:val="21"/>
                <w:szCs w:val="21"/>
              </w:rPr>
              <w:t>土壤（GB36600-2018）、</w:t>
            </w:r>
          </w:p>
          <w:p w14:paraId="79503AD5">
            <w:pPr>
              <w:pStyle w:val="20"/>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（DB51 2978-2023）或（GB15618-2018）</w:t>
            </w:r>
          </w:p>
        </w:tc>
      </w:tr>
    </w:tbl>
    <w:p w14:paraId="5A57E73A">
      <w:pPr>
        <w:pStyle w:val="5"/>
        <w:keepNext/>
        <w:keepLines/>
        <w:pageBreakBefore w:val="0"/>
        <w:widowControl w:val="0"/>
        <w:kinsoku/>
        <w:wordWrap/>
        <w:overflowPunct/>
        <w:topLinePunct w:val="0"/>
        <w:autoSpaceDE/>
        <w:autoSpaceDN/>
        <w:bidi w:val="0"/>
        <w:adjustRightInd/>
        <w:snapToGrid/>
        <w:spacing w:before="0" w:beforeLines="50"/>
        <w:textAlignment w:val="auto"/>
        <w:rPr>
          <w:color w:val="auto"/>
        </w:rPr>
      </w:pPr>
      <w:bookmarkStart w:id="66" w:name="_Toc24995"/>
      <w:r>
        <w:rPr>
          <w:rFonts w:hint="eastAsia"/>
          <w:color w:val="auto"/>
          <w:lang w:val="en-US" w:eastAsia="zh-CN"/>
        </w:rPr>
        <w:t xml:space="preserve"> </w:t>
      </w:r>
      <w:r>
        <w:rPr>
          <w:color w:val="auto"/>
        </w:rPr>
        <w:t>项目选址符合性分析</w:t>
      </w:r>
    </w:p>
    <w:p w14:paraId="0963CBF0">
      <w:pPr>
        <w:pageBreakBefore w:val="0"/>
        <w:wordWrap/>
        <w:bidi w:val="0"/>
        <w:adjustRightInd/>
        <w:snapToGrid/>
        <w:ind w:firstLine="480"/>
        <w:rPr>
          <w:rFonts w:hint="eastAsia"/>
          <w:color w:val="auto"/>
        </w:rPr>
      </w:pPr>
      <w:r>
        <w:rPr>
          <w:rFonts w:hint="eastAsia"/>
          <w:color w:val="auto"/>
        </w:rPr>
        <w:t>本项目污水处理厂位于巴中市</w:t>
      </w:r>
      <w:r>
        <w:rPr>
          <w:rFonts w:hint="eastAsia"/>
          <w:color w:val="auto"/>
          <w:lang w:val="en-US" w:eastAsia="zh-CN"/>
        </w:rPr>
        <w:t>巴州区</w:t>
      </w:r>
      <w:r>
        <w:rPr>
          <w:rFonts w:hint="eastAsia"/>
          <w:color w:val="auto"/>
        </w:rPr>
        <w:t>，厂址合理性分析如下：</w:t>
      </w:r>
    </w:p>
    <w:p w14:paraId="170B124A">
      <w:pPr>
        <w:pageBreakBefore w:val="0"/>
        <w:wordWrap/>
        <w:bidi w:val="0"/>
        <w:adjustRightInd/>
        <w:snapToGrid/>
        <w:ind w:firstLine="480"/>
        <w:rPr>
          <w:rFonts w:hint="eastAsia"/>
          <w:b/>
          <w:bCs/>
          <w:color w:val="auto"/>
        </w:rPr>
      </w:pPr>
      <w:r>
        <w:rPr>
          <w:rFonts w:hint="eastAsia"/>
          <w:b/>
          <w:bCs/>
          <w:color w:val="auto"/>
        </w:rPr>
        <w:t>（1）用地条件</w:t>
      </w:r>
    </w:p>
    <w:p w14:paraId="46324876">
      <w:pPr>
        <w:pageBreakBefore w:val="0"/>
        <w:wordWrap/>
        <w:bidi w:val="0"/>
        <w:adjustRightInd/>
        <w:snapToGrid/>
        <w:ind w:firstLine="480"/>
        <w:rPr>
          <w:rFonts w:hint="eastAsia"/>
          <w:color w:val="auto"/>
        </w:rPr>
      </w:pPr>
      <w:r>
        <w:rPr>
          <w:rFonts w:hint="eastAsia"/>
          <w:color w:val="auto"/>
        </w:rPr>
        <w:t>项目为新建项目，项目场地土地利用类型为工业用地，原场地部分土地利用类 型 为 林 地</w:t>
      </w:r>
      <w:r>
        <w:rPr>
          <w:rFonts w:hint="eastAsia"/>
          <w:color w:val="auto"/>
          <w:lang w:eastAsia="zh-CN"/>
        </w:rPr>
        <w:t>，</w:t>
      </w:r>
      <w:r>
        <w:rPr>
          <w:rFonts w:hint="eastAsia"/>
          <w:color w:val="auto"/>
        </w:rPr>
        <w:t xml:space="preserve">建 设 单 位 已 取 得 </w:t>
      </w:r>
      <w:r>
        <w:rPr>
          <w:rFonts w:hint="eastAsia"/>
          <w:color w:val="auto"/>
          <w:lang w:eastAsia="zh-CN"/>
        </w:rPr>
        <w:t>“</w:t>
      </w:r>
      <w:r>
        <w:rPr>
          <w:rFonts w:hint="eastAsia"/>
          <w:color w:val="auto"/>
        </w:rPr>
        <w:t xml:space="preserve"> 四 川 省 林 木 采 伐 许 可 证 </w:t>
      </w:r>
      <w:r>
        <w:rPr>
          <w:rFonts w:hint="eastAsia"/>
          <w:color w:val="auto"/>
          <w:lang w:eastAsia="zh-CN"/>
        </w:rPr>
        <w:t>”</w:t>
      </w:r>
      <w:r>
        <w:rPr>
          <w:rFonts w:hint="eastAsia"/>
          <w:color w:val="auto"/>
        </w:rPr>
        <w:t xml:space="preserve"> （ 编 号 ：51190203200320002）。用地条件相对较好，满足</w:t>
      </w:r>
      <w:r>
        <w:rPr>
          <w:rFonts w:hint="eastAsia"/>
          <w:color w:val="auto"/>
          <w:lang w:eastAsia="zh-CN"/>
        </w:rPr>
        <w:t>污水处理厂</w:t>
      </w:r>
      <w:r>
        <w:rPr>
          <w:rFonts w:hint="eastAsia"/>
          <w:color w:val="auto"/>
        </w:rPr>
        <w:t>近期建设用地及远期扩建用地要求。</w:t>
      </w:r>
    </w:p>
    <w:p w14:paraId="193001C8">
      <w:pPr>
        <w:pageBreakBefore w:val="0"/>
        <w:wordWrap/>
        <w:bidi w:val="0"/>
        <w:adjustRightInd/>
        <w:snapToGrid/>
        <w:ind w:firstLine="480"/>
        <w:rPr>
          <w:rFonts w:hint="eastAsia"/>
          <w:b/>
          <w:bCs/>
          <w:color w:val="auto"/>
        </w:rPr>
      </w:pPr>
      <w:r>
        <w:rPr>
          <w:rFonts w:hint="eastAsia"/>
          <w:b/>
          <w:bCs/>
          <w:color w:val="auto"/>
        </w:rPr>
        <w:t>（2）从对周边环境的影响</w:t>
      </w:r>
    </w:p>
    <w:p w14:paraId="214F6933">
      <w:pPr>
        <w:pageBreakBefore w:val="0"/>
        <w:wordWrap/>
        <w:bidi w:val="0"/>
        <w:adjustRightInd/>
        <w:snapToGrid/>
        <w:ind w:firstLine="480"/>
        <w:rPr>
          <w:rFonts w:hint="eastAsia"/>
          <w:color w:val="auto"/>
        </w:rPr>
      </w:pPr>
      <w:r>
        <w:rPr>
          <w:rFonts w:hint="eastAsia"/>
          <w:color w:val="auto"/>
        </w:rPr>
        <w:t>项目</w:t>
      </w:r>
      <w:r>
        <w:rPr>
          <w:rFonts w:hint="eastAsia"/>
          <w:color w:val="auto"/>
          <w:lang w:eastAsia="zh-CN"/>
        </w:rPr>
        <w:t>污水处理厂</w:t>
      </w:r>
      <w:r>
        <w:rPr>
          <w:rFonts w:hint="eastAsia"/>
          <w:color w:val="auto"/>
        </w:rPr>
        <w:t>厂址周边均为工业用地，</w:t>
      </w:r>
      <w:r>
        <w:rPr>
          <w:rFonts w:hint="eastAsia"/>
          <w:color w:val="auto"/>
          <w:lang w:val="en-US" w:eastAsia="zh-CN"/>
        </w:rPr>
        <w:t>存在部分散居居民，经分析，</w:t>
      </w:r>
      <w:r>
        <w:rPr>
          <w:rFonts w:hint="eastAsia"/>
          <w:color w:val="auto"/>
        </w:rPr>
        <w:t>项目场内恶臭经生物除臭滤池、绿化隔离及自然扩散后，</w:t>
      </w:r>
      <w:r>
        <w:rPr>
          <w:rFonts w:hint="eastAsia"/>
          <w:color w:val="auto"/>
          <w:lang w:val="en-US" w:eastAsia="zh-CN"/>
        </w:rPr>
        <w:t>能够实现达标排放，</w:t>
      </w:r>
      <w:r>
        <w:rPr>
          <w:rFonts w:hint="eastAsia"/>
          <w:color w:val="auto"/>
        </w:rPr>
        <w:t>对其影响较小。因此，</w:t>
      </w:r>
      <w:r>
        <w:rPr>
          <w:rFonts w:hint="eastAsia"/>
          <w:color w:val="auto"/>
          <w:lang w:val="en-US" w:eastAsia="zh-CN"/>
        </w:rPr>
        <w:t>污水处理厂</w:t>
      </w:r>
      <w:r>
        <w:rPr>
          <w:rFonts w:hint="eastAsia"/>
          <w:color w:val="auto"/>
        </w:rPr>
        <w:t>建成后对周边环境影响较小。</w:t>
      </w:r>
    </w:p>
    <w:p w14:paraId="19498AC6">
      <w:pPr>
        <w:pageBreakBefore w:val="0"/>
        <w:wordWrap/>
        <w:bidi w:val="0"/>
        <w:adjustRightInd/>
        <w:snapToGrid/>
        <w:ind w:firstLine="480"/>
        <w:rPr>
          <w:rFonts w:hint="eastAsia"/>
          <w:b/>
          <w:bCs/>
          <w:color w:val="auto"/>
        </w:rPr>
      </w:pPr>
      <w:r>
        <w:rPr>
          <w:rFonts w:hint="eastAsia"/>
          <w:b/>
          <w:bCs/>
          <w:color w:val="auto"/>
        </w:rPr>
        <w:t>（3）厂区防洪及废水收集的可行性</w:t>
      </w:r>
    </w:p>
    <w:p w14:paraId="2342E1B5">
      <w:pPr>
        <w:pageBreakBefore w:val="0"/>
        <w:wordWrap/>
        <w:bidi w:val="0"/>
        <w:adjustRightInd/>
        <w:snapToGrid/>
        <w:ind w:firstLine="480"/>
        <w:rPr>
          <w:rFonts w:hint="eastAsia"/>
          <w:color w:val="auto"/>
        </w:rPr>
      </w:pPr>
      <w:r>
        <w:rPr>
          <w:rFonts w:hint="eastAsia"/>
          <w:color w:val="auto"/>
        </w:rPr>
        <w:t>污水处理厂区地面标高高于</w:t>
      </w:r>
      <w:r>
        <w:rPr>
          <w:rFonts w:hint="eastAsia"/>
          <w:color w:val="auto"/>
          <w:lang w:val="en-US" w:eastAsia="zh-CN"/>
        </w:rPr>
        <w:t>巴河</w:t>
      </w:r>
      <w:r>
        <w:rPr>
          <w:rFonts w:hint="eastAsia"/>
          <w:color w:val="auto"/>
        </w:rPr>
        <w:t>五十年一遇洪水位，满足50年一遇防洪要求。园区污水管道铺设高程高于</w:t>
      </w:r>
      <w:r>
        <w:rPr>
          <w:rFonts w:hint="eastAsia"/>
          <w:color w:val="auto"/>
          <w:lang w:eastAsia="zh-CN"/>
        </w:rPr>
        <w:t>污水处理厂</w:t>
      </w:r>
      <w:r>
        <w:rPr>
          <w:rFonts w:hint="eastAsia"/>
          <w:color w:val="auto"/>
        </w:rPr>
        <w:t>进水干管高程，能确保园区废水经管道重力自流进入污水处理厂，便于污水的收集，不需要设置提升泵站。</w:t>
      </w:r>
    </w:p>
    <w:p w14:paraId="32212DEC">
      <w:pPr>
        <w:pageBreakBefore w:val="0"/>
        <w:wordWrap/>
        <w:bidi w:val="0"/>
        <w:adjustRightInd/>
        <w:snapToGrid/>
        <w:ind w:firstLine="480"/>
        <w:rPr>
          <w:rFonts w:hint="eastAsia"/>
          <w:b/>
          <w:bCs/>
          <w:color w:val="auto"/>
        </w:rPr>
      </w:pPr>
      <w:r>
        <w:rPr>
          <w:rFonts w:hint="eastAsia"/>
          <w:b/>
          <w:bCs/>
          <w:color w:val="auto"/>
        </w:rPr>
        <w:t>（4）从厂址的地质灾害危险性方面</w:t>
      </w:r>
    </w:p>
    <w:p w14:paraId="757B0C4D">
      <w:pPr>
        <w:pageBreakBefore w:val="0"/>
        <w:wordWrap/>
        <w:bidi w:val="0"/>
        <w:adjustRightInd/>
        <w:snapToGrid/>
        <w:ind w:firstLine="480"/>
        <w:rPr>
          <w:rFonts w:hint="eastAsia"/>
          <w:color w:val="auto"/>
        </w:rPr>
      </w:pPr>
      <w:r>
        <w:rPr>
          <w:rFonts w:hint="eastAsia"/>
          <w:color w:val="auto"/>
        </w:rPr>
        <w:t>用地条件较好，无需边坡治理。从地质条件来看，厂址建设条件更好。规划厂址面积较大，场地开阔，可以为远期提供预留用地。</w:t>
      </w:r>
    </w:p>
    <w:p w14:paraId="275107A6">
      <w:pPr>
        <w:pageBreakBefore w:val="0"/>
        <w:wordWrap/>
        <w:bidi w:val="0"/>
        <w:adjustRightInd/>
        <w:snapToGrid/>
        <w:ind w:firstLine="480"/>
        <w:rPr>
          <w:rFonts w:hint="eastAsia"/>
          <w:b/>
          <w:bCs/>
          <w:color w:val="auto"/>
        </w:rPr>
      </w:pPr>
      <w:r>
        <w:rPr>
          <w:rFonts w:hint="eastAsia"/>
          <w:b/>
          <w:bCs/>
          <w:color w:val="auto"/>
        </w:rPr>
        <w:t>（5）排污口设置合理性分析</w:t>
      </w:r>
    </w:p>
    <w:p w14:paraId="25FA833C">
      <w:pPr>
        <w:pageBreakBefore w:val="0"/>
        <w:wordWrap/>
        <w:bidi w:val="0"/>
        <w:adjustRightInd/>
        <w:snapToGrid/>
        <w:ind w:firstLine="480"/>
        <w:rPr>
          <w:rFonts w:hint="eastAsia"/>
          <w:color w:val="auto"/>
        </w:rPr>
      </w:pPr>
      <w:r>
        <w:rPr>
          <w:rFonts w:hint="default" w:ascii="Times New Roman" w:hAnsi="Times New Roman" w:cs="Times New Roman"/>
          <w:color w:val="auto"/>
        </w:rPr>
        <w:t>根据《巴中市</w:t>
      </w:r>
      <w:r>
        <w:rPr>
          <w:rFonts w:hint="default" w:ascii="Times New Roman" w:hAnsi="Times New Roman" w:cs="Times New Roman"/>
          <w:color w:val="auto"/>
          <w:lang w:val="en-US" w:eastAsia="zh-CN"/>
        </w:rPr>
        <w:t>巴州区曾口片区污水处理厂</w:t>
      </w:r>
      <w:r>
        <w:rPr>
          <w:rFonts w:hint="default" w:ascii="Times New Roman" w:hAnsi="Times New Roman" w:cs="Times New Roman"/>
          <w:color w:val="auto"/>
        </w:rPr>
        <w:t>入河排污口设置论证报告书》内容，排污口位于</w:t>
      </w:r>
      <w:r>
        <w:rPr>
          <w:rFonts w:hint="default" w:ascii="Times New Roman" w:hAnsi="Times New Roman" w:cs="Times New Roman"/>
          <w:color w:val="auto"/>
          <w:lang w:val="en-US" w:eastAsia="zh-CN"/>
        </w:rPr>
        <w:t>巴河</w:t>
      </w:r>
      <w:r>
        <w:rPr>
          <w:rFonts w:hint="default" w:ascii="Times New Roman" w:hAnsi="Times New Roman" w:cs="Times New Roman"/>
          <w:color w:val="auto"/>
        </w:rPr>
        <w:t>左岸，排污口坐标：106°33′39″E，31°42′4″N。</w:t>
      </w:r>
      <w:r>
        <w:rPr>
          <w:rFonts w:hint="eastAsia"/>
          <w:color w:val="auto"/>
        </w:rPr>
        <w:t>在项目论证范围内，巴中市</w:t>
      </w:r>
      <w:r>
        <w:rPr>
          <w:rFonts w:hint="eastAsia"/>
          <w:color w:val="auto"/>
          <w:lang w:val="en-US" w:eastAsia="zh-CN"/>
        </w:rPr>
        <w:t>巴州区曾口片区污水处理厂</w:t>
      </w:r>
      <w:r>
        <w:rPr>
          <w:rFonts w:hint="eastAsia"/>
          <w:color w:val="auto"/>
        </w:rPr>
        <w:t>符合国家产业政策及地方国家经济与城镇发展规划，符合水域管理要求，入河排污口设置对第三者的影响甚微。</w:t>
      </w:r>
    </w:p>
    <w:p w14:paraId="1C238009">
      <w:pPr>
        <w:pageBreakBefore w:val="0"/>
        <w:wordWrap/>
        <w:bidi w:val="0"/>
        <w:adjustRightInd/>
        <w:snapToGrid/>
        <w:ind w:firstLine="480"/>
        <w:rPr>
          <w:rFonts w:hint="eastAsia"/>
          <w:color w:val="auto"/>
        </w:rPr>
        <w:sectPr>
          <w:pgSz w:w="11906" w:h="16838"/>
          <w:pgMar w:top="1701" w:right="1701" w:bottom="1701" w:left="1701" w:header="1134" w:footer="113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rPr>
        <w:t>综上所述，本项目与周边环境相容，选址合理。</w:t>
      </w:r>
    </w:p>
    <w:bookmarkEnd w:id="66"/>
    <w:p w14:paraId="4C30579E">
      <w:pPr>
        <w:pStyle w:val="3"/>
        <w:pageBreakBefore w:val="0"/>
        <w:wordWrap/>
        <w:bidi w:val="0"/>
        <w:adjustRightInd/>
        <w:snapToGrid/>
        <w:rPr>
          <w:rFonts w:eastAsia="宋体"/>
          <w:color w:val="auto"/>
        </w:rPr>
      </w:pPr>
      <w:bookmarkStart w:id="67" w:name="_Toc29006"/>
      <w:bookmarkStart w:id="68" w:name="_Toc19144"/>
      <w:r>
        <w:rPr>
          <w:rFonts w:eastAsia="宋体"/>
          <w:color w:val="auto"/>
        </w:rPr>
        <w:t>建设项目</w:t>
      </w:r>
      <w:r>
        <w:rPr>
          <w:rFonts w:hint="eastAsia" w:eastAsia="宋体"/>
          <w:color w:val="auto"/>
          <w:lang w:val="en-US" w:eastAsia="zh-CN"/>
        </w:rPr>
        <w:t>概况与</w:t>
      </w:r>
      <w:r>
        <w:rPr>
          <w:rFonts w:eastAsia="宋体"/>
          <w:color w:val="auto"/>
        </w:rPr>
        <w:t>工程分析</w:t>
      </w:r>
      <w:bookmarkEnd w:id="67"/>
      <w:bookmarkEnd w:id="68"/>
    </w:p>
    <w:p w14:paraId="3BCBFE3C">
      <w:pPr>
        <w:pStyle w:val="4"/>
        <w:pageBreakBefore w:val="0"/>
        <w:wordWrap/>
        <w:bidi w:val="0"/>
        <w:adjustRightInd/>
        <w:snapToGrid/>
        <w:rPr>
          <w:rFonts w:ascii="Times New Roman" w:hAnsi="Times New Roman" w:eastAsia="宋体"/>
          <w:color w:val="auto"/>
        </w:rPr>
      </w:pPr>
      <w:bookmarkStart w:id="69" w:name="_Toc505087347"/>
      <w:bookmarkStart w:id="70" w:name="_Toc1366"/>
      <w:bookmarkStart w:id="71" w:name="_Toc5911"/>
      <w:bookmarkStart w:id="72" w:name="_Toc374627726"/>
      <w:bookmarkStart w:id="73" w:name="_Toc5995"/>
      <w:bookmarkStart w:id="74" w:name="_Toc374627749"/>
      <w:r>
        <w:rPr>
          <w:rFonts w:hint="eastAsia" w:ascii="Times New Roman" w:hAnsi="Times New Roman" w:eastAsia="宋体"/>
          <w:color w:val="auto"/>
        </w:rPr>
        <w:t xml:space="preserve"> </w:t>
      </w:r>
      <w:bookmarkStart w:id="75" w:name="_Toc130"/>
      <w:r>
        <w:rPr>
          <w:rFonts w:ascii="Times New Roman" w:hAnsi="Times New Roman" w:eastAsia="宋体"/>
          <w:color w:val="auto"/>
        </w:rPr>
        <w:t>项目概况</w:t>
      </w:r>
      <w:bookmarkEnd w:id="69"/>
      <w:bookmarkEnd w:id="70"/>
      <w:bookmarkEnd w:id="71"/>
      <w:bookmarkEnd w:id="72"/>
      <w:bookmarkEnd w:id="75"/>
    </w:p>
    <w:p w14:paraId="5169988B">
      <w:pPr>
        <w:pStyle w:val="5"/>
        <w:pageBreakBefore w:val="0"/>
        <w:wordWrap/>
        <w:bidi w:val="0"/>
        <w:adjustRightInd/>
        <w:snapToGrid/>
        <w:rPr>
          <w:color w:val="auto"/>
        </w:rPr>
      </w:pPr>
      <w:r>
        <w:rPr>
          <w:rFonts w:hint="eastAsia"/>
          <w:color w:val="auto"/>
        </w:rPr>
        <w:t xml:space="preserve"> </w:t>
      </w:r>
      <w:r>
        <w:rPr>
          <w:rFonts w:hint="eastAsia"/>
          <w:color w:val="auto"/>
          <w:lang w:val="en-US" w:eastAsia="zh-CN"/>
        </w:rPr>
        <w:t>项目名称、性质、地点</w:t>
      </w:r>
    </w:p>
    <w:p w14:paraId="218F9114">
      <w:pPr>
        <w:pageBreakBefore w:val="0"/>
        <w:wordWrap/>
        <w:bidi w:val="0"/>
        <w:adjustRightInd/>
        <w:snapToGrid/>
        <w:rPr>
          <w:rFonts w:hint="eastAsia"/>
          <w:color w:val="auto"/>
          <w:lang w:eastAsia="zh-CN"/>
        </w:rPr>
      </w:pPr>
      <w:r>
        <w:rPr>
          <w:color w:val="auto"/>
        </w:rPr>
        <w:t>项目名称：</w:t>
      </w:r>
      <w:r>
        <w:rPr>
          <w:rFonts w:hint="eastAsia"/>
          <w:color w:val="auto"/>
          <w:lang w:eastAsia="zh-CN"/>
        </w:rPr>
        <w:t>巴中市巴州区曾口片区污水处理厂、环境监测站建设项目</w:t>
      </w:r>
    </w:p>
    <w:p w14:paraId="742D3C6A">
      <w:pPr>
        <w:pageBreakBefore w:val="0"/>
        <w:wordWrap/>
        <w:bidi w:val="0"/>
        <w:adjustRightInd/>
        <w:snapToGrid/>
        <w:rPr>
          <w:rFonts w:hint="default" w:eastAsia="宋体"/>
          <w:color w:val="auto"/>
          <w:lang w:val="en-US" w:eastAsia="zh-CN"/>
        </w:rPr>
      </w:pPr>
      <w:r>
        <w:rPr>
          <w:rFonts w:hint="eastAsia"/>
          <w:color w:val="auto"/>
          <w:lang w:val="en-US" w:eastAsia="zh-CN"/>
        </w:rPr>
        <w:t>建设单位：巴中汇鑫发展有限公司</w:t>
      </w:r>
    </w:p>
    <w:p w14:paraId="5DF7C8DE">
      <w:pPr>
        <w:pageBreakBefore w:val="0"/>
        <w:wordWrap/>
        <w:bidi w:val="0"/>
        <w:adjustRightInd/>
        <w:snapToGrid/>
        <w:rPr>
          <w:color w:val="auto"/>
        </w:rPr>
      </w:pPr>
      <w:r>
        <w:rPr>
          <w:color w:val="auto"/>
        </w:rPr>
        <w:t>项目性质：新建</w:t>
      </w:r>
    </w:p>
    <w:p w14:paraId="7A8D22A8">
      <w:pPr>
        <w:pageBreakBefore w:val="0"/>
        <w:wordWrap/>
        <w:bidi w:val="0"/>
        <w:adjustRightInd/>
        <w:snapToGrid/>
        <w:rPr>
          <w:color w:val="auto"/>
        </w:rPr>
      </w:pPr>
      <w:r>
        <w:rPr>
          <w:color w:val="auto"/>
        </w:rPr>
        <w:t>建设地点：</w:t>
      </w:r>
      <w:r>
        <w:rPr>
          <w:rFonts w:hint="eastAsia"/>
          <w:color w:val="auto"/>
          <w:lang w:eastAsia="zh-CN"/>
        </w:rPr>
        <w:t>四川省巴中市巴州区曾口镇寿星村13组</w:t>
      </w:r>
    </w:p>
    <w:p w14:paraId="40126945">
      <w:pPr>
        <w:pageBreakBefore w:val="0"/>
        <w:wordWrap/>
        <w:bidi w:val="0"/>
        <w:adjustRightInd/>
        <w:snapToGrid/>
        <w:rPr>
          <w:color w:val="auto"/>
        </w:rPr>
      </w:pPr>
      <w:r>
        <w:rPr>
          <w:color w:val="auto"/>
        </w:rPr>
        <w:t>项目投资及资金来源</w:t>
      </w:r>
      <w:r>
        <w:rPr>
          <w:rFonts w:hint="eastAsia"/>
          <w:color w:val="auto"/>
          <w:lang w:eastAsia="zh-CN"/>
        </w:rPr>
        <w:t>：</w:t>
      </w:r>
      <w:r>
        <w:rPr>
          <w:color w:val="auto"/>
        </w:rPr>
        <w:t>本项目总投资</w:t>
      </w:r>
      <w:r>
        <w:rPr>
          <w:rFonts w:hint="eastAsia"/>
          <w:color w:val="auto"/>
          <w:lang w:eastAsia="zh-CN"/>
        </w:rPr>
        <w:t>39000</w:t>
      </w:r>
      <w:r>
        <w:rPr>
          <w:color w:val="auto"/>
        </w:rPr>
        <w:t>万元，均为业主自筹。</w:t>
      </w:r>
    </w:p>
    <w:p w14:paraId="791AC432">
      <w:pPr>
        <w:pStyle w:val="5"/>
        <w:pageBreakBefore w:val="0"/>
        <w:wordWrap/>
        <w:bidi w:val="0"/>
        <w:adjustRightInd/>
        <w:snapToGrid/>
        <w:rPr>
          <w:color w:val="auto"/>
        </w:rPr>
      </w:pPr>
      <w:r>
        <w:rPr>
          <w:rFonts w:hint="eastAsia"/>
          <w:color w:val="auto"/>
        </w:rPr>
        <w:t xml:space="preserve"> </w:t>
      </w:r>
      <w:r>
        <w:rPr>
          <w:rFonts w:hint="eastAsia"/>
          <w:color w:val="auto"/>
          <w:lang w:val="en-US" w:eastAsia="zh-CN"/>
        </w:rPr>
        <w:t>项目服务范围、建设规模及进出水水质</w:t>
      </w:r>
    </w:p>
    <w:p w14:paraId="3733DA6D">
      <w:pPr>
        <w:pageBreakBefore w:val="0"/>
        <w:wordWrap/>
        <w:bidi w:val="0"/>
        <w:adjustRightInd/>
        <w:snapToGrid/>
        <w:rPr>
          <w:rFonts w:hint="default"/>
          <w:b/>
          <w:bCs/>
          <w:color w:val="auto"/>
          <w:lang w:val="en-US" w:eastAsia="zh-CN"/>
        </w:rPr>
      </w:pPr>
      <w:r>
        <w:rPr>
          <w:rFonts w:hint="eastAsia"/>
          <w:b/>
          <w:bCs/>
          <w:color w:val="auto"/>
          <w:lang w:val="en-US" w:eastAsia="zh-CN"/>
        </w:rPr>
        <w:t>1、服务范围</w:t>
      </w:r>
    </w:p>
    <w:p w14:paraId="26FC9A36">
      <w:pPr>
        <w:pStyle w:val="334"/>
        <w:pageBreakBefore w:val="0"/>
        <w:wordWrap/>
        <w:bidi w:val="0"/>
        <w:adjustRightInd/>
        <w:snapToGrid/>
        <w:ind w:firstLine="480"/>
        <w:rPr>
          <w:rFonts w:hint="default" w:eastAsia="宋体"/>
          <w:color w:val="auto"/>
          <w:lang w:val="en-US" w:eastAsia="zh-CN"/>
        </w:rPr>
      </w:pPr>
      <w:r>
        <w:rPr>
          <w:color w:val="auto"/>
          <w:szCs w:val="24"/>
        </w:rPr>
        <w:t>根据</w:t>
      </w:r>
      <w:r>
        <w:rPr>
          <w:rFonts w:hint="eastAsia"/>
          <w:color w:val="auto"/>
          <w:szCs w:val="24"/>
          <w:lang w:eastAsia="zh-CN"/>
        </w:rPr>
        <w:t>四川易细达工程咨询有限责任公司</w:t>
      </w:r>
      <w:r>
        <w:rPr>
          <w:color w:val="auto"/>
          <w:szCs w:val="24"/>
        </w:rPr>
        <w:t>编制完成的《</w:t>
      </w:r>
      <w:r>
        <w:rPr>
          <w:rFonts w:hint="eastAsia"/>
          <w:color w:val="auto"/>
          <w:szCs w:val="24"/>
          <w:lang w:eastAsia="zh-CN"/>
        </w:rPr>
        <w:t>巴中市巴州区曾口片区污水处理厂、环境监测站建设项目</w:t>
      </w:r>
      <w:r>
        <w:rPr>
          <w:color w:val="auto"/>
          <w:szCs w:val="24"/>
        </w:rPr>
        <w:t>可行性研究报告》，</w:t>
      </w:r>
      <w:r>
        <w:rPr>
          <w:color w:val="auto"/>
        </w:rPr>
        <w:t>本项目主要服务</w:t>
      </w:r>
      <w:r>
        <w:rPr>
          <w:rFonts w:hint="eastAsia"/>
          <w:color w:val="auto"/>
          <w:lang w:val="en-US" w:eastAsia="zh-CN"/>
        </w:rPr>
        <w:t>于四川巴中经济开发区-曾口区块</w:t>
      </w:r>
      <w:r>
        <w:rPr>
          <w:color w:val="auto"/>
        </w:rPr>
        <w:t>，服务面积约</w:t>
      </w:r>
      <w:r>
        <w:rPr>
          <w:rFonts w:hint="eastAsia"/>
          <w:color w:val="auto"/>
          <w:lang w:val="en-US" w:eastAsia="zh-CN"/>
        </w:rPr>
        <w:t>191.8105h</w:t>
      </w:r>
      <w:r>
        <w:rPr>
          <w:rFonts w:hint="eastAsia"/>
          <w:color w:val="auto"/>
          <w:lang w:eastAsia="zh-CN"/>
        </w:rPr>
        <w:t>m²</w:t>
      </w:r>
      <w:r>
        <w:rPr>
          <w:color w:val="auto"/>
        </w:rPr>
        <w:t>。</w:t>
      </w:r>
      <w:r>
        <w:rPr>
          <w:rFonts w:hint="eastAsia"/>
          <w:color w:val="auto"/>
          <w:lang w:val="en-US" w:eastAsia="zh-CN"/>
        </w:rPr>
        <w:t>本项目服务范围见附图。</w:t>
      </w:r>
    </w:p>
    <w:p w14:paraId="6DD6C3DC">
      <w:pPr>
        <w:pageBreakBefore w:val="0"/>
        <w:wordWrap/>
        <w:bidi w:val="0"/>
        <w:adjustRightInd/>
        <w:snapToGrid/>
        <w:rPr>
          <w:b/>
          <w:bCs/>
          <w:color w:val="auto"/>
        </w:rPr>
      </w:pPr>
      <w:r>
        <w:rPr>
          <w:rFonts w:hint="eastAsia"/>
          <w:b/>
          <w:bCs/>
          <w:color w:val="auto"/>
          <w:lang w:val="en-US" w:eastAsia="zh-CN"/>
        </w:rPr>
        <w:t>2、</w:t>
      </w:r>
      <w:r>
        <w:rPr>
          <w:b/>
          <w:bCs/>
          <w:color w:val="auto"/>
        </w:rPr>
        <w:t>建设内容及规模</w:t>
      </w:r>
    </w:p>
    <w:p w14:paraId="1CC8C585">
      <w:pPr>
        <w:pageBreakBefore w:val="0"/>
        <w:wordWrap/>
        <w:bidi w:val="0"/>
        <w:adjustRightInd/>
        <w:snapToGrid/>
        <w:rPr>
          <w:rFonts w:hint="default" w:eastAsia="宋体"/>
          <w:color w:val="auto"/>
          <w:lang w:val="en-US" w:eastAsia="zh-CN"/>
        </w:rPr>
      </w:pPr>
      <w:r>
        <w:rPr>
          <w:color w:val="auto"/>
        </w:rPr>
        <w:t>项目选址</w:t>
      </w:r>
      <w:r>
        <w:rPr>
          <w:rFonts w:hint="eastAsia"/>
          <w:color w:val="auto"/>
          <w:lang w:val="en-US" w:eastAsia="zh-CN"/>
        </w:rPr>
        <w:t>位于</w:t>
      </w:r>
      <w:r>
        <w:rPr>
          <w:rFonts w:hint="eastAsia"/>
          <w:color w:val="auto"/>
          <w:lang w:eastAsia="zh-CN"/>
        </w:rPr>
        <w:t>巴中市巴州区曾口镇寿星村13组</w:t>
      </w:r>
      <w:r>
        <w:rPr>
          <w:color w:val="auto"/>
        </w:rPr>
        <w:t>，占地</w:t>
      </w:r>
      <w:r>
        <w:rPr>
          <w:rFonts w:hint="eastAsia"/>
          <w:color w:val="auto"/>
          <w:lang w:val="en-US" w:eastAsia="zh-CN"/>
        </w:rPr>
        <w:t>面积40490.09m²</w:t>
      </w:r>
      <w:r>
        <w:rPr>
          <w:color w:val="auto"/>
        </w:rPr>
        <w:t>。</w:t>
      </w:r>
      <w:r>
        <w:rPr>
          <w:rFonts w:hint="eastAsia"/>
          <w:color w:val="auto"/>
          <w:lang w:val="en-US" w:eastAsia="zh-CN"/>
        </w:rPr>
        <w:t>新建污水处理厂一座及配套尾水排放管网，总建设规模为1.6万m³/d（其中一期0.3万m³/d，二期0.3万m³/d，三期1万m³/d），本次主要设计按照一期规模0.3万m³/d进行建设。新建园区环境监测站1座。</w:t>
      </w:r>
    </w:p>
    <w:p w14:paraId="51B50E05">
      <w:pPr>
        <w:pStyle w:val="190"/>
        <w:pageBreakBefore w:val="0"/>
        <w:wordWrap/>
        <w:bidi w:val="0"/>
        <w:adjustRightInd/>
        <w:snapToGrid/>
        <w:ind w:firstLine="480"/>
        <w:jc w:val="both"/>
        <w:rPr>
          <w:color w:val="auto"/>
          <w:kern w:val="2"/>
          <w:szCs w:val="24"/>
        </w:rPr>
      </w:pPr>
      <w:r>
        <w:rPr>
          <w:rFonts w:hint="eastAsia"/>
          <w:color w:val="auto"/>
          <w:szCs w:val="24"/>
          <w:lang w:bidi="ar"/>
        </w:rPr>
        <w:t>污水处理主体工艺为</w:t>
      </w:r>
      <w:r>
        <w:rPr>
          <w:rFonts w:hint="eastAsia"/>
          <w:color w:val="auto"/>
          <w:szCs w:val="24"/>
          <w:lang w:eastAsia="zh-CN" w:bidi="ar"/>
        </w:rPr>
        <w:t>“超细格栅+调节池+高级氧化预处理（预留）+水解酸化池+生化池+二沉池+磁混凝沉淀池+深床反硝化+高级氧化深度处理+紫外线消毒”，</w:t>
      </w:r>
      <w:r>
        <w:rPr>
          <w:rFonts w:hint="eastAsia"/>
          <w:color w:val="auto"/>
          <w:szCs w:val="24"/>
          <w:lang w:val="en-US" w:eastAsia="zh-CN" w:bidi="ar"/>
        </w:rPr>
        <w:t>出水水质指标执行《城镇污水处理厂污染物排放标准》（GB18918-2002）一级A标准，尾水</w:t>
      </w:r>
      <w:r>
        <w:rPr>
          <w:rFonts w:hint="eastAsia"/>
          <w:color w:val="auto"/>
          <w:lang w:val="en-US" w:eastAsia="zh-CN"/>
        </w:rPr>
        <w:t>依托曾口镇污水处理厂已建排污口排入巴河</w:t>
      </w:r>
      <w:r>
        <w:rPr>
          <w:rFonts w:hint="eastAsia"/>
          <w:color w:val="auto"/>
          <w:lang w:eastAsia="zh-CN"/>
        </w:rPr>
        <w:t>（</w:t>
      </w:r>
      <w:r>
        <w:rPr>
          <w:rFonts w:hint="default" w:ascii="Times New Roman" w:hAnsi="Times New Roman" w:cs="Times New Roman"/>
          <w:color w:val="auto"/>
        </w:rPr>
        <w:t>排污口位置：</w:t>
      </w:r>
      <w:r>
        <w:rPr>
          <w:rFonts w:hint="eastAsia" w:cs="Times New Roman"/>
          <w:color w:val="auto"/>
          <w:lang w:val="en-US" w:eastAsia="zh-CN"/>
        </w:rPr>
        <w:t>东经</w:t>
      </w:r>
      <w:r>
        <w:rPr>
          <w:rFonts w:hint="default" w:ascii="Times New Roman" w:hAnsi="Times New Roman" w:cs="Times New Roman"/>
          <w:color w:val="auto"/>
        </w:rPr>
        <w:t>106°53′3.26″</w:t>
      </w:r>
      <w:r>
        <w:rPr>
          <w:rFonts w:hint="eastAsia" w:cs="Times New Roman"/>
          <w:color w:val="auto"/>
          <w:lang w:eastAsia="zh-CN"/>
        </w:rPr>
        <w:t>，</w:t>
      </w:r>
      <w:r>
        <w:rPr>
          <w:rFonts w:hint="eastAsia" w:cs="Times New Roman"/>
          <w:color w:val="auto"/>
          <w:lang w:val="en-US" w:eastAsia="zh-CN"/>
        </w:rPr>
        <w:t>北纬</w:t>
      </w:r>
      <w:r>
        <w:rPr>
          <w:rFonts w:hint="default" w:ascii="Times New Roman" w:hAnsi="Times New Roman" w:cs="Times New Roman"/>
          <w:color w:val="auto"/>
        </w:rPr>
        <w:t>31°45′12.92″</w:t>
      </w:r>
      <w:r>
        <w:rPr>
          <w:rFonts w:hint="eastAsia"/>
          <w:color w:val="auto"/>
          <w:lang w:eastAsia="zh-CN"/>
        </w:rPr>
        <w:t>）</w:t>
      </w:r>
      <w:r>
        <w:rPr>
          <w:color w:val="auto"/>
          <w:kern w:val="2"/>
          <w:szCs w:val="24"/>
        </w:rPr>
        <w:t>。</w:t>
      </w:r>
    </w:p>
    <w:p w14:paraId="17BDDD97">
      <w:pPr>
        <w:pStyle w:val="190"/>
        <w:pageBreakBefore w:val="0"/>
        <w:wordWrap/>
        <w:bidi w:val="0"/>
        <w:adjustRightInd/>
        <w:snapToGrid/>
        <w:ind w:firstLine="480"/>
        <w:jc w:val="both"/>
        <w:rPr>
          <w:rFonts w:hint="eastAsia"/>
          <w:color w:val="auto"/>
        </w:rPr>
      </w:pPr>
      <w:r>
        <w:rPr>
          <w:rFonts w:hint="eastAsia"/>
          <w:color w:val="auto"/>
        </w:rPr>
        <w:t>本项目污泥处理：采用污泥浓缩+加药调理+机械脱水的方式。</w:t>
      </w:r>
    </w:p>
    <w:p w14:paraId="6475FDF1">
      <w:pPr>
        <w:pageBreakBefore w:val="0"/>
        <w:wordWrap/>
        <w:bidi w:val="0"/>
        <w:adjustRightInd/>
        <w:snapToGrid/>
        <w:rPr>
          <w:rFonts w:hint="default"/>
          <w:b/>
          <w:bCs/>
          <w:color w:val="auto"/>
          <w:lang w:val="en-US" w:eastAsia="zh-CN"/>
        </w:rPr>
      </w:pPr>
      <w:r>
        <w:rPr>
          <w:rFonts w:hint="eastAsia"/>
          <w:b/>
          <w:bCs/>
          <w:color w:val="auto"/>
          <w:lang w:val="en-US" w:eastAsia="zh-CN"/>
        </w:rPr>
        <w:t>3、设计进水水质</w:t>
      </w:r>
    </w:p>
    <w:p w14:paraId="6345B502">
      <w:pPr>
        <w:pageBreakBefore w:val="0"/>
        <w:wordWrap/>
        <w:bidi w:val="0"/>
        <w:adjustRightInd/>
        <w:snapToGrid/>
        <w:rPr>
          <w:rFonts w:hint="eastAsia"/>
          <w:color w:val="auto"/>
          <w:lang w:val="en-US" w:eastAsia="zh-CN"/>
        </w:rPr>
      </w:pPr>
      <w:r>
        <w:rPr>
          <w:rFonts w:hint="eastAsia"/>
          <w:color w:val="auto"/>
          <w:lang w:val="en-US" w:eastAsia="zh-CN"/>
        </w:rPr>
        <w:t>根据建设单位提供设计资料，本项目设计进水水质考虑了园区规划企业类型分布特点与污水处理厂进水水质要求，污水处理厂设计进水水质指标见下表。</w:t>
      </w:r>
    </w:p>
    <w:p w14:paraId="54A51402">
      <w:pPr>
        <w:pStyle w:val="15"/>
        <w:numPr>
          <w:ilvl w:val="0"/>
          <w:numId w:val="13"/>
        </w:numPr>
        <w:bidi w:val="0"/>
        <w:ind w:left="0" w:leftChars="0" w:firstLine="0" w:firstLineChars="0"/>
        <w:rPr>
          <w:rFonts w:hint="default"/>
          <w:color w:val="auto"/>
          <w:lang w:val="en-US" w:eastAsia="zh-CN"/>
        </w:rPr>
      </w:pPr>
      <w:r>
        <w:rPr>
          <w:rFonts w:hint="eastAsia"/>
          <w:color w:val="auto"/>
          <w:lang w:val="en-US" w:eastAsia="zh-CN"/>
        </w:rPr>
        <w:t xml:space="preserve"> 设计进水水质表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2740"/>
        <w:gridCol w:w="2180"/>
        <w:gridCol w:w="2180"/>
      </w:tblGrid>
      <w:tr w14:paraId="48C346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23F5616">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740" w:type="dxa"/>
            <w:tcBorders>
              <w:tl2br w:val="nil"/>
              <w:tr2bl w:val="nil"/>
            </w:tcBorders>
            <w:noWrap w:val="0"/>
            <w:vAlign w:val="top"/>
          </w:tcPr>
          <w:p w14:paraId="3A3FA178">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2180" w:type="dxa"/>
            <w:tcBorders>
              <w:tl2br w:val="nil"/>
              <w:tr2bl w:val="nil"/>
            </w:tcBorders>
            <w:noWrap w:val="0"/>
            <w:vAlign w:val="top"/>
          </w:tcPr>
          <w:p w14:paraId="224631B8">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80" w:type="dxa"/>
            <w:tcBorders>
              <w:tl2br w:val="nil"/>
              <w:tr2bl w:val="nil"/>
            </w:tcBorders>
            <w:noWrap w:val="0"/>
            <w:vAlign w:val="top"/>
          </w:tcPr>
          <w:p w14:paraId="135522FF">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数值</w:t>
            </w:r>
          </w:p>
        </w:tc>
      </w:tr>
      <w:tr w14:paraId="4F8C3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3DB4DA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2740" w:type="dxa"/>
            <w:tcBorders>
              <w:tl2br w:val="nil"/>
              <w:tr2bl w:val="nil"/>
            </w:tcBorders>
            <w:noWrap w:val="0"/>
            <w:vAlign w:val="top"/>
          </w:tcPr>
          <w:p w14:paraId="12FA190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温度</w:t>
            </w:r>
          </w:p>
        </w:tc>
        <w:tc>
          <w:tcPr>
            <w:tcW w:w="2180" w:type="dxa"/>
            <w:tcBorders>
              <w:tl2br w:val="nil"/>
              <w:tr2bl w:val="nil"/>
            </w:tcBorders>
            <w:noWrap w:val="0"/>
            <w:vAlign w:val="top"/>
          </w:tcPr>
          <w:p w14:paraId="29A58F1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55641A9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10~30</w:t>
            </w:r>
          </w:p>
        </w:tc>
      </w:tr>
      <w:tr w14:paraId="5B9CB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23429A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2740" w:type="dxa"/>
            <w:tcBorders>
              <w:tl2br w:val="nil"/>
              <w:tr2bl w:val="nil"/>
            </w:tcBorders>
            <w:noWrap w:val="0"/>
            <w:vAlign w:val="top"/>
          </w:tcPr>
          <w:p w14:paraId="1238A4A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2180" w:type="dxa"/>
            <w:tcBorders>
              <w:tl2br w:val="nil"/>
              <w:tr2bl w:val="nil"/>
            </w:tcBorders>
            <w:noWrap w:val="0"/>
            <w:vAlign w:val="top"/>
          </w:tcPr>
          <w:p w14:paraId="335D177C">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498EDD0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6.0~9.0</w:t>
            </w:r>
          </w:p>
        </w:tc>
      </w:tr>
      <w:tr w14:paraId="166A57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3B16E10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2740" w:type="dxa"/>
            <w:tcBorders>
              <w:tl2br w:val="nil"/>
              <w:tr2bl w:val="nil"/>
            </w:tcBorders>
            <w:noWrap w:val="0"/>
            <w:vAlign w:val="top"/>
          </w:tcPr>
          <w:p w14:paraId="1F9E0F5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溶解性总固体（TDS）</w:t>
            </w:r>
          </w:p>
        </w:tc>
        <w:tc>
          <w:tcPr>
            <w:tcW w:w="2180" w:type="dxa"/>
            <w:tcBorders>
              <w:tl2br w:val="nil"/>
              <w:tr2bl w:val="nil"/>
            </w:tcBorders>
            <w:noWrap w:val="0"/>
            <w:vAlign w:val="top"/>
          </w:tcPr>
          <w:p w14:paraId="3818C5C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450681B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2000</w:t>
            </w:r>
          </w:p>
        </w:tc>
      </w:tr>
      <w:tr w14:paraId="3F13B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B57AE1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2740" w:type="dxa"/>
            <w:tcBorders>
              <w:tl2br w:val="nil"/>
              <w:tr2bl w:val="nil"/>
            </w:tcBorders>
            <w:noWrap w:val="0"/>
            <w:vAlign w:val="top"/>
          </w:tcPr>
          <w:p w14:paraId="520B227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CODcr</w:t>
            </w:r>
          </w:p>
        </w:tc>
        <w:tc>
          <w:tcPr>
            <w:tcW w:w="2180" w:type="dxa"/>
            <w:tcBorders>
              <w:tl2br w:val="nil"/>
              <w:tr2bl w:val="nil"/>
            </w:tcBorders>
            <w:noWrap w:val="0"/>
            <w:vAlign w:val="top"/>
          </w:tcPr>
          <w:p w14:paraId="5CF6EE5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E0D8C7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r>
      <w:tr w14:paraId="07C86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868BAA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2740" w:type="dxa"/>
            <w:tcBorders>
              <w:tl2br w:val="nil"/>
              <w:tr2bl w:val="nil"/>
            </w:tcBorders>
            <w:noWrap w:val="0"/>
            <w:vAlign w:val="top"/>
          </w:tcPr>
          <w:p w14:paraId="78A66FA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2180" w:type="dxa"/>
            <w:tcBorders>
              <w:tl2br w:val="nil"/>
              <w:tr2bl w:val="nil"/>
            </w:tcBorders>
            <w:noWrap w:val="0"/>
            <w:vAlign w:val="top"/>
          </w:tcPr>
          <w:p w14:paraId="4328314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1C993FE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150</w:t>
            </w:r>
          </w:p>
        </w:tc>
      </w:tr>
      <w:tr w14:paraId="15E0B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D8F5A1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2740" w:type="dxa"/>
            <w:tcBorders>
              <w:tl2br w:val="nil"/>
              <w:tr2bl w:val="nil"/>
            </w:tcBorders>
            <w:noWrap w:val="0"/>
            <w:vAlign w:val="top"/>
          </w:tcPr>
          <w:p w14:paraId="3E6E6AF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SS</w:t>
            </w:r>
          </w:p>
        </w:tc>
        <w:tc>
          <w:tcPr>
            <w:tcW w:w="2180" w:type="dxa"/>
            <w:tcBorders>
              <w:tl2br w:val="nil"/>
              <w:tr2bl w:val="nil"/>
            </w:tcBorders>
            <w:noWrap w:val="0"/>
            <w:vAlign w:val="top"/>
          </w:tcPr>
          <w:p w14:paraId="65ED03F9">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303144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5D052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44A523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2740" w:type="dxa"/>
            <w:tcBorders>
              <w:tl2br w:val="nil"/>
              <w:tr2bl w:val="nil"/>
            </w:tcBorders>
            <w:noWrap w:val="0"/>
            <w:vAlign w:val="top"/>
          </w:tcPr>
          <w:p w14:paraId="0B4E034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氨氮</w:t>
            </w:r>
          </w:p>
        </w:tc>
        <w:tc>
          <w:tcPr>
            <w:tcW w:w="2180" w:type="dxa"/>
            <w:tcBorders>
              <w:tl2br w:val="nil"/>
              <w:tr2bl w:val="nil"/>
            </w:tcBorders>
            <w:noWrap w:val="0"/>
            <w:vAlign w:val="top"/>
          </w:tcPr>
          <w:p w14:paraId="7735B7C8">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7B0E9A6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w:t>
            </w:r>
          </w:p>
        </w:tc>
      </w:tr>
      <w:tr w14:paraId="6C6BE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3F95DA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740" w:type="dxa"/>
            <w:tcBorders>
              <w:tl2br w:val="nil"/>
              <w:tr2bl w:val="nil"/>
            </w:tcBorders>
            <w:noWrap w:val="0"/>
            <w:vAlign w:val="top"/>
          </w:tcPr>
          <w:p w14:paraId="7E61018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总氮</w:t>
            </w:r>
          </w:p>
        </w:tc>
        <w:tc>
          <w:tcPr>
            <w:tcW w:w="2180" w:type="dxa"/>
            <w:tcBorders>
              <w:tl2br w:val="nil"/>
              <w:tr2bl w:val="nil"/>
            </w:tcBorders>
            <w:noWrap w:val="0"/>
            <w:vAlign w:val="top"/>
          </w:tcPr>
          <w:p w14:paraId="65D77B6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4023E0B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80</w:t>
            </w:r>
          </w:p>
        </w:tc>
      </w:tr>
      <w:tr w14:paraId="55D9E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DA0A78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2740" w:type="dxa"/>
            <w:tcBorders>
              <w:tl2br w:val="nil"/>
              <w:tr2bl w:val="nil"/>
            </w:tcBorders>
            <w:noWrap w:val="0"/>
            <w:vAlign w:val="top"/>
          </w:tcPr>
          <w:p w14:paraId="48F59C2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总磷</w:t>
            </w:r>
          </w:p>
        </w:tc>
        <w:tc>
          <w:tcPr>
            <w:tcW w:w="2180" w:type="dxa"/>
            <w:tcBorders>
              <w:tl2br w:val="nil"/>
              <w:tr2bl w:val="nil"/>
            </w:tcBorders>
            <w:noWrap w:val="0"/>
            <w:vAlign w:val="top"/>
          </w:tcPr>
          <w:p w14:paraId="6AADB6B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4DB2019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r>
      <w:tr w14:paraId="616AB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3ABF215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740" w:type="dxa"/>
            <w:tcBorders>
              <w:tl2br w:val="nil"/>
              <w:tr2bl w:val="nil"/>
            </w:tcBorders>
            <w:noWrap w:val="0"/>
            <w:vAlign w:val="top"/>
          </w:tcPr>
          <w:p w14:paraId="3C8032C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氯化物</w:t>
            </w:r>
          </w:p>
        </w:tc>
        <w:tc>
          <w:tcPr>
            <w:tcW w:w="2180" w:type="dxa"/>
            <w:tcBorders>
              <w:tl2br w:val="nil"/>
              <w:tr2bl w:val="nil"/>
            </w:tcBorders>
            <w:noWrap w:val="0"/>
            <w:vAlign w:val="top"/>
          </w:tcPr>
          <w:p w14:paraId="2C8ED3C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00B712C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500</w:t>
            </w:r>
          </w:p>
        </w:tc>
      </w:tr>
      <w:tr w14:paraId="6FA9B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45F998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11</w:t>
            </w:r>
          </w:p>
        </w:tc>
        <w:tc>
          <w:tcPr>
            <w:tcW w:w="2740" w:type="dxa"/>
            <w:tcBorders>
              <w:tl2br w:val="nil"/>
              <w:tr2bl w:val="nil"/>
            </w:tcBorders>
            <w:noWrap w:val="0"/>
            <w:vAlign w:val="top"/>
          </w:tcPr>
          <w:p w14:paraId="2CDC973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硫酸盐</w:t>
            </w:r>
          </w:p>
        </w:tc>
        <w:tc>
          <w:tcPr>
            <w:tcW w:w="2180" w:type="dxa"/>
            <w:tcBorders>
              <w:tl2br w:val="nil"/>
              <w:tr2bl w:val="nil"/>
            </w:tcBorders>
            <w:noWrap w:val="0"/>
            <w:vAlign w:val="top"/>
          </w:tcPr>
          <w:p w14:paraId="1B78F00C">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2D334D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3C5C1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220AF8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12</w:t>
            </w:r>
          </w:p>
        </w:tc>
        <w:tc>
          <w:tcPr>
            <w:tcW w:w="2740" w:type="dxa"/>
            <w:tcBorders>
              <w:tl2br w:val="nil"/>
              <w:tr2bl w:val="nil"/>
            </w:tcBorders>
            <w:noWrap w:val="0"/>
            <w:vAlign w:val="top"/>
          </w:tcPr>
          <w:p w14:paraId="0D11305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HCO</w:t>
            </w:r>
            <w:r>
              <w:rPr>
                <w:rFonts w:hint="eastAsia"/>
                <w:color w:val="auto"/>
                <w:vertAlign w:val="subscript"/>
                <w:lang w:val="en-US" w:eastAsia="zh-CN"/>
              </w:rPr>
              <w:t>3</w:t>
            </w:r>
            <w:r>
              <w:rPr>
                <w:rFonts w:hint="eastAsia"/>
                <w:color w:val="auto"/>
                <w:vertAlign w:val="superscript"/>
                <w:lang w:val="en-US" w:eastAsia="zh-CN"/>
              </w:rPr>
              <w:t>-</w:t>
            </w:r>
          </w:p>
        </w:tc>
        <w:tc>
          <w:tcPr>
            <w:tcW w:w="2180" w:type="dxa"/>
            <w:tcBorders>
              <w:tl2br w:val="nil"/>
              <w:tr2bl w:val="nil"/>
            </w:tcBorders>
            <w:noWrap w:val="0"/>
            <w:vAlign w:val="top"/>
          </w:tcPr>
          <w:p w14:paraId="38BF73D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3F09C2B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w:t>
            </w:r>
          </w:p>
        </w:tc>
      </w:tr>
      <w:tr w14:paraId="35B96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6B9EB2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13</w:t>
            </w:r>
          </w:p>
        </w:tc>
        <w:tc>
          <w:tcPr>
            <w:tcW w:w="2740" w:type="dxa"/>
            <w:tcBorders>
              <w:tl2br w:val="nil"/>
              <w:tr2bl w:val="nil"/>
            </w:tcBorders>
            <w:noWrap w:val="0"/>
            <w:vAlign w:val="top"/>
          </w:tcPr>
          <w:p w14:paraId="2BF92C7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全硅</w:t>
            </w:r>
          </w:p>
        </w:tc>
        <w:tc>
          <w:tcPr>
            <w:tcW w:w="2180" w:type="dxa"/>
            <w:tcBorders>
              <w:tl2br w:val="nil"/>
              <w:tr2bl w:val="nil"/>
            </w:tcBorders>
            <w:noWrap w:val="0"/>
            <w:vAlign w:val="top"/>
          </w:tcPr>
          <w:p w14:paraId="7026575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08D4C5E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w:t>
            </w:r>
          </w:p>
        </w:tc>
      </w:tr>
      <w:tr w14:paraId="08BB1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D88A0F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14</w:t>
            </w:r>
          </w:p>
        </w:tc>
        <w:tc>
          <w:tcPr>
            <w:tcW w:w="2740" w:type="dxa"/>
            <w:tcBorders>
              <w:tl2br w:val="nil"/>
              <w:tr2bl w:val="nil"/>
            </w:tcBorders>
            <w:noWrap w:val="0"/>
            <w:vAlign w:val="top"/>
          </w:tcPr>
          <w:p w14:paraId="257E47A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总硬度</w:t>
            </w:r>
          </w:p>
        </w:tc>
        <w:tc>
          <w:tcPr>
            <w:tcW w:w="2180" w:type="dxa"/>
            <w:tcBorders>
              <w:tl2br w:val="nil"/>
              <w:tr2bl w:val="nil"/>
            </w:tcBorders>
            <w:noWrap w:val="0"/>
            <w:vAlign w:val="top"/>
          </w:tcPr>
          <w:p w14:paraId="4CACACD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1619488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70DAD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7EC70B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w:t>
            </w:r>
          </w:p>
        </w:tc>
        <w:tc>
          <w:tcPr>
            <w:tcW w:w="2740" w:type="dxa"/>
            <w:tcBorders>
              <w:tl2br w:val="nil"/>
              <w:tr2bl w:val="nil"/>
            </w:tcBorders>
            <w:noWrap w:val="0"/>
            <w:vAlign w:val="top"/>
          </w:tcPr>
          <w:p w14:paraId="24F52A6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氟化物</w:t>
            </w:r>
          </w:p>
        </w:tc>
        <w:tc>
          <w:tcPr>
            <w:tcW w:w="2180" w:type="dxa"/>
            <w:tcBorders>
              <w:tl2br w:val="nil"/>
              <w:tr2bl w:val="nil"/>
            </w:tcBorders>
            <w:noWrap w:val="0"/>
            <w:vAlign w:val="top"/>
          </w:tcPr>
          <w:p w14:paraId="16FD4B46">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533E611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w:t>
            </w:r>
          </w:p>
        </w:tc>
      </w:tr>
      <w:tr w14:paraId="4D313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EDABF2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16</w:t>
            </w:r>
          </w:p>
        </w:tc>
        <w:tc>
          <w:tcPr>
            <w:tcW w:w="2740" w:type="dxa"/>
            <w:tcBorders>
              <w:tl2br w:val="nil"/>
              <w:tr2bl w:val="nil"/>
            </w:tcBorders>
            <w:noWrap w:val="0"/>
            <w:vAlign w:val="top"/>
          </w:tcPr>
          <w:p w14:paraId="3FF824F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石油类</w:t>
            </w:r>
          </w:p>
        </w:tc>
        <w:tc>
          <w:tcPr>
            <w:tcW w:w="2180" w:type="dxa"/>
            <w:tcBorders>
              <w:tl2br w:val="nil"/>
              <w:tr2bl w:val="nil"/>
            </w:tcBorders>
            <w:noWrap w:val="0"/>
            <w:vAlign w:val="top"/>
          </w:tcPr>
          <w:p w14:paraId="7B72632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47C7039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59D33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7646FC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17</w:t>
            </w:r>
          </w:p>
        </w:tc>
        <w:tc>
          <w:tcPr>
            <w:tcW w:w="2740" w:type="dxa"/>
            <w:tcBorders>
              <w:tl2br w:val="nil"/>
              <w:tr2bl w:val="nil"/>
            </w:tcBorders>
            <w:noWrap w:val="0"/>
            <w:vAlign w:val="top"/>
          </w:tcPr>
          <w:p w14:paraId="0ECBA21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挥发酚</w:t>
            </w:r>
          </w:p>
        </w:tc>
        <w:tc>
          <w:tcPr>
            <w:tcW w:w="2180" w:type="dxa"/>
            <w:tcBorders>
              <w:tl2br w:val="nil"/>
              <w:tr2bl w:val="nil"/>
            </w:tcBorders>
            <w:noWrap w:val="0"/>
            <w:vAlign w:val="top"/>
          </w:tcPr>
          <w:p w14:paraId="691CEBD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240FC92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r>
      <w:tr w14:paraId="7DA10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32F294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18</w:t>
            </w:r>
          </w:p>
        </w:tc>
        <w:tc>
          <w:tcPr>
            <w:tcW w:w="2740" w:type="dxa"/>
            <w:tcBorders>
              <w:tl2br w:val="nil"/>
              <w:tr2bl w:val="nil"/>
            </w:tcBorders>
            <w:noWrap w:val="0"/>
            <w:vAlign w:val="top"/>
          </w:tcPr>
          <w:p w14:paraId="1CB1E1A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苯</w:t>
            </w:r>
          </w:p>
        </w:tc>
        <w:tc>
          <w:tcPr>
            <w:tcW w:w="2180" w:type="dxa"/>
            <w:tcBorders>
              <w:tl2br w:val="nil"/>
              <w:tr2bl w:val="nil"/>
            </w:tcBorders>
            <w:noWrap w:val="0"/>
            <w:vAlign w:val="top"/>
          </w:tcPr>
          <w:p w14:paraId="47F8AC5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39501EB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w:t>
            </w:r>
          </w:p>
        </w:tc>
      </w:tr>
      <w:tr w14:paraId="5C0B0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B08847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19</w:t>
            </w:r>
          </w:p>
        </w:tc>
        <w:tc>
          <w:tcPr>
            <w:tcW w:w="2740" w:type="dxa"/>
            <w:tcBorders>
              <w:tl2br w:val="nil"/>
              <w:tr2bl w:val="nil"/>
            </w:tcBorders>
            <w:noWrap w:val="0"/>
            <w:vAlign w:val="top"/>
          </w:tcPr>
          <w:p w14:paraId="2C488C6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甲醛</w:t>
            </w:r>
          </w:p>
        </w:tc>
        <w:tc>
          <w:tcPr>
            <w:tcW w:w="2180" w:type="dxa"/>
            <w:tcBorders>
              <w:tl2br w:val="nil"/>
              <w:tr2bl w:val="nil"/>
            </w:tcBorders>
            <w:noWrap w:val="0"/>
            <w:vAlign w:val="top"/>
          </w:tcPr>
          <w:p w14:paraId="0355AB6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1B27829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bl>
    <w:p w14:paraId="608E1077">
      <w:pPr>
        <w:pageBreakBefore w:val="0"/>
        <w:wordWrap/>
        <w:bidi w:val="0"/>
        <w:adjustRightInd/>
        <w:snapToGrid/>
        <w:rPr>
          <w:rFonts w:hint="default"/>
          <w:b/>
          <w:bCs/>
          <w:color w:val="auto"/>
          <w:lang w:val="en-US" w:eastAsia="zh-CN"/>
        </w:rPr>
      </w:pPr>
      <w:r>
        <w:rPr>
          <w:rFonts w:hint="eastAsia"/>
          <w:b/>
          <w:bCs/>
          <w:color w:val="auto"/>
          <w:lang w:val="en-US" w:eastAsia="zh-CN"/>
        </w:rPr>
        <w:t>4、设计出水水质</w:t>
      </w:r>
    </w:p>
    <w:p w14:paraId="027A7003">
      <w:pPr>
        <w:pageBreakBefore w:val="0"/>
        <w:wordWrap/>
        <w:bidi w:val="0"/>
        <w:adjustRightInd/>
        <w:snapToGrid/>
        <w:rPr>
          <w:rFonts w:hint="default"/>
          <w:color w:val="auto"/>
          <w:lang w:val="en-US" w:eastAsia="zh-CN"/>
        </w:rPr>
      </w:pPr>
      <w:r>
        <w:rPr>
          <w:rFonts w:hint="eastAsia"/>
          <w:color w:val="auto"/>
          <w:lang w:val="en-US" w:eastAsia="zh-CN"/>
        </w:rPr>
        <w:t>本项目</w:t>
      </w:r>
      <w:r>
        <w:rPr>
          <w:rFonts w:hint="eastAsia"/>
          <w:color w:val="auto"/>
          <w:szCs w:val="24"/>
          <w:lang w:val="en-US" w:eastAsia="zh-CN" w:bidi="ar"/>
        </w:rPr>
        <w:t>出水水质指标执行《城镇污水处理厂污染物排放标准》（GB18918-2002）一级A标准。根据项目需求，回用水为总规模的20%，本项目回用水出水水质参照《城市污水再生利用工业用水水质》（GB/T 19923-2005）标准中的工艺与产品用水、敞开式循环冷却水系统补充水指标要求或《城市污水再生利用城市杂用水水质》（GB18920-2020）标准中的城市绿化、道路清扫等用水。</w:t>
      </w:r>
    </w:p>
    <w:p w14:paraId="2424F27D">
      <w:pPr>
        <w:pStyle w:val="15"/>
        <w:numPr>
          <w:ilvl w:val="0"/>
          <w:numId w:val="13"/>
        </w:numPr>
        <w:bidi w:val="0"/>
        <w:ind w:left="0" w:leftChars="0" w:firstLine="0" w:firstLineChars="0"/>
        <w:rPr>
          <w:rFonts w:hint="default"/>
          <w:color w:val="auto"/>
          <w:lang w:val="en-US" w:eastAsia="zh-CN"/>
        </w:rPr>
      </w:pPr>
      <w:r>
        <w:rPr>
          <w:rFonts w:hint="eastAsia"/>
          <w:color w:val="auto"/>
          <w:lang w:val="en-US" w:eastAsia="zh-CN"/>
        </w:rPr>
        <w:t>设计出水水质表</w:t>
      </w:r>
    </w:p>
    <w:tbl>
      <w:tblPr>
        <w:tblStyle w:val="49"/>
        <w:tblW w:w="87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80"/>
        <w:gridCol w:w="1335"/>
        <w:gridCol w:w="765"/>
        <w:gridCol w:w="1991"/>
        <w:gridCol w:w="1922"/>
        <w:gridCol w:w="2225"/>
      </w:tblGrid>
      <w:tr w14:paraId="1FD2A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vMerge w:val="restart"/>
            <w:tcBorders>
              <w:tl2br w:val="nil"/>
              <w:tr2bl w:val="nil"/>
            </w:tcBorders>
            <w:noWrap w:val="0"/>
            <w:vAlign w:val="center"/>
          </w:tcPr>
          <w:p w14:paraId="3832AA83">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100" w:type="dxa"/>
            <w:gridSpan w:val="2"/>
            <w:tcBorders>
              <w:tl2br w:val="nil"/>
              <w:tr2bl w:val="nil"/>
            </w:tcBorders>
            <w:noWrap w:val="0"/>
            <w:vAlign w:val="center"/>
          </w:tcPr>
          <w:p w14:paraId="51AF3026">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6138" w:type="dxa"/>
            <w:gridSpan w:val="3"/>
            <w:tcBorders>
              <w:tl2br w:val="nil"/>
              <w:tr2bl w:val="nil"/>
            </w:tcBorders>
            <w:noWrap w:val="0"/>
            <w:vAlign w:val="center"/>
          </w:tcPr>
          <w:p w14:paraId="7DB76DF4">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出水水质</w:t>
            </w:r>
          </w:p>
        </w:tc>
      </w:tr>
      <w:tr w14:paraId="2094C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vMerge w:val="continue"/>
            <w:tcBorders>
              <w:tl2br w:val="nil"/>
              <w:tr2bl w:val="nil"/>
            </w:tcBorders>
            <w:noWrap w:val="0"/>
            <w:vAlign w:val="center"/>
          </w:tcPr>
          <w:p w14:paraId="3FAF281B">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335" w:type="dxa"/>
            <w:tcBorders>
              <w:tl2br w:val="nil"/>
              <w:tr2bl w:val="nil"/>
            </w:tcBorders>
            <w:noWrap w:val="0"/>
            <w:vAlign w:val="center"/>
          </w:tcPr>
          <w:p w14:paraId="4E0909D1">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765" w:type="dxa"/>
            <w:tcBorders>
              <w:tl2br w:val="nil"/>
              <w:tr2bl w:val="nil"/>
            </w:tcBorders>
            <w:noWrap w:val="0"/>
            <w:vAlign w:val="center"/>
          </w:tcPr>
          <w:p w14:paraId="0F43789C">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1991" w:type="dxa"/>
            <w:tcBorders>
              <w:tl2br w:val="nil"/>
              <w:tr2bl w:val="nil"/>
            </w:tcBorders>
            <w:noWrap w:val="0"/>
            <w:vAlign w:val="center"/>
          </w:tcPr>
          <w:p w14:paraId="235003F4">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c>
          <w:tcPr>
            <w:tcW w:w="1922" w:type="dxa"/>
            <w:tcBorders>
              <w:tl2br w:val="nil"/>
              <w:tr2bl w:val="nil"/>
            </w:tcBorders>
            <w:noWrap w:val="0"/>
            <w:vAlign w:val="center"/>
          </w:tcPr>
          <w:p w14:paraId="79482056">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《城市污水再生利用城市杂用水水质 GB18920-2020》标准中的城市绿化、道路清扫用水指标要求</w:t>
            </w:r>
          </w:p>
        </w:tc>
        <w:tc>
          <w:tcPr>
            <w:tcW w:w="2225" w:type="dxa"/>
            <w:tcBorders>
              <w:tl2br w:val="nil"/>
              <w:tr2bl w:val="nil"/>
            </w:tcBorders>
            <w:noWrap w:val="0"/>
            <w:vAlign w:val="center"/>
          </w:tcPr>
          <w:p w14:paraId="21CB119A">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《城市污水再生利用工业用水水质GB/T 19923- 2005》标准中的工艺与产品用水、敞开式循环冷却水系统补充水指标要求</w:t>
            </w:r>
          </w:p>
        </w:tc>
      </w:tr>
      <w:tr w14:paraId="65D3F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7CEE61E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335" w:type="dxa"/>
            <w:tcBorders>
              <w:tl2br w:val="nil"/>
              <w:tr2bl w:val="nil"/>
            </w:tcBorders>
            <w:noWrap w:val="0"/>
            <w:vAlign w:val="center"/>
          </w:tcPr>
          <w:p w14:paraId="1795E66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765" w:type="dxa"/>
            <w:tcBorders>
              <w:tl2br w:val="nil"/>
              <w:tr2bl w:val="nil"/>
            </w:tcBorders>
            <w:noWrap w:val="0"/>
            <w:vAlign w:val="center"/>
          </w:tcPr>
          <w:p w14:paraId="3D8DF43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1991" w:type="dxa"/>
            <w:tcBorders>
              <w:tl2br w:val="nil"/>
              <w:tr2bl w:val="nil"/>
            </w:tcBorders>
            <w:noWrap w:val="0"/>
            <w:vAlign w:val="center"/>
          </w:tcPr>
          <w:p w14:paraId="4795B51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c>
          <w:tcPr>
            <w:tcW w:w="1922" w:type="dxa"/>
            <w:tcBorders>
              <w:tl2br w:val="nil"/>
              <w:tr2bl w:val="nil"/>
            </w:tcBorders>
            <w:noWrap w:val="0"/>
            <w:vAlign w:val="center"/>
          </w:tcPr>
          <w:p w14:paraId="77675C63">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6~9</w:t>
            </w:r>
          </w:p>
        </w:tc>
        <w:tc>
          <w:tcPr>
            <w:tcW w:w="2225" w:type="dxa"/>
            <w:tcBorders>
              <w:tl2br w:val="nil"/>
              <w:tr2bl w:val="nil"/>
            </w:tcBorders>
            <w:noWrap w:val="0"/>
            <w:vAlign w:val="center"/>
          </w:tcPr>
          <w:p w14:paraId="4ECC072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6.5~8.5</w:t>
            </w:r>
          </w:p>
        </w:tc>
      </w:tr>
      <w:tr w14:paraId="27D29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2A8FBA0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335" w:type="dxa"/>
            <w:tcBorders>
              <w:tl2br w:val="nil"/>
              <w:tr2bl w:val="nil"/>
            </w:tcBorders>
            <w:noWrap w:val="0"/>
            <w:vAlign w:val="center"/>
          </w:tcPr>
          <w:p w14:paraId="025E57C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765" w:type="dxa"/>
            <w:tcBorders>
              <w:tl2br w:val="nil"/>
              <w:tr2bl w:val="nil"/>
            </w:tcBorders>
            <w:noWrap w:val="0"/>
            <w:vAlign w:val="center"/>
          </w:tcPr>
          <w:p w14:paraId="33BF37D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91" w:type="dxa"/>
            <w:tcBorders>
              <w:tl2br w:val="nil"/>
              <w:tr2bl w:val="nil"/>
            </w:tcBorders>
            <w:noWrap w:val="0"/>
            <w:vAlign w:val="center"/>
          </w:tcPr>
          <w:p w14:paraId="7B8A07F4">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c>
          <w:tcPr>
            <w:tcW w:w="1922" w:type="dxa"/>
            <w:tcBorders>
              <w:tl2br w:val="nil"/>
              <w:tr2bl w:val="nil"/>
            </w:tcBorders>
            <w:noWrap w:val="0"/>
            <w:vAlign w:val="center"/>
          </w:tcPr>
          <w:p w14:paraId="685FBC2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c>
          <w:tcPr>
            <w:tcW w:w="2225" w:type="dxa"/>
            <w:tcBorders>
              <w:tl2br w:val="nil"/>
              <w:tr2bl w:val="nil"/>
            </w:tcBorders>
            <w:noWrap w:val="0"/>
            <w:vAlign w:val="center"/>
          </w:tcPr>
          <w:p w14:paraId="3291CE6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73C5E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40FDF6E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335" w:type="dxa"/>
            <w:tcBorders>
              <w:tl2br w:val="nil"/>
              <w:tr2bl w:val="nil"/>
            </w:tcBorders>
            <w:noWrap w:val="0"/>
            <w:vAlign w:val="center"/>
          </w:tcPr>
          <w:p w14:paraId="24BCD4E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浊度</w:t>
            </w:r>
          </w:p>
        </w:tc>
        <w:tc>
          <w:tcPr>
            <w:tcW w:w="765" w:type="dxa"/>
            <w:tcBorders>
              <w:tl2br w:val="nil"/>
              <w:tr2bl w:val="nil"/>
            </w:tcBorders>
            <w:noWrap w:val="0"/>
            <w:vAlign w:val="center"/>
          </w:tcPr>
          <w:p w14:paraId="2F2B5F2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91" w:type="dxa"/>
            <w:tcBorders>
              <w:tl2br w:val="nil"/>
              <w:tr2bl w:val="nil"/>
            </w:tcBorders>
            <w:noWrap w:val="0"/>
            <w:vAlign w:val="center"/>
          </w:tcPr>
          <w:p w14:paraId="39A99EA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E5579D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7D7CE46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r>
      <w:tr w14:paraId="3D7CB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7663511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335" w:type="dxa"/>
            <w:tcBorders>
              <w:tl2br w:val="nil"/>
              <w:tr2bl w:val="nil"/>
            </w:tcBorders>
            <w:noWrap w:val="0"/>
            <w:vAlign w:val="center"/>
          </w:tcPr>
          <w:p w14:paraId="0515096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COD</w:t>
            </w:r>
          </w:p>
        </w:tc>
        <w:tc>
          <w:tcPr>
            <w:tcW w:w="765" w:type="dxa"/>
            <w:tcBorders>
              <w:tl2br w:val="nil"/>
              <w:tr2bl w:val="nil"/>
            </w:tcBorders>
            <w:noWrap w:val="0"/>
            <w:vAlign w:val="center"/>
          </w:tcPr>
          <w:p w14:paraId="28690298">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9FFC504">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50</w:t>
            </w:r>
          </w:p>
        </w:tc>
        <w:tc>
          <w:tcPr>
            <w:tcW w:w="1922" w:type="dxa"/>
            <w:tcBorders>
              <w:tl2br w:val="nil"/>
              <w:tr2bl w:val="nil"/>
            </w:tcBorders>
            <w:noWrap w:val="0"/>
            <w:vAlign w:val="center"/>
          </w:tcPr>
          <w:p w14:paraId="341A89C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25784FC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w:t>
            </w:r>
          </w:p>
        </w:tc>
      </w:tr>
      <w:tr w14:paraId="327BA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07A0AB2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335" w:type="dxa"/>
            <w:tcBorders>
              <w:tl2br w:val="nil"/>
              <w:tr2bl w:val="nil"/>
            </w:tcBorders>
            <w:noWrap w:val="0"/>
            <w:vAlign w:val="center"/>
          </w:tcPr>
          <w:p w14:paraId="4E446EF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765" w:type="dxa"/>
            <w:tcBorders>
              <w:tl2br w:val="nil"/>
              <w:tr2bl w:val="nil"/>
            </w:tcBorders>
            <w:noWrap w:val="0"/>
            <w:vAlign w:val="center"/>
          </w:tcPr>
          <w:p w14:paraId="1F11F90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516F582B">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070EE7F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32C2AE2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026B9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4D4A5CE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335" w:type="dxa"/>
            <w:tcBorders>
              <w:tl2br w:val="nil"/>
              <w:tr2bl w:val="nil"/>
            </w:tcBorders>
            <w:noWrap w:val="0"/>
            <w:vAlign w:val="center"/>
          </w:tcPr>
          <w:p w14:paraId="284E02C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氨氮</w:t>
            </w:r>
          </w:p>
        </w:tc>
        <w:tc>
          <w:tcPr>
            <w:tcW w:w="765" w:type="dxa"/>
            <w:tcBorders>
              <w:tl2br w:val="nil"/>
              <w:tr2bl w:val="nil"/>
            </w:tcBorders>
            <w:noWrap w:val="0"/>
            <w:vAlign w:val="center"/>
          </w:tcPr>
          <w:p w14:paraId="68B7A55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93AD16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5（8）</w:t>
            </w:r>
          </w:p>
        </w:tc>
        <w:tc>
          <w:tcPr>
            <w:tcW w:w="1922" w:type="dxa"/>
            <w:tcBorders>
              <w:tl2br w:val="nil"/>
              <w:tr2bl w:val="nil"/>
            </w:tcBorders>
            <w:noWrap w:val="0"/>
            <w:vAlign w:val="center"/>
          </w:tcPr>
          <w:p w14:paraId="495BFEC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225" w:type="dxa"/>
            <w:tcBorders>
              <w:tl2br w:val="nil"/>
              <w:tr2bl w:val="nil"/>
            </w:tcBorders>
            <w:noWrap w:val="0"/>
            <w:vAlign w:val="center"/>
          </w:tcPr>
          <w:p w14:paraId="73452AE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4DE75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C4D0B3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w:t>
            </w:r>
          </w:p>
        </w:tc>
        <w:tc>
          <w:tcPr>
            <w:tcW w:w="1335" w:type="dxa"/>
            <w:tcBorders>
              <w:tl2br w:val="nil"/>
              <w:tr2bl w:val="nil"/>
            </w:tcBorders>
            <w:noWrap w:val="0"/>
            <w:vAlign w:val="center"/>
          </w:tcPr>
          <w:p w14:paraId="43732C0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总氮</w:t>
            </w:r>
          </w:p>
        </w:tc>
        <w:tc>
          <w:tcPr>
            <w:tcW w:w="765" w:type="dxa"/>
            <w:tcBorders>
              <w:tl2br w:val="nil"/>
              <w:tr2bl w:val="nil"/>
            </w:tcBorders>
            <w:noWrap w:val="0"/>
            <w:vAlign w:val="center"/>
          </w:tcPr>
          <w:p w14:paraId="2D4943F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38771A2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15</w:t>
            </w:r>
          </w:p>
        </w:tc>
        <w:tc>
          <w:tcPr>
            <w:tcW w:w="1922" w:type="dxa"/>
            <w:tcBorders>
              <w:tl2br w:val="nil"/>
              <w:tr2bl w:val="nil"/>
            </w:tcBorders>
            <w:noWrap w:val="0"/>
            <w:vAlign w:val="center"/>
          </w:tcPr>
          <w:p w14:paraId="3A40C81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A53F71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r>
      <w:tr w14:paraId="7D2B8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741AA79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w:t>
            </w:r>
          </w:p>
        </w:tc>
        <w:tc>
          <w:tcPr>
            <w:tcW w:w="1335" w:type="dxa"/>
            <w:tcBorders>
              <w:tl2br w:val="nil"/>
              <w:tr2bl w:val="nil"/>
            </w:tcBorders>
            <w:noWrap w:val="0"/>
            <w:vAlign w:val="center"/>
          </w:tcPr>
          <w:p w14:paraId="7A23182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总磷</w:t>
            </w:r>
          </w:p>
        </w:tc>
        <w:tc>
          <w:tcPr>
            <w:tcW w:w="765" w:type="dxa"/>
            <w:tcBorders>
              <w:tl2br w:val="nil"/>
              <w:tr2bl w:val="nil"/>
            </w:tcBorders>
            <w:noWrap w:val="0"/>
            <w:vAlign w:val="center"/>
          </w:tcPr>
          <w:p w14:paraId="2DEF0D5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D6C3FB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51B8DA9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25FDD8B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2F90F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00BD43D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w:t>
            </w:r>
          </w:p>
        </w:tc>
        <w:tc>
          <w:tcPr>
            <w:tcW w:w="1335" w:type="dxa"/>
            <w:tcBorders>
              <w:tl2br w:val="nil"/>
              <w:tr2bl w:val="nil"/>
            </w:tcBorders>
            <w:noWrap w:val="0"/>
            <w:vAlign w:val="center"/>
          </w:tcPr>
          <w:p w14:paraId="14E9314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氰化物</w:t>
            </w:r>
          </w:p>
        </w:tc>
        <w:tc>
          <w:tcPr>
            <w:tcW w:w="765" w:type="dxa"/>
            <w:tcBorders>
              <w:tl2br w:val="nil"/>
              <w:tr2bl w:val="nil"/>
            </w:tcBorders>
            <w:noWrap w:val="0"/>
            <w:vAlign w:val="center"/>
          </w:tcPr>
          <w:p w14:paraId="7140381F">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807B1B2">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DC451F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247734E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0.2</w:t>
            </w:r>
          </w:p>
        </w:tc>
      </w:tr>
      <w:tr w14:paraId="58B78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6D77CFD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c>
          <w:tcPr>
            <w:tcW w:w="1335" w:type="dxa"/>
            <w:tcBorders>
              <w:tl2br w:val="nil"/>
              <w:tr2bl w:val="nil"/>
            </w:tcBorders>
            <w:noWrap w:val="0"/>
            <w:vAlign w:val="center"/>
          </w:tcPr>
          <w:p w14:paraId="1505BD2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挥发酚</w:t>
            </w:r>
          </w:p>
        </w:tc>
        <w:tc>
          <w:tcPr>
            <w:tcW w:w="765" w:type="dxa"/>
            <w:tcBorders>
              <w:tl2br w:val="nil"/>
              <w:tr2bl w:val="nil"/>
            </w:tcBorders>
            <w:noWrap w:val="0"/>
            <w:vAlign w:val="center"/>
          </w:tcPr>
          <w:p w14:paraId="7D2DF5A8">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DA04F2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90F456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1CF4920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0.005</w:t>
            </w:r>
          </w:p>
        </w:tc>
      </w:tr>
      <w:tr w14:paraId="3A2D28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2EC1502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11</w:t>
            </w:r>
          </w:p>
        </w:tc>
        <w:tc>
          <w:tcPr>
            <w:tcW w:w="1335" w:type="dxa"/>
            <w:tcBorders>
              <w:tl2br w:val="nil"/>
              <w:tr2bl w:val="nil"/>
            </w:tcBorders>
            <w:noWrap w:val="0"/>
            <w:vAlign w:val="center"/>
          </w:tcPr>
          <w:p w14:paraId="0F15BDF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石油类</w:t>
            </w:r>
          </w:p>
        </w:tc>
        <w:tc>
          <w:tcPr>
            <w:tcW w:w="765" w:type="dxa"/>
            <w:tcBorders>
              <w:tl2br w:val="nil"/>
              <w:tr2bl w:val="nil"/>
            </w:tcBorders>
            <w:noWrap w:val="0"/>
            <w:vAlign w:val="center"/>
          </w:tcPr>
          <w:p w14:paraId="129645F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6614573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w:t>
            </w:r>
          </w:p>
        </w:tc>
        <w:tc>
          <w:tcPr>
            <w:tcW w:w="1922" w:type="dxa"/>
            <w:tcBorders>
              <w:tl2br w:val="nil"/>
              <w:tr2bl w:val="nil"/>
            </w:tcBorders>
            <w:noWrap w:val="0"/>
            <w:vAlign w:val="center"/>
          </w:tcPr>
          <w:p w14:paraId="568A4CC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7E93908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76F36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62661B0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w:t>
            </w:r>
          </w:p>
        </w:tc>
        <w:tc>
          <w:tcPr>
            <w:tcW w:w="1335" w:type="dxa"/>
            <w:tcBorders>
              <w:tl2br w:val="nil"/>
              <w:tr2bl w:val="nil"/>
            </w:tcBorders>
            <w:noWrap w:val="0"/>
            <w:vAlign w:val="center"/>
          </w:tcPr>
          <w:p w14:paraId="77F408E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阴离子表面活性剂</w:t>
            </w:r>
          </w:p>
        </w:tc>
        <w:tc>
          <w:tcPr>
            <w:tcW w:w="765" w:type="dxa"/>
            <w:tcBorders>
              <w:tl2br w:val="nil"/>
              <w:tr2bl w:val="nil"/>
            </w:tcBorders>
            <w:noWrap w:val="0"/>
            <w:vAlign w:val="center"/>
          </w:tcPr>
          <w:p w14:paraId="1498C174">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2CDE9B2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03D1CA5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c>
          <w:tcPr>
            <w:tcW w:w="2225" w:type="dxa"/>
            <w:tcBorders>
              <w:tl2br w:val="nil"/>
              <w:tr2bl w:val="nil"/>
            </w:tcBorders>
            <w:noWrap w:val="0"/>
            <w:vAlign w:val="center"/>
          </w:tcPr>
          <w:p w14:paraId="6B0C50B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r>
      <w:tr w14:paraId="3D3CB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4AC3700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13</w:t>
            </w:r>
          </w:p>
        </w:tc>
        <w:tc>
          <w:tcPr>
            <w:tcW w:w="1335" w:type="dxa"/>
            <w:tcBorders>
              <w:tl2br w:val="nil"/>
              <w:tr2bl w:val="nil"/>
            </w:tcBorders>
            <w:noWrap w:val="0"/>
            <w:vAlign w:val="center"/>
          </w:tcPr>
          <w:p w14:paraId="21D76D5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铁</w:t>
            </w:r>
          </w:p>
        </w:tc>
        <w:tc>
          <w:tcPr>
            <w:tcW w:w="765" w:type="dxa"/>
            <w:tcBorders>
              <w:tl2br w:val="nil"/>
              <w:tr2bl w:val="nil"/>
            </w:tcBorders>
            <w:noWrap w:val="0"/>
            <w:vAlign w:val="center"/>
          </w:tcPr>
          <w:p w14:paraId="1BEFE01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0C7E71D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C2784F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047C54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0.3</w:t>
            </w:r>
          </w:p>
        </w:tc>
      </w:tr>
      <w:tr w14:paraId="62FE7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C6E913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14</w:t>
            </w:r>
          </w:p>
        </w:tc>
        <w:tc>
          <w:tcPr>
            <w:tcW w:w="1335" w:type="dxa"/>
            <w:tcBorders>
              <w:tl2br w:val="nil"/>
              <w:tr2bl w:val="nil"/>
            </w:tcBorders>
            <w:noWrap w:val="0"/>
            <w:vAlign w:val="center"/>
          </w:tcPr>
          <w:p w14:paraId="0847B50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锰</w:t>
            </w:r>
          </w:p>
        </w:tc>
        <w:tc>
          <w:tcPr>
            <w:tcW w:w="765" w:type="dxa"/>
            <w:tcBorders>
              <w:tl2br w:val="nil"/>
              <w:tr2bl w:val="nil"/>
            </w:tcBorders>
            <w:noWrap w:val="0"/>
            <w:vAlign w:val="center"/>
          </w:tcPr>
          <w:p w14:paraId="6375111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47DC58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C265AA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541FA07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w:t>
            </w:r>
          </w:p>
        </w:tc>
      </w:tr>
      <w:tr w14:paraId="26C5D4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6FA2661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w:t>
            </w:r>
          </w:p>
        </w:tc>
        <w:tc>
          <w:tcPr>
            <w:tcW w:w="1335" w:type="dxa"/>
            <w:tcBorders>
              <w:tl2br w:val="nil"/>
              <w:tr2bl w:val="nil"/>
            </w:tcBorders>
            <w:noWrap w:val="0"/>
            <w:vAlign w:val="center"/>
          </w:tcPr>
          <w:p w14:paraId="5D8BBB3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氯离子</w:t>
            </w:r>
          </w:p>
        </w:tc>
        <w:tc>
          <w:tcPr>
            <w:tcW w:w="765" w:type="dxa"/>
            <w:tcBorders>
              <w:tl2br w:val="nil"/>
              <w:tr2bl w:val="nil"/>
            </w:tcBorders>
            <w:noWrap w:val="0"/>
            <w:vAlign w:val="center"/>
          </w:tcPr>
          <w:p w14:paraId="33438F4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305BDFF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49F84B5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c>
          <w:tcPr>
            <w:tcW w:w="2225" w:type="dxa"/>
            <w:tcBorders>
              <w:tl2br w:val="nil"/>
              <w:tr2bl w:val="nil"/>
            </w:tcBorders>
            <w:noWrap w:val="0"/>
            <w:vAlign w:val="center"/>
          </w:tcPr>
          <w:p w14:paraId="004A81F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15E5A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DDEBCA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16</w:t>
            </w:r>
          </w:p>
        </w:tc>
        <w:tc>
          <w:tcPr>
            <w:tcW w:w="1335" w:type="dxa"/>
            <w:tcBorders>
              <w:tl2br w:val="nil"/>
              <w:tr2bl w:val="nil"/>
            </w:tcBorders>
            <w:noWrap w:val="0"/>
            <w:vAlign w:val="center"/>
          </w:tcPr>
          <w:p w14:paraId="33685DF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硫酸盐</w:t>
            </w:r>
          </w:p>
        </w:tc>
        <w:tc>
          <w:tcPr>
            <w:tcW w:w="765" w:type="dxa"/>
            <w:tcBorders>
              <w:tl2br w:val="nil"/>
              <w:tr2bl w:val="nil"/>
            </w:tcBorders>
            <w:noWrap w:val="0"/>
            <w:vAlign w:val="center"/>
          </w:tcPr>
          <w:p w14:paraId="00A378DE">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50DFFF1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52E527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500</w:t>
            </w:r>
          </w:p>
        </w:tc>
        <w:tc>
          <w:tcPr>
            <w:tcW w:w="2225" w:type="dxa"/>
            <w:tcBorders>
              <w:tl2br w:val="nil"/>
              <w:tr2bl w:val="nil"/>
            </w:tcBorders>
            <w:noWrap w:val="0"/>
            <w:vAlign w:val="center"/>
          </w:tcPr>
          <w:p w14:paraId="3DA590E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792D3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21526B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17</w:t>
            </w:r>
          </w:p>
        </w:tc>
        <w:tc>
          <w:tcPr>
            <w:tcW w:w="1335" w:type="dxa"/>
            <w:tcBorders>
              <w:tl2br w:val="nil"/>
              <w:tr2bl w:val="nil"/>
            </w:tcBorders>
            <w:noWrap w:val="0"/>
            <w:vAlign w:val="center"/>
          </w:tcPr>
          <w:p w14:paraId="5105533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悬浮物</w:t>
            </w:r>
          </w:p>
        </w:tc>
        <w:tc>
          <w:tcPr>
            <w:tcW w:w="765" w:type="dxa"/>
            <w:tcBorders>
              <w:tl2br w:val="nil"/>
              <w:tr2bl w:val="nil"/>
            </w:tcBorders>
            <w:noWrap w:val="0"/>
            <w:vAlign w:val="center"/>
          </w:tcPr>
          <w:p w14:paraId="30CF74A5">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73594064">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1438B6B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70D91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650AF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EBECF1B">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w:t>
            </w:r>
          </w:p>
        </w:tc>
        <w:tc>
          <w:tcPr>
            <w:tcW w:w="1335" w:type="dxa"/>
            <w:tcBorders>
              <w:tl2br w:val="nil"/>
              <w:tr2bl w:val="nil"/>
            </w:tcBorders>
            <w:noWrap w:val="0"/>
            <w:vAlign w:val="center"/>
          </w:tcPr>
          <w:p w14:paraId="165C6C4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二氧化硅</w:t>
            </w:r>
          </w:p>
        </w:tc>
        <w:tc>
          <w:tcPr>
            <w:tcW w:w="765" w:type="dxa"/>
            <w:tcBorders>
              <w:tl2br w:val="nil"/>
              <w:tr2bl w:val="nil"/>
            </w:tcBorders>
            <w:noWrap w:val="0"/>
            <w:vAlign w:val="center"/>
          </w:tcPr>
          <w:p w14:paraId="17C09E9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3BE8AB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B34232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287CFEC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542BF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4A9325A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19</w:t>
            </w:r>
          </w:p>
        </w:tc>
        <w:tc>
          <w:tcPr>
            <w:tcW w:w="1335" w:type="dxa"/>
            <w:tcBorders>
              <w:tl2br w:val="nil"/>
              <w:tr2bl w:val="nil"/>
            </w:tcBorders>
            <w:noWrap w:val="0"/>
            <w:vAlign w:val="center"/>
          </w:tcPr>
          <w:p w14:paraId="0076D18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总碱度（以CaCO计）</w:t>
            </w:r>
          </w:p>
        </w:tc>
        <w:tc>
          <w:tcPr>
            <w:tcW w:w="765" w:type="dxa"/>
            <w:tcBorders>
              <w:tl2br w:val="nil"/>
              <w:tr2bl w:val="nil"/>
            </w:tcBorders>
            <w:noWrap w:val="0"/>
            <w:vAlign w:val="center"/>
          </w:tcPr>
          <w:p w14:paraId="53E2AA3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22CC44C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3063A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70DCCA1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r>
      <w:tr w14:paraId="41BB8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2C0BD1C2">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c>
          <w:tcPr>
            <w:tcW w:w="1335" w:type="dxa"/>
            <w:tcBorders>
              <w:tl2br w:val="nil"/>
              <w:tr2bl w:val="nil"/>
            </w:tcBorders>
            <w:noWrap w:val="0"/>
            <w:vAlign w:val="center"/>
          </w:tcPr>
          <w:p w14:paraId="1EF9BAF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总硬度（以CaCO</w:t>
            </w:r>
            <w:r>
              <w:rPr>
                <w:rFonts w:hint="eastAsia"/>
                <w:color w:val="auto"/>
                <w:vertAlign w:val="subscript"/>
                <w:lang w:val="en-US" w:eastAsia="zh-CN"/>
              </w:rPr>
              <w:t>2</w:t>
            </w:r>
            <w:r>
              <w:rPr>
                <w:rFonts w:hint="eastAsia"/>
                <w:color w:val="auto"/>
                <w:lang w:val="en-US" w:eastAsia="zh-CN"/>
              </w:rPr>
              <w:t>计）</w:t>
            </w:r>
          </w:p>
        </w:tc>
        <w:tc>
          <w:tcPr>
            <w:tcW w:w="765" w:type="dxa"/>
            <w:tcBorders>
              <w:tl2br w:val="nil"/>
              <w:tr2bl w:val="nil"/>
            </w:tcBorders>
            <w:noWrap w:val="0"/>
            <w:vAlign w:val="center"/>
          </w:tcPr>
          <w:p w14:paraId="7B78E8B7">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5923BB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FCB571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1414551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450</w:t>
            </w:r>
          </w:p>
        </w:tc>
      </w:tr>
      <w:tr w14:paraId="06A1F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B7A6F5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21</w:t>
            </w:r>
          </w:p>
        </w:tc>
        <w:tc>
          <w:tcPr>
            <w:tcW w:w="1335" w:type="dxa"/>
            <w:tcBorders>
              <w:tl2br w:val="nil"/>
              <w:tr2bl w:val="nil"/>
            </w:tcBorders>
            <w:noWrap w:val="0"/>
            <w:vAlign w:val="center"/>
          </w:tcPr>
          <w:p w14:paraId="178E023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溶解性总固体</w:t>
            </w:r>
          </w:p>
        </w:tc>
        <w:tc>
          <w:tcPr>
            <w:tcW w:w="765" w:type="dxa"/>
            <w:tcBorders>
              <w:tl2br w:val="nil"/>
              <w:tr2bl w:val="nil"/>
            </w:tcBorders>
            <w:noWrap w:val="0"/>
            <w:vAlign w:val="center"/>
          </w:tcPr>
          <w:p w14:paraId="76A47E84">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1863386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014CA1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1000（2000）a</w:t>
            </w:r>
          </w:p>
        </w:tc>
        <w:tc>
          <w:tcPr>
            <w:tcW w:w="2225" w:type="dxa"/>
            <w:tcBorders>
              <w:tl2br w:val="nil"/>
              <w:tr2bl w:val="nil"/>
            </w:tcBorders>
            <w:noWrap w:val="0"/>
            <w:vAlign w:val="center"/>
          </w:tcPr>
          <w:p w14:paraId="3D5AE8B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w:t>
            </w:r>
          </w:p>
        </w:tc>
      </w:tr>
      <w:tr w14:paraId="1C397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141E7A4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22</w:t>
            </w:r>
          </w:p>
        </w:tc>
        <w:tc>
          <w:tcPr>
            <w:tcW w:w="1335" w:type="dxa"/>
            <w:tcBorders>
              <w:tl2br w:val="nil"/>
              <w:tr2bl w:val="nil"/>
            </w:tcBorders>
            <w:noWrap w:val="0"/>
            <w:vAlign w:val="center"/>
          </w:tcPr>
          <w:p w14:paraId="30FB417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余氯</w:t>
            </w:r>
          </w:p>
        </w:tc>
        <w:tc>
          <w:tcPr>
            <w:tcW w:w="765" w:type="dxa"/>
            <w:tcBorders>
              <w:tl2br w:val="nil"/>
              <w:tr2bl w:val="nil"/>
            </w:tcBorders>
            <w:noWrap w:val="0"/>
            <w:vAlign w:val="center"/>
          </w:tcPr>
          <w:p w14:paraId="317ECFA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991" w:type="dxa"/>
            <w:tcBorders>
              <w:tl2br w:val="nil"/>
              <w:tr2bl w:val="nil"/>
            </w:tcBorders>
            <w:noWrap w:val="0"/>
            <w:vAlign w:val="center"/>
          </w:tcPr>
          <w:p w14:paraId="0216026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97AB181">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 xml:space="preserve"> 1.0（出厂），0.2（管网末端）</w:t>
            </w:r>
          </w:p>
        </w:tc>
        <w:tc>
          <w:tcPr>
            <w:tcW w:w="2225" w:type="dxa"/>
            <w:tcBorders>
              <w:tl2br w:val="nil"/>
              <w:tr2bl w:val="nil"/>
            </w:tcBorders>
            <w:noWrap w:val="0"/>
            <w:vAlign w:val="center"/>
          </w:tcPr>
          <w:p w14:paraId="47E4162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≥0.05</w:t>
            </w:r>
          </w:p>
        </w:tc>
      </w:tr>
      <w:tr w14:paraId="071A6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53D5D41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23</w:t>
            </w:r>
          </w:p>
        </w:tc>
        <w:tc>
          <w:tcPr>
            <w:tcW w:w="1335" w:type="dxa"/>
            <w:tcBorders>
              <w:tl2br w:val="nil"/>
              <w:tr2bl w:val="nil"/>
            </w:tcBorders>
            <w:noWrap w:val="0"/>
            <w:vAlign w:val="center"/>
          </w:tcPr>
          <w:p w14:paraId="2255007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粪大肠菌群数</w:t>
            </w:r>
          </w:p>
        </w:tc>
        <w:tc>
          <w:tcPr>
            <w:tcW w:w="765" w:type="dxa"/>
            <w:tcBorders>
              <w:tl2br w:val="nil"/>
              <w:tr2bl w:val="nil"/>
            </w:tcBorders>
            <w:noWrap w:val="0"/>
            <w:vAlign w:val="center"/>
          </w:tcPr>
          <w:p w14:paraId="6E627BFF">
            <w:pPr>
              <w:pStyle w:val="12"/>
              <w:pageBreakBefore w:val="0"/>
              <w:wordWrap/>
              <w:bidi w:val="0"/>
              <w:adjustRightInd/>
              <w:snapToGrid/>
              <w:rPr>
                <w:rFonts w:hint="default"/>
                <w:color w:val="auto"/>
                <w:lang w:val="en-US" w:eastAsia="zh-CN"/>
              </w:rPr>
            </w:pPr>
            <w:r>
              <w:rPr>
                <w:rFonts w:hint="eastAsia"/>
                <w:color w:val="auto"/>
                <w:lang w:val="en-US" w:eastAsia="zh-CN"/>
              </w:rPr>
              <w:t>个/L</w:t>
            </w:r>
          </w:p>
        </w:tc>
        <w:tc>
          <w:tcPr>
            <w:tcW w:w="1991" w:type="dxa"/>
            <w:tcBorders>
              <w:tl2br w:val="nil"/>
              <w:tr2bl w:val="nil"/>
            </w:tcBorders>
            <w:noWrap w:val="0"/>
            <w:vAlign w:val="center"/>
          </w:tcPr>
          <w:p w14:paraId="2FD6BC9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r>
              <w:rPr>
                <w:rFonts w:hint="eastAsia"/>
                <w:color w:val="auto"/>
                <w:vertAlign w:val="superscript"/>
                <w:lang w:val="en-US" w:eastAsia="zh-CN"/>
              </w:rPr>
              <w:t>3</w:t>
            </w:r>
          </w:p>
        </w:tc>
        <w:tc>
          <w:tcPr>
            <w:tcW w:w="1922" w:type="dxa"/>
            <w:tcBorders>
              <w:tl2br w:val="nil"/>
              <w:tr2bl w:val="nil"/>
            </w:tcBorders>
            <w:noWrap w:val="0"/>
            <w:vAlign w:val="center"/>
          </w:tcPr>
          <w:p w14:paraId="76925B2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0371006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2000</w:t>
            </w:r>
          </w:p>
        </w:tc>
      </w:tr>
      <w:tr w14:paraId="7AF5C2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480" w:type="dxa"/>
            <w:tcBorders>
              <w:tl2br w:val="nil"/>
              <w:tr2bl w:val="nil"/>
            </w:tcBorders>
            <w:noWrap w:val="0"/>
            <w:vAlign w:val="center"/>
          </w:tcPr>
          <w:p w14:paraId="74DBFD36">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24</w:t>
            </w:r>
          </w:p>
        </w:tc>
        <w:tc>
          <w:tcPr>
            <w:tcW w:w="1335" w:type="dxa"/>
            <w:tcBorders>
              <w:tl2br w:val="nil"/>
              <w:tr2bl w:val="nil"/>
            </w:tcBorders>
            <w:noWrap w:val="0"/>
            <w:vAlign w:val="center"/>
          </w:tcPr>
          <w:p w14:paraId="4AF81497">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大肠埃希氏菌</w:t>
            </w:r>
          </w:p>
        </w:tc>
        <w:tc>
          <w:tcPr>
            <w:tcW w:w="765" w:type="dxa"/>
            <w:tcBorders>
              <w:tl2br w:val="nil"/>
              <w:tr2bl w:val="nil"/>
            </w:tcBorders>
            <w:noWrap w:val="0"/>
            <w:vAlign w:val="center"/>
          </w:tcPr>
          <w:p w14:paraId="123895A6">
            <w:pPr>
              <w:pStyle w:val="12"/>
              <w:pageBreakBefore w:val="0"/>
              <w:wordWrap/>
              <w:bidi w:val="0"/>
              <w:adjustRightInd/>
              <w:snapToGrid/>
              <w:rPr>
                <w:rFonts w:hint="eastAsia"/>
                <w:color w:val="auto"/>
                <w:lang w:val="en-US" w:eastAsia="zh-CN"/>
              </w:rPr>
            </w:pPr>
            <w:r>
              <w:rPr>
                <w:rFonts w:hint="eastAsia"/>
                <w:color w:val="auto"/>
                <w:lang w:val="en-US" w:eastAsia="zh-CN"/>
              </w:rPr>
              <w:t>（MPN/100mL 或CFU/100mL）</w:t>
            </w:r>
          </w:p>
        </w:tc>
        <w:tc>
          <w:tcPr>
            <w:tcW w:w="1991" w:type="dxa"/>
            <w:tcBorders>
              <w:tl2br w:val="nil"/>
              <w:tr2bl w:val="nil"/>
            </w:tcBorders>
            <w:noWrap w:val="0"/>
            <w:vAlign w:val="center"/>
          </w:tcPr>
          <w:p w14:paraId="22C5AD7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4798514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无，不应检出</w:t>
            </w:r>
          </w:p>
        </w:tc>
        <w:tc>
          <w:tcPr>
            <w:tcW w:w="2225" w:type="dxa"/>
            <w:tcBorders>
              <w:tl2br w:val="nil"/>
              <w:tr2bl w:val="nil"/>
            </w:tcBorders>
            <w:noWrap w:val="0"/>
            <w:vAlign w:val="center"/>
          </w:tcPr>
          <w:p w14:paraId="49E4482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r>
      <w:tr w14:paraId="03141D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8718" w:type="dxa"/>
            <w:gridSpan w:val="6"/>
            <w:tcBorders>
              <w:tl2br w:val="nil"/>
              <w:tr2bl w:val="nil"/>
            </w:tcBorders>
            <w:noWrap w:val="0"/>
            <w:vAlign w:val="center"/>
          </w:tcPr>
          <w:p w14:paraId="2A89F951">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注：a括号内指标值为沿海及本地水源中溶解性固体含量较高的区域的指标，本方案不执行。</w:t>
            </w:r>
          </w:p>
        </w:tc>
      </w:tr>
    </w:tbl>
    <w:p w14:paraId="7ABF75F2">
      <w:pPr>
        <w:pStyle w:val="5"/>
        <w:pageBreakBefore w:val="0"/>
        <w:wordWrap/>
        <w:bidi w:val="0"/>
        <w:adjustRightInd/>
        <w:snapToGrid/>
        <w:rPr>
          <w:color w:val="auto"/>
        </w:rPr>
      </w:pPr>
      <w:r>
        <w:rPr>
          <w:rFonts w:hint="eastAsia"/>
          <w:color w:val="auto"/>
        </w:rPr>
        <w:t xml:space="preserve"> </w:t>
      </w:r>
      <w:r>
        <w:rPr>
          <w:color w:val="auto"/>
        </w:rPr>
        <w:t>项目</w:t>
      </w:r>
      <w:r>
        <w:rPr>
          <w:rFonts w:hint="eastAsia"/>
          <w:color w:val="auto"/>
          <w:lang w:val="en-US" w:eastAsia="zh-CN"/>
        </w:rPr>
        <w:t>建设内容、组成及主要环境问题</w:t>
      </w:r>
    </w:p>
    <w:p w14:paraId="73AA2048">
      <w:pPr>
        <w:pageBreakBefore w:val="0"/>
        <w:wordWrap/>
        <w:bidi w:val="0"/>
        <w:adjustRightInd/>
        <w:snapToGrid/>
        <w:rPr>
          <w:rFonts w:hint="default"/>
          <w:b/>
          <w:bCs/>
          <w:color w:val="auto"/>
          <w:lang w:val="en-US" w:eastAsia="zh-CN"/>
        </w:rPr>
      </w:pPr>
      <w:r>
        <w:rPr>
          <w:rFonts w:hint="eastAsia"/>
          <w:b/>
          <w:bCs/>
          <w:color w:val="auto"/>
          <w:lang w:val="en-US" w:eastAsia="zh-CN"/>
        </w:rPr>
        <w:t>1、建设内容</w:t>
      </w:r>
    </w:p>
    <w:p w14:paraId="79C87097">
      <w:pPr>
        <w:pageBreakBefore w:val="0"/>
        <w:wordWrap/>
        <w:bidi w:val="0"/>
        <w:adjustRightInd/>
        <w:snapToGrid/>
        <w:rPr>
          <w:rFonts w:hint="default"/>
          <w:color w:val="auto"/>
          <w:lang w:val="en-US" w:eastAsia="zh-CN"/>
        </w:rPr>
      </w:pPr>
      <w:r>
        <w:rPr>
          <w:rFonts w:hint="eastAsia"/>
          <w:color w:val="auto"/>
          <w:lang w:val="en-US" w:eastAsia="zh-CN"/>
        </w:rPr>
        <w:t>建设内容包括新建污水处理厂一座，本次新建内容主要为：</w:t>
      </w:r>
    </w:p>
    <w:p w14:paraId="058322CE">
      <w:pPr>
        <w:pageBreakBefore w:val="0"/>
        <w:numPr>
          <w:ilvl w:val="0"/>
          <w:numId w:val="14"/>
        </w:numPr>
        <w:wordWrap/>
        <w:bidi w:val="0"/>
        <w:adjustRightInd/>
        <w:snapToGrid/>
        <w:rPr>
          <w:rFonts w:hint="eastAsia"/>
          <w:b/>
          <w:bCs/>
          <w:color w:val="auto"/>
          <w:lang w:val="en-US" w:eastAsia="zh-CN"/>
        </w:rPr>
      </w:pPr>
      <w:r>
        <w:rPr>
          <w:rFonts w:hint="eastAsia"/>
          <w:b/>
          <w:bCs/>
          <w:color w:val="auto"/>
          <w:lang w:val="en-US" w:eastAsia="zh-CN"/>
        </w:rPr>
        <w:t>新建污水处理厂一座及配套尾水排放管网：</w:t>
      </w:r>
    </w:p>
    <w:p w14:paraId="07165B2C">
      <w:pPr>
        <w:bidi w:val="0"/>
        <w:rPr>
          <w:rFonts w:hint="default"/>
          <w:color w:val="auto"/>
          <w:lang w:val="en-US" w:eastAsia="zh-CN"/>
        </w:rPr>
      </w:pPr>
      <w:r>
        <w:rPr>
          <w:rFonts w:hint="eastAsia"/>
          <w:color w:val="auto"/>
          <w:lang w:val="en-US" w:eastAsia="zh-CN"/>
        </w:rPr>
        <w:t>总建设规模为1.6万m³/d（其中一期0.3万m³/d，二期0.3万m³/d，三期1万m³/d），本次主要设计按照一期规模0.3万m³/d进行建设。</w:t>
      </w:r>
    </w:p>
    <w:p w14:paraId="7D56CD35">
      <w:pPr>
        <w:pageBreakBefore w:val="0"/>
        <w:wordWrap/>
        <w:bidi w:val="0"/>
        <w:adjustRightInd/>
        <w:snapToGrid/>
        <w:rPr>
          <w:rFonts w:hint="default"/>
          <w:color w:val="auto"/>
          <w:lang w:val="en-US" w:eastAsia="zh-CN"/>
        </w:rPr>
      </w:pPr>
      <w:r>
        <w:rPr>
          <w:rFonts w:hint="eastAsia"/>
          <w:color w:val="auto"/>
          <w:lang w:val="en-US" w:eastAsia="zh-CN"/>
        </w:rPr>
        <w:t>1）主要构筑物：污水处理厂调节池-应急事故池、超细格栅、高级氧化预处理（预留）、水解酸化池及生化池、反硝化深床滤池、磁混凝沉淀池、高级氧化深度处理、紫外线消毒-出水计量渠、污泥池、园区应急事故池、除臭设备、回用水池等。</w:t>
      </w:r>
    </w:p>
    <w:p w14:paraId="21EBEFD8">
      <w:pPr>
        <w:pageBreakBefore w:val="0"/>
        <w:wordWrap/>
        <w:bidi w:val="0"/>
        <w:adjustRightInd/>
        <w:snapToGrid/>
        <w:rPr>
          <w:rFonts w:hint="default"/>
          <w:color w:val="auto"/>
          <w:lang w:val="en-US" w:eastAsia="zh-CN"/>
        </w:rPr>
      </w:pPr>
      <w:r>
        <w:rPr>
          <w:rFonts w:hint="eastAsia"/>
          <w:color w:val="auto"/>
          <w:lang w:val="en-US" w:eastAsia="zh-CN"/>
        </w:rPr>
        <w:t>2）主要建筑物：污泥脱水车间、泵房、变配电室及鼓风机房、进出水在线监测间、机修间及危废间、综合楼、值班室、门卫室等。</w:t>
      </w:r>
    </w:p>
    <w:p w14:paraId="4F0E8109">
      <w:pPr>
        <w:pageBreakBefore w:val="0"/>
        <w:wordWrap/>
        <w:bidi w:val="0"/>
        <w:adjustRightInd/>
        <w:snapToGrid/>
        <w:rPr>
          <w:rFonts w:hint="default"/>
          <w:color w:val="auto"/>
          <w:lang w:val="en-US" w:eastAsia="zh-CN"/>
        </w:rPr>
      </w:pPr>
      <w:r>
        <w:rPr>
          <w:rFonts w:hint="eastAsia"/>
          <w:color w:val="auto"/>
          <w:lang w:val="en-US" w:eastAsia="zh-CN"/>
        </w:rPr>
        <w:t>3）尾水排放管道：按照远期规模1.6万m³/d建设，管径DN600mm，总长约550m。</w:t>
      </w:r>
    </w:p>
    <w:p w14:paraId="0A55D50D">
      <w:pPr>
        <w:pageBreakBefore w:val="0"/>
        <w:wordWrap/>
        <w:bidi w:val="0"/>
        <w:adjustRightInd/>
        <w:snapToGrid/>
        <w:rPr>
          <w:rFonts w:hint="default" w:ascii="Times New Roman" w:hAnsi="Times New Roman" w:cs="Times New Roman"/>
          <w:color w:val="auto"/>
        </w:rPr>
      </w:pPr>
      <w:r>
        <w:rPr>
          <w:rFonts w:hint="eastAsia"/>
          <w:color w:val="auto"/>
          <w:lang w:val="en-US" w:eastAsia="zh-CN"/>
        </w:rPr>
        <w:t>4）</w:t>
      </w:r>
      <w:r>
        <w:rPr>
          <w:color w:val="auto"/>
        </w:rPr>
        <w:t>排污口</w:t>
      </w:r>
      <w:r>
        <w:rPr>
          <w:rFonts w:hint="eastAsia"/>
          <w:color w:val="auto"/>
          <w:lang w:eastAsia="zh-CN"/>
        </w:rPr>
        <w:t>：</w:t>
      </w:r>
      <w:r>
        <w:rPr>
          <w:rFonts w:hint="eastAsia"/>
          <w:color w:val="auto"/>
          <w:lang w:val="en-US" w:eastAsia="zh-CN"/>
        </w:rPr>
        <w:t>依托曾口镇污水处理厂已建排污口</w:t>
      </w:r>
      <w:r>
        <w:rPr>
          <w:color w:val="auto"/>
        </w:rPr>
        <w:t>，</w:t>
      </w:r>
      <w:r>
        <w:rPr>
          <w:rFonts w:hint="default" w:ascii="Times New Roman" w:hAnsi="Times New Roman" w:cs="Times New Roman"/>
          <w:color w:val="auto"/>
        </w:rPr>
        <w:t>排污口位置：</w:t>
      </w:r>
      <w:r>
        <w:rPr>
          <w:rFonts w:hint="eastAsia" w:cs="Times New Roman"/>
          <w:color w:val="auto"/>
          <w:lang w:val="en-US" w:eastAsia="zh-CN"/>
        </w:rPr>
        <w:t>东经</w:t>
      </w:r>
      <w:r>
        <w:rPr>
          <w:rFonts w:hint="default" w:ascii="Times New Roman" w:hAnsi="Times New Roman" w:cs="Times New Roman"/>
          <w:color w:val="auto"/>
        </w:rPr>
        <w:t>106°53′3.26″</w:t>
      </w:r>
      <w:r>
        <w:rPr>
          <w:rFonts w:hint="eastAsia" w:cs="Times New Roman"/>
          <w:color w:val="auto"/>
          <w:lang w:eastAsia="zh-CN"/>
        </w:rPr>
        <w:t>，</w:t>
      </w:r>
      <w:r>
        <w:rPr>
          <w:rFonts w:hint="eastAsia" w:cs="Times New Roman"/>
          <w:color w:val="auto"/>
          <w:lang w:val="en-US" w:eastAsia="zh-CN"/>
        </w:rPr>
        <w:t>北纬</w:t>
      </w:r>
      <w:r>
        <w:rPr>
          <w:rFonts w:hint="default" w:ascii="Times New Roman" w:hAnsi="Times New Roman" w:cs="Times New Roman"/>
          <w:color w:val="auto"/>
        </w:rPr>
        <w:t>31°45′12.92″。</w:t>
      </w:r>
    </w:p>
    <w:p w14:paraId="5658BDBF">
      <w:pPr>
        <w:pageBreakBefore w:val="0"/>
        <w:wordWrap/>
        <w:bidi w:val="0"/>
        <w:adjustRightInd/>
        <w:snapToGrid/>
        <w:rPr>
          <w:rFonts w:hint="eastAsia"/>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新建园区环境监测站1座</w:t>
      </w:r>
    </w:p>
    <w:p w14:paraId="6EED51C1">
      <w:pPr>
        <w:pageBreakBefore w:val="0"/>
        <w:wordWrap/>
        <w:bidi w:val="0"/>
        <w:adjustRightInd/>
        <w:snapToGrid/>
        <w:rPr>
          <w:rFonts w:hint="default"/>
          <w:color w:val="auto"/>
          <w:lang w:val="en-US" w:eastAsia="zh-CN"/>
        </w:rPr>
      </w:pPr>
      <w:r>
        <w:rPr>
          <w:rFonts w:hint="eastAsia"/>
          <w:color w:val="auto"/>
          <w:lang w:val="en-US" w:eastAsia="zh-CN"/>
        </w:rPr>
        <w:t>本次颗粒物及光化学组分监测站将结合工业园区产业布局、特征污染因子排放情况（重金属、氟化物、硫酸雾、SO</w:t>
      </w:r>
      <w:r>
        <w:rPr>
          <w:rFonts w:hint="eastAsia"/>
          <w:color w:val="auto"/>
          <w:vertAlign w:val="subscript"/>
          <w:lang w:val="en-US" w:eastAsia="zh-CN"/>
        </w:rPr>
        <w:t>2</w:t>
      </w:r>
      <w:r>
        <w:rPr>
          <w:rFonts w:hint="eastAsia"/>
          <w:color w:val="auto"/>
          <w:lang w:val="en-US" w:eastAsia="zh-CN"/>
        </w:rPr>
        <w:t>、NOx、颗粒物等），建设环境空气监测系统（SO</w:t>
      </w:r>
      <w:r>
        <w:rPr>
          <w:rFonts w:hint="eastAsia"/>
          <w:color w:val="auto"/>
          <w:vertAlign w:val="subscript"/>
          <w:lang w:val="en-US" w:eastAsia="zh-CN"/>
        </w:rPr>
        <w:t>2</w:t>
      </w:r>
      <w:r>
        <w:rPr>
          <w:rFonts w:hint="eastAsia"/>
          <w:color w:val="auto"/>
          <w:lang w:val="en-US" w:eastAsia="zh-CN"/>
        </w:rPr>
        <w:t>、NOx、CO、O</w:t>
      </w:r>
      <w:r>
        <w:rPr>
          <w:rFonts w:hint="eastAsia"/>
          <w:color w:val="auto"/>
          <w:vertAlign w:val="subscript"/>
          <w:lang w:val="en-US" w:eastAsia="zh-CN"/>
        </w:rPr>
        <w:t>3</w:t>
      </w:r>
      <w:r>
        <w:rPr>
          <w:rFonts w:hint="eastAsia"/>
          <w:color w:val="auto"/>
          <w:lang w:val="en-US" w:eastAsia="zh-CN"/>
        </w:rPr>
        <w:t>、PM</w:t>
      </w:r>
      <w:r>
        <w:rPr>
          <w:rFonts w:hint="eastAsia"/>
          <w:color w:val="auto"/>
          <w:vertAlign w:val="subscript"/>
          <w:lang w:val="en-US" w:eastAsia="zh-CN"/>
        </w:rPr>
        <w:t>2.5</w:t>
      </w:r>
      <w:r>
        <w:rPr>
          <w:rFonts w:hint="eastAsia"/>
          <w:color w:val="auto"/>
          <w:lang w:val="en-US" w:eastAsia="zh-CN"/>
        </w:rPr>
        <w:t>、碳组分分析仪（有机碳、元素碳）、水溶性离子PM</w:t>
      </w:r>
      <w:r>
        <w:rPr>
          <w:rFonts w:hint="eastAsia"/>
          <w:color w:val="auto"/>
          <w:vertAlign w:val="subscript"/>
          <w:lang w:val="en-US" w:eastAsia="zh-CN"/>
        </w:rPr>
        <w:t>10</w:t>
      </w:r>
      <w:r>
        <w:rPr>
          <w:rFonts w:hint="eastAsia"/>
          <w:color w:val="auto"/>
          <w:lang w:val="en-US" w:eastAsia="zh-CN"/>
        </w:rPr>
        <w:t>，气象多参数）、分析仪、挥发性有机物在线监测系统（117种VOCs组分）、甲烷/非甲烷总烃在线分析仪等，建设水质监测系统（包括：水温、PH、溶解氧电导率、浊度、高锰酸盐、化学需氧量、氨氮、总磷、总氮），建设站房及配套设施，建设数据综合分析系统。</w:t>
      </w:r>
    </w:p>
    <w:p w14:paraId="0884C2FA">
      <w:pPr>
        <w:pageBreakBefore w:val="0"/>
        <w:numPr>
          <w:ilvl w:val="0"/>
          <w:numId w:val="15"/>
        </w:numPr>
        <w:wordWrap/>
        <w:bidi w:val="0"/>
        <w:adjustRightInd/>
        <w:snapToGrid/>
        <w:rPr>
          <w:rFonts w:hint="eastAsia"/>
          <w:b/>
          <w:bCs/>
          <w:color w:val="auto"/>
          <w:lang w:val="en-US" w:eastAsia="zh-CN"/>
        </w:rPr>
      </w:pPr>
      <w:r>
        <w:rPr>
          <w:rFonts w:hint="eastAsia"/>
          <w:b/>
          <w:bCs/>
          <w:color w:val="auto"/>
          <w:lang w:val="en-US" w:eastAsia="zh-CN"/>
        </w:rPr>
        <w:t>主要经济技术指标</w:t>
      </w:r>
    </w:p>
    <w:p w14:paraId="36CB2276">
      <w:pPr>
        <w:pageBreakBefore w:val="0"/>
        <w:wordWrap/>
        <w:bidi w:val="0"/>
        <w:adjustRightInd/>
        <w:snapToGrid/>
        <w:rPr>
          <w:rFonts w:hint="default"/>
          <w:color w:val="auto"/>
          <w:lang w:val="en-US" w:eastAsia="zh-CN"/>
        </w:rPr>
      </w:pPr>
      <w:r>
        <w:rPr>
          <w:rFonts w:hint="default"/>
          <w:color w:val="auto"/>
          <w:lang w:val="en-US" w:eastAsia="zh-CN"/>
        </w:rPr>
        <w:t>本项目主要技术经济指标见</w:t>
      </w:r>
      <w:r>
        <w:rPr>
          <w:rFonts w:hint="eastAsia"/>
          <w:color w:val="auto"/>
          <w:lang w:val="en-US" w:eastAsia="zh-CN"/>
        </w:rPr>
        <w:t>下表。</w:t>
      </w:r>
    </w:p>
    <w:p w14:paraId="3D788BA2">
      <w:pPr>
        <w:pStyle w:val="15"/>
        <w:numPr>
          <w:ilvl w:val="0"/>
          <w:numId w:val="13"/>
        </w:numPr>
        <w:bidi w:val="0"/>
        <w:ind w:left="0" w:leftChars="0" w:firstLine="0" w:firstLineChars="0"/>
        <w:rPr>
          <w:rFonts w:hint="eastAsia"/>
          <w:color w:val="auto"/>
          <w:lang w:val="en-US" w:eastAsia="zh-CN"/>
        </w:rPr>
      </w:pPr>
      <w:r>
        <w:rPr>
          <w:rFonts w:hint="eastAsia"/>
          <w:color w:val="auto"/>
          <w:lang w:val="en-US" w:eastAsia="zh-CN"/>
        </w:rPr>
        <w:t>污水处理厂主要经济技术指标表</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48"/>
        <w:gridCol w:w="4848"/>
        <w:gridCol w:w="653"/>
        <w:gridCol w:w="1380"/>
        <w:gridCol w:w="972"/>
      </w:tblGrid>
      <w:tr w14:paraId="581C37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260F87CF">
            <w:pPr>
              <w:pStyle w:val="12"/>
              <w:pageBreakBefore w:val="0"/>
              <w:wordWrap/>
              <w:bidi w:val="0"/>
              <w:adjustRightInd/>
              <w:snapToGrid/>
              <w:rPr>
                <w:b/>
                <w:bCs/>
                <w:color w:val="auto"/>
              </w:rPr>
            </w:pPr>
            <w:r>
              <w:rPr>
                <w:b/>
                <w:bCs/>
                <w:color w:val="auto"/>
              </w:rPr>
              <w:t>序号</w:t>
            </w:r>
          </w:p>
        </w:tc>
        <w:tc>
          <w:tcPr>
            <w:tcW w:w="2850" w:type="pct"/>
            <w:tcBorders>
              <w:tl2br w:val="nil"/>
              <w:tr2bl w:val="nil"/>
            </w:tcBorders>
            <w:vAlign w:val="center"/>
          </w:tcPr>
          <w:p w14:paraId="21BD48B9">
            <w:pPr>
              <w:pStyle w:val="12"/>
              <w:pageBreakBefore w:val="0"/>
              <w:wordWrap/>
              <w:bidi w:val="0"/>
              <w:adjustRightInd/>
              <w:snapToGrid/>
              <w:rPr>
                <w:b/>
                <w:bCs/>
                <w:color w:val="auto"/>
              </w:rPr>
            </w:pPr>
            <w:r>
              <w:rPr>
                <w:b/>
                <w:bCs/>
                <w:color w:val="auto"/>
              </w:rPr>
              <w:t>名称</w:t>
            </w:r>
          </w:p>
        </w:tc>
        <w:tc>
          <w:tcPr>
            <w:tcW w:w="384" w:type="pct"/>
            <w:tcBorders>
              <w:tl2br w:val="nil"/>
              <w:tr2bl w:val="nil"/>
            </w:tcBorders>
            <w:vAlign w:val="center"/>
          </w:tcPr>
          <w:p w14:paraId="542C9B6A">
            <w:pPr>
              <w:pStyle w:val="12"/>
              <w:pageBreakBefore w:val="0"/>
              <w:wordWrap/>
              <w:bidi w:val="0"/>
              <w:adjustRightInd/>
              <w:snapToGrid/>
              <w:rPr>
                <w:b/>
                <w:bCs/>
                <w:color w:val="auto"/>
              </w:rPr>
            </w:pPr>
            <w:r>
              <w:rPr>
                <w:b/>
                <w:bCs/>
                <w:color w:val="auto"/>
              </w:rPr>
              <w:t>单位</w:t>
            </w:r>
          </w:p>
        </w:tc>
        <w:tc>
          <w:tcPr>
            <w:tcW w:w="811" w:type="pct"/>
            <w:tcBorders>
              <w:tl2br w:val="nil"/>
              <w:tr2bl w:val="nil"/>
            </w:tcBorders>
            <w:vAlign w:val="center"/>
          </w:tcPr>
          <w:p w14:paraId="6D150614">
            <w:pPr>
              <w:pStyle w:val="12"/>
              <w:pageBreakBefore w:val="0"/>
              <w:wordWrap/>
              <w:bidi w:val="0"/>
              <w:adjustRightInd/>
              <w:snapToGrid/>
              <w:rPr>
                <w:b/>
                <w:bCs/>
                <w:color w:val="auto"/>
              </w:rPr>
            </w:pPr>
            <w:r>
              <w:rPr>
                <w:b/>
                <w:bCs/>
                <w:color w:val="auto"/>
              </w:rPr>
              <w:t>数量</w:t>
            </w:r>
          </w:p>
        </w:tc>
        <w:tc>
          <w:tcPr>
            <w:tcW w:w="571" w:type="pct"/>
            <w:tcBorders>
              <w:tl2br w:val="nil"/>
              <w:tr2bl w:val="nil"/>
            </w:tcBorders>
            <w:vAlign w:val="center"/>
          </w:tcPr>
          <w:p w14:paraId="5B8E1F8F">
            <w:pPr>
              <w:pStyle w:val="12"/>
              <w:pageBreakBefore w:val="0"/>
              <w:wordWrap/>
              <w:bidi w:val="0"/>
              <w:adjustRightInd/>
              <w:snapToGrid/>
              <w:rPr>
                <w:b/>
                <w:bCs/>
                <w:color w:val="auto"/>
              </w:rPr>
            </w:pPr>
            <w:r>
              <w:rPr>
                <w:b/>
                <w:bCs/>
                <w:color w:val="auto"/>
              </w:rPr>
              <w:t>备注</w:t>
            </w:r>
          </w:p>
        </w:tc>
      </w:tr>
      <w:tr w14:paraId="5BFB1BF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774E01E4">
            <w:pPr>
              <w:pStyle w:val="12"/>
              <w:pageBreakBefore w:val="0"/>
              <w:wordWrap/>
              <w:bidi w:val="0"/>
              <w:adjustRightInd/>
              <w:snapToGrid/>
              <w:rPr>
                <w:color w:val="auto"/>
              </w:rPr>
            </w:pPr>
            <w:r>
              <w:rPr>
                <w:color w:val="auto"/>
              </w:rPr>
              <w:t>1</w:t>
            </w:r>
          </w:p>
        </w:tc>
        <w:tc>
          <w:tcPr>
            <w:tcW w:w="2850" w:type="pct"/>
            <w:tcBorders>
              <w:tl2br w:val="nil"/>
              <w:tr2bl w:val="nil"/>
            </w:tcBorders>
            <w:vAlign w:val="center"/>
          </w:tcPr>
          <w:p w14:paraId="7789061B">
            <w:pPr>
              <w:pStyle w:val="12"/>
              <w:pageBreakBefore w:val="0"/>
              <w:wordWrap/>
              <w:bidi w:val="0"/>
              <w:adjustRightInd/>
              <w:snapToGrid/>
              <w:rPr>
                <w:color w:val="auto"/>
              </w:rPr>
            </w:pPr>
            <w:r>
              <w:rPr>
                <w:color w:val="auto"/>
              </w:rPr>
              <w:t>用地面积</w:t>
            </w:r>
          </w:p>
        </w:tc>
        <w:tc>
          <w:tcPr>
            <w:tcW w:w="384" w:type="pct"/>
            <w:tcBorders>
              <w:tl2br w:val="nil"/>
              <w:tr2bl w:val="nil"/>
            </w:tcBorders>
            <w:vAlign w:val="center"/>
          </w:tcPr>
          <w:p w14:paraId="695C03A4">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169D6F4E">
            <w:pPr>
              <w:pStyle w:val="12"/>
              <w:pageBreakBefore w:val="0"/>
              <w:wordWrap/>
              <w:bidi w:val="0"/>
              <w:adjustRightInd/>
              <w:snapToGrid/>
              <w:rPr>
                <w:color w:val="auto"/>
              </w:rPr>
            </w:pPr>
            <w:r>
              <w:rPr>
                <w:color w:val="auto"/>
              </w:rPr>
              <w:t>40490.086</w:t>
            </w:r>
          </w:p>
        </w:tc>
        <w:tc>
          <w:tcPr>
            <w:tcW w:w="571" w:type="pct"/>
            <w:tcBorders>
              <w:tl2br w:val="nil"/>
              <w:tr2bl w:val="nil"/>
            </w:tcBorders>
            <w:vAlign w:val="center"/>
          </w:tcPr>
          <w:p w14:paraId="21A04EEE">
            <w:pPr>
              <w:pStyle w:val="12"/>
              <w:pageBreakBefore w:val="0"/>
              <w:wordWrap/>
              <w:bidi w:val="0"/>
              <w:adjustRightInd/>
              <w:snapToGrid/>
              <w:rPr>
                <w:color w:val="auto"/>
              </w:rPr>
            </w:pPr>
          </w:p>
        </w:tc>
      </w:tr>
      <w:tr w14:paraId="099701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25CBD593">
            <w:pPr>
              <w:pStyle w:val="12"/>
              <w:pageBreakBefore w:val="0"/>
              <w:wordWrap/>
              <w:bidi w:val="0"/>
              <w:adjustRightInd/>
              <w:snapToGrid/>
              <w:rPr>
                <w:color w:val="auto"/>
              </w:rPr>
            </w:pPr>
            <w:r>
              <w:rPr>
                <w:color w:val="auto"/>
              </w:rPr>
              <w:t>2</w:t>
            </w:r>
          </w:p>
        </w:tc>
        <w:tc>
          <w:tcPr>
            <w:tcW w:w="2850" w:type="pct"/>
            <w:tcBorders>
              <w:tl2br w:val="nil"/>
              <w:tr2bl w:val="nil"/>
            </w:tcBorders>
            <w:vAlign w:val="center"/>
          </w:tcPr>
          <w:p w14:paraId="3E5E3761">
            <w:pPr>
              <w:pStyle w:val="12"/>
              <w:pageBreakBefore w:val="0"/>
              <w:wordWrap/>
              <w:bidi w:val="0"/>
              <w:adjustRightInd/>
              <w:snapToGrid/>
              <w:rPr>
                <w:color w:val="auto"/>
              </w:rPr>
            </w:pPr>
            <w:r>
              <w:rPr>
                <w:color w:val="auto"/>
              </w:rPr>
              <w:t>建、构筑物占地面积</w:t>
            </w:r>
          </w:p>
        </w:tc>
        <w:tc>
          <w:tcPr>
            <w:tcW w:w="384" w:type="pct"/>
            <w:tcBorders>
              <w:tl2br w:val="nil"/>
              <w:tr2bl w:val="nil"/>
            </w:tcBorders>
            <w:vAlign w:val="center"/>
          </w:tcPr>
          <w:p w14:paraId="7C98CC01">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252EFE78">
            <w:pPr>
              <w:pStyle w:val="12"/>
              <w:pageBreakBefore w:val="0"/>
              <w:wordWrap/>
              <w:bidi w:val="0"/>
              <w:adjustRightInd/>
              <w:snapToGrid/>
              <w:rPr>
                <w:color w:val="auto"/>
              </w:rPr>
            </w:pPr>
            <w:r>
              <w:rPr>
                <w:color w:val="auto"/>
              </w:rPr>
              <w:t>18023.54</w:t>
            </w:r>
          </w:p>
        </w:tc>
        <w:tc>
          <w:tcPr>
            <w:tcW w:w="571" w:type="pct"/>
            <w:tcBorders>
              <w:tl2br w:val="nil"/>
              <w:tr2bl w:val="nil"/>
            </w:tcBorders>
            <w:vAlign w:val="center"/>
          </w:tcPr>
          <w:p w14:paraId="07CC6362">
            <w:pPr>
              <w:pStyle w:val="12"/>
              <w:pageBreakBefore w:val="0"/>
              <w:wordWrap/>
              <w:bidi w:val="0"/>
              <w:adjustRightInd/>
              <w:snapToGrid/>
              <w:rPr>
                <w:color w:val="auto"/>
              </w:rPr>
            </w:pPr>
          </w:p>
        </w:tc>
      </w:tr>
      <w:tr w14:paraId="04F08F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2A013C10">
            <w:pPr>
              <w:pStyle w:val="12"/>
              <w:pageBreakBefore w:val="0"/>
              <w:wordWrap/>
              <w:bidi w:val="0"/>
              <w:adjustRightInd/>
              <w:snapToGrid/>
              <w:rPr>
                <w:color w:val="auto"/>
              </w:rPr>
            </w:pPr>
            <w:r>
              <w:rPr>
                <w:color w:val="auto"/>
              </w:rPr>
              <w:t>3</w:t>
            </w:r>
          </w:p>
        </w:tc>
        <w:tc>
          <w:tcPr>
            <w:tcW w:w="2850" w:type="pct"/>
            <w:tcBorders>
              <w:tl2br w:val="nil"/>
              <w:tr2bl w:val="nil"/>
            </w:tcBorders>
            <w:vAlign w:val="center"/>
          </w:tcPr>
          <w:p w14:paraId="6ACA57A8">
            <w:pPr>
              <w:pStyle w:val="12"/>
              <w:pageBreakBefore w:val="0"/>
              <w:wordWrap/>
              <w:bidi w:val="0"/>
              <w:adjustRightInd/>
              <w:snapToGrid/>
              <w:rPr>
                <w:color w:val="auto"/>
              </w:rPr>
            </w:pPr>
            <w:r>
              <w:rPr>
                <w:color w:val="auto"/>
              </w:rPr>
              <w:t>建筑总面积</w:t>
            </w:r>
          </w:p>
        </w:tc>
        <w:tc>
          <w:tcPr>
            <w:tcW w:w="384" w:type="pct"/>
            <w:tcBorders>
              <w:tl2br w:val="nil"/>
              <w:tr2bl w:val="nil"/>
            </w:tcBorders>
            <w:vAlign w:val="center"/>
          </w:tcPr>
          <w:p w14:paraId="33B5BCFB">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2B47CE03">
            <w:pPr>
              <w:pStyle w:val="12"/>
              <w:pageBreakBefore w:val="0"/>
              <w:wordWrap/>
              <w:bidi w:val="0"/>
              <w:adjustRightInd/>
              <w:snapToGrid/>
              <w:rPr>
                <w:color w:val="auto"/>
              </w:rPr>
            </w:pPr>
            <w:r>
              <w:rPr>
                <w:color w:val="auto"/>
              </w:rPr>
              <w:t>8628.02</w:t>
            </w:r>
          </w:p>
        </w:tc>
        <w:tc>
          <w:tcPr>
            <w:tcW w:w="571" w:type="pct"/>
            <w:tcBorders>
              <w:tl2br w:val="nil"/>
              <w:tr2bl w:val="nil"/>
            </w:tcBorders>
            <w:vAlign w:val="center"/>
          </w:tcPr>
          <w:p w14:paraId="35D9A27B">
            <w:pPr>
              <w:pStyle w:val="12"/>
              <w:pageBreakBefore w:val="0"/>
              <w:wordWrap/>
              <w:bidi w:val="0"/>
              <w:adjustRightInd/>
              <w:snapToGrid/>
              <w:rPr>
                <w:color w:val="auto"/>
              </w:rPr>
            </w:pPr>
          </w:p>
        </w:tc>
      </w:tr>
      <w:tr w14:paraId="7250C2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009A33B8">
            <w:pPr>
              <w:pStyle w:val="12"/>
              <w:pageBreakBefore w:val="0"/>
              <w:wordWrap/>
              <w:bidi w:val="0"/>
              <w:adjustRightInd/>
              <w:snapToGrid/>
              <w:rPr>
                <w:color w:val="auto"/>
              </w:rPr>
            </w:pPr>
            <w:r>
              <w:rPr>
                <w:color w:val="auto"/>
              </w:rPr>
              <w:t>4</w:t>
            </w:r>
          </w:p>
        </w:tc>
        <w:tc>
          <w:tcPr>
            <w:tcW w:w="2850" w:type="pct"/>
            <w:tcBorders>
              <w:tl2br w:val="nil"/>
              <w:tr2bl w:val="nil"/>
            </w:tcBorders>
            <w:vAlign w:val="center"/>
          </w:tcPr>
          <w:p w14:paraId="238C3A05">
            <w:pPr>
              <w:pStyle w:val="12"/>
              <w:pageBreakBefore w:val="0"/>
              <w:wordWrap/>
              <w:bidi w:val="0"/>
              <w:adjustRightInd/>
              <w:snapToGrid/>
              <w:rPr>
                <w:color w:val="auto"/>
              </w:rPr>
            </w:pPr>
            <w:r>
              <w:rPr>
                <w:color w:val="auto"/>
              </w:rPr>
              <w:t>计容面积</w:t>
            </w:r>
          </w:p>
        </w:tc>
        <w:tc>
          <w:tcPr>
            <w:tcW w:w="384" w:type="pct"/>
            <w:tcBorders>
              <w:tl2br w:val="nil"/>
              <w:tr2bl w:val="nil"/>
            </w:tcBorders>
            <w:vAlign w:val="center"/>
          </w:tcPr>
          <w:p w14:paraId="01666325">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7B8979AD">
            <w:pPr>
              <w:pStyle w:val="12"/>
              <w:pageBreakBefore w:val="0"/>
              <w:wordWrap/>
              <w:bidi w:val="0"/>
              <w:adjustRightInd/>
              <w:snapToGrid/>
              <w:rPr>
                <w:color w:val="auto"/>
              </w:rPr>
            </w:pPr>
            <w:r>
              <w:rPr>
                <w:color w:val="auto"/>
              </w:rPr>
              <w:t>11460.82</w:t>
            </w:r>
          </w:p>
        </w:tc>
        <w:tc>
          <w:tcPr>
            <w:tcW w:w="571" w:type="pct"/>
            <w:tcBorders>
              <w:tl2br w:val="nil"/>
              <w:tr2bl w:val="nil"/>
            </w:tcBorders>
            <w:vAlign w:val="center"/>
          </w:tcPr>
          <w:p w14:paraId="3AC77532">
            <w:pPr>
              <w:pStyle w:val="12"/>
              <w:pageBreakBefore w:val="0"/>
              <w:wordWrap/>
              <w:bidi w:val="0"/>
              <w:adjustRightInd/>
              <w:snapToGrid/>
              <w:rPr>
                <w:color w:val="auto"/>
              </w:rPr>
            </w:pPr>
          </w:p>
        </w:tc>
      </w:tr>
      <w:tr w14:paraId="655A130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5415C8CE">
            <w:pPr>
              <w:pStyle w:val="12"/>
              <w:pageBreakBefore w:val="0"/>
              <w:wordWrap/>
              <w:bidi w:val="0"/>
              <w:adjustRightInd/>
              <w:snapToGrid/>
              <w:rPr>
                <w:color w:val="auto"/>
              </w:rPr>
            </w:pPr>
            <w:r>
              <w:rPr>
                <w:color w:val="auto"/>
              </w:rPr>
              <w:t>5</w:t>
            </w:r>
          </w:p>
        </w:tc>
        <w:tc>
          <w:tcPr>
            <w:tcW w:w="2850" w:type="pct"/>
            <w:tcBorders>
              <w:tl2br w:val="nil"/>
              <w:tr2bl w:val="nil"/>
            </w:tcBorders>
            <w:vAlign w:val="center"/>
          </w:tcPr>
          <w:p w14:paraId="18075912">
            <w:pPr>
              <w:pStyle w:val="12"/>
              <w:pageBreakBefore w:val="0"/>
              <w:wordWrap/>
              <w:bidi w:val="0"/>
              <w:adjustRightInd/>
              <w:snapToGrid/>
              <w:rPr>
                <w:color w:val="auto"/>
              </w:rPr>
            </w:pPr>
            <w:r>
              <w:rPr>
                <w:color w:val="auto"/>
              </w:rPr>
              <w:t>道路占地面积</w:t>
            </w:r>
          </w:p>
        </w:tc>
        <w:tc>
          <w:tcPr>
            <w:tcW w:w="384" w:type="pct"/>
            <w:tcBorders>
              <w:tl2br w:val="nil"/>
              <w:tr2bl w:val="nil"/>
            </w:tcBorders>
            <w:vAlign w:val="center"/>
          </w:tcPr>
          <w:p w14:paraId="636CD75C">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2FCA5004">
            <w:pPr>
              <w:pStyle w:val="12"/>
              <w:pageBreakBefore w:val="0"/>
              <w:wordWrap/>
              <w:bidi w:val="0"/>
              <w:adjustRightInd/>
              <w:snapToGrid/>
              <w:rPr>
                <w:color w:val="auto"/>
              </w:rPr>
            </w:pPr>
            <w:r>
              <w:rPr>
                <w:color w:val="auto"/>
              </w:rPr>
              <w:t>7400.16</w:t>
            </w:r>
          </w:p>
        </w:tc>
        <w:tc>
          <w:tcPr>
            <w:tcW w:w="571" w:type="pct"/>
            <w:tcBorders>
              <w:tl2br w:val="nil"/>
              <w:tr2bl w:val="nil"/>
            </w:tcBorders>
            <w:vAlign w:val="center"/>
          </w:tcPr>
          <w:p w14:paraId="32C70CF4">
            <w:pPr>
              <w:pStyle w:val="12"/>
              <w:pageBreakBefore w:val="0"/>
              <w:wordWrap/>
              <w:bidi w:val="0"/>
              <w:adjustRightInd/>
              <w:snapToGrid/>
              <w:rPr>
                <w:color w:val="auto"/>
              </w:rPr>
            </w:pPr>
          </w:p>
        </w:tc>
      </w:tr>
      <w:tr w14:paraId="5E5AC1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58E8F273">
            <w:pPr>
              <w:pStyle w:val="12"/>
              <w:pageBreakBefore w:val="0"/>
              <w:wordWrap/>
              <w:bidi w:val="0"/>
              <w:adjustRightInd/>
              <w:snapToGrid/>
              <w:rPr>
                <w:color w:val="auto"/>
              </w:rPr>
            </w:pPr>
            <w:r>
              <w:rPr>
                <w:color w:val="auto"/>
              </w:rPr>
              <w:t>6</w:t>
            </w:r>
          </w:p>
        </w:tc>
        <w:tc>
          <w:tcPr>
            <w:tcW w:w="2850" w:type="pct"/>
            <w:tcBorders>
              <w:tl2br w:val="nil"/>
              <w:tr2bl w:val="nil"/>
            </w:tcBorders>
            <w:vAlign w:val="center"/>
          </w:tcPr>
          <w:p w14:paraId="25476F82">
            <w:pPr>
              <w:pStyle w:val="12"/>
              <w:pageBreakBefore w:val="0"/>
              <w:wordWrap/>
              <w:bidi w:val="0"/>
              <w:adjustRightInd/>
              <w:snapToGrid/>
              <w:rPr>
                <w:color w:val="auto"/>
              </w:rPr>
            </w:pPr>
            <w:r>
              <w:rPr>
                <w:color w:val="auto"/>
              </w:rPr>
              <w:t>绿化用地面积</w:t>
            </w:r>
          </w:p>
        </w:tc>
        <w:tc>
          <w:tcPr>
            <w:tcW w:w="384" w:type="pct"/>
            <w:tcBorders>
              <w:tl2br w:val="nil"/>
              <w:tr2bl w:val="nil"/>
            </w:tcBorders>
            <w:vAlign w:val="center"/>
          </w:tcPr>
          <w:p w14:paraId="27A611E7">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01C3996F">
            <w:pPr>
              <w:pStyle w:val="12"/>
              <w:pageBreakBefore w:val="0"/>
              <w:wordWrap/>
              <w:bidi w:val="0"/>
              <w:adjustRightInd/>
              <w:snapToGrid/>
              <w:rPr>
                <w:color w:val="auto"/>
              </w:rPr>
            </w:pPr>
            <w:r>
              <w:rPr>
                <w:color w:val="auto"/>
              </w:rPr>
              <w:t>12147.03</w:t>
            </w:r>
          </w:p>
        </w:tc>
        <w:tc>
          <w:tcPr>
            <w:tcW w:w="571" w:type="pct"/>
            <w:tcBorders>
              <w:tl2br w:val="nil"/>
              <w:tr2bl w:val="nil"/>
            </w:tcBorders>
            <w:vAlign w:val="center"/>
          </w:tcPr>
          <w:p w14:paraId="05C0809C">
            <w:pPr>
              <w:pStyle w:val="12"/>
              <w:pageBreakBefore w:val="0"/>
              <w:wordWrap/>
              <w:bidi w:val="0"/>
              <w:adjustRightInd/>
              <w:snapToGrid/>
              <w:rPr>
                <w:color w:val="auto"/>
              </w:rPr>
            </w:pPr>
          </w:p>
        </w:tc>
      </w:tr>
      <w:tr w14:paraId="743997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60F6102D">
            <w:pPr>
              <w:pStyle w:val="12"/>
              <w:pageBreakBefore w:val="0"/>
              <w:wordWrap/>
              <w:bidi w:val="0"/>
              <w:adjustRightInd/>
              <w:snapToGrid/>
              <w:rPr>
                <w:color w:val="auto"/>
              </w:rPr>
            </w:pPr>
            <w:r>
              <w:rPr>
                <w:color w:val="auto"/>
              </w:rPr>
              <w:t>7</w:t>
            </w:r>
          </w:p>
        </w:tc>
        <w:tc>
          <w:tcPr>
            <w:tcW w:w="2850" w:type="pct"/>
            <w:tcBorders>
              <w:tl2br w:val="nil"/>
              <w:tr2bl w:val="nil"/>
            </w:tcBorders>
            <w:vAlign w:val="center"/>
          </w:tcPr>
          <w:p w14:paraId="2E274A64">
            <w:pPr>
              <w:pStyle w:val="12"/>
              <w:pageBreakBefore w:val="0"/>
              <w:wordWrap/>
              <w:bidi w:val="0"/>
              <w:adjustRightInd/>
              <w:snapToGrid/>
              <w:rPr>
                <w:color w:val="auto"/>
              </w:rPr>
            </w:pPr>
            <w:r>
              <w:rPr>
                <w:color w:val="auto"/>
              </w:rPr>
              <w:t>建筑系数</w:t>
            </w:r>
          </w:p>
        </w:tc>
        <w:tc>
          <w:tcPr>
            <w:tcW w:w="384" w:type="pct"/>
            <w:tcBorders>
              <w:tl2br w:val="nil"/>
              <w:tr2bl w:val="nil"/>
            </w:tcBorders>
            <w:vAlign w:val="center"/>
          </w:tcPr>
          <w:p w14:paraId="433F4ACC">
            <w:pPr>
              <w:pStyle w:val="12"/>
              <w:pageBreakBefore w:val="0"/>
              <w:wordWrap/>
              <w:bidi w:val="0"/>
              <w:adjustRightInd/>
              <w:snapToGrid/>
              <w:rPr>
                <w:color w:val="auto"/>
              </w:rPr>
            </w:pPr>
            <w:r>
              <w:rPr>
                <w:color w:val="auto"/>
              </w:rPr>
              <w:t>%</w:t>
            </w:r>
          </w:p>
        </w:tc>
        <w:tc>
          <w:tcPr>
            <w:tcW w:w="811" w:type="pct"/>
            <w:tcBorders>
              <w:tl2br w:val="nil"/>
              <w:tr2bl w:val="nil"/>
            </w:tcBorders>
            <w:vAlign w:val="center"/>
          </w:tcPr>
          <w:p w14:paraId="222166AA">
            <w:pPr>
              <w:pStyle w:val="12"/>
              <w:pageBreakBefore w:val="0"/>
              <w:wordWrap/>
              <w:bidi w:val="0"/>
              <w:adjustRightInd/>
              <w:snapToGrid/>
              <w:rPr>
                <w:color w:val="auto"/>
              </w:rPr>
            </w:pPr>
            <w:r>
              <w:rPr>
                <w:color w:val="auto"/>
              </w:rPr>
              <w:t>44.92</w:t>
            </w:r>
          </w:p>
        </w:tc>
        <w:tc>
          <w:tcPr>
            <w:tcW w:w="571" w:type="pct"/>
            <w:tcBorders>
              <w:tl2br w:val="nil"/>
              <w:tr2bl w:val="nil"/>
            </w:tcBorders>
            <w:vAlign w:val="center"/>
          </w:tcPr>
          <w:p w14:paraId="704ED761">
            <w:pPr>
              <w:pStyle w:val="12"/>
              <w:pageBreakBefore w:val="0"/>
              <w:wordWrap/>
              <w:bidi w:val="0"/>
              <w:adjustRightInd/>
              <w:snapToGrid/>
              <w:rPr>
                <w:color w:val="auto"/>
              </w:rPr>
            </w:pPr>
          </w:p>
        </w:tc>
      </w:tr>
      <w:tr w14:paraId="1451E8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5B5256D5">
            <w:pPr>
              <w:pStyle w:val="12"/>
              <w:pageBreakBefore w:val="0"/>
              <w:wordWrap/>
              <w:bidi w:val="0"/>
              <w:adjustRightInd/>
              <w:snapToGrid/>
              <w:rPr>
                <w:color w:val="auto"/>
              </w:rPr>
            </w:pPr>
            <w:r>
              <w:rPr>
                <w:color w:val="auto"/>
              </w:rPr>
              <w:t>8</w:t>
            </w:r>
          </w:p>
        </w:tc>
        <w:tc>
          <w:tcPr>
            <w:tcW w:w="2850" w:type="pct"/>
            <w:tcBorders>
              <w:tl2br w:val="nil"/>
              <w:tr2bl w:val="nil"/>
            </w:tcBorders>
            <w:vAlign w:val="center"/>
          </w:tcPr>
          <w:p w14:paraId="71AA0651">
            <w:pPr>
              <w:pStyle w:val="12"/>
              <w:pageBreakBefore w:val="0"/>
              <w:wordWrap/>
              <w:bidi w:val="0"/>
              <w:adjustRightInd/>
              <w:snapToGrid/>
              <w:rPr>
                <w:color w:val="auto"/>
              </w:rPr>
            </w:pPr>
            <w:r>
              <w:rPr>
                <w:color w:val="auto"/>
              </w:rPr>
              <w:t>绿地率</w:t>
            </w:r>
          </w:p>
        </w:tc>
        <w:tc>
          <w:tcPr>
            <w:tcW w:w="384" w:type="pct"/>
            <w:tcBorders>
              <w:tl2br w:val="nil"/>
              <w:tr2bl w:val="nil"/>
            </w:tcBorders>
            <w:vAlign w:val="center"/>
          </w:tcPr>
          <w:p w14:paraId="300043F4">
            <w:pPr>
              <w:pStyle w:val="12"/>
              <w:pageBreakBefore w:val="0"/>
              <w:wordWrap/>
              <w:bidi w:val="0"/>
              <w:adjustRightInd/>
              <w:snapToGrid/>
              <w:rPr>
                <w:color w:val="auto"/>
              </w:rPr>
            </w:pPr>
            <w:r>
              <w:rPr>
                <w:color w:val="auto"/>
              </w:rPr>
              <w:t>%</w:t>
            </w:r>
          </w:p>
        </w:tc>
        <w:tc>
          <w:tcPr>
            <w:tcW w:w="811" w:type="pct"/>
            <w:tcBorders>
              <w:tl2br w:val="nil"/>
              <w:tr2bl w:val="nil"/>
            </w:tcBorders>
            <w:vAlign w:val="center"/>
          </w:tcPr>
          <w:p w14:paraId="050B33AD">
            <w:pPr>
              <w:pStyle w:val="12"/>
              <w:pageBreakBefore w:val="0"/>
              <w:wordWrap/>
              <w:bidi w:val="0"/>
              <w:adjustRightInd/>
              <w:snapToGrid/>
              <w:rPr>
                <w:color w:val="auto"/>
              </w:rPr>
            </w:pPr>
            <w:r>
              <w:rPr>
                <w:color w:val="auto"/>
              </w:rPr>
              <w:t>30</w:t>
            </w:r>
          </w:p>
        </w:tc>
        <w:tc>
          <w:tcPr>
            <w:tcW w:w="571" w:type="pct"/>
            <w:tcBorders>
              <w:tl2br w:val="nil"/>
              <w:tr2bl w:val="nil"/>
            </w:tcBorders>
            <w:vAlign w:val="center"/>
          </w:tcPr>
          <w:p w14:paraId="706D6B2A">
            <w:pPr>
              <w:pStyle w:val="12"/>
              <w:pageBreakBefore w:val="0"/>
              <w:wordWrap/>
              <w:bidi w:val="0"/>
              <w:adjustRightInd/>
              <w:snapToGrid/>
              <w:rPr>
                <w:color w:val="auto"/>
              </w:rPr>
            </w:pPr>
          </w:p>
        </w:tc>
      </w:tr>
      <w:tr w14:paraId="6BEF2D3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37C5C8AC">
            <w:pPr>
              <w:pStyle w:val="12"/>
              <w:pageBreakBefore w:val="0"/>
              <w:wordWrap/>
              <w:bidi w:val="0"/>
              <w:adjustRightInd/>
              <w:snapToGrid/>
              <w:rPr>
                <w:color w:val="auto"/>
              </w:rPr>
            </w:pPr>
            <w:r>
              <w:rPr>
                <w:color w:val="auto"/>
              </w:rPr>
              <w:t>9</w:t>
            </w:r>
          </w:p>
        </w:tc>
        <w:tc>
          <w:tcPr>
            <w:tcW w:w="2850" w:type="pct"/>
            <w:tcBorders>
              <w:tl2br w:val="nil"/>
              <w:tr2bl w:val="nil"/>
            </w:tcBorders>
            <w:vAlign w:val="center"/>
          </w:tcPr>
          <w:p w14:paraId="0F522D15">
            <w:pPr>
              <w:pStyle w:val="12"/>
              <w:pageBreakBefore w:val="0"/>
              <w:wordWrap/>
              <w:bidi w:val="0"/>
              <w:adjustRightInd/>
              <w:snapToGrid/>
              <w:rPr>
                <w:color w:val="auto"/>
              </w:rPr>
            </w:pPr>
            <w:r>
              <w:rPr>
                <w:color w:val="auto"/>
              </w:rPr>
              <w:t>容积率</w:t>
            </w:r>
          </w:p>
        </w:tc>
        <w:tc>
          <w:tcPr>
            <w:tcW w:w="384" w:type="pct"/>
            <w:tcBorders>
              <w:tl2br w:val="nil"/>
              <w:tr2bl w:val="nil"/>
            </w:tcBorders>
            <w:vAlign w:val="center"/>
          </w:tcPr>
          <w:p w14:paraId="47F3FE07">
            <w:pPr>
              <w:pStyle w:val="12"/>
              <w:pageBreakBefore w:val="0"/>
              <w:wordWrap/>
              <w:bidi w:val="0"/>
              <w:adjustRightInd/>
              <w:snapToGrid/>
              <w:rPr>
                <w:color w:val="auto"/>
              </w:rPr>
            </w:pPr>
          </w:p>
        </w:tc>
        <w:tc>
          <w:tcPr>
            <w:tcW w:w="811" w:type="pct"/>
            <w:tcBorders>
              <w:tl2br w:val="nil"/>
              <w:tr2bl w:val="nil"/>
            </w:tcBorders>
            <w:vAlign w:val="center"/>
          </w:tcPr>
          <w:p w14:paraId="0E0A75CB">
            <w:pPr>
              <w:pStyle w:val="12"/>
              <w:pageBreakBefore w:val="0"/>
              <w:wordWrap/>
              <w:bidi w:val="0"/>
              <w:adjustRightInd/>
              <w:snapToGrid/>
              <w:rPr>
                <w:color w:val="auto"/>
              </w:rPr>
            </w:pPr>
            <w:r>
              <w:rPr>
                <w:color w:val="auto"/>
              </w:rPr>
              <w:t>0.28</w:t>
            </w:r>
          </w:p>
        </w:tc>
        <w:tc>
          <w:tcPr>
            <w:tcW w:w="571" w:type="pct"/>
            <w:tcBorders>
              <w:tl2br w:val="nil"/>
              <w:tr2bl w:val="nil"/>
            </w:tcBorders>
            <w:vAlign w:val="center"/>
          </w:tcPr>
          <w:p w14:paraId="4CD0F34C">
            <w:pPr>
              <w:pStyle w:val="12"/>
              <w:pageBreakBefore w:val="0"/>
              <w:wordWrap/>
              <w:bidi w:val="0"/>
              <w:adjustRightInd/>
              <w:snapToGrid/>
              <w:rPr>
                <w:color w:val="auto"/>
              </w:rPr>
            </w:pPr>
          </w:p>
        </w:tc>
      </w:tr>
      <w:tr w14:paraId="4BBA515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03ECECA7">
            <w:pPr>
              <w:pStyle w:val="12"/>
              <w:pageBreakBefore w:val="0"/>
              <w:wordWrap/>
              <w:bidi w:val="0"/>
              <w:adjustRightInd/>
              <w:snapToGrid/>
              <w:rPr>
                <w:color w:val="auto"/>
              </w:rPr>
            </w:pPr>
            <w:r>
              <w:rPr>
                <w:color w:val="auto"/>
              </w:rPr>
              <w:t>10</w:t>
            </w:r>
          </w:p>
        </w:tc>
        <w:tc>
          <w:tcPr>
            <w:tcW w:w="2850" w:type="pct"/>
            <w:tcBorders>
              <w:tl2br w:val="nil"/>
              <w:tr2bl w:val="nil"/>
            </w:tcBorders>
            <w:vAlign w:val="center"/>
          </w:tcPr>
          <w:p w14:paraId="310FDD9C">
            <w:pPr>
              <w:pStyle w:val="12"/>
              <w:pageBreakBefore w:val="0"/>
              <w:wordWrap/>
              <w:bidi w:val="0"/>
              <w:adjustRightInd/>
              <w:snapToGrid/>
              <w:rPr>
                <w:color w:val="auto"/>
              </w:rPr>
            </w:pPr>
            <w:r>
              <w:rPr>
                <w:color w:val="auto"/>
              </w:rPr>
              <w:t>行政办公及生活服务设施占地面积</w:t>
            </w:r>
          </w:p>
        </w:tc>
        <w:tc>
          <w:tcPr>
            <w:tcW w:w="384" w:type="pct"/>
            <w:tcBorders>
              <w:tl2br w:val="nil"/>
              <w:tr2bl w:val="nil"/>
            </w:tcBorders>
            <w:vAlign w:val="center"/>
          </w:tcPr>
          <w:p w14:paraId="50F9C2FF">
            <w:pPr>
              <w:pStyle w:val="12"/>
              <w:pageBreakBefore w:val="0"/>
              <w:wordWrap/>
              <w:bidi w:val="0"/>
              <w:adjustRightInd/>
              <w:snapToGrid/>
              <w:rPr>
                <w:rFonts w:hint="eastAsia" w:eastAsia="宋体"/>
                <w:color w:val="auto"/>
                <w:lang w:eastAsia="zh-CN"/>
              </w:rPr>
            </w:pPr>
            <w:r>
              <w:rPr>
                <w:rFonts w:hint="eastAsia"/>
                <w:color w:val="auto"/>
                <w:lang w:eastAsia="zh-CN"/>
              </w:rPr>
              <w:t>m²</w:t>
            </w:r>
          </w:p>
        </w:tc>
        <w:tc>
          <w:tcPr>
            <w:tcW w:w="811" w:type="pct"/>
            <w:tcBorders>
              <w:tl2br w:val="nil"/>
              <w:tr2bl w:val="nil"/>
            </w:tcBorders>
            <w:vAlign w:val="center"/>
          </w:tcPr>
          <w:p w14:paraId="3E8144E0">
            <w:pPr>
              <w:pStyle w:val="12"/>
              <w:pageBreakBefore w:val="0"/>
              <w:wordWrap/>
              <w:bidi w:val="0"/>
              <w:adjustRightInd/>
              <w:snapToGrid/>
              <w:rPr>
                <w:color w:val="auto"/>
              </w:rPr>
            </w:pPr>
            <w:r>
              <w:rPr>
                <w:color w:val="auto"/>
              </w:rPr>
              <w:t>521.84</w:t>
            </w:r>
          </w:p>
        </w:tc>
        <w:tc>
          <w:tcPr>
            <w:tcW w:w="571" w:type="pct"/>
            <w:tcBorders>
              <w:tl2br w:val="nil"/>
              <w:tr2bl w:val="nil"/>
            </w:tcBorders>
            <w:vAlign w:val="center"/>
          </w:tcPr>
          <w:p w14:paraId="67E1CF27">
            <w:pPr>
              <w:pStyle w:val="12"/>
              <w:pageBreakBefore w:val="0"/>
              <w:wordWrap/>
              <w:bidi w:val="0"/>
              <w:adjustRightInd/>
              <w:snapToGrid/>
              <w:rPr>
                <w:color w:val="auto"/>
              </w:rPr>
            </w:pPr>
            <w:r>
              <w:rPr>
                <w:color w:val="auto"/>
              </w:rPr>
              <w:t>综合楼</w:t>
            </w:r>
          </w:p>
        </w:tc>
      </w:tr>
      <w:tr w14:paraId="546CE05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68CDC997">
            <w:pPr>
              <w:pStyle w:val="12"/>
              <w:pageBreakBefore w:val="0"/>
              <w:wordWrap/>
              <w:bidi w:val="0"/>
              <w:adjustRightInd/>
              <w:snapToGrid/>
              <w:rPr>
                <w:color w:val="auto"/>
              </w:rPr>
            </w:pPr>
            <w:r>
              <w:rPr>
                <w:color w:val="auto"/>
              </w:rPr>
              <w:t>11</w:t>
            </w:r>
          </w:p>
        </w:tc>
        <w:tc>
          <w:tcPr>
            <w:tcW w:w="2850" w:type="pct"/>
            <w:tcBorders>
              <w:tl2br w:val="nil"/>
              <w:tr2bl w:val="nil"/>
            </w:tcBorders>
            <w:vAlign w:val="center"/>
          </w:tcPr>
          <w:p w14:paraId="324E74EF">
            <w:pPr>
              <w:pStyle w:val="12"/>
              <w:pageBreakBefore w:val="0"/>
              <w:wordWrap/>
              <w:bidi w:val="0"/>
              <w:adjustRightInd/>
              <w:snapToGrid/>
              <w:rPr>
                <w:rFonts w:hint="eastAsia" w:eastAsia="宋体"/>
                <w:color w:val="auto"/>
                <w:lang w:eastAsia="zh-CN"/>
              </w:rPr>
            </w:pPr>
            <w:r>
              <w:rPr>
                <w:color w:val="auto"/>
              </w:rPr>
              <w:t>行政办公及生活服务设施用地面积比率</w:t>
            </w:r>
            <w:r>
              <w:rPr>
                <w:rFonts w:hint="eastAsia"/>
                <w:color w:val="auto"/>
                <w:lang w:eastAsia="zh-CN"/>
              </w:rPr>
              <w:t>（</w:t>
            </w:r>
            <w:r>
              <w:rPr>
                <w:color w:val="auto"/>
              </w:rPr>
              <w:t>N</w:t>
            </w:r>
            <w:r>
              <w:rPr>
                <w:rFonts w:hint="eastAsia"/>
                <w:color w:val="auto"/>
                <w:lang w:eastAsia="zh-CN"/>
              </w:rPr>
              <w:t>）</w:t>
            </w:r>
          </w:p>
        </w:tc>
        <w:tc>
          <w:tcPr>
            <w:tcW w:w="384" w:type="pct"/>
            <w:tcBorders>
              <w:tl2br w:val="nil"/>
              <w:tr2bl w:val="nil"/>
            </w:tcBorders>
            <w:vAlign w:val="center"/>
          </w:tcPr>
          <w:p w14:paraId="0129424F">
            <w:pPr>
              <w:pStyle w:val="12"/>
              <w:pageBreakBefore w:val="0"/>
              <w:wordWrap/>
              <w:bidi w:val="0"/>
              <w:adjustRightInd/>
              <w:snapToGrid/>
              <w:rPr>
                <w:color w:val="auto"/>
              </w:rPr>
            </w:pPr>
            <w:r>
              <w:rPr>
                <w:color w:val="auto"/>
              </w:rPr>
              <w:t>%</w:t>
            </w:r>
          </w:p>
        </w:tc>
        <w:tc>
          <w:tcPr>
            <w:tcW w:w="811" w:type="pct"/>
            <w:tcBorders>
              <w:tl2br w:val="nil"/>
              <w:tr2bl w:val="nil"/>
            </w:tcBorders>
            <w:vAlign w:val="center"/>
          </w:tcPr>
          <w:p w14:paraId="50201D83">
            <w:pPr>
              <w:pStyle w:val="12"/>
              <w:pageBreakBefore w:val="0"/>
              <w:wordWrap/>
              <w:bidi w:val="0"/>
              <w:adjustRightInd/>
              <w:snapToGrid/>
              <w:rPr>
                <w:color w:val="auto"/>
              </w:rPr>
            </w:pPr>
            <w:r>
              <w:rPr>
                <w:color w:val="auto"/>
              </w:rPr>
              <w:t>1.29</w:t>
            </w:r>
          </w:p>
        </w:tc>
        <w:tc>
          <w:tcPr>
            <w:tcW w:w="571" w:type="pct"/>
            <w:tcBorders>
              <w:tl2br w:val="nil"/>
              <w:tr2bl w:val="nil"/>
            </w:tcBorders>
            <w:vAlign w:val="center"/>
          </w:tcPr>
          <w:p w14:paraId="35B78C8E">
            <w:pPr>
              <w:pStyle w:val="12"/>
              <w:pageBreakBefore w:val="0"/>
              <w:wordWrap/>
              <w:bidi w:val="0"/>
              <w:adjustRightInd/>
              <w:snapToGrid/>
              <w:rPr>
                <w:color w:val="auto"/>
              </w:rPr>
            </w:pPr>
          </w:p>
        </w:tc>
      </w:tr>
      <w:tr w14:paraId="31D5D5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1" w:type="pct"/>
            <w:tcBorders>
              <w:tl2br w:val="nil"/>
              <w:tr2bl w:val="nil"/>
            </w:tcBorders>
            <w:vAlign w:val="center"/>
          </w:tcPr>
          <w:p w14:paraId="60E3E871">
            <w:pPr>
              <w:pStyle w:val="12"/>
              <w:pageBreakBefore w:val="0"/>
              <w:wordWrap/>
              <w:bidi w:val="0"/>
              <w:adjustRightInd/>
              <w:snapToGrid/>
              <w:rPr>
                <w:color w:val="auto"/>
              </w:rPr>
            </w:pPr>
            <w:r>
              <w:rPr>
                <w:color w:val="auto"/>
              </w:rPr>
              <w:t>12</w:t>
            </w:r>
          </w:p>
        </w:tc>
        <w:tc>
          <w:tcPr>
            <w:tcW w:w="2850" w:type="pct"/>
            <w:tcBorders>
              <w:tl2br w:val="nil"/>
              <w:tr2bl w:val="nil"/>
            </w:tcBorders>
            <w:vAlign w:val="center"/>
          </w:tcPr>
          <w:p w14:paraId="7727379E">
            <w:pPr>
              <w:pStyle w:val="12"/>
              <w:pageBreakBefore w:val="0"/>
              <w:wordWrap/>
              <w:bidi w:val="0"/>
              <w:adjustRightInd/>
              <w:snapToGrid/>
              <w:rPr>
                <w:color w:val="auto"/>
              </w:rPr>
            </w:pPr>
            <w:r>
              <w:rPr>
                <w:color w:val="auto"/>
              </w:rPr>
              <w:t>停车位</w:t>
            </w:r>
          </w:p>
        </w:tc>
        <w:tc>
          <w:tcPr>
            <w:tcW w:w="384" w:type="pct"/>
            <w:tcBorders>
              <w:tl2br w:val="nil"/>
              <w:tr2bl w:val="nil"/>
            </w:tcBorders>
            <w:vAlign w:val="center"/>
          </w:tcPr>
          <w:p w14:paraId="4A3A94D8">
            <w:pPr>
              <w:pStyle w:val="12"/>
              <w:pageBreakBefore w:val="0"/>
              <w:wordWrap/>
              <w:bidi w:val="0"/>
              <w:adjustRightInd/>
              <w:snapToGrid/>
              <w:rPr>
                <w:color w:val="auto"/>
              </w:rPr>
            </w:pPr>
            <w:r>
              <w:rPr>
                <w:color w:val="auto"/>
              </w:rPr>
              <w:t>个</w:t>
            </w:r>
          </w:p>
        </w:tc>
        <w:tc>
          <w:tcPr>
            <w:tcW w:w="811" w:type="pct"/>
            <w:tcBorders>
              <w:tl2br w:val="nil"/>
              <w:tr2bl w:val="nil"/>
            </w:tcBorders>
            <w:vAlign w:val="center"/>
          </w:tcPr>
          <w:p w14:paraId="049439D1">
            <w:pPr>
              <w:pStyle w:val="12"/>
              <w:pageBreakBefore w:val="0"/>
              <w:wordWrap/>
              <w:bidi w:val="0"/>
              <w:adjustRightInd/>
              <w:snapToGrid/>
              <w:rPr>
                <w:color w:val="auto"/>
              </w:rPr>
            </w:pPr>
            <w:r>
              <w:rPr>
                <w:color w:val="auto"/>
              </w:rPr>
              <w:t>7</w:t>
            </w:r>
          </w:p>
        </w:tc>
        <w:tc>
          <w:tcPr>
            <w:tcW w:w="571" w:type="pct"/>
            <w:tcBorders>
              <w:tl2br w:val="nil"/>
              <w:tr2bl w:val="nil"/>
            </w:tcBorders>
            <w:vAlign w:val="center"/>
          </w:tcPr>
          <w:p w14:paraId="114DD022">
            <w:pPr>
              <w:pStyle w:val="12"/>
              <w:pageBreakBefore w:val="0"/>
              <w:wordWrap/>
              <w:bidi w:val="0"/>
              <w:adjustRightInd/>
              <w:snapToGrid/>
              <w:rPr>
                <w:color w:val="auto"/>
              </w:rPr>
            </w:pPr>
          </w:p>
        </w:tc>
      </w:tr>
    </w:tbl>
    <w:p w14:paraId="6C072AF7">
      <w:pPr>
        <w:pageBreakBefore w:val="0"/>
        <w:numPr>
          <w:ilvl w:val="0"/>
          <w:numId w:val="15"/>
        </w:numPr>
        <w:wordWrap/>
        <w:bidi w:val="0"/>
        <w:adjustRightInd/>
        <w:snapToGrid/>
        <w:rPr>
          <w:rFonts w:hint="eastAsia"/>
          <w:b/>
          <w:bCs/>
          <w:color w:val="auto"/>
          <w:lang w:val="en-US" w:eastAsia="zh-CN"/>
        </w:rPr>
      </w:pPr>
      <w:r>
        <w:rPr>
          <w:rFonts w:hint="eastAsia"/>
          <w:b/>
          <w:bCs/>
          <w:color w:val="auto"/>
          <w:lang w:val="en-US" w:eastAsia="zh-CN"/>
        </w:rPr>
        <w:t>工艺设计</w:t>
      </w:r>
    </w:p>
    <w:p w14:paraId="76EE6F2A">
      <w:pPr>
        <w:pageBreakBefore w:val="0"/>
        <w:wordWrap/>
        <w:bidi w:val="0"/>
        <w:adjustRightInd/>
        <w:snapToGrid/>
        <w:rPr>
          <w:rFonts w:hint="default"/>
          <w:color w:val="auto"/>
          <w:lang w:val="en-US" w:eastAsia="zh-CN"/>
        </w:rPr>
      </w:pPr>
      <w:r>
        <w:rPr>
          <w:rFonts w:hint="default"/>
          <w:color w:val="auto"/>
          <w:lang w:val="en-US" w:eastAsia="zh-CN"/>
        </w:rPr>
        <w:t>本项目按远期16000m³/d进行规划，按一期</w:t>
      </w:r>
      <w:r>
        <w:rPr>
          <w:rFonts w:hint="eastAsia"/>
          <w:color w:val="auto"/>
          <w:lang w:val="en-US" w:eastAsia="zh-CN"/>
        </w:rPr>
        <w:t>（</w:t>
      </w:r>
      <w:r>
        <w:rPr>
          <w:rFonts w:hint="default"/>
          <w:color w:val="auto"/>
          <w:lang w:val="en-US" w:eastAsia="zh-CN"/>
        </w:rPr>
        <w:t>一阶段、二阶段</w:t>
      </w:r>
      <w:r>
        <w:rPr>
          <w:rFonts w:hint="eastAsia"/>
          <w:color w:val="auto"/>
          <w:lang w:val="en-US" w:eastAsia="zh-CN"/>
        </w:rPr>
        <w:t>）</w:t>
      </w:r>
      <w:r>
        <w:rPr>
          <w:rFonts w:hint="default"/>
          <w:color w:val="auto"/>
          <w:lang w:val="en-US" w:eastAsia="zh-CN"/>
        </w:rPr>
        <w:t>、二期、三期进行分期建设，</w:t>
      </w:r>
      <w:r>
        <w:rPr>
          <w:rFonts w:hint="eastAsia"/>
          <w:color w:val="auto"/>
          <w:lang w:val="en-US" w:eastAsia="zh-CN"/>
        </w:rPr>
        <w:t>本次环评仅评价一期内容，</w:t>
      </w:r>
      <w:r>
        <w:rPr>
          <w:rFonts w:hint="default"/>
          <w:color w:val="auto"/>
          <w:lang w:val="en-US" w:eastAsia="zh-CN"/>
        </w:rPr>
        <w:t>具体分期规划如下表：</w:t>
      </w:r>
    </w:p>
    <w:p w14:paraId="460AB7A6">
      <w:pPr>
        <w:pStyle w:val="15"/>
        <w:numPr>
          <w:ilvl w:val="0"/>
          <w:numId w:val="13"/>
        </w:numPr>
        <w:bidi w:val="0"/>
        <w:ind w:left="0" w:leftChars="0" w:firstLine="0" w:firstLineChars="0"/>
        <w:rPr>
          <w:rFonts w:hint="eastAsia"/>
          <w:color w:val="auto"/>
          <w:lang w:val="en-US" w:eastAsia="zh-CN"/>
        </w:rPr>
      </w:pPr>
      <w:r>
        <w:rPr>
          <w:rFonts w:hint="eastAsia"/>
          <w:color w:val="auto"/>
          <w:lang w:val="en-US" w:eastAsia="zh-CN"/>
        </w:rPr>
        <w:t>污水处理厂分期建设规划表</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23"/>
        <w:gridCol w:w="4860"/>
        <w:gridCol w:w="1612"/>
        <w:gridCol w:w="8"/>
        <w:gridCol w:w="1274"/>
        <w:gridCol w:w="24"/>
      </w:tblGrid>
      <w:tr w14:paraId="49622C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tcBorders>
              <w:tl2br w:val="nil"/>
              <w:tr2bl w:val="nil"/>
            </w:tcBorders>
            <w:vAlign w:val="center"/>
          </w:tcPr>
          <w:p w14:paraId="2570E1BB">
            <w:pPr>
              <w:pStyle w:val="12"/>
              <w:pageBreakBefore w:val="0"/>
              <w:wordWrap/>
              <w:bidi w:val="0"/>
              <w:adjustRightInd/>
              <w:snapToGrid/>
              <w:rPr>
                <w:b/>
                <w:bCs w:val="0"/>
                <w:color w:val="auto"/>
              </w:rPr>
            </w:pPr>
            <w:r>
              <w:rPr>
                <w:b/>
                <w:bCs w:val="0"/>
                <w:color w:val="auto"/>
              </w:rPr>
              <w:t>阶段</w:t>
            </w:r>
          </w:p>
        </w:tc>
        <w:tc>
          <w:tcPr>
            <w:tcW w:w="2858" w:type="pct"/>
            <w:tcBorders>
              <w:tl2br w:val="nil"/>
              <w:tr2bl w:val="nil"/>
            </w:tcBorders>
            <w:vAlign w:val="center"/>
          </w:tcPr>
          <w:p w14:paraId="34006D5A">
            <w:pPr>
              <w:pStyle w:val="12"/>
              <w:pageBreakBefore w:val="0"/>
              <w:wordWrap/>
              <w:bidi w:val="0"/>
              <w:adjustRightInd/>
              <w:snapToGrid/>
              <w:rPr>
                <w:b/>
                <w:bCs w:val="0"/>
                <w:color w:val="auto"/>
              </w:rPr>
            </w:pPr>
            <w:r>
              <w:rPr>
                <w:b/>
                <w:bCs w:val="0"/>
                <w:color w:val="auto"/>
              </w:rPr>
              <w:t>单体名称</w:t>
            </w:r>
          </w:p>
        </w:tc>
        <w:tc>
          <w:tcPr>
            <w:tcW w:w="948" w:type="pct"/>
            <w:tcBorders>
              <w:tl2br w:val="nil"/>
              <w:tr2bl w:val="nil"/>
            </w:tcBorders>
            <w:vAlign w:val="center"/>
          </w:tcPr>
          <w:p w14:paraId="6CA1917B">
            <w:pPr>
              <w:pStyle w:val="12"/>
              <w:pageBreakBefore w:val="0"/>
              <w:wordWrap/>
              <w:bidi w:val="0"/>
              <w:adjustRightInd/>
              <w:snapToGrid/>
              <w:rPr>
                <w:b/>
                <w:bCs w:val="0"/>
                <w:color w:val="auto"/>
              </w:rPr>
            </w:pPr>
            <w:r>
              <w:rPr>
                <w:b/>
                <w:bCs w:val="0"/>
                <w:color w:val="auto"/>
              </w:rPr>
              <w:t>土建</w:t>
            </w:r>
          </w:p>
        </w:tc>
        <w:tc>
          <w:tcPr>
            <w:tcW w:w="768" w:type="pct"/>
            <w:gridSpan w:val="3"/>
            <w:tcBorders>
              <w:tl2br w:val="nil"/>
              <w:tr2bl w:val="nil"/>
            </w:tcBorders>
            <w:vAlign w:val="center"/>
          </w:tcPr>
          <w:p w14:paraId="091D5C9A">
            <w:pPr>
              <w:pStyle w:val="12"/>
              <w:pageBreakBefore w:val="0"/>
              <w:wordWrap/>
              <w:bidi w:val="0"/>
              <w:adjustRightInd/>
              <w:snapToGrid/>
              <w:rPr>
                <w:b/>
                <w:bCs w:val="0"/>
                <w:color w:val="auto"/>
              </w:rPr>
            </w:pPr>
            <w:r>
              <w:rPr>
                <w:b/>
                <w:bCs w:val="0"/>
                <w:color w:val="auto"/>
              </w:rPr>
              <w:t>设备</w:t>
            </w:r>
          </w:p>
        </w:tc>
      </w:tr>
      <w:tr w14:paraId="3B761E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restart"/>
            <w:tcBorders>
              <w:tl2br w:val="nil"/>
              <w:tr2bl w:val="nil"/>
            </w:tcBorders>
            <w:vAlign w:val="center"/>
          </w:tcPr>
          <w:p w14:paraId="67825638">
            <w:pPr>
              <w:pStyle w:val="12"/>
              <w:pageBreakBefore w:val="0"/>
              <w:wordWrap/>
              <w:bidi w:val="0"/>
              <w:adjustRightInd/>
              <w:snapToGrid/>
              <w:rPr>
                <w:b/>
                <w:bCs/>
                <w:color w:val="auto"/>
              </w:rPr>
            </w:pPr>
            <w:r>
              <w:rPr>
                <w:rFonts w:hint="eastAsia"/>
                <w:b/>
                <w:bCs/>
                <w:color w:val="auto"/>
                <w:lang w:val="en-US" w:eastAsia="zh-CN"/>
              </w:rPr>
              <w:t>一</w:t>
            </w:r>
            <w:r>
              <w:rPr>
                <w:b/>
                <w:bCs/>
                <w:color w:val="auto"/>
              </w:rPr>
              <w:t>期一阶段</w:t>
            </w:r>
          </w:p>
        </w:tc>
        <w:tc>
          <w:tcPr>
            <w:tcW w:w="2858" w:type="pct"/>
            <w:tcBorders>
              <w:tl2br w:val="nil"/>
              <w:tr2bl w:val="nil"/>
            </w:tcBorders>
            <w:vAlign w:val="center"/>
          </w:tcPr>
          <w:p w14:paraId="12F8ADEF">
            <w:pPr>
              <w:pStyle w:val="12"/>
              <w:pageBreakBefore w:val="0"/>
              <w:wordWrap/>
              <w:bidi w:val="0"/>
              <w:adjustRightInd/>
              <w:snapToGrid/>
              <w:rPr>
                <w:color w:val="auto"/>
              </w:rPr>
            </w:pPr>
            <w:r>
              <w:rPr>
                <w:color w:val="auto"/>
              </w:rPr>
              <w:t>超细格栅、污泥池、调节池</w:t>
            </w:r>
          </w:p>
        </w:tc>
        <w:tc>
          <w:tcPr>
            <w:tcW w:w="948" w:type="pct"/>
            <w:tcBorders>
              <w:tl2br w:val="nil"/>
              <w:tr2bl w:val="nil"/>
            </w:tcBorders>
            <w:vAlign w:val="center"/>
          </w:tcPr>
          <w:p w14:paraId="7D1F805D">
            <w:pPr>
              <w:pStyle w:val="12"/>
              <w:pageBreakBefore w:val="0"/>
              <w:wordWrap/>
              <w:bidi w:val="0"/>
              <w:adjustRightInd/>
              <w:snapToGrid/>
              <w:rPr>
                <w:color w:val="auto"/>
              </w:rPr>
            </w:pPr>
            <w:r>
              <w:rPr>
                <w:color w:val="auto"/>
              </w:rPr>
              <w:t>6000m³/d</w:t>
            </w:r>
          </w:p>
        </w:tc>
        <w:tc>
          <w:tcPr>
            <w:tcW w:w="768" w:type="pct"/>
            <w:gridSpan w:val="3"/>
            <w:tcBorders>
              <w:tl2br w:val="nil"/>
              <w:tr2bl w:val="nil"/>
            </w:tcBorders>
            <w:vAlign w:val="center"/>
          </w:tcPr>
          <w:p w14:paraId="4441B8A0">
            <w:pPr>
              <w:pStyle w:val="12"/>
              <w:pageBreakBefore w:val="0"/>
              <w:wordWrap/>
              <w:bidi w:val="0"/>
              <w:adjustRightInd/>
              <w:snapToGrid/>
              <w:rPr>
                <w:color w:val="auto"/>
              </w:rPr>
            </w:pPr>
            <w:r>
              <w:rPr>
                <w:color w:val="auto"/>
              </w:rPr>
              <w:t>6000m³/d</w:t>
            </w:r>
          </w:p>
        </w:tc>
      </w:tr>
      <w:tr w14:paraId="415E52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1E183E6C">
            <w:pPr>
              <w:pStyle w:val="12"/>
              <w:pageBreakBefore w:val="0"/>
              <w:wordWrap/>
              <w:bidi w:val="0"/>
              <w:adjustRightInd/>
              <w:snapToGrid/>
              <w:rPr>
                <w:b/>
                <w:bCs/>
                <w:color w:val="auto"/>
              </w:rPr>
            </w:pPr>
          </w:p>
        </w:tc>
        <w:tc>
          <w:tcPr>
            <w:tcW w:w="2858" w:type="pct"/>
            <w:tcBorders>
              <w:tl2br w:val="nil"/>
              <w:tr2bl w:val="nil"/>
            </w:tcBorders>
            <w:vAlign w:val="center"/>
          </w:tcPr>
          <w:p w14:paraId="2D22C89D">
            <w:pPr>
              <w:pStyle w:val="12"/>
              <w:pageBreakBefore w:val="0"/>
              <w:wordWrap/>
              <w:bidi w:val="0"/>
              <w:adjustRightInd/>
              <w:snapToGrid/>
              <w:rPr>
                <w:color w:val="auto"/>
              </w:rPr>
            </w:pPr>
            <w:r>
              <w:rPr>
                <w:rFonts w:hint="eastAsia"/>
                <w:color w:val="auto"/>
                <w:lang w:eastAsia="zh-CN"/>
              </w:rPr>
              <w:t>污水处理厂</w:t>
            </w:r>
            <w:r>
              <w:rPr>
                <w:color w:val="auto"/>
              </w:rPr>
              <w:t>应急事故池</w:t>
            </w:r>
          </w:p>
        </w:tc>
        <w:tc>
          <w:tcPr>
            <w:tcW w:w="1716" w:type="pct"/>
            <w:gridSpan w:val="4"/>
            <w:tcBorders>
              <w:tl2br w:val="nil"/>
              <w:tr2bl w:val="nil"/>
            </w:tcBorders>
            <w:vAlign w:val="center"/>
          </w:tcPr>
          <w:p w14:paraId="49000AA3">
            <w:pPr>
              <w:pStyle w:val="12"/>
              <w:pageBreakBefore w:val="0"/>
              <w:wordWrap/>
              <w:bidi w:val="0"/>
              <w:adjustRightInd/>
              <w:snapToGrid/>
              <w:rPr>
                <w:color w:val="auto"/>
              </w:rPr>
            </w:pPr>
            <w:r>
              <w:rPr>
                <w:color w:val="auto"/>
              </w:rPr>
              <w:t>有效容积3000m³</w:t>
            </w:r>
          </w:p>
        </w:tc>
      </w:tr>
      <w:tr w14:paraId="7B2D0D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42605F25">
            <w:pPr>
              <w:pStyle w:val="12"/>
              <w:pageBreakBefore w:val="0"/>
              <w:wordWrap/>
              <w:bidi w:val="0"/>
              <w:adjustRightInd/>
              <w:snapToGrid/>
              <w:rPr>
                <w:b/>
                <w:bCs/>
                <w:color w:val="auto"/>
              </w:rPr>
            </w:pPr>
          </w:p>
        </w:tc>
        <w:tc>
          <w:tcPr>
            <w:tcW w:w="2858" w:type="pct"/>
            <w:tcBorders>
              <w:tl2br w:val="nil"/>
              <w:tr2bl w:val="nil"/>
            </w:tcBorders>
            <w:vAlign w:val="center"/>
          </w:tcPr>
          <w:p w14:paraId="1D3FF304">
            <w:pPr>
              <w:pStyle w:val="12"/>
              <w:pageBreakBefore w:val="0"/>
              <w:wordWrap/>
              <w:bidi w:val="0"/>
              <w:adjustRightInd/>
              <w:snapToGrid/>
              <w:rPr>
                <w:color w:val="auto"/>
              </w:rPr>
            </w:pPr>
            <w:r>
              <w:rPr>
                <w:color w:val="auto"/>
              </w:rPr>
              <w:t>园区应急事故池</w:t>
            </w:r>
          </w:p>
        </w:tc>
        <w:tc>
          <w:tcPr>
            <w:tcW w:w="1716" w:type="pct"/>
            <w:gridSpan w:val="4"/>
            <w:tcBorders>
              <w:tl2br w:val="nil"/>
              <w:tr2bl w:val="nil"/>
            </w:tcBorders>
            <w:vAlign w:val="center"/>
          </w:tcPr>
          <w:p w14:paraId="63FC9AAD">
            <w:pPr>
              <w:pStyle w:val="12"/>
              <w:pageBreakBefore w:val="0"/>
              <w:wordWrap/>
              <w:bidi w:val="0"/>
              <w:adjustRightInd/>
              <w:snapToGrid/>
              <w:rPr>
                <w:color w:val="auto"/>
              </w:rPr>
            </w:pPr>
            <w:r>
              <w:rPr>
                <w:color w:val="auto"/>
              </w:rPr>
              <w:t>有效容积6000m³</w:t>
            </w:r>
          </w:p>
        </w:tc>
      </w:tr>
      <w:tr w14:paraId="6A6541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61785DBC">
            <w:pPr>
              <w:pStyle w:val="12"/>
              <w:pageBreakBefore w:val="0"/>
              <w:wordWrap/>
              <w:bidi w:val="0"/>
              <w:adjustRightInd/>
              <w:snapToGrid/>
              <w:rPr>
                <w:b/>
                <w:bCs/>
                <w:color w:val="auto"/>
              </w:rPr>
            </w:pPr>
          </w:p>
        </w:tc>
        <w:tc>
          <w:tcPr>
            <w:tcW w:w="2858" w:type="pct"/>
            <w:tcBorders>
              <w:tl2br w:val="nil"/>
              <w:tr2bl w:val="nil"/>
            </w:tcBorders>
            <w:vAlign w:val="center"/>
          </w:tcPr>
          <w:p w14:paraId="6DD19D9F">
            <w:pPr>
              <w:pStyle w:val="12"/>
              <w:pageBreakBefore w:val="0"/>
              <w:wordWrap/>
              <w:bidi w:val="0"/>
              <w:adjustRightInd/>
              <w:snapToGrid/>
              <w:rPr>
                <w:color w:val="auto"/>
              </w:rPr>
            </w:pPr>
            <w:r>
              <w:rPr>
                <w:rFonts w:hint="eastAsia"/>
                <w:color w:val="auto"/>
                <w:lang w:val="en-US" w:eastAsia="zh-CN"/>
              </w:rPr>
              <w:t>磁混凝</w:t>
            </w:r>
            <w:r>
              <w:rPr>
                <w:color w:val="auto"/>
              </w:rPr>
              <w:t>沉淀池设备</w:t>
            </w:r>
          </w:p>
        </w:tc>
        <w:tc>
          <w:tcPr>
            <w:tcW w:w="948" w:type="pct"/>
            <w:tcBorders>
              <w:tl2br w:val="nil"/>
              <w:tr2bl w:val="nil"/>
            </w:tcBorders>
            <w:vAlign w:val="center"/>
          </w:tcPr>
          <w:p w14:paraId="53DC22EF">
            <w:pPr>
              <w:pStyle w:val="12"/>
              <w:pageBreakBefore w:val="0"/>
              <w:wordWrap/>
              <w:bidi w:val="0"/>
              <w:adjustRightInd/>
              <w:snapToGrid/>
              <w:rPr>
                <w:color w:val="auto"/>
              </w:rPr>
            </w:pPr>
            <w:r>
              <w:rPr>
                <w:color w:val="auto"/>
              </w:rPr>
              <w:t>3000m³/d</w:t>
            </w:r>
          </w:p>
        </w:tc>
        <w:tc>
          <w:tcPr>
            <w:tcW w:w="768" w:type="pct"/>
            <w:gridSpan w:val="3"/>
            <w:tcBorders>
              <w:tl2br w:val="nil"/>
              <w:tr2bl w:val="nil"/>
            </w:tcBorders>
            <w:vAlign w:val="center"/>
          </w:tcPr>
          <w:p w14:paraId="2E3CCC28">
            <w:pPr>
              <w:pStyle w:val="12"/>
              <w:pageBreakBefore w:val="0"/>
              <w:wordWrap/>
              <w:bidi w:val="0"/>
              <w:adjustRightInd/>
              <w:snapToGrid/>
              <w:rPr>
                <w:color w:val="auto"/>
              </w:rPr>
            </w:pPr>
            <w:r>
              <w:rPr>
                <w:color w:val="auto"/>
              </w:rPr>
              <w:t>3000m³/d</w:t>
            </w:r>
          </w:p>
        </w:tc>
      </w:tr>
      <w:tr w14:paraId="2AE991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6DDCEE2C">
            <w:pPr>
              <w:pStyle w:val="12"/>
              <w:pageBreakBefore w:val="0"/>
              <w:wordWrap/>
              <w:bidi w:val="0"/>
              <w:adjustRightInd/>
              <w:snapToGrid/>
              <w:rPr>
                <w:b/>
                <w:bCs/>
                <w:color w:val="auto"/>
              </w:rPr>
            </w:pPr>
          </w:p>
        </w:tc>
        <w:tc>
          <w:tcPr>
            <w:tcW w:w="2858" w:type="pct"/>
            <w:tcBorders>
              <w:tl2br w:val="nil"/>
              <w:tr2bl w:val="nil"/>
            </w:tcBorders>
            <w:vAlign w:val="center"/>
          </w:tcPr>
          <w:p w14:paraId="7FD31A12">
            <w:pPr>
              <w:pStyle w:val="12"/>
              <w:pageBreakBefore w:val="0"/>
              <w:wordWrap/>
              <w:bidi w:val="0"/>
              <w:adjustRightInd/>
              <w:snapToGrid/>
              <w:rPr>
                <w:color w:val="auto"/>
              </w:rPr>
            </w:pPr>
            <w:r>
              <w:rPr>
                <w:color w:val="auto"/>
              </w:rPr>
              <w:t>水解酸化池+生化池、高级氧化深度处理设备</w:t>
            </w:r>
          </w:p>
        </w:tc>
        <w:tc>
          <w:tcPr>
            <w:tcW w:w="948" w:type="pct"/>
            <w:tcBorders>
              <w:tl2br w:val="nil"/>
              <w:tr2bl w:val="nil"/>
            </w:tcBorders>
            <w:vAlign w:val="center"/>
          </w:tcPr>
          <w:p w14:paraId="48B71BC7">
            <w:pPr>
              <w:pStyle w:val="12"/>
              <w:pageBreakBefore w:val="0"/>
              <w:wordWrap/>
              <w:bidi w:val="0"/>
              <w:adjustRightInd/>
              <w:snapToGrid/>
              <w:rPr>
                <w:color w:val="auto"/>
              </w:rPr>
            </w:pPr>
            <w:r>
              <w:rPr>
                <w:color w:val="auto"/>
              </w:rPr>
              <w:t>3000m³/d</w:t>
            </w:r>
          </w:p>
        </w:tc>
        <w:tc>
          <w:tcPr>
            <w:tcW w:w="768" w:type="pct"/>
            <w:gridSpan w:val="3"/>
            <w:tcBorders>
              <w:tl2br w:val="nil"/>
              <w:tr2bl w:val="nil"/>
            </w:tcBorders>
            <w:vAlign w:val="center"/>
          </w:tcPr>
          <w:p w14:paraId="069047D0">
            <w:pPr>
              <w:pStyle w:val="12"/>
              <w:pageBreakBefore w:val="0"/>
              <w:wordWrap/>
              <w:bidi w:val="0"/>
              <w:adjustRightInd/>
              <w:snapToGrid/>
              <w:rPr>
                <w:color w:val="auto"/>
              </w:rPr>
            </w:pPr>
            <w:r>
              <w:rPr>
                <w:color w:val="auto"/>
              </w:rPr>
              <w:t>1500m³/d</w:t>
            </w:r>
          </w:p>
        </w:tc>
      </w:tr>
      <w:tr w14:paraId="02F580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3063D4D2">
            <w:pPr>
              <w:pStyle w:val="12"/>
              <w:pageBreakBefore w:val="0"/>
              <w:wordWrap/>
              <w:bidi w:val="0"/>
              <w:adjustRightInd/>
              <w:snapToGrid/>
              <w:rPr>
                <w:b/>
                <w:bCs/>
                <w:color w:val="auto"/>
              </w:rPr>
            </w:pPr>
          </w:p>
        </w:tc>
        <w:tc>
          <w:tcPr>
            <w:tcW w:w="2858" w:type="pct"/>
            <w:tcBorders>
              <w:tl2br w:val="nil"/>
              <w:tr2bl w:val="nil"/>
            </w:tcBorders>
            <w:vAlign w:val="center"/>
          </w:tcPr>
          <w:p w14:paraId="20844302">
            <w:pPr>
              <w:pStyle w:val="12"/>
              <w:pageBreakBefore w:val="0"/>
              <w:wordWrap/>
              <w:bidi w:val="0"/>
              <w:adjustRightInd/>
              <w:snapToGrid/>
              <w:rPr>
                <w:color w:val="auto"/>
              </w:rPr>
            </w:pPr>
            <w:r>
              <w:rPr>
                <w:color w:val="auto"/>
              </w:rPr>
              <w:t>反硝化深床滤池、鼓风机房-变配电室、污泥脱水车间</w:t>
            </w:r>
          </w:p>
        </w:tc>
        <w:tc>
          <w:tcPr>
            <w:tcW w:w="948" w:type="pct"/>
            <w:tcBorders>
              <w:tl2br w:val="nil"/>
              <w:tr2bl w:val="nil"/>
            </w:tcBorders>
            <w:vAlign w:val="center"/>
          </w:tcPr>
          <w:p w14:paraId="1DB3D8B6">
            <w:pPr>
              <w:pStyle w:val="12"/>
              <w:pageBreakBefore w:val="0"/>
              <w:wordWrap/>
              <w:bidi w:val="0"/>
              <w:adjustRightInd/>
              <w:snapToGrid/>
              <w:rPr>
                <w:color w:val="auto"/>
              </w:rPr>
            </w:pPr>
            <w:r>
              <w:rPr>
                <w:color w:val="auto"/>
              </w:rPr>
              <w:t>6000m³/d</w:t>
            </w:r>
          </w:p>
        </w:tc>
        <w:tc>
          <w:tcPr>
            <w:tcW w:w="768" w:type="pct"/>
            <w:gridSpan w:val="3"/>
            <w:tcBorders>
              <w:tl2br w:val="nil"/>
              <w:tr2bl w:val="nil"/>
            </w:tcBorders>
            <w:vAlign w:val="center"/>
          </w:tcPr>
          <w:p w14:paraId="09D95C52">
            <w:pPr>
              <w:pStyle w:val="12"/>
              <w:pageBreakBefore w:val="0"/>
              <w:wordWrap/>
              <w:bidi w:val="0"/>
              <w:adjustRightInd/>
              <w:snapToGrid/>
              <w:rPr>
                <w:color w:val="auto"/>
              </w:rPr>
            </w:pPr>
            <w:r>
              <w:rPr>
                <w:color w:val="auto"/>
              </w:rPr>
              <w:t>3000m³/d</w:t>
            </w:r>
          </w:p>
        </w:tc>
      </w:tr>
      <w:tr w14:paraId="747AFD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5ED24D5F">
            <w:pPr>
              <w:pStyle w:val="12"/>
              <w:pageBreakBefore w:val="0"/>
              <w:wordWrap/>
              <w:bidi w:val="0"/>
              <w:adjustRightInd/>
              <w:snapToGrid/>
              <w:rPr>
                <w:b/>
                <w:bCs/>
                <w:color w:val="auto"/>
              </w:rPr>
            </w:pPr>
          </w:p>
        </w:tc>
        <w:tc>
          <w:tcPr>
            <w:tcW w:w="2858" w:type="pct"/>
            <w:tcBorders>
              <w:tl2br w:val="nil"/>
              <w:tr2bl w:val="nil"/>
            </w:tcBorders>
            <w:vAlign w:val="center"/>
          </w:tcPr>
          <w:p w14:paraId="7A659A00">
            <w:pPr>
              <w:pStyle w:val="12"/>
              <w:pageBreakBefore w:val="0"/>
              <w:wordWrap/>
              <w:bidi w:val="0"/>
              <w:adjustRightInd/>
              <w:snapToGrid/>
              <w:rPr>
                <w:color w:val="auto"/>
              </w:rPr>
            </w:pPr>
            <w:r>
              <w:rPr>
                <w:color w:val="auto"/>
              </w:rPr>
              <w:t>紫外线消毒、出水计量及取样观测井；出水监测间</w:t>
            </w:r>
          </w:p>
        </w:tc>
        <w:tc>
          <w:tcPr>
            <w:tcW w:w="948" w:type="pct"/>
            <w:tcBorders>
              <w:tl2br w:val="nil"/>
              <w:tr2bl w:val="nil"/>
            </w:tcBorders>
            <w:vAlign w:val="center"/>
          </w:tcPr>
          <w:p w14:paraId="5D676DBC">
            <w:pPr>
              <w:pStyle w:val="12"/>
              <w:pageBreakBefore w:val="0"/>
              <w:wordWrap/>
              <w:bidi w:val="0"/>
              <w:adjustRightInd/>
              <w:snapToGrid/>
              <w:rPr>
                <w:color w:val="auto"/>
              </w:rPr>
            </w:pPr>
            <w:r>
              <w:rPr>
                <w:color w:val="auto"/>
              </w:rPr>
              <w:t>16000m³/d</w:t>
            </w:r>
          </w:p>
        </w:tc>
        <w:tc>
          <w:tcPr>
            <w:tcW w:w="768" w:type="pct"/>
            <w:gridSpan w:val="3"/>
            <w:tcBorders>
              <w:tl2br w:val="nil"/>
              <w:tr2bl w:val="nil"/>
            </w:tcBorders>
            <w:vAlign w:val="center"/>
          </w:tcPr>
          <w:p w14:paraId="4C70C218">
            <w:pPr>
              <w:pStyle w:val="12"/>
              <w:pageBreakBefore w:val="0"/>
              <w:wordWrap/>
              <w:bidi w:val="0"/>
              <w:adjustRightInd/>
              <w:snapToGrid/>
              <w:rPr>
                <w:color w:val="auto"/>
              </w:rPr>
            </w:pPr>
            <w:r>
              <w:rPr>
                <w:color w:val="auto"/>
              </w:rPr>
              <w:t>3000m³/d</w:t>
            </w:r>
          </w:p>
        </w:tc>
      </w:tr>
      <w:tr w14:paraId="5C675A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2FDBDE10">
            <w:pPr>
              <w:pStyle w:val="12"/>
              <w:pageBreakBefore w:val="0"/>
              <w:wordWrap/>
              <w:bidi w:val="0"/>
              <w:adjustRightInd/>
              <w:snapToGrid/>
              <w:rPr>
                <w:b/>
                <w:bCs/>
                <w:color w:val="auto"/>
              </w:rPr>
            </w:pPr>
          </w:p>
        </w:tc>
        <w:tc>
          <w:tcPr>
            <w:tcW w:w="2858" w:type="pct"/>
            <w:tcBorders>
              <w:tl2br w:val="nil"/>
              <w:tr2bl w:val="nil"/>
            </w:tcBorders>
            <w:vAlign w:val="center"/>
          </w:tcPr>
          <w:p w14:paraId="0FBED0E3">
            <w:pPr>
              <w:pStyle w:val="12"/>
              <w:pageBreakBefore w:val="0"/>
              <w:wordWrap/>
              <w:bidi w:val="0"/>
              <w:adjustRightInd/>
              <w:snapToGrid/>
              <w:rPr>
                <w:color w:val="auto"/>
              </w:rPr>
            </w:pPr>
            <w:r>
              <w:rPr>
                <w:color w:val="auto"/>
              </w:rPr>
              <w:t>进出水在线监测间、综合楼、门卫室、值班室、机修危废间、除臭设备</w:t>
            </w:r>
          </w:p>
        </w:tc>
        <w:tc>
          <w:tcPr>
            <w:tcW w:w="948" w:type="pct"/>
            <w:tcBorders>
              <w:tl2br w:val="nil"/>
              <w:tr2bl w:val="nil"/>
            </w:tcBorders>
            <w:vAlign w:val="center"/>
          </w:tcPr>
          <w:p w14:paraId="7C834CCD">
            <w:pPr>
              <w:pStyle w:val="12"/>
              <w:pageBreakBefore w:val="0"/>
              <w:wordWrap/>
              <w:bidi w:val="0"/>
              <w:adjustRightInd/>
              <w:snapToGrid/>
              <w:rPr>
                <w:color w:val="auto"/>
              </w:rPr>
            </w:pPr>
            <w:r>
              <w:rPr>
                <w:color w:val="auto"/>
              </w:rPr>
              <w:t>6000m³/d</w:t>
            </w:r>
          </w:p>
        </w:tc>
        <w:tc>
          <w:tcPr>
            <w:tcW w:w="768" w:type="pct"/>
            <w:gridSpan w:val="3"/>
            <w:tcBorders>
              <w:tl2br w:val="nil"/>
              <w:tr2bl w:val="nil"/>
            </w:tcBorders>
            <w:vAlign w:val="center"/>
          </w:tcPr>
          <w:p w14:paraId="16F5C962">
            <w:pPr>
              <w:pStyle w:val="12"/>
              <w:pageBreakBefore w:val="0"/>
              <w:wordWrap/>
              <w:bidi w:val="0"/>
              <w:adjustRightInd/>
              <w:snapToGrid/>
              <w:rPr>
                <w:color w:val="auto"/>
              </w:rPr>
            </w:pPr>
            <w:r>
              <w:rPr>
                <w:color w:val="auto"/>
              </w:rPr>
              <w:t>6000m³/d</w:t>
            </w:r>
          </w:p>
        </w:tc>
      </w:tr>
      <w:tr w14:paraId="594F5A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640F562E">
            <w:pPr>
              <w:pStyle w:val="12"/>
              <w:pageBreakBefore w:val="0"/>
              <w:wordWrap/>
              <w:bidi w:val="0"/>
              <w:adjustRightInd/>
              <w:snapToGrid/>
              <w:rPr>
                <w:b/>
                <w:bCs/>
                <w:color w:val="auto"/>
              </w:rPr>
            </w:pPr>
          </w:p>
        </w:tc>
        <w:tc>
          <w:tcPr>
            <w:tcW w:w="2858" w:type="pct"/>
            <w:tcBorders>
              <w:tl2br w:val="nil"/>
              <w:tr2bl w:val="nil"/>
            </w:tcBorders>
            <w:vAlign w:val="center"/>
          </w:tcPr>
          <w:p w14:paraId="04A8FF70">
            <w:pPr>
              <w:pStyle w:val="12"/>
              <w:pageBreakBefore w:val="0"/>
              <w:wordWrap/>
              <w:bidi w:val="0"/>
              <w:adjustRightInd/>
              <w:snapToGrid/>
              <w:rPr>
                <w:color w:val="auto"/>
              </w:rPr>
            </w:pPr>
            <w:r>
              <w:rPr>
                <w:color w:val="auto"/>
              </w:rPr>
              <w:t>膜车间、回用水池及泵房-浓水池及泵房</w:t>
            </w:r>
            <w:r>
              <w:rPr>
                <w:rFonts w:hint="eastAsia"/>
                <w:color w:val="auto"/>
                <w:lang w:eastAsia="zh-CN"/>
              </w:rPr>
              <w:t>（</w:t>
            </w:r>
            <w:r>
              <w:rPr>
                <w:color w:val="auto"/>
              </w:rPr>
              <w:t>回用水量</w:t>
            </w:r>
            <w:r>
              <w:rPr>
                <w:rFonts w:hint="eastAsia"/>
                <w:color w:val="auto"/>
                <w:lang w:eastAsia="zh-CN"/>
              </w:rPr>
              <w:t>）</w:t>
            </w:r>
            <w:r>
              <w:rPr>
                <w:color w:val="auto"/>
              </w:rPr>
              <w:t>3000m³/d</w:t>
            </w:r>
          </w:p>
        </w:tc>
        <w:tc>
          <w:tcPr>
            <w:tcW w:w="948" w:type="pct"/>
            <w:tcBorders>
              <w:tl2br w:val="nil"/>
              <w:tr2bl w:val="nil"/>
            </w:tcBorders>
            <w:vAlign w:val="center"/>
          </w:tcPr>
          <w:p w14:paraId="45FA70DE">
            <w:pPr>
              <w:pStyle w:val="12"/>
              <w:pageBreakBefore w:val="0"/>
              <w:wordWrap/>
              <w:bidi w:val="0"/>
              <w:adjustRightInd/>
              <w:snapToGrid/>
              <w:rPr>
                <w:color w:val="auto"/>
              </w:rPr>
            </w:pPr>
            <w:r>
              <w:rPr>
                <w:color w:val="auto"/>
              </w:rPr>
              <w:t>预留</w:t>
            </w:r>
          </w:p>
        </w:tc>
        <w:tc>
          <w:tcPr>
            <w:tcW w:w="768" w:type="pct"/>
            <w:gridSpan w:val="3"/>
            <w:tcBorders>
              <w:tl2br w:val="nil"/>
              <w:tr2bl w:val="nil"/>
            </w:tcBorders>
            <w:vAlign w:val="center"/>
          </w:tcPr>
          <w:p w14:paraId="7F091B73">
            <w:pPr>
              <w:pStyle w:val="12"/>
              <w:pageBreakBefore w:val="0"/>
              <w:wordWrap/>
              <w:bidi w:val="0"/>
              <w:adjustRightInd/>
              <w:snapToGrid/>
              <w:rPr>
                <w:color w:val="auto"/>
              </w:rPr>
            </w:pPr>
            <w:r>
              <w:rPr>
                <w:color w:val="auto"/>
              </w:rPr>
              <w:t>预留</w:t>
            </w:r>
          </w:p>
        </w:tc>
      </w:tr>
      <w:tr w14:paraId="16D82C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573507A7">
            <w:pPr>
              <w:pStyle w:val="12"/>
              <w:pageBreakBefore w:val="0"/>
              <w:wordWrap/>
              <w:bidi w:val="0"/>
              <w:adjustRightInd/>
              <w:snapToGrid/>
              <w:rPr>
                <w:b/>
                <w:bCs/>
                <w:color w:val="auto"/>
              </w:rPr>
            </w:pPr>
          </w:p>
        </w:tc>
        <w:tc>
          <w:tcPr>
            <w:tcW w:w="2858" w:type="pct"/>
            <w:tcBorders>
              <w:tl2br w:val="nil"/>
              <w:tr2bl w:val="nil"/>
            </w:tcBorders>
            <w:vAlign w:val="center"/>
          </w:tcPr>
          <w:p w14:paraId="5E113264">
            <w:pPr>
              <w:pStyle w:val="12"/>
              <w:pageBreakBefore w:val="0"/>
              <w:wordWrap/>
              <w:bidi w:val="0"/>
              <w:adjustRightInd/>
              <w:snapToGrid/>
              <w:rPr>
                <w:color w:val="auto"/>
              </w:rPr>
            </w:pPr>
            <w:r>
              <w:rPr>
                <w:color w:val="auto"/>
              </w:rPr>
              <w:t>MVR系统、冷却塔、结晶盐仓库</w:t>
            </w:r>
          </w:p>
        </w:tc>
        <w:tc>
          <w:tcPr>
            <w:tcW w:w="948" w:type="pct"/>
            <w:tcBorders>
              <w:tl2br w:val="nil"/>
              <w:tr2bl w:val="nil"/>
            </w:tcBorders>
            <w:vAlign w:val="center"/>
          </w:tcPr>
          <w:p w14:paraId="44F1786F">
            <w:pPr>
              <w:pStyle w:val="12"/>
              <w:pageBreakBefore w:val="0"/>
              <w:wordWrap/>
              <w:bidi w:val="0"/>
              <w:adjustRightInd/>
              <w:snapToGrid/>
              <w:rPr>
                <w:color w:val="auto"/>
              </w:rPr>
            </w:pPr>
            <w:r>
              <w:rPr>
                <w:color w:val="auto"/>
              </w:rPr>
              <w:t>预留</w:t>
            </w:r>
          </w:p>
        </w:tc>
        <w:tc>
          <w:tcPr>
            <w:tcW w:w="768" w:type="pct"/>
            <w:gridSpan w:val="3"/>
            <w:tcBorders>
              <w:tl2br w:val="nil"/>
              <w:tr2bl w:val="nil"/>
            </w:tcBorders>
            <w:vAlign w:val="center"/>
          </w:tcPr>
          <w:p w14:paraId="2911D3D8">
            <w:pPr>
              <w:pStyle w:val="12"/>
              <w:pageBreakBefore w:val="0"/>
              <w:wordWrap/>
              <w:bidi w:val="0"/>
              <w:adjustRightInd/>
              <w:snapToGrid/>
              <w:rPr>
                <w:color w:val="auto"/>
              </w:rPr>
            </w:pPr>
            <w:r>
              <w:rPr>
                <w:color w:val="auto"/>
              </w:rPr>
              <w:t>预留</w:t>
            </w:r>
          </w:p>
        </w:tc>
      </w:tr>
      <w:tr w14:paraId="6F6219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restart"/>
            <w:tcBorders>
              <w:tl2br w:val="nil"/>
              <w:tr2bl w:val="nil"/>
            </w:tcBorders>
            <w:vAlign w:val="center"/>
          </w:tcPr>
          <w:p w14:paraId="2FC624AB">
            <w:pPr>
              <w:pStyle w:val="12"/>
              <w:pageBreakBefore w:val="0"/>
              <w:wordWrap/>
              <w:bidi w:val="0"/>
              <w:adjustRightInd/>
              <w:snapToGrid/>
              <w:rPr>
                <w:b/>
                <w:bCs/>
                <w:color w:val="auto"/>
              </w:rPr>
            </w:pPr>
            <w:r>
              <w:rPr>
                <w:b/>
                <w:bCs/>
                <w:color w:val="auto"/>
              </w:rPr>
              <w:t>—期二阶段</w:t>
            </w:r>
          </w:p>
        </w:tc>
        <w:tc>
          <w:tcPr>
            <w:tcW w:w="2858" w:type="pct"/>
            <w:tcBorders>
              <w:tl2br w:val="nil"/>
              <w:tr2bl w:val="nil"/>
            </w:tcBorders>
            <w:vAlign w:val="center"/>
          </w:tcPr>
          <w:p w14:paraId="114369A0">
            <w:pPr>
              <w:pStyle w:val="12"/>
              <w:pageBreakBefore w:val="0"/>
              <w:wordWrap/>
              <w:bidi w:val="0"/>
              <w:adjustRightInd/>
              <w:snapToGrid/>
              <w:rPr>
                <w:rFonts w:hint="eastAsia" w:eastAsia="宋体"/>
                <w:color w:val="auto"/>
                <w:lang w:eastAsia="zh-CN"/>
              </w:rPr>
            </w:pPr>
            <w:r>
              <w:rPr>
                <w:color w:val="auto"/>
              </w:rPr>
              <w:t>水解酸化池+生化池</w:t>
            </w:r>
            <w:r>
              <w:rPr>
                <w:rFonts w:hint="eastAsia"/>
                <w:color w:val="auto"/>
                <w:lang w:eastAsia="zh-CN"/>
              </w:rPr>
              <w:t>（</w:t>
            </w:r>
            <w:r>
              <w:rPr>
                <w:color w:val="auto"/>
              </w:rPr>
              <w:t>1500m³/d</w:t>
            </w:r>
            <w:r>
              <w:rPr>
                <w:rFonts w:hint="eastAsia"/>
                <w:color w:val="auto"/>
                <w:lang w:eastAsia="zh-CN"/>
              </w:rPr>
              <w:t>）</w:t>
            </w:r>
          </w:p>
        </w:tc>
        <w:tc>
          <w:tcPr>
            <w:tcW w:w="948" w:type="pct"/>
            <w:tcBorders>
              <w:tl2br w:val="nil"/>
              <w:tr2bl w:val="nil"/>
            </w:tcBorders>
            <w:vAlign w:val="center"/>
          </w:tcPr>
          <w:p w14:paraId="7EB5702A">
            <w:pPr>
              <w:pStyle w:val="12"/>
              <w:pageBreakBefore w:val="0"/>
              <w:wordWrap/>
              <w:bidi w:val="0"/>
              <w:adjustRightInd/>
              <w:snapToGrid/>
              <w:rPr>
                <w:color w:val="auto"/>
              </w:rPr>
            </w:pPr>
            <w:r>
              <w:rPr>
                <w:color w:val="auto"/>
              </w:rPr>
              <w:t>/</w:t>
            </w:r>
          </w:p>
        </w:tc>
        <w:tc>
          <w:tcPr>
            <w:tcW w:w="768" w:type="pct"/>
            <w:gridSpan w:val="3"/>
            <w:tcBorders>
              <w:tl2br w:val="nil"/>
              <w:tr2bl w:val="nil"/>
            </w:tcBorders>
            <w:vAlign w:val="center"/>
          </w:tcPr>
          <w:p w14:paraId="51D652F1">
            <w:pPr>
              <w:pStyle w:val="12"/>
              <w:pageBreakBefore w:val="0"/>
              <w:wordWrap/>
              <w:bidi w:val="0"/>
              <w:adjustRightInd/>
              <w:snapToGrid/>
              <w:rPr>
                <w:color w:val="auto"/>
              </w:rPr>
            </w:pPr>
            <w:r>
              <w:rPr>
                <w:color w:val="auto"/>
              </w:rPr>
              <w:t>1500m³/d</w:t>
            </w:r>
          </w:p>
        </w:tc>
      </w:tr>
      <w:tr w14:paraId="3220C6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3FE9C3B2">
            <w:pPr>
              <w:pStyle w:val="12"/>
              <w:pageBreakBefore w:val="0"/>
              <w:wordWrap/>
              <w:bidi w:val="0"/>
              <w:adjustRightInd/>
              <w:snapToGrid/>
              <w:rPr>
                <w:color w:val="auto"/>
              </w:rPr>
            </w:pPr>
          </w:p>
        </w:tc>
        <w:tc>
          <w:tcPr>
            <w:tcW w:w="2858" w:type="pct"/>
            <w:tcBorders>
              <w:tl2br w:val="nil"/>
              <w:tr2bl w:val="nil"/>
            </w:tcBorders>
            <w:vAlign w:val="center"/>
          </w:tcPr>
          <w:p w14:paraId="3D3F8BC2">
            <w:pPr>
              <w:pStyle w:val="12"/>
              <w:pageBreakBefore w:val="0"/>
              <w:wordWrap/>
              <w:bidi w:val="0"/>
              <w:adjustRightInd/>
              <w:snapToGrid/>
              <w:rPr>
                <w:color w:val="auto"/>
              </w:rPr>
            </w:pPr>
            <w:r>
              <w:rPr>
                <w:color w:val="auto"/>
              </w:rPr>
              <w:t>紫外线消毒；污泥脱水车间、变配电室、鼓风机房</w:t>
            </w:r>
          </w:p>
        </w:tc>
        <w:tc>
          <w:tcPr>
            <w:tcW w:w="948" w:type="pct"/>
            <w:tcBorders>
              <w:tl2br w:val="nil"/>
              <w:tr2bl w:val="nil"/>
            </w:tcBorders>
            <w:vAlign w:val="center"/>
          </w:tcPr>
          <w:p w14:paraId="2E31DC42">
            <w:pPr>
              <w:pStyle w:val="12"/>
              <w:pageBreakBefore w:val="0"/>
              <w:wordWrap/>
              <w:bidi w:val="0"/>
              <w:adjustRightInd/>
              <w:snapToGrid/>
              <w:rPr>
                <w:color w:val="auto"/>
              </w:rPr>
            </w:pPr>
            <w:r>
              <w:rPr>
                <w:color w:val="auto"/>
              </w:rPr>
              <w:t>/</w:t>
            </w:r>
          </w:p>
        </w:tc>
        <w:tc>
          <w:tcPr>
            <w:tcW w:w="768" w:type="pct"/>
            <w:gridSpan w:val="3"/>
            <w:tcBorders>
              <w:tl2br w:val="nil"/>
              <w:tr2bl w:val="nil"/>
            </w:tcBorders>
            <w:vAlign w:val="center"/>
          </w:tcPr>
          <w:p w14:paraId="1EE0C4F7">
            <w:pPr>
              <w:pStyle w:val="12"/>
              <w:pageBreakBefore w:val="0"/>
              <w:wordWrap/>
              <w:bidi w:val="0"/>
              <w:adjustRightInd/>
              <w:snapToGrid/>
              <w:rPr>
                <w:color w:val="auto"/>
              </w:rPr>
            </w:pPr>
            <w:r>
              <w:rPr>
                <w:color w:val="auto"/>
              </w:rPr>
              <w:t>1500m³/d</w:t>
            </w:r>
          </w:p>
        </w:tc>
      </w:tr>
      <w:tr w14:paraId="035ACB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356D4F21">
            <w:pPr>
              <w:pStyle w:val="12"/>
              <w:pageBreakBefore w:val="0"/>
              <w:wordWrap/>
              <w:bidi w:val="0"/>
              <w:adjustRightInd/>
              <w:snapToGrid/>
              <w:rPr>
                <w:color w:val="auto"/>
              </w:rPr>
            </w:pPr>
          </w:p>
        </w:tc>
        <w:tc>
          <w:tcPr>
            <w:tcW w:w="2858" w:type="pct"/>
            <w:tcBorders>
              <w:tl2br w:val="nil"/>
              <w:tr2bl w:val="nil"/>
            </w:tcBorders>
            <w:vAlign w:val="center"/>
          </w:tcPr>
          <w:p w14:paraId="23C17F3A">
            <w:pPr>
              <w:pStyle w:val="12"/>
              <w:pageBreakBefore w:val="0"/>
              <w:wordWrap/>
              <w:bidi w:val="0"/>
              <w:adjustRightInd/>
              <w:snapToGrid/>
              <w:rPr>
                <w:color w:val="auto"/>
              </w:rPr>
            </w:pPr>
            <w:r>
              <w:rPr>
                <w:color w:val="auto"/>
              </w:rPr>
              <w:t>高级氧化深度处理设备</w:t>
            </w:r>
          </w:p>
        </w:tc>
        <w:tc>
          <w:tcPr>
            <w:tcW w:w="948" w:type="pct"/>
            <w:tcBorders>
              <w:tl2br w:val="nil"/>
              <w:tr2bl w:val="nil"/>
            </w:tcBorders>
            <w:vAlign w:val="center"/>
          </w:tcPr>
          <w:p w14:paraId="713236A8">
            <w:pPr>
              <w:pStyle w:val="12"/>
              <w:pageBreakBefore w:val="0"/>
              <w:wordWrap/>
              <w:bidi w:val="0"/>
              <w:adjustRightInd/>
              <w:snapToGrid/>
              <w:rPr>
                <w:color w:val="auto"/>
              </w:rPr>
            </w:pPr>
            <w:r>
              <w:rPr>
                <w:color w:val="auto"/>
              </w:rPr>
              <w:t>/</w:t>
            </w:r>
          </w:p>
        </w:tc>
        <w:tc>
          <w:tcPr>
            <w:tcW w:w="768" w:type="pct"/>
            <w:gridSpan w:val="3"/>
            <w:tcBorders>
              <w:tl2br w:val="nil"/>
              <w:tr2bl w:val="nil"/>
            </w:tcBorders>
            <w:vAlign w:val="center"/>
          </w:tcPr>
          <w:p w14:paraId="342955F1">
            <w:pPr>
              <w:pStyle w:val="12"/>
              <w:pageBreakBefore w:val="0"/>
              <w:wordWrap/>
              <w:bidi w:val="0"/>
              <w:adjustRightInd/>
              <w:snapToGrid/>
              <w:rPr>
                <w:color w:val="auto"/>
              </w:rPr>
            </w:pPr>
            <w:r>
              <w:rPr>
                <w:color w:val="auto"/>
              </w:rPr>
              <w:t>1500m³/d</w:t>
            </w:r>
          </w:p>
        </w:tc>
      </w:tr>
      <w:tr w14:paraId="60F71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restart"/>
            <w:tcBorders>
              <w:tl2br w:val="nil"/>
              <w:tr2bl w:val="nil"/>
            </w:tcBorders>
            <w:vAlign w:val="center"/>
          </w:tcPr>
          <w:p w14:paraId="4B91AA38">
            <w:pPr>
              <w:pStyle w:val="12"/>
              <w:pageBreakBefore w:val="0"/>
              <w:wordWrap/>
              <w:bidi w:val="0"/>
              <w:adjustRightInd/>
              <w:snapToGrid/>
              <w:rPr>
                <w:rFonts w:hint="eastAsia" w:eastAsia="宋体"/>
                <w:color w:val="auto"/>
                <w:lang w:val="en-US" w:eastAsia="zh-CN"/>
              </w:rPr>
            </w:pPr>
            <w:r>
              <w:rPr>
                <w:color w:val="auto"/>
              </w:rPr>
              <w:t>二期</w:t>
            </w:r>
            <w:r>
              <w:rPr>
                <w:rFonts w:hint="eastAsia"/>
                <w:color w:val="auto"/>
                <w:lang w:eastAsia="zh-CN"/>
              </w:rPr>
              <w:t>（</w:t>
            </w:r>
            <w:r>
              <w:rPr>
                <w:rFonts w:hint="eastAsia"/>
                <w:color w:val="auto"/>
                <w:lang w:val="en-US" w:eastAsia="zh-CN"/>
              </w:rPr>
              <w:t>本次不涉及</w:t>
            </w:r>
            <w:r>
              <w:rPr>
                <w:rFonts w:hint="eastAsia"/>
                <w:color w:val="auto"/>
                <w:lang w:eastAsia="zh-CN"/>
              </w:rPr>
              <w:t>）</w:t>
            </w:r>
          </w:p>
        </w:tc>
        <w:tc>
          <w:tcPr>
            <w:tcW w:w="2858" w:type="pct"/>
            <w:tcBorders>
              <w:tl2br w:val="nil"/>
              <w:tr2bl w:val="nil"/>
            </w:tcBorders>
            <w:vAlign w:val="center"/>
          </w:tcPr>
          <w:p w14:paraId="7C6C4873">
            <w:pPr>
              <w:pStyle w:val="12"/>
              <w:pageBreakBefore w:val="0"/>
              <w:wordWrap/>
              <w:bidi w:val="0"/>
              <w:adjustRightInd/>
              <w:snapToGrid/>
              <w:rPr>
                <w:rFonts w:hint="eastAsia" w:eastAsia="宋体"/>
                <w:color w:val="auto"/>
                <w:lang w:eastAsia="zh-CN"/>
              </w:rPr>
            </w:pPr>
            <w:r>
              <w:rPr>
                <w:color w:val="auto"/>
              </w:rPr>
              <w:t>水解酸化池+生化池</w:t>
            </w:r>
            <w:r>
              <w:rPr>
                <w:rFonts w:hint="eastAsia"/>
                <w:color w:val="auto"/>
                <w:lang w:eastAsia="zh-CN"/>
              </w:rPr>
              <w:t>（</w:t>
            </w:r>
            <w:r>
              <w:rPr>
                <w:color w:val="auto"/>
              </w:rPr>
              <w:t>3000m³/d</w:t>
            </w:r>
            <w:r>
              <w:rPr>
                <w:rFonts w:hint="eastAsia"/>
                <w:color w:val="auto"/>
                <w:lang w:eastAsia="zh-CN"/>
              </w:rPr>
              <w:t>）</w:t>
            </w:r>
          </w:p>
        </w:tc>
        <w:tc>
          <w:tcPr>
            <w:tcW w:w="948" w:type="pct"/>
            <w:tcBorders>
              <w:tl2br w:val="nil"/>
              <w:tr2bl w:val="nil"/>
            </w:tcBorders>
            <w:vAlign w:val="center"/>
          </w:tcPr>
          <w:p w14:paraId="38800667">
            <w:pPr>
              <w:pStyle w:val="12"/>
              <w:pageBreakBefore w:val="0"/>
              <w:wordWrap/>
              <w:bidi w:val="0"/>
              <w:adjustRightInd/>
              <w:snapToGrid/>
              <w:rPr>
                <w:color w:val="auto"/>
              </w:rPr>
            </w:pPr>
            <w:r>
              <w:rPr>
                <w:color w:val="auto"/>
              </w:rPr>
              <w:t>3000m³/d</w:t>
            </w:r>
          </w:p>
        </w:tc>
        <w:tc>
          <w:tcPr>
            <w:tcW w:w="768" w:type="pct"/>
            <w:gridSpan w:val="3"/>
            <w:tcBorders>
              <w:tl2br w:val="nil"/>
              <w:tr2bl w:val="nil"/>
            </w:tcBorders>
            <w:vAlign w:val="center"/>
          </w:tcPr>
          <w:p w14:paraId="779D348D">
            <w:pPr>
              <w:pStyle w:val="12"/>
              <w:pageBreakBefore w:val="0"/>
              <w:wordWrap/>
              <w:bidi w:val="0"/>
              <w:adjustRightInd/>
              <w:snapToGrid/>
              <w:rPr>
                <w:color w:val="auto"/>
              </w:rPr>
            </w:pPr>
            <w:r>
              <w:rPr>
                <w:color w:val="auto"/>
              </w:rPr>
              <w:t>3000m³/d</w:t>
            </w:r>
          </w:p>
        </w:tc>
      </w:tr>
      <w:tr w14:paraId="37A4B9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5F9C9389">
            <w:pPr>
              <w:pStyle w:val="12"/>
              <w:pageBreakBefore w:val="0"/>
              <w:wordWrap/>
              <w:bidi w:val="0"/>
              <w:adjustRightInd/>
              <w:snapToGrid/>
              <w:rPr>
                <w:color w:val="auto"/>
              </w:rPr>
            </w:pPr>
          </w:p>
        </w:tc>
        <w:tc>
          <w:tcPr>
            <w:tcW w:w="2858" w:type="pct"/>
            <w:tcBorders>
              <w:tl2br w:val="nil"/>
              <w:tr2bl w:val="nil"/>
            </w:tcBorders>
            <w:vAlign w:val="center"/>
          </w:tcPr>
          <w:p w14:paraId="66A088F2">
            <w:pPr>
              <w:pStyle w:val="12"/>
              <w:pageBreakBefore w:val="0"/>
              <w:wordWrap/>
              <w:bidi w:val="0"/>
              <w:adjustRightInd/>
              <w:snapToGrid/>
              <w:rPr>
                <w:color w:val="auto"/>
              </w:rPr>
            </w:pPr>
            <w:r>
              <w:rPr>
                <w:color w:val="auto"/>
              </w:rPr>
              <w:t>高级氧化深度处理设备、</w:t>
            </w:r>
            <w:r>
              <w:rPr>
                <w:rFonts w:hint="eastAsia"/>
                <w:color w:val="auto"/>
              </w:rPr>
              <w:t>磁混凝</w:t>
            </w:r>
            <w:r>
              <w:rPr>
                <w:color w:val="auto"/>
              </w:rPr>
              <w:t>沉淀池设备</w:t>
            </w:r>
          </w:p>
        </w:tc>
        <w:tc>
          <w:tcPr>
            <w:tcW w:w="948" w:type="pct"/>
            <w:tcBorders>
              <w:tl2br w:val="nil"/>
              <w:tr2bl w:val="nil"/>
            </w:tcBorders>
            <w:vAlign w:val="center"/>
          </w:tcPr>
          <w:p w14:paraId="0080FAF4">
            <w:pPr>
              <w:pStyle w:val="12"/>
              <w:pageBreakBefore w:val="0"/>
              <w:wordWrap/>
              <w:bidi w:val="0"/>
              <w:adjustRightInd/>
              <w:snapToGrid/>
              <w:rPr>
                <w:color w:val="auto"/>
              </w:rPr>
            </w:pPr>
            <w:r>
              <w:rPr>
                <w:color w:val="auto"/>
              </w:rPr>
              <w:t>3000m³/d</w:t>
            </w:r>
          </w:p>
        </w:tc>
        <w:tc>
          <w:tcPr>
            <w:tcW w:w="768" w:type="pct"/>
            <w:gridSpan w:val="3"/>
            <w:tcBorders>
              <w:tl2br w:val="nil"/>
              <w:tr2bl w:val="nil"/>
            </w:tcBorders>
            <w:vAlign w:val="center"/>
          </w:tcPr>
          <w:p w14:paraId="766F1B2A">
            <w:pPr>
              <w:pStyle w:val="12"/>
              <w:pageBreakBefore w:val="0"/>
              <w:wordWrap/>
              <w:bidi w:val="0"/>
              <w:adjustRightInd/>
              <w:snapToGrid/>
              <w:rPr>
                <w:color w:val="auto"/>
              </w:rPr>
            </w:pPr>
            <w:r>
              <w:rPr>
                <w:color w:val="auto"/>
              </w:rPr>
              <w:t>3000m³/d</w:t>
            </w:r>
          </w:p>
        </w:tc>
      </w:tr>
      <w:tr w14:paraId="62C432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676ECD0C">
            <w:pPr>
              <w:pStyle w:val="12"/>
              <w:pageBreakBefore w:val="0"/>
              <w:wordWrap/>
              <w:bidi w:val="0"/>
              <w:adjustRightInd/>
              <w:snapToGrid/>
              <w:rPr>
                <w:color w:val="auto"/>
              </w:rPr>
            </w:pPr>
          </w:p>
        </w:tc>
        <w:tc>
          <w:tcPr>
            <w:tcW w:w="2858" w:type="pct"/>
            <w:tcBorders>
              <w:tl2br w:val="nil"/>
              <w:tr2bl w:val="nil"/>
            </w:tcBorders>
            <w:vAlign w:val="center"/>
          </w:tcPr>
          <w:p w14:paraId="3A8ED905">
            <w:pPr>
              <w:pStyle w:val="12"/>
              <w:pageBreakBefore w:val="0"/>
              <w:wordWrap/>
              <w:bidi w:val="0"/>
              <w:adjustRightInd/>
              <w:snapToGrid/>
              <w:ind w:left="0" w:leftChars="0" w:firstLine="0" w:firstLineChars="0"/>
              <w:rPr>
                <w:color w:val="auto"/>
              </w:rPr>
            </w:pPr>
            <w:r>
              <w:rPr>
                <w:color w:val="auto"/>
              </w:rPr>
              <w:t>反硝化深床滤池</w:t>
            </w:r>
          </w:p>
        </w:tc>
        <w:tc>
          <w:tcPr>
            <w:tcW w:w="948" w:type="pct"/>
            <w:tcBorders>
              <w:tl2br w:val="nil"/>
              <w:tr2bl w:val="nil"/>
            </w:tcBorders>
            <w:vAlign w:val="center"/>
          </w:tcPr>
          <w:p w14:paraId="529A392B">
            <w:pPr>
              <w:pStyle w:val="12"/>
              <w:pageBreakBefore w:val="0"/>
              <w:wordWrap/>
              <w:bidi w:val="0"/>
              <w:adjustRightInd/>
              <w:snapToGrid/>
              <w:ind w:left="0" w:leftChars="0" w:firstLine="0" w:firstLineChars="0"/>
              <w:rPr>
                <w:color w:val="auto"/>
              </w:rPr>
            </w:pPr>
            <w:r>
              <w:rPr>
                <w:color w:val="auto"/>
              </w:rPr>
              <w:t>/</w:t>
            </w:r>
          </w:p>
        </w:tc>
        <w:tc>
          <w:tcPr>
            <w:tcW w:w="768" w:type="pct"/>
            <w:gridSpan w:val="3"/>
            <w:tcBorders>
              <w:tl2br w:val="nil"/>
              <w:tr2bl w:val="nil"/>
            </w:tcBorders>
            <w:vAlign w:val="center"/>
          </w:tcPr>
          <w:p w14:paraId="36A39437">
            <w:pPr>
              <w:pStyle w:val="12"/>
              <w:pageBreakBefore w:val="0"/>
              <w:wordWrap/>
              <w:bidi w:val="0"/>
              <w:adjustRightInd/>
              <w:snapToGrid/>
              <w:ind w:left="0" w:leftChars="0" w:firstLine="0" w:firstLineChars="0"/>
              <w:rPr>
                <w:color w:val="auto"/>
              </w:rPr>
            </w:pPr>
            <w:r>
              <w:rPr>
                <w:color w:val="auto"/>
              </w:rPr>
              <w:t>3000m³/d</w:t>
            </w:r>
          </w:p>
        </w:tc>
      </w:tr>
      <w:tr w14:paraId="30D5BA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110E8855">
            <w:pPr>
              <w:pStyle w:val="12"/>
              <w:pageBreakBefore w:val="0"/>
              <w:wordWrap/>
              <w:bidi w:val="0"/>
              <w:adjustRightInd/>
              <w:snapToGrid/>
              <w:rPr>
                <w:color w:val="auto"/>
              </w:rPr>
            </w:pPr>
          </w:p>
        </w:tc>
        <w:tc>
          <w:tcPr>
            <w:tcW w:w="2858" w:type="pct"/>
            <w:tcBorders>
              <w:tl2br w:val="nil"/>
              <w:tr2bl w:val="nil"/>
            </w:tcBorders>
            <w:vAlign w:val="center"/>
          </w:tcPr>
          <w:p w14:paraId="26C3F0CC">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膜车间、回用水池及泵房-浓水池及泵房</w:t>
            </w:r>
          </w:p>
        </w:tc>
        <w:tc>
          <w:tcPr>
            <w:tcW w:w="948" w:type="pct"/>
            <w:tcBorders>
              <w:tl2br w:val="nil"/>
              <w:tr2bl w:val="nil"/>
            </w:tcBorders>
            <w:vAlign w:val="center"/>
          </w:tcPr>
          <w:p w14:paraId="5B61FF76">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768" w:type="pct"/>
            <w:gridSpan w:val="3"/>
            <w:tcBorders>
              <w:tl2br w:val="nil"/>
              <w:tr2bl w:val="nil"/>
            </w:tcBorders>
            <w:vAlign w:val="center"/>
          </w:tcPr>
          <w:p w14:paraId="4BE53335">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r>
      <w:tr w14:paraId="150404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11673258">
            <w:pPr>
              <w:pStyle w:val="12"/>
              <w:pageBreakBefore w:val="0"/>
              <w:wordWrap/>
              <w:bidi w:val="0"/>
              <w:adjustRightInd/>
              <w:snapToGrid/>
              <w:rPr>
                <w:color w:val="auto"/>
              </w:rPr>
            </w:pPr>
          </w:p>
        </w:tc>
        <w:tc>
          <w:tcPr>
            <w:tcW w:w="2858" w:type="pct"/>
            <w:tcBorders>
              <w:tl2br w:val="nil"/>
              <w:tr2bl w:val="nil"/>
            </w:tcBorders>
            <w:vAlign w:val="center"/>
          </w:tcPr>
          <w:p w14:paraId="0CEBA2A7">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MVR系统、冷却塔、结晶盐仓库</w:t>
            </w:r>
          </w:p>
        </w:tc>
        <w:tc>
          <w:tcPr>
            <w:tcW w:w="948" w:type="pct"/>
            <w:tcBorders>
              <w:tl2br w:val="nil"/>
              <w:tr2bl w:val="nil"/>
            </w:tcBorders>
            <w:vAlign w:val="center"/>
          </w:tcPr>
          <w:p w14:paraId="309B9087">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768" w:type="pct"/>
            <w:gridSpan w:val="3"/>
            <w:tcBorders>
              <w:tl2br w:val="nil"/>
              <w:tr2bl w:val="nil"/>
            </w:tcBorders>
            <w:vAlign w:val="center"/>
          </w:tcPr>
          <w:p w14:paraId="2CCAEC3C">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r>
      <w:tr w14:paraId="1FB845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restart"/>
            <w:tcBorders>
              <w:tl2br w:val="nil"/>
              <w:tr2bl w:val="nil"/>
            </w:tcBorders>
            <w:vAlign w:val="center"/>
          </w:tcPr>
          <w:p w14:paraId="5D0AD947">
            <w:pPr>
              <w:pStyle w:val="12"/>
              <w:pageBreakBefore w:val="0"/>
              <w:wordWrap/>
              <w:bidi w:val="0"/>
              <w:adjustRightInd/>
              <w:snapToGrid/>
              <w:rPr>
                <w:rFonts w:hint="eastAsia" w:eastAsia="宋体"/>
                <w:color w:val="auto"/>
                <w:lang w:eastAsia="zh-CN"/>
              </w:rPr>
            </w:pPr>
            <w:r>
              <w:rPr>
                <w:color w:val="auto"/>
              </w:rPr>
              <w:t>三期</w:t>
            </w:r>
            <w:r>
              <w:rPr>
                <w:rFonts w:hint="eastAsia"/>
                <w:color w:val="auto"/>
                <w:lang w:eastAsia="zh-CN"/>
              </w:rPr>
              <w:t>（</w:t>
            </w:r>
            <w:r>
              <w:rPr>
                <w:rFonts w:hint="eastAsia"/>
                <w:color w:val="auto"/>
                <w:lang w:val="en-US" w:eastAsia="zh-CN"/>
              </w:rPr>
              <w:t>本次不涉及</w:t>
            </w:r>
            <w:r>
              <w:rPr>
                <w:rFonts w:hint="eastAsia"/>
                <w:color w:val="auto"/>
                <w:lang w:eastAsia="zh-CN"/>
              </w:rPr>
              <w:t>）</w:t>
            </w:r>
          </w:p>
        </w:tc>
        <w:tc>
          <w:tcPr>
            <w:tcW w:w="2858" w:type="pct"/>
            <w:tcBorders>
              <w:tl2br w:val="nil"/>
              <w:tr2bl w:val="nil"/>
            </w:tcBorders>
            <w:vAlign w:val="center"/>
          </w:tcPr>
          <w:p w14:paraId="39DE3B84">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超细格栅、调节池、反硝化深床滤池、除臭设备、水解酸化池+生化池、高级氧化深度处理设备、</w:t>
            </w:r>
            <w:r>
              <w:rPr>
                <w:rFonts w:hint="eastAsia"/>
                <w:color w:val="auto"/>
                <w:lang w:val="en-US" w:eastAsia="zh-CN"/>
              </w:rPr>
              <w:t>磁混凝</w:t>
            </w:r>
            <w:r>
              <w:rPr>
                <w:color w:val="auto"/>
              </w:rPr>
              <w:t>沉淀池及污泥脱水车间、污泥池、调节池、变配电室、鼓风机房</w:t>
            </w:r>
          </w:p>
        </w:tc>
        <w:tc>
          <w:tcPr>
            <w:tcW w:w="948" w:type="pct"/>
            <w:tcBorders>
              <w:tl2br w:val="nil"/>
              <w:tr2bl w:val="nil"/>
            </w:tcBorders>
            <w:vAlign w:val="center"/>
          </w:tcPr>
          <w:p w14:paraId="6E9B7963">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10000m³/d</w:t>
            </w:r>
          </w:p>
        </w:tc>
        <w:tc>
          <w:tcPr>
            <w:tcW w:w="768" w:type="pct"/>
            <w:gridSpan w:val="3"/>
            <w:tcBorders>
              <w:tl2br w:val="nil"/>
              <w:tr2bl w:val="nil"/>
            </w:tcBorders>
            <w:vAlign w:val="center"/>
          </w:tcPr>
          <w:p w14:paraId="220BF751">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10000m³/d</w:t>
            </w:r>
          </w:p>
        </w:tc>
      </w:tr>
      <w:tr w14:paraId="5877BA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5" w:type="pct"/>
            <w:vMerge w:val="continue"/>
            <w:tcBorders>
              <w:tl2br w:val="nil"/>
              <w:tr2bl w:val="nil"/>
            </w:tcBorders>
            <w:vAlign w:val="center"/>
          </w:tcPr>
          <w:p w14:paraId="26AD389F">
            <w:pPr>
              <w:pStyle w:val="12"/>
              <w:pageBreakBefore w:val="0"/>
              <w:wordWrap/>
              <w:bidi w:val="0"/>
              <w:adjustRightInd/>
              <w:snapToGrid/>
              <w:rPr>
                <w:color w:val="auto"/>
              </w:rPr>
            </w:pPr>
          </w:p>
        </w:tc>
        <w:tc>
          <w:tcPr>
            <w:tcW w:w="2858" w:type="pct"/>
            <w:tcBorders>
              <w:tl2br w:val="nil"/>
              <w:tr2bl w:val="nil"/>
            </w:tcBorders>
            <w:vAlign w:val="center"/>
          </w:tcPr>
          <w:p w14:paraId="718750B1">
            <w:pPr>
              <w:pStyle w:val="12"/>
              <w:pageBreakBefore w:val="0"/>
              <w:wordWrap/>
              <w:bidi w:val="0"/>
              <w:adjustRightInd/>
              <w:snapToGrid/>
              <w:rPr>
                <w:rFonts w:hint="eastAsia" w:eastAsia="宋体"/>
                <w:color w:val="auto"/>
                <w:lang w:eastAsia="zh-CN"/>
              </w:rPr>
            </w:pPr>
            <w:r>
              <w:rPr>
                <w:color w:val="auto"/>
              </w:rPr>
              <w:t>高级氧化预处理设备</w:t>
            </w:r>
            <w:r>
              <w:rPr>
                <w:rFonts w:hint="eastAsia"/>
                <w:color w:val="auto"/>
                <w:lang w:eastAsia="zh-CN"/>
              </w:rPr>
              <w:t>（</w:t>
            </w:r>
            <w:r>
              <w:rPr>
                <w:color w:val="auto"/>
              </w:rPr>
              <w:t>视实际来水具体情况进行实施</w:t>
            </w:r>
            <w:r>
              <w:rPr>
                <w:rFonts w:hint="eastAsia"/>
                <w:color w:val="auto"/>
                <w:lang w:eastAsia="zh-CN"/>
              </w:rPr>
              <w:t>）</w:t>
            </w:r>
          </w:p>
        </w:tc>
        <w:tc>
          <w:tcPr>
            <w:tcW w:w="948" w:type="pct"/>
            <w:tcBorders>
              <w:tl2br w:val="nil"/>
              <w:tr2bl w:val="nil"/>
            </w:tcBorders>
            <w:vAlign w:val="center"/>
          </w:tcPr>
          <w:p w14:paraId="3389DAFC">
            <w:pPr>
              <w:pStyle w:val="12"/>
              <w:pageBreakBefore w:val="0"/>
              <w:wordWrap/>
              <w:bidi w:val="0"/>
              <w:adjustRightInd/>
              <w:snapToGrid/>
              <w:rPr>
                <w:color w:val="auto"/>
              </w:rPr>
            </w:pPr>
            <w:r>
              <w:rPr>
                <w:color w:val="auto"/>
              </w:rPr>
              <w:t>16000m³/d</w:t>
            </w:r>
          </w:p>
        </w:tc>
        <w:tc>
          <w:tcPr>
            <w:tcW w:w="768" w:type="pct"/>
            <w:gridSpan w:val="3"/>
            <w:tcBorders>
              <w:tl2br w:val="nil"/>
              <w:tr2bl w:val="nil"/>
            </w:tcBorders>
            <w:vAlign w:val="center"/>
          </w:tcPr>
          <w:p w14:paraId="57C40426">
            <w:pPr>
              <w:pStyle w:val="12"/>
              <w:pageBreakBefore w:val="0"/>
              <w:wordWrap/>
              <w:bidi w:val="0"/>
              <w:adjustRightInd/>
              <w:snapToGrid/>
              <w:rPr>
                <w:color w:val="auto"/>
              </w:rPr>
            </w:pPr>
            <w:r>
              <w:rPr>
                <w:color w:val="auto"/>
              </w:rPr>
              <w:t>16000m³/d</w:t>
            </w:r>
          </w:p>
        </w:tc>
      </w:tr>
      <w:tr w14:paraId="08877B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14" w:type="pct"/>
          <w:trHeight w:val="397" w:hRule="atLeast"/>
          <w:jc w:val="center"/>
        </w:trPr>
        <w:tc>
          <w:tcPr>
            <w:tcW w:w="425" w:type="pct"/>
            <w:vMerge w:val="continue"/>
            <w:tcBorders>
              <w:tl2br w:val="nil"/>
              <w:tr2bl w:val="nil"/>
            </w:tcBorders>
            <w:vAlign w:val="center"/>
          </w:tcPr>
          <w:p w14:paraId="49549A88">
            <w:pPr>
              <w:pStyle w:val="12"/>
              <w:pageBreakBefore w:val="0"/>
              <w:wordWrap/>
              <w:bidi w:val="0"/>
              <w:adjustRightInd/>
              <w:snapToGrid/>
              <w:rPr>
                <w:color w:val="auto"/>
              </w:rPr>
            </w:pPr>
          </w:p>
        </w:tc>
        <w:tc>
          <w:tcPr>
            <w:tcW w:w="2858" w:type="pct"/>
            <w:tcBorders>
              <w:tl2br w:val="nil"/>
              <w:tr2bl w:val="nil"/>
            </w:tcBorders>
            <w:vAlign w:val="center"/>
          </w:tcPr>
          <w:p w14:paraId="3929C7C1">
            <w:pPr>
              <w:pStyle w:val="12"/>
              <w:pageBreakBefore w:val="0"/>
              <w:wordWrap/>
              <w:bidi w:val="0"/>
              <w:adjustRightInd/>
              <w:snapToGrid/>
              <w:rPr>
                <w:color w:val="auto"/>
              </w:rPr>
            </w:pPr>
            <w:r>
              <w:rPr>
                <w:rFonts w:hint="eastAsia"/>
                <w:color w:val="auto"/>
                <w:lang w:eastAsia="zh-CN"/>
              </w:rPr>
              <w:t>污水处理厂</w:t>
            </w:r>
            <w:r>
              <w:rPr>
                <w:color w:val="auto"/>
              </w:rPr>
              <w:t>应急事故池</w:t>
            </w:r>
          </w:p>
        </w:tc>
        <w:tc>
          <w:tcPr>
            <w:tcW w:w="1702" w:type="pct"/>
            <w:gridSpan w:val="3"/>
            <w:tcBorders>
              <w:tl2br w:val="nil"/>
              <w:tr2bl w:val="nil"/>
            </w:tcBorders>
            <w:vAlign w:val="center"/>
          </w:tcPr>
          <w:p w14:paraId="6D4ACFC8">
            <w:pPr>
              <w:pStyle w:val="12"/>
              <w:pageBreakBefore w:val="0"/>
              <w:wordWrap/>
              <w:bidi w:val="0"/>
              <w:adjustRightInd/>
              <w:snapToGrid/>
              <w:rPr>
                <w:color w:val="auto"/>
              </w:rPr>
            </w:pPr>
            <w:r>
              <w:rPr>
                <w:color w:val="auto"/>
              </w:rPr>
              <w:t>有效容积5000m³</w:t>
            </w:r>
          </w:p>
        </w:tc>
      </w:tr>
      <w:tr w14:paraId="5DCFD9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14" w:type="pct"/>
          <w:trHeight w:val="397" w:hRule="atLeast"/>
          <w:jc w:val="center"/>
        </w:trPr>
        <w:tc>
          <w:tcPr>
            <w:tcW w:w="425" w:type="pct"/>
            <w:vMerge w:val="continue"/>
            <w:tcBorders>
              <w:tl2br w:val="nil"/>
              <w:tr2bl w:val="nil"/>
            </w:tcBorders>
            <w:vAlign w:val="center"/>
          </w:tcPr>
          <w:p w14:paraId="0B6521E6">
            <w:pPr>
              <w:pStyle w:val="12"/>
              <w:pageBreakBefore w:val="0"/>
              <w:wordWrap/>
              <w:bidi w:val="0"/>
              <w:adjustRightInd/>
              <w:snapToGrid/>
              <w:rPr>
                <w:color w:val="auto"/>
              </w:rPr>
            </w:pPr>
          </w:p>
        </w:tc>
        <w:tc>
          <w:tcPr>
            <w:tcW w:w="2858" w:type="pct"/>
            <w:tcBorders>
              <w:tl2br w:val="nil"/>
              <w:tr2bl w:val="nil"/>
            </w:tcBorders>
            <w:vAlign w:val="center"/>
          </w:tcPr>
          <w:p w14:paraId="7BD05C24">
            <w:pPr>
              <w:pStyle w:val="12"/>
              <w:pageBreakBefore w:val="0"/>
              <w:wordWrap/>
              <w:bidi w:val="0"/>
              <w:adjustRightInd/>
              <w:snapToGrid/>
              <w:rPr>
                <w:color w:val="auto"/>
              </w:rPr>
            </w:pPr>
            <w:r>
              <w:rPr>
                <w:color w:val="auto"/>
              </w:rPr>
              <w:t>园区应急事故池</w:t>
            </w:r>
          </w:p>
        </w:tc>
        <w:tc>
          <w:tcPr>
            <w:tcW w:w="1702" w:type="pct"/>
            <w:gridSpan w:val="3"/>
            <w:tcBorders>
              <w:tl2br w:val="nil"/>
              <w:tr2bl w:val="nil"/>
            </w:tcBorders>
            <w:vAlign w:val="center"/>
          </w:tcPr>
          <w:p w14:paraId="09AA13D7">
            <w:pPr>
              <w:pStyle w:val="12"/>
              <w:pageBreakBefore w:val="0"/>
              <w:wordWrap/>
              <w:bidi w:val="0"/>
              <w:adjustRightInd/>
              <w:snapToGrid/>
              <w:rPr>
                <w:color w:val="auto"/>
              </w:rPr>
            </w:pPr>
            <w:r>
              <w:rPr>
                <w:color w:val="auto"/>
              </w:rPr>
              <w:t>有效容积6000m³</w:t>
            </w:r>
          </w:p>
        </w:tc>
      </w:tr>
      <w:tr w14:paraId="2850B0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14" w:type="pct"/>
          <w:trHeight w:val="397" w:hRule="atLeast"/>
          <w:jc w:val="center"/>
        </w:trPr>
        <w:tc>
          <w:tcPr>
            <w:tcW w:w="425" w:type="pct"/>
            <w:vMerge w:val="continue"/>
            <w:tcBorders>
              <w:tl2br w:val="nil"/>
              <w:tr2bl w:val="nil"/>
            </w:tcBorders>
            <w:vAlign w:val="center"/>
          </w:tcPr>
          <w:p w14:paraId="3235C284">
            <w:pPr>
              <w:pStyle w:val="12"/>
              <w:pageBreakBefore w:val="0"/>
              <w:wordWrap/>
              <w:bidi w:val="0"/>
              <w:adjustRightInd/>
              <w:snapToGrid/>
              <w:rPr>
                <w:color w:val="auto"/>
              </w:rPr>
            </w:pPr>
          </w:p>
        </w:tc>
        <w:tc>
          <w:tcPr>
            <w:tcW w:w="2858" w:type="pct"/>
            <w:tcBorders>
              <w:tl2br w:val="nil"/>
              <w:tr2bl w:val="nil"/>
            </w:tcBorders>
            <w:vAlign w:val="center"/>
          </w:tcPr>
          <w:p w14:paraId="417EC562">
            <w:pPr>
              <w:pStyle w:val="12"/>
              <w:pageBreakBefore w:val="0"/>
              <w:wordWrap/>
              <w:bidi w:val="0"/>
              <w:adjustRightInd/>
              <w:snapToGrid/>
              <w:rPr>
                <w:color w:val="auto"/>
              </w:rPr>
            </w:pPr>
            <w:r>
              <w:rPr>
                <w:color w:val="auto"/>
              </w:rPr>
              <w:t>紫外线消毒、出水计量及取样观测井</w:t>
            </w:r>
          </w:p>
        </w:tc>
        <w:tc>
          <w:tcPr>
            <w:tcW w:w="952" w:type="pct"/>
            <w:gridSpan w:val="2"/>
            <w:tcBorders>
              <w:tl2br w:val="nil"/>
              <w:tr2bl w:val="nil"/>
            </w:tcBorders>
            <w:vAlign w:val="center"/>
          </w:tcPr>
          <w:p w14:paraId="60F40BDB">
            <w:pPr>
              <w:pStyle w:val="12"/>
              <w:pageBreakBefore w:val="0"/>
              <w:wordWrap/>
              <w:bidi w:val="0"/>
              <w:adjustRightInd/>
              <w:snapToGrid/>
              <w:rPr>
                <w:color w:val="auto"/>
              </w:rPr>
            </w:pPr>
            <w:r>
              <w:rPr>
                <w:color w:val="auto"/>
              </w:rPr>
              <w:t>/</w:t>
            </w:r>
          </w:p>
        </w:tc>
        <w:tc>
          <w:tcPr>
            <w:tcW w:w="749" w:type="pct"/>
            <w:tcBorders>
              <w:tl2br w:val="nil"/>
              <w:tr2bl w:val="nil"/>
            </w:tcBorders>
            <w:vAlign w:val="center"/>
          </w:tcPr>
          <w:p w14:paraId="494C1CCA">
            <w:pPr>
              <w:pStyle w:val="12"/>
              <w:pageBreakBefore w:val="0"/>
              <w:wordWrap/>
              <w:bidi w:val="0"/>
              <w:adjustRightInd/>
              <w:snapToGrid/>
              <w:rPr>
                <w:color w:val="auto"/>
              </w:rPr>
            </w:pPr>
            <w:r>
              <w:rPr>
                <w:color w:val="auto"/>
              </w:rPr>
              <w:t>10000m³/d</w:t>
            </w:r>
          </w:p>
        </w:tc>
      </w:tr>
      <w:tr w14:paraId="383318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14" w:type="pct"/>
          <w:trHeight w:val="397" w:hRule="atLeast"/>
          <w:jc w:val="center"/>
        </w:trPr>
        <w:tc>
          <w:tcPr>
            <w:tcW w:w="425" w:type="pct"/>
            <w:vMerge w:val="continue"/>
            <w:tcBorders>
              <w:tl2br w:val="nil"/>
              <w:tr2bl w:val="nil"/>
            </w:tcBorders>
            <w:vAlign w:val="center"/>
          </w:tcPr>
          <w:p w14:paraId="1B4E5607">
            <w:pPr>
              <w:pStyle w:val="12"/>
              <w:pageBreakBefore w:val="0"/>
              <w:wordWrap/>
              <w:bidi w:val="0"/>
              <w:adjustRightInd/>
              <w:snapToGrid/>
              <w:rPr>
                <w:color w:val="auto"/>
              </w:rPr>
            </w:pPr>
          </w:p>
        </w:tc>
        <w:tc>
          <w:tcPr>
            <w:tcW w:w="2858" w:type="pct"/>
            <w:tcBorders>
              <w:tl2br w:val="nil"/>
              <w:tr2bl w:val="nil"/>
            </w:tcBorders>
            <w:vAlign w:val="center"/>
          </w:tcPr>
          <w:p w14:paraId="0159ACC3">
            <w:pPr>
              <w:pStyle w:val="12"/>
              <w:pageBreakBefore w:val="0"/>
              <w:wordWrap/>
              <w:bidi w:val="0"/>
              <w:adjustRightInd/>
              <w:snapToGrid/>
              <w:rPr>
                <w:color w:val="auto"/>
              </w:rPr>
            </w:pPr>
            <w:r>
              <w:rPr>
                <w:color w:val="auto"/>
              </w:rPr>
              <w:t>膜车间、回用水池及泵房-浓水池及泵房</w:t>
            </w:r>
          </w:p>
        </w:tc>
        <w:tc>
          <w:tcPr>
            <w:tcW w:w="952" w:type="pct"/>
            <w:gridSpan w:val="2"/>
            <w:tcBorders>
              <w:tl2br w:val="nil"/>
              <w:tr2bl w:val="nil"/>
            </w:tcBorders>
            <w:vAlign w:val="center"/>
          </w:tcPr>
          <w:p w14:paraId="5FC3ECDA">
            <w:pPr>
              <w:pStyle w:val="12"/>
              <w:pageBreakBefore w:val="0"/>
              <w:wordWrap/>
              <w:bidi w:val="0"/>
              <w:adjustRightInd/>
              <w:snapToGrid/>
              <w:rPr>
                <w:color w:val="auto"/>
              </w:rPr>
            </w:pPr>
            <w:r>
              <w:rPr>
                <w:color w:val="auto"/>
              </w:rPr>
              <w:t>2000m³/d</w:t>
            </w:r>
          </w:p>
        </w:tc>
        <w:tc>
          <w:tcPr>
            <w:tcW w:w="749" w:type="pct"/>
            <w:tcBorders>
              <w:tl2br w:val="nil"/>
              <w:tr2bl w:val="nil"/>
            </w:tcBorders>
            <w:vAlign w:val="center"/>
          </w:tcPr>
          <w:p w14:paraId="33D646D3">
            <w:pPr>
              <w:pStyle w:val="12"/>
              <w:pageBreakBefore w:val="0"/>
              <w:wordWrap/>
              <w:bidi w:val="0"/>
              <w:adjustRightInd/>
              <w:snapToGrid/>
              <w:rPr>
                <w:color w:val="auto"/>
              </w:rPr>
            </w:pPr>
            <w:r>
              <w:rPr>
                <w:color w:val="auto"/>
              </w:rPr>
              <w:t>2000m³/d</w:t>
            </w:r>
          </w:p>
        </w:tc>
      </w:tr>
    </w:tbl>
    <w:p w14:paraId="578A6F6E">
      <w:pPr>
        <w:pStyle w:val="13"/>
        <w:pageBreakBefore w:val="0"/>
        <w:wordWrap/>
        <w:bidi w:val="0"/>
        <w:adjustRightInd/>
        <w:snapToGrid/>
        <w:rPr>
          <w:rFonts w:hint="default"/>
          <w:color w:val="auto"/>
          <w:lang w:val="en-US" w:eastAsia="zh-CN"/>
        </w:rPr>
        <w:sectPr>
          <w:pgSz w:w="11906" w:h="16838"/>
          <w:pgMar w:top="1701" w:right="1701" w:bottom="1701" w:left="1701" w:header="1134" w:footer="1134" w:gutter="0"/>
          <w:pgBorders>
            <w:top w:val="none" w:sz="0" w:space="0"/>
            <w:left w:val="none" w:sz="0" w:space="0"/>
            <w:bottom w:val="none" w:sz="0" w:space="0"/>
            <w:right w:val="none" w:sz="0" w:space="0"/>
          </w:pgBorders>
          <w:pgNumType w:fmt="decimal"/>
          <w:cols w:space="720" w:num="1"/>
          <w:docGrid w:type="lines" w:linePitch="312" w:charSpace="0"/>
        </w:sectPr>
      </w:pPr>
    </w:p>
    <w:p w14:paraId="72E80BC3">
      <w:pPr>
        <w:pageBreakBefore w:val="0"/>
        <w:wordWrap/>
        <w:bidi w:val="0"/>
        <w:adjustRightInd/>
        <w:snapToGrid/>
        <w:ind w:firstLine="480"/>
        <w:rPr>
          <w:rFonts w:hint="default" w:eastAsia="宋体"/>
          <w:b/>
          <w:bCs/>
          <w:color w:val="auto"/>
          <w:lang w:val="en-US" w:eastAsia="zh-CN"/>
        </w:rPr>
      </w:pPr>
      <w:r>
        <w:rPr>
          <w:rFonts w:hint="eastAsia"/>
          <w:b/>
          <w:bCs/>
          <w:color w:val="auto"/>
          <w:lang w:val="en-US" w:eastAsia="zh-CN"/>
        </w:rPr>
        <w:t>4、项目组成</w:t>
      </w:r>
    </w:p>
    <w:p w14:paraId="0A27161A">
      <w:pPr>
        <w:pageBreakBefore w:val="0"/>
        <w:wordWrap/>
        <w:bidi w:val="0"/>
        <w:adjustRightInd/>
        <w:snapToGrid/>
        <w:ind w:firstLine="480"/>
        <w:rPr>
          <w:rFonts w:hint="eastAsia"/>
          <w:color w:val="auto"/>
        </w:rPr>
      </w:pPr>
      <w:r>
        <w:rPr>
          <w:color w:val="auto"/>
        </w:rPr>
        <w:t>拟建工程项目组成及主要环境问题详见下表。</w:t>
      </w:r>
    </w:p>
    <w:p w14:paraId="12D38455">
      <w:pPr>
        <w:pStyle w:val="15"/>
        <w:numPr>
          <w:ilvl w:val="0"/>
          <w:numId w:val="13"/>
        </w:numPr>
        <w:bidi w:val="0"/>
        <w:ind w:left="0" w:leftChars="0" w:firstLine="0" w:firstLineChars="0"/>
        <w:rPr>
          <w:color w:val="auto"/>
        </w:rPr>
      </w:pPr>
      <w:r>
        <w:rPr>
          <w:color w:val="auto"/>
        </w:rPr>
        <w:t>项目建设内容组成及主要环境问题</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93"/>
        <w:gridCol w:w="625"/>
        <w:gridCol w:w="1504"/>
        <w:gridCol w:w="9395"/>
        <w:gridCol w:w="810"/>
        <w:gridCol w:w="1137"/>
      </w:tblGrid>
      <w:tr w14:paraId="4ACE7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210" w:type="pct"/>
            <w:vMerge w:val="restart"/>
            <w:tcBorders>
              <w:tl2br w:val="nil"/>
              <w:tr2bl w:val="nil"/>
            </w:tcBorders>
            <w:noWrap w:val="0"/>
            <w:vAlign w:val="center"/>
          </w:tcPr>
          <w:p w14:paraId="2E7500A6">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项目名称</w:t>
            </w:r>
          </w:p>
        </w:tc>
        <w:tc>
          <w:tcPr>
            <w:tcW w:w="4096" w:type="pct"/>
            <w:gridSpan w:val="3"/>
            <w:vMerge w:val="restart"/>
            <w:tcBorders>
              <w:tl2br w:val="nil"/>
              <w:tr2bl w:val="nil"/>
            </w:tcBorders>
            <w:noWrap w:val="0"/>
            <w:vAlign w:val="center"/>
          </w:tcPr>
          <w:p w14:paraId="3F1A6D24">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建设内容</w:t>
            </w:r>
          </w:p>
        </w:tc>
        <w:tc>
          <w:tcPr>
            <w:tcW w:w="692" w:type="pct"/>
            <w:gridSpan w:val="2"/>
            <w:tcBorders>
              <w:tl2br w:val="nil"/>
              <w:tr2bl w:val="nil"/>
            </w:tcBorders>
            <w:noWrap w:val="0"/>
            <w:vAlign w:val="center"/>
          </w:tcPr>
          <w:p w14:paraId="7DD96442">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主要环境问题</w:t>
            </w:r>
          </w:p>
        </w:tc>
      </w:tr>
      <w:tr w14:paraId="5DE32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210" w:type="pct"/>
            <w:vMerge w:val="continue"/>
            <w:tcBorders>
              <w:tl2br w:val="nil"/>
              <w:tr2bl w:val="nil"/>
            </w:tcBorders>
            <w:noWrap w:val="0"/>
            <w:vAlign w:val="center"/>
          </w:tcPr>
          <w:p w14:paraId="52A3CE29">
            <w:pPr>
              <w:pageBreakBefore w:val="0"/>
              <w:wordWrap/>
              <w:bidi w:val="0"/>
              <w:adjustRightInd/>
              <w:snapToGrid/>
              <w:spacing w:line="300" w:lineRule="exact"/>
              <w:ind w:firstLine="0" w:firstLineChars="0"/>
              <w:rPr>
                <w:b/>
                <w:bCs w:val="0"/>
                <w:color w:val="auto"/>
                <w:sz w:val="21"/>
                <w:szCs w:val="21"/>
              </w:rPr>
            </w:pPr>
          </w:p>
        </w:tc>
        <w:tc>
          <w:tcPr>
            <w:tcW w:w="4096" w:type="pct"/>
            <w:gridSpan w:val="3"/>
            <w:vMerge w:val="continue"/>
            <w:tcBorders>
              <w:tl2br w:val="nil"/>
              <w:tr2bl w:val="nil"/>
            </w:tcBorders>
            <w:noWrap w:val="0"/>
            <w:vAlign w:val="center"/>
          </w:tcPr>
          <w:p w14:paraId="0BC6A7EF">
            <w:pPr>
              <w:pageBreakBefore w:val="0"/>
              <w:wordWrap/>
              <w:bidi w:val="0"/>
              <w:adjustRightInd/>
              <w:snapToGrid/>
              <w:spacing w:line="300" w:lineRule="exact"/>
              <w:ind w:firstLine="0" w:firstLineChars="0"/>
              <w:rPr>
                <w:b/>
                <w:bCs w:val="0"/>
                <w:color w:val="auto"/>
                <w:sz w:val="21"/>
                <w:szCs w:val="21"/>
              </w:rPr>
            </w:pPr>
          </w:p>
        </w:tc>
        <w:tc>
          <w:tcPr>
            <w:tcW w:w="287" w:type="pct"/>
            <w:tcBorders>
              <w:tl2br w:val="nil"/>
              <w:tr2bl w:val="nil"/>
            </w:tcBorders>
            <w:noWrap w:val="0"/>
            <w:vAlign w:val="center"/>
          </w:tcPr>
          <w:p w14:paraId="21E4ADAE">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施工期</w:t>
            </w:r>
          </w:p>
        </w:tc>
        <w:tc>
          <w:tcPr>
            <w:tcW w:w="404" w:type="pct"/>
            <w:tcBorders>
              <w:tl2br w:val="nil"/>
              <w:tr2bl w:val="nil"/>
            </w:tcBorders>
            <w:noWrap w:val="0"/>
            <w:vAlign w:val="center"/>
          </w:tcPr>
          <w:p w14:paraId="0AE3CD57">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运营期</w:t>
            </w:r>
          </w:p>
        </w:tc>
      </w:tr>
      <w:tr w14:paraId="3A951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230849AC">
            <w:pPr>
              <w:pageBreakBefore w:val="0"/>
              <w:wordWrap/>
              <w:bidi w:val="0"/>
              <w:adjustRightInd/>
              <w:snapToGrid/>
              <w:spacing w:line="300" w:lineRule="exact"/>
              <w:ind w:firstLine="0" w:firstLineChars="0"/>
              <w:jc w:val="center"/>
              <w:rPr>
                <w:color w:val="auto"/>
                <w:sz w:val="21"/>
                <w:szCs w:val="21"/>
              </w:rPr>
            </w:pPr>
            <w:r>
              <w:rPr>
                <w:color w:val="auto"/>
                <w:sz w:val="21"/>
                <w:szCs w:val="21"/>
              </w:rPr>
              <w:t>主体工程</w:t>
            </w:r>
          </w:p>
        </w:tc>
        <w:tc>
          <w:tcPr>
            <w:tcW w:w="222" w:type="pct"/>
            <w:vMerge w:val="restart"/>
            <w:tcBorders>
              <w:tl2br w:val="nil"/>
              <w:tr2bl w:val="nil"/>
            </w:tcBorders>
            <w:noWrap w:val="0"/>
            <w:vAlign w:val="center"/>
          </w:tcPr>
          <w:p w14:paraId="2EF0E2AD">
            <w:pPr>
              <w:pageBreakBefore w:val="0"/>
              <w:wordWrap/>
              <w:bidi w:val="0"/>
              <w:adjustRightInd/>
              <w:snapToGrid/>
              <w:spacing w:line="300" w:lineRule="exact"/>
              <w:ind w:firstLine="0" w:firstLineChars="0"/>
              <w:jc w:val="center"/>
              <w:rPr>
                <w:color w:val="auto"/>
                <w:sz w:val="21"/>
                <w:szCs w:val="21"/>
              </w:rPr>
            </w:pPr>
            <w:r>
              <w:rPr>
                <w:color w:val="auto"/>
                <w:sz w:val="21"/>
                <w:szCs w:val="21"/>
              </w:rPr>
              <w:t>一级处理单元</w:t>
            </w:r>
          </w:p>
        </w:tc>
        <w:tc>
          <w:tcPr>
            <w:tcW w:w="534" w:type="pct"/>
            <w:tcBorders>
              <w:tl2br w:val="nil"/>
              <w:tr2bl w:val="nil"/>
            </w:tcBorders>
            <w:noWrap w:val="0"/>
            <w:vAlign w:val="center"/>
          </w:tcPr>
          <w:p w14:paraId="5D8DCCF0">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超细格栅池</w:t>
            </w:r>
          </w:p>
        </w:tc>
        <w:tc>
          <w:tcPr>
            <w:tcW w:w="3340" w:type="pct"/>
            <w:tcBorders>
              <w:tl2br w:val="nil"/>
              <w:tr2bl w:val="nil"/>
            </w:tcBorders>
            <w:noWrap w:val="0"/>
            <w:vAlign w:val="center"/>
          </w:tcPr>
          <w:p w14:paraId="10207FF8">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rPr>
              <w:t>设1座格栅井</w:t>
            </w:r>
            <w:r>
              <w:rPr>
                <w:rFonts w:hint="eastAsia"/>
                <w:color w:val="auto"/>
                <w:sz w:val="21"/>
                <w:szCs w:val="21"/>
                <w:lang w:eastAsia="zh-CN"/>
              </w:rPr>
              <w:t>，</w:t>
            </w:r>
            <w:r>
              <w:rPr>
                <w:rFonts w:hint="eastAsia"/>
                <w:color w:val="auto"/>
                <w:sz w:val="21"/>
                <w:szCs w:val="21"/>
              </w:rPr>
              <w:t>钢筋砼结构</w:t>
            </w:r>
            <w:r>
              <w:rPr>
                <w:rFonts w:hint="eastAsia"/>
                <w:color w:val="auto"/>
                <w:sz w:val="21"/>
                <w:szCs w:val="21"/>
                <w:lang w:eastAsia="zh-CN"/>
              </w:rPr>
              <w:t>，</w:t>
            </w:r>
            <w:r>
              <w:rPr>
                <w:rFonts w:hint="eastAsia"/>
                <w:color w:val="auto"/>
                <w:sz w:val="21"/>
                <w:szCs w:val="21"/>
              </w:rPr>
              <w:t>内分2格</w:t>
            </w:r>
            <w:r>
              <w:rPr>
                <w:rFonts w:hint="eastAsia"/>
                <w:color w:val="auto"/>
                <w:sz w:val="21"/>
                <w:szCs w:val="21"/>
                <w:lang w:eastAsia="zh-CN"/>
              </w:rPr>
              <w:t>，</w:t>
            </w:r>
            <w:r>
              <w:rPr>
                <w:rFonts w:hint="eastAsia"/>
                <w:color w:val="auto"/>
                <w:sz w:val="21"/>
                <w:szCs w:val="21"/>
                <w:lang w:val="en-US" w:eastAsia="zh-CN"/>
              </w:rPr>
              <w:t>设计规模：6000m³/d，总尺寸</w:t>
            </w:r>
            <w:r>
              <w:rPr>
                <w:rFonts w:hint="eastAsia"/>
                <w:color w:val="auto"/>
                <w:sz w:val="21"/>
                <w:szCs w:val="21"/>
              </w:rPr>
              <w:t>L×B×H=7.70×3.50×2.00m</w:t>
            </w:r>
            <w:r>
              <w:rPr>
                <w:rFonts w:hint="eastAsia"/>
                <w:color w:val="auto"/>
                <w:sz w:val="21"/>
                <w:szCs w:val="21"/>
                <w:lang w:eastAsia="zh-CN"/>
              </w:rPr>
              <w:t>；</w:t>
            </w:r>
            <w:r>
              <w:rPr>
                <w:rFonts w:hint="eastAsia"/>
                <w:color w:val="auto"/>
                <w:sz w:val="21"/>
                <w:szCs w:val="21"/>
                <w:lang w:val="en-US" w:eastAsia="zh-CN"/>
              </w:rPr>
              <w:t>网板孔径：b=1.0mm，过栅流速：v=0.6～1.0m/a，最大过栅水头损失：</w:t>
            </w:r>
            <w:r>
              <w:rPr>
                <w:rFonts w:hint="eastAsia" w:ascii="宋体" w:hAnsi="宋体" w:eastAsia="宋体" w:cs="宋体"/>
                <w:color w:val="auto"/>
                <w:sz w:val="21"/>
                <w:szCs w:val="21"/>
                <w:lang w:val="en-US" w:eastAsia="zh-CN"/>
              </w:rPr>
              <w:t>△</w:t>
            </w:r>
            <w:r>
              <w:rPr>
                <w:rFonts w:hint="eastAsia"/>
                <w:color w:val="auto"/>
                <w:sz w:val="21"/>
                <w:szCs w:val="21"/>
                <w:lang w:val="en-US" w:eastAsia="zh-CN"/>
              </w:rPr>
              <w:t>h=0.30m</w:t>
            </w:r>
          </w:p>
          <w:p w14:paraId="73C7A25F">
            <w:pPr>
              <w:pageBreakBefore w:val="0"/>
              <w:wordWrap/>
              <w:bidi w:val="0"/>
              <w:adjustRightInd/>
              <w:snapToGrid/>
              <w:spacing w:line="300" w:lineRule="exact"/>
              <w:ind w:firstLine="0" w:firstLineChars="0"/>
              <w:rPr>
                <w:rFonts w:hint="eastAsia"/>
                <w:color w:val="auto"/>
                <w:sz w:val="21"/>
                <w:szCs w:val="21"/>
                <w:lang w:eastAsia="zh-CN"/>
              </w:rPr>
            </w:pPr>
            <w:r>
              <w:rPr>
                <w:rFonts w:hint="eastAsia"/>
                <w:b/>
                <w:bCs/>
                <w:color w:val="auto"/>
                <w:sz w:val="21"/>
                <w:szCs w:val="21"/>
                <w:lang w:val="en-US" w:eastAsia="zh-CN"/>
              </w:rPr>
              <w:t>主要功能：</w:t>
            </w:r>
            <w:r>
              <w:rPr>
                <w:rFonts w:hint="eastAsia"/>
                <w:color w:val="auto"/>
                <w:sz w:val="21"/>
                <w:szCs w:val="21"/>
                <w:lang w:val="en-US" w:eastAsia="zh-CN"/>
              </w:rPr>
              <w:t>去除污水中一些细小的颗粒及悬浮物，为二级处理创造必备条件；</w:t>
            </w:r>
          </w:p>
        </w:tc>
        <w:tc>
          <w:tcPr>
            <w:tcW w:w="287" w:type="pct"/>
            <w:vMerge w:val="restart"/>
            <w:tcBorders>
              <w:tl2br w:val="nil"/>
              <w:tr2bl w:val="nil"/>
            </w:tcBorders>
            <w:noWrap w:val="0"/>
            <w:vAlign w:val="center"/>
          </w:tcPr>
          <w:p w14:paraId="3AE536E0">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施工扬尘</w:t>
            </w:r>
            <w:r>
              <w:rPr>
                <w:rFonts w:hint="eastAsia"/>
                <w:color w:val="auto"/>
                <w:sz w:val="21"/>
                <w:szCs w:val="21"/>
                <w:lang w:eastAsia="zh-CN"/>
              </w:rPr>
              <w:t>、</w:t>
            </w:r>
          </w:p>
          <w:p w14:paraId="26AB5D8F">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施工废水</w:t>
            </w:r>
            <w:r>
              <w:rPr>
                <w:rFonts w:hint="eastAsia"/>
                <w:color w:val="auto"/>
                <w:sz w:val="21"/>
                <w:szCs w:val="21"/>
                <w:lang w:eastAsia="zh-CN"/>
              </w:rPr>
              <w:t>、</w:t>
            </w:r>
          </w:p>
          <w:p w14:paraId="695A829F">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施工噪声</w:t>
            </w:r>
            <w:r>
              <w:rPr>
                <w:rFonts w:hint="eastAsia"/>
                <w:color w:val="auto"/>
                <w:sz w:val="21"/>
                <w:szCs w:val="21"/>
                <w:lang w:eastAsia="zh-CN"/>
              </w:rPr>
              <w:t>、</w:t>
            </w:r>
          </w:p>
          <w:p w14:paraId="0201458F">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施工弃渣</w:t>
            </w:r>
            <w:r>
              <w:rPr>
                <w:rFonts w:hint="eastAsia"/>
                <w:color w:val="auto"/>
                <w:sz w:val="21"/>
                <w:szCs w:val="21"/>
                <w:lang w:eastAsia="zh-CN"/>
              </w:rPr>
              <w:t>、</w:t>
            </w:r>
          </w:p>
          <w:p w14:paraId="38428528">
            <w:pPr>
              <w:pageBreakBefore w:val="0"/>
              <w:wordWrap/>
              <w:bidi w:val="0"/>
              <w:adjustRightInd/>
              <w:snapToGrid/>
              <w:spacing w:line="300" w:lineRule="exact"/>
              <w:ind w:firstLine="0" w:firstLineChars="0"/>
              <w:jc w:val="center"/>
              <w:rPr>
                <w:color w:val="auto"/>
                <w:sz w:val="21"/>
                <w:szCs w:val="21"/>
              </w:rPr>
            </w:pPr>
            <w:r>
              <w:rPr>
                <w:color w:val="auto"/>
                <w:sz w:val="21"/>
                <w:szCs w:val="21"/>
              </w:rPr>
              <w:t>水土流失</w:t>
            </w:r>
          </w:p>
        </w:tc>
        <w:tc>
          <w:tcPr>
            <w:tcW w:w="404" w:type="pct"/>
            <w:tcBorders>
              <w:tl2br w:val="nil"/>
              <w:tr2bl w:val="nil"/>
            </w:tcBorders>
            <w:noWrap w:val="0"/>
            <w:vAlign w:val="center"/>
          </w:tcPr>
          <w:p w14:paraId="5F08B80A">
            <w:pPr>
              <w:pageBreakBefore w:val="0"/>
              <w:wordWrap/>
              <w:bidi w:val="0"/>
              <w:adjustRightInd/>
              <w:snapToGrid/>
              <w:spacing w:line="300" w:lineRule="exact"/>
              <w:ind w:firstLine="0" w:firstLineChars="0"/>
              <w:rPr>
                <w:color w:val="auto"/>
                <w:sz w:val="21"/>
                <w:szCs w:val="21"/>
              </w:rPr>
            </w:pPr>
            <w:r>
              <w:rPr>
                <w:color w:val="auto"/>
                <w:sz w:val="21"/>
                <w:szCs w:val="21"/>
              </w:rPr>
              <w:t>废水、废气、格栅渣</w:t>
            </w:r>
          </w:p>
        </w:tc>
      </w:tr>
      <w:tr w14:paraId="6F249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16B0E0B">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05160B42">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4879CB41">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污水处理厂调节池-事故应急池</w:t>
            </w:r>
          </w:p>
        </w:tc>
        <w:tc>
          <w:tcPr>
            <w:tcW w:w="3340" w:type="pct"/>
            <w:tcBorders>
              <w:tl2br w:val="nil"/>
              <w:tr2bl w:val="nil"/>
            </w:tcBorders>
            <w:noWrap w:val="0"/>
            <w:vAlign w:val="center"/>
          </w:tcPr>
          <w:p w14:paraId="39133374">
            <w:pPr>
              <w:pageBreakBefore w:val="0"/>
              <w:wordWrap/>
              <w:bidi w:val="0"/>
              <w:adjustRightInd/>
              <w:snapToGrid/>
              <w:spacing w:line="300" w:lineRule="exact"/>
              <w:ind w:firstLine="0" w:firstLineChars="0"/>
              <w:rPr>
                <w:rFonts w:hint="eastAsia"/>
                <w:b w:val="0"/>
                <w:bCs/>
                <w:i w:val="0"/>
                <w:iCs/>
                <w:color w:val="auto"/>
                <w:sz w:val="21"/>
                <w:szCs w:val="21"/>
                <w:lang w:val="en-US" w:eastAsia="zh-CN"/>
              </w:rPr>
            </w:pPr>
            <w:r>
              <w:rPr>
                <w:rFonts w:hint="eastAsia"/>
                <w:b w:val="0"/>
                <w:bCs/>
                <w:i w:val="0"/>
                <w:iCs/>
                <w:color w:val="auto"/>
                <w:sz w:val="21"/>
                <w:szCs w:val="21"/>
                <w:lang w:val="en-US" w:eastAsia="zh-CN"/>
              </w:rPr>
              <w:t>污水调节池与应急事故池合建，各1座，其中</w:t>
            </w:r>
          </w:p>
          <w:p w14:paraId="06D504C1">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val="0"/>
                <w:i w:val="0"/>
                <w:iCs/>
                <w:color w:val="auto"/>
                <w:sz w:val="21"/>
                <w:szCs w:val="21"/>
                <w:lang w:val="en-US" w:eastAsia="zh-CN"/>
              </w:rPr>
              <w:t>调节池：</w:t>
            </w:r>
            <w:r>
              <w:rPr>
                <w:rFonts w:hint="eastAsia"/>
                <w:b w:val="0"/>
                <w:bCs/>
                <w:i w:val="0"/>
                <w:iCs/>
                <w:color w:val="auto"/>
                <w:sz w:val="21"/>
                <w:szCs w:val="21"/>
                <w:lang w:val="en-US" w:eastAsia="zh-CN"/>
              </w:rPr>
              <w:t>1座，钢筋砼结构内分2格，</w:t>
            </w:r>
            <w:r>
              <w:rPr>
                <w:rFonts w:hint="eastAsia"/>
                <w:color w:val="auto"/>
                <w:sz w:val="21"/>
                <w:szCs w:val="21"/>
                <w:lang w:val="en-US" w:eastAsia="zh-CN"/>
              </w:rPr>
              <w:t>设计规模：6000m³/d，</w:t>
            </w:r>
            <w:r>
              <w:rPr>
                <w:rFonts w:hint="eastAsia"/>
                <w:b w:val="0"/>
                <w:bCs/>
                <w:i w:val="0"/>
                <w:iCs/>
                <w:color w:val="auto"/>
                <w:sz w:val="21"/>
                <w:szCs w:val="21"/>
                <w:lang w:val="en-US" w:eastAsia="zh-CN"/>
              </w:rPr>
              <w:t>总</w:t>
            </w:r>
            <w:r>
              <w:rPr>
                <w:rFonts w:hint="eastAsia"/>
                <w:color w:val="auto"/>
                <w:sz w:val="21"/>
                <w:szCs w:val="21"/>
                <w:lang w:val="en-US" w:eastAsia="zh-CN"/>
              </w:rPr>
              <w:t>尺寸</w:t>
            </w:r>
            <w:r>
              <w:rPr>
                <w:rFonts w:hint="eastAsia"/>
                <w:b w:val="0"/>
                <w:bCs/>
                <w:i w:val="0"/>
                <w:iCs/>
                <w:color w:val="auto"/>
                <w:sz w:val="21"/>
                <w:szCs w:val="21"/>
                <w:lang w:val="en-US" w:eastAsia="zh-CN"/>
              </w:rPr>
              <w:t>L×B×H=21.10m×14.00m×8.05m，有效水深6.8m；</w:t>
            </w:r>
            <w:r>
              <w:rPr>
                <w:rFonts w:hint="eastAsia"/>
                <w:color w:val="auto"/>
                <w:sz w:val="21"/>
                <w:szCs w:val="21"/>
                <w:lang w:val="en-US" w:eastAsia="zh-CN"/>
              </w:rPr>
              <w:t>有效容积2000m³，停留时间：8.0h；</w:t>
            </w:r>
          </w:p>
          <w:p w14:paraId="56DC7228">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将不同工段，不同时段排出的废水进行混合搅拌，使废水的水质，水量保持稳定，减少来水波动，为后续处理创造稳定条件。</w:t>
            </w:r>
          </w:p>
          <w:p w14:paraId="3FA1E9A5">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val="0"/>
                <w:i w:val="0"/>
                <w:iCs/>
                <w:color w:val="auto"/>
                <w:sz w:val="21"/>
                <w:szCs w:val="21"/>
                <w:lang w:val="en-US" w:eastAsia="zh-CN"/>
              </w:rPr>
              <w:t>应急事故池：</w:t>
            </w:r>
            <w:r>
              <w:rPr>
                <w:rFonts w:hint="eastAsia"/>
                <w:b w:val="0"/>
                <w:bCs/>
                <w:i w:val="0"/>
                <w:iCs/>
                <w:color w:val="auto"/>
                <w:sz w:val="21"/>
                <w:szCs w:val="21"/>
                <w:lang w:val="en-US" w:eastAsia="zh-CN"/>
              </w:rPr>
              <w:t>1座，钢筋砼结构，内分2格，总尺寸L×B×H=29.60m×14.9m×8.05m，有效水深6.8m；</w:t>
            </w:r>
            <w:r>
              <w:rPr>
                <w:rFonts w:hint="eastAsia"/>
                <w:color w:val="auto"/>
                <w:sz w:val="21"/>
                <w:szCs w:val="21"/>
                <w:lang w:val="en-US" w:eastAsia="zh-CN"/>
              </w:rPr>
              <w:t>设计规模：6000m³/d，有效容积3000m³，停留时间：12.0h；</w:t>
            </w:r>
          </w:p>
          <w:p w14:paraId="0ACB389E">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在污水处理厂出现事故时将暂不能处理的事故废水进行暂存，待事故解除后再将其有序泵入污水处理工艺流程进行处理。</w:t>
            </w:r>
          </w:p>
        </w:tc>
        <w:tc>
          <w:tcPr>
            <w:tcW w:w="287" w:type="pct"/>
            <w:vMerge w:val="continue"/>
            <w:tcBorders>
              <w:tl2br w:val="nil"/>
              <w:tr2bl w:val="nil"/>
            </w:tcBorders>
            <w:noWrap w:val="0"/>
            <w:vAlign w:val="center"/>
          </w:tcPr>
          <w:p w14:paraId="1D0E4217">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9220737">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w:t>
            </w:r>
          </w:p>
        </w:tc>
      </w:tr>
      <w:tr w14:paraId="72083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ECF79E2">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6B1ED209">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7D500FD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水解酸化池</w:t>
            </w:r>
          </w:p>
        </w:tc>
        <w:tc>
          <w:tcPr>
            <w:tcW w:w="3340" w:type="pct"/>
            <w:tcBorders>
              <w:tl2br w:val="nil"/>
              <w:tr2bl w:val="nil"/>
            </w:tcBorders>
            <w:noWrap w:val="0"/>
            <w:vAlign w:val="center"/>
          </w:tcPr>
          <w:p w14:paraId="269CF45D">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i w:val="0"/>
                <w:iCs/>
                <w:color w:val="auto"/>
                <w:sz w:val="21"/>
                <w:szCs w:val="21"/>
                <w:lang w:val="en-US" w:eastAsia="zh-CN"/>
              </w:rPr>
              <w:t>1座，钢筋砼结构，</w:t>
            </w:r>
            <w:r>
              <w:rPr>
                <w:rFonts w:hint="eastAsia"/>
                <w:color w:val="auto"/>
                <w:sz w:val="21"/>
                <w:szCs w:val="21"/>
                <w:lang w:val="en-US" w:eastAsia="zh-CN"/>
              </w:rPr>
              <w:t>设计规模：3000m³/d，总尺寸</w:t>
            </w:r>
            <w:r>
              <w:rPr>
                <w:rFonts w:hint="eastAsia"/>
                <w:b w:val="0"/>
                <w:bCs/>
                <w:i w:val="0"/>
                <w:iCs/>
                <w:color w:val="auto"/>
                <w:sz w:val="21"/>
                <w:szCs w:val="21"/>
                <w:lang w:val="en-US" w:eastAsia="zh-CN"/>
              </w:rPr>
              <w:t>L×B×H=33.20m×8.4m×6.6m，</w:t>
            </w:r>
            <w:r>
              <w:rPr>
                <w:rFonts w:hint="eastAsia"/>
                <w:color w:val="auto"/>
                <w:sz w:val="21"/>
                <w:szCs w:val="21"/>
                <w:lang w:val="en-US" w:eastAsia="zh-CN"/>
              </w:rPr>
              <w:t>有效容积1000m³，停留时间：10.0h；</w:t>
            </w:r>
          </w:p>
          <w:p w14:paraId="22488EAE">
            <w:pPr>
              <w:pageBreakBefore w:val="0"/>
              <w:wordWrap/>
              <w:bidi w:val="0"/>
              <w:adjustRightInd/>
              <w:snapToGrid/>
              <w:spacing w:line="300" w:lineRule="exact"/>
              <w:ind w:firstLine="0" w:firstLineChars="0"/>
              <w:rPr>
                <w:color w:val="auto"/>
                <w:sz w:val="21"/>
                <w:szCs w:val="21"/>
              </w:rPr>
            </w:pPr>
            <w:r>
              <w:rPr>
                <w:rFonts w:hint="eastAsia"/>
                <w:b/>
                <w:bCs/>
                <w:color w:val="auto"/>
                <w:sz w:val="21"/>
                <w:szCs w:val="21"/>
                <w:lang w:val="en-US" w:eastAsia="zh-CN"/>
              </w:rPr>
              <w:t>主要功能：</w:t>
            </w:r>
            <w:r>
              <w:rPr>
                <w:rFonts w:hint="eastAsia"/>
                <w:color w:val="auto"/>
                <w:sz w:val="21"/>
                <w:szCs w:val="21"/>
                <w:lang w:val="en-US" w:eastAsia="zh-CN"/>
              </w:rPr>
              <w:t>将水中的固体，大分子和不易生物降解的有机物降解为易于生物降解的小分子有机物，提高废水的可生化性。</w:t>
            </w:r>
          </w:p>
        </w:tc>
        <w:tc>
          <w:tcPr>
            <w:tcW w:w="287" w:type="pct"/>
            <w:vMerge w:val="continue"/>
            <w:tcBorders>
              <w:tl2br w:val="nil"/>
              <w:tr2bl w:val="nil"/>
            </w:tcBorders>
            <w:noWrap w:val="0"/>
            <w:vAlign w:val="center"/>
          </w:tcPr>
          <w:p w14:paraId="197DEEDD">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5087D88E">
            <w:pPr>
              <w:pageBreakBefore w:val="0"/>
              <w:wordWrap/>
              <w:bidi w:val="0"/>
              <w:adjustRightInd/>
              <w:snapToGrid/>
              <w:spacing w:line="300" w:lineRule="exact"/>
              <w:ind w:firstLine="0" w:firstLineChars="0"/>
              <w:jc w:val="center"/>
              <w:rPr>
                <w:color w:val="auto"/>
                <w:sz w:val="21"/>
                <w:szCs w:val="21"/>
              </w:rPr>
            </w:pPr>
            <w:r>
              <w:rPr>
                <w:color w:val="auto"/>
                <w:sz w:val="21"/>
                <w:szCs w:val="21"/>
              </w:rPr>
              <w:t>废水、废气</w:t>
            </w:r>
          </w:p>
        </w:tc>
      </w:tr>
      <w:tr w14:paraId="73D450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6BAE0C7">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07D7F9C1">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二级处理单元</w:t>
            </w:r>
            <w:r>
              <w:rPr>
                <w:rFonts w:hint="eastAsia"/>
                <w:color w:val="auto"/>
                <w:sz w:val="21"/>
                <w:szCs w:val="21"/>
                <w:lang w:eastAsia="zh-CN"/>
              </w:rPr>
              <w:t>（</w:t>
            </w:r>
            <w:r>
              <w:rPr>
                <w:rFonts w:hint="eastAsia"/>
                <w:color w:val="auto"/>
                <w:sz w:val="21"/>
                <w:szCs w:val="21"/>
                <w:lang w:val="en-US" w:eastAsia="zh-CN"/>
              </w:rPr>
              <w:t>EBIS</w:t>
            </w:r>
            <w:r>
              <w:rPr>
                <w:rFonts w:hint="eastAsia"/>
                <w:color w:val="auto"/>
                <w:sz w:val="21"/>
                <w:szCs w:val="21"/>
                <w:lang w:eastAsia="zh-CN"/>
              </w:rPr>
              <w:t>）</w:t>
            </w:r>
          </w:p>
        </w:tc>
        <w:tc>
          <w:tcPr>
            <w:tcW w:w="534" w:type="pct"/>
            <w:tcBorders>
              <w:tl2br w:val="nil"/>
              <w:tr2bl w:val="nil"/>
            </w:tcBorders>
            <w:noWrap w:val="0"/>
            <w:vAlign w:val="center"/>
          </w:tcPr>
          <w:p w14:paraId="0A100EC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生化池</w:t>
            </w:r>
          </w:p>
        </w:tc>
        <w:tc>
          <w:tcPr>
            <w:tcW w:w="3340" w:type="pct"/>
            <w:tcBorders>
              <w:tl2br w:val="nil"/>
              <w:tr2bl w:val="nil"/>
            </w:tcBorders>
            <w:noWrap w:val="0"/>
            <w:vAlign w:val="center"/>
          </w:tcPr>
          <w:p w14:paraId="662DF4E3">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color w:val="auto"/>
                <w:sz w:val="21"/>
                <w:szCs w:val="21"/>
                <w:lang w:val="en-US" w:eastAsia="zh-CN"/>
              </w:rPr>
              <w:t>设置</w:t>
            </w:r>
            <w:r>
              <w:rPr>
                <w:rFonts w:hint="eastAsia"/>
                <w:color w:val="auto"/>
                <w:sz w:val="21"/>
                <w:szCs w:val="21"/>
              </w:rPr>
              <w:t>单组微氧低循环生化池</w:t>
            </w:r>
            <w:r>
              <w:rPr>
                <w:rFonts w:hint="eastAsia"/>
                <w:b w:val="0"/>
                <w:bCs/>
                <w:i w:val="0"/>
                <w:iCs/>
                <w:color w:val="auto"/>
                <w:sz w:val="21"/>
                <w:szCs w:val="21"/>
                <w:lang w:val="en-US" w:eastAsia="zh-CN"/>
              </w:rPr>
              <w:t>2座，钢筋砼结构，总尺寸L×B×H=32.70m×20.8m×6.3m，</w:t>
            </w:r>
            <w:r>
              <w:rPr>
                <w:rFonts w:hint="eastAsia"/>
                <w:color w:val="auto"/>
                <w:sz w:val="21"/>
                <w:szCs w:val="21"/>
                <w:lang w:val="en-US" w:eastAsia="zh-CN"/>
              </w:rPr>
              <w:t>设计规模：3000m³/d，包括厌氧区、低氧曝气区和沉淀区等单元，其中：</w:t>
            </w:r>
          </w:p>
          <w:p w14:paraId="3B83337E">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1#池：</w:t>
            </w:r>
            <w:r>
              <w:rPr>
                <w:rFonts w:hint="eastAsia"/>
                <w:b w:val="0"/>
                <w:bCs/>
                <w:i w:val="0"/>
                <w:iCs/>
                <w:color w:val="auto"/>
                <w:sz w:val="21"/>
                <w:szCs w:val="21"/>
                <w:lang w:val="en-US" w:eastAsia="zh-CN"/>
              </w:rPr>
              <w:t>设计规模：单池1500</w:t>
            </w:r>
            <w:r>
              <w:rPr>
                <w:rFonts w:hint="eastAsia"/>
                <w:color w:val="auto"/>
                <w:sz w:val="21"/>
                <w:szCs w:val="21"/>
                <w:lang w:val="en-US" w:eastAsia="zh-CN"/>
              </w:rPr>
              <w:t>m³/d，生物选择区停留时间：1.04h，厌氧区停留时间：5.38h，低氧曝气区停留时间：14.08h，澄清区表面负荷：1.177m³/m²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w:t>
            </w:r>
          </w:p>
          <w:p w14:paraId="47D5C4E0">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2#池：</w:t>
            </w:r>
            <w:r>
              <w:rPr>
                <w:rFonts w:hint="eastAsia"/>
                <w:b w:val="0"/>
                <w:bCs/>
                <w:i w:val="0"/>
                <w:iCs/>
                <w:color w:val="auto"/>
                <w:sz w:val="21"/>
                <w:szCs w:val="21"/>
                <w:lang w:val="en-US" w:eastAsia="zh-CN"/>
              </w:rPr>
              <w:t>设计规模：单池750</w:t>
            </w:r>
            <w:r>
              <w:rPr>
                <w:rFonts w:hint="eastAsia"/>
                <w:color w:val="auto"/>
                <w:sz w:val="21"/>
                <w:szCs w:val="21"/>
                <w:lang w:val="en-US" w:eastAsia="zh-CN"/>
              </w:rPr>
              <w:t>m³/d，厌氧区停留时间：6.34h，低氧曝气区停留时间：14.17h，澄清区表面负荷：1.155m³/m²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w:t>
            </w:r>
          </w:p>
          <w:p w14:paraId="7EFB82CD">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设计参数（合计）</w:t>
            </w:r>
            <w:r>
              <w:rPr>
                <w:rFonts w:hint="eastAsia"/>
                <w:color w:val="auto"/>
                <w:sz w:val="21"/>
                <w:szCs w:val="21"/>
                <w:lang w:val="en-US" w:eastAsia="zh-CN"/>
              </w:rPr>
              <w:t>：</w:t>
            </w:r>
          </w:p>
          <w:p w14:paraId="32EE9A33">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设计水量：125m³/h，有效容积：1922m³（不包括澄清区），总水力停留时间：15.376h（不包括澄清区），氧传递效率：≥25%，混合液悬浮固体浓度（MLSS）：5～8g/L，容积负荷：~0.59kgCOD/m³</w:t>
            </w:r>
            <w:r>
              <w:rPr>
                <w:rFonts w:hint="eastAsia" w:ascii="宋体" w:hAnsi="宋体" w:eastAsia="宋体" w:cs="宋体"/>
                <w:color w:val="auto"/>
                <w:sz w:val="21"/>
                <w:szCs w:val="21"/>
                <w:lang w:val="en-US" w:eastAsia="zh-CN"/>
              </w:rPr>
              <w:t>·</w:t>
            </w:r>
            <w:r>
              <w:rPr>
                <w:rFonts w:hint="eastAsia"/>
                <w:color w:val="auto"/>
                <w:sz w:val="21"/>
                <w:szCs w:val="21"/>
                <w:lang w:val="en-US" w:eastAsia="zh-CN"/>
              </w:rPr>
              <w:t>d，污泥负荷：~0.054kgBODs/kgMLSS</w:t>
            </w:r>
            <w:r>
              <w:rPr>
                <w:rFonts w:hint="eastAsia" w:ascii="宋体" w:hAnsi="宋体" w:eastAsia="宋体" w:cs="宋体"/>
                <w:color w:val="auto"/>
                <w:sz w:val="21"/>
                <w:szCs w:val="21"/>
                <w:lang w:val="en-US" w:eastAsia="zh-CN"/>
              </w:rPr>
              <w:t>·</w:t>
            </w:r>
            <w:r>
              <w:rPr>
                <w:rFonts w:hint="eastAsia"/>
                <w:color w:val="auto"/>
                <w:sz w:val="21"/>
                <w:szCs w:val="21"/>
                <w:lang w:val="en-US" w:eastAsia="zh-CN"/>
              </w:rPr>
              <w:t>d，污泥负荷：~0.009kgTN/kgMLSS</w:t>
            </w:r>
            <w:r>
              <w:rPr>
                <w:rFonts w:hint="eastAsia" w:ascii="宋体" w:hAnsi="宋体" w:eastAsia="宋体" w:cs="宋体"/>
                <w:color w:val="auto"/>
                <w:sz w:val="21"/>
                <w:szCs w:val="21"/>
                <w:lang w:val="en-US" w:eastAsia="zh-CN"/>
              </w:rPr>
              <w:t>·</w:t>
            </w:r>
            <w:r>
              <w:rPr>
                <w:rFonts w:hint="eastAsia"/>
                <w:color w:val="auto"/>
                <w:sz w:val="21"/>
                <w:szCs w:val="21"/>
                <w:lang w:val="en-US" w:eastAsia="zh-CN"/>
              </w:rPr>
              <w:t>d，设计污泥龄：~36d，污泥产量：约0.42t-DS/d，处理前污泥量：约42m³/d（含水率98.5%-99.0%），约2.1t/d（含水率80%）</w:t>
            </w:r>
          </w:p>
          <w:p w14:paraId="7E06632C">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利用好氧、缺氧、厌氧微生物的作用，去除废水中的有机物、氨氮及磷物质。</w:t>
            </w:r>
          </w:p>
        </w:tc>
        <w:tc>
          <w:tcPr>
            <w:tcW w:w="287" w:type="pct"/>
            <w:vMerge w:val="continue"/>
            <w:tcBorders>
              <w:tl2br w:val="nil"/>
              <w:tr2bl w:val="nil"/>
            </w:tcBorders>
            <w:noWrap w:val="0"/>
            <w:vAlign w:val="center"/>
          </w:tcPr>
          <w:p w14:paraId="363C553F">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689AACF">
            <w:pPr>
              <w:pageBreakBefore w:val="0"/>
              <w:wordWrap/>
              <w:bidi w:val="0"/>
              <w:adjustRightInd/>
              <w:snapToGrid/>
              <w:spacing w:line="300" w:lineRule="exact"/>
              <w:ind w:firstLine="0" w:firstLineChars="0"/>
              <w:jc w:val="center"/>
              <w:rPr>
                <w:rFonts w:hint="eastAsia"/>
                <w:color w:val="auto"/>
                <w:sz w:val="21"/>
                <w:szCs w:val="21"/>
              </w:rPr>
            </w:pPr>
            <w:r>
              <w:rPr>
                <w:color w:val="auto"/>
                <w:sz w:val="21"/>
                <w:szCs w:val="21"/>
              </w:rPr>
              <w:t>废水、废气</w:t>
            </w:r>
          </w:p>
        </w:tc>
      </w:tr>
      <w:tr w14:paraId="5CC8F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990234B">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24AA05DA">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3AC5DE24">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反硝化深床滤池</w:t>
            </w:r>
          </w:p>
        </w:tc>
        <w:tc>
          <w:tcPr>
            <w:tcW w:w="3340" w:type="pct"/>
            <w:tcBorders>
              <w:tl2br w:val="nil"/>
              <w:tr2bl w:val="nil"/>
            </w:tcBorders>
            <w:noWrap w:val="0"/>
            <w:vAlign w:val="center"/>
          </w:tcPr>
          <w:p w14:paraId="7CA88F03">
            <w:pPr>
              <w:pageBreakBefore w:val="0"/>
              <w:wordWrap/>
              <w:bidi w:val="0"/>
              <w:adjustRightInd/>
              <w:snapToGrid/>
              <w:spacing w:line="300" w:lineRule="exact"/>
              <w:ind w:firstLine="0" w:firstLineChars="0"/>
              <w:rPr>
                <w:rFonts w:hint="eastAsia" w:eastAsia="宋体"/>
                <w:color w:val="auto"/>
                <w:sz w:val="21"/>
                <w:szCs w:val="21"/>
                <w:lang w:val="en-US" w:eastAsia="zh-CN"/>
              </w:rPr>
            </w:pPr>
            <w:r>
              <w:rPr>
                <w:rFonts w:hint="eastAsia"/>
                <w:color w:val="auto"/>
                <w:sz w:val="21"/>
                <w:szCs w:val="21"/>
                <w:lang w:val="en-US" w:eastAsia="zh-CN"/>
              </w:rPr>
              <w:t>半地埋水池及地上配套用房1座，设计规模0.6</w:t>
            </w:r>
            <w:r>
              <w:rPr>
                <w:rFonts w:hint="eastAsia"/>
                <w:color w:val="auto"/>
                <w:sz w:val="21"/>
                <w:szCs w:val="21"/>
                <w:lang w:eastAsia="zh-CN"/>
              </w:rPr>
              <w:t>万m³</w:t>
            </w:r>
            <w:r>
              <w:rPr>
                <w:rFonts w:hint="eastAsia"/>
                <w:color w:val="auto"/>
                <w:sz w:val="21"/>
                <w:szCs w:val="21"/>
              </w:rPr>
              <w:t>/d，</w:t>
            </w:r>
            <w:r>
              <w:rPr>
                <w:rFonts w:hint="eastAsia"/>
                <w:color w:val="auto"/>
                <w:sz w:val="21"/>
                <w:szCs w:val="21"/>
                <w:lang w:val="en-US" w:eastAsia="zh-CN"/>
              </w:rPr>
              <w:t>设计平均流速：2.92m/h，设计平均流量强制滤速4.38m/h，水反冲洗强度：15m³/m²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h，反冲洗时间10-15min；气反冲洗强度：93m³/m²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.h，反冲洗时间10-15min，滤池反冲洗周期：24~28h，其中：</w:t>
            </w:r>
          </w:p>
          <w:p w14:paraId="024D88B3">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半地埋水池：</w:t>
            </w:r>
            <w:r>
              <w:rPr>
                <w:rFonts w:hint="eastAsia"/>
                <w:b w:val="0"/>
                <w:bCs w:val="0"/>
                <w:color w:val="auto"/>
                <w:sz w:val="21"/>
                <w:szCs w:val="21"/>
                <w:lang w:val="en-US" w:eastAsia="zh-CN"/>
              </w:rPr>
              <w:t>1座，钢筋砼结构，</w:t>
            </w:r>
            <w:r>
              <w:rPr>
                <w:rFonts w:hint="eastAsia"/>
                <w:color w:val="auto"/>
                <w:sz w:val="21"/>
                <w:szCs w:val="21"/>
                <w:lang w:val="en-US" w:eastAsia="zh-CN"/>
              </w:rPr>
              <w:t>总尺寸</w:t>
            </w:r>
            <w:r>
              <w:rPr>
                <w:rFonts w:hint="eastAsia"/>
                <w:b w:val="0"/>
                <w:bCs/>
                <w:i w:val="0"/>
                <w:iCs/>
                <w:color w:val="auto"/>
                <w:sz w:val="21"/>
                <w:szCs w:val="21"/>
                <w:lang w:val="en-US" w:eastAsia="zh-CN"/>
              </w:rPr>
              <w:t>L×B×H=21.90m×14.60m×（4.14-5.94）m；</w:t>
            </w:r>
          </w:p>
          <w:p w14:paraId="56DEC41E">
            <w:pPr>
              <w:pageBreakBefore w:val="0"/>
              <w:wordWrap/>
              <w:bidi w:val="0"/>
              <w:adjustRightInd/>
              <w:snapToGrid/>
              <w:spacing w:line="300" w:lineRule="exact"/>
              <w:ind w:firstLine="0" w:firstLineChars="0"/>
              <w:rPr>
                <w:rFonts w:hint="eastAsia"/>
                <w:b w:val="0"/>
                <w:bCs/>
                <w:i w:val="0"/>
                <w:iCs/>
                <w:color w:val="auto"/>
                <w:sz w:val="21"/>
                <w:szCs w:val="21"/>
                <w:lang w:val="en-US" w:eastAsia="zh-CN"/>
              </w:rPr>
            </w:pPr>
            <w:r>
              <w:rPr>
                <w:rFonts w:hint="eastAsia"/>
                <w:b/>
                <w:bCs/>
                <w:color w:val="auto"/>
                <w:sz w:val="21"/>
                <w:szCs w:val="21"/>
                <w:lang w:val="en-US" w:eastAsia="zh-CN"/>
              </w:rPr>
              <w:t>地面配套用房：</w:t>
            </w:r>
            <w:r>
              <w:rPr>
                <w:rFonts w:hint="eastAsia"/>
                <w:b w:val="0"/>
                <w:bCs w:val="0"/>
                <w:color w:val="auto"/>
                <w:sz w:val="21"/>
                <w:szCs w:val="21"/>
                <w:lang w:val="en-US" w:eastAsia="zh-CN"/>
              </w:rPr>
              <w:t>1座，钢架结构，</w:t>
            </w:r>
            <w:r>
              <w:rPr>
                <w:rFonts w:hint="eastAsia"/>
                <w:color w:val="auto"/>
                <w:sz w:val="21"/>
                <w:szCs w:val="21"/>
                <w:lang w:val="en-US" w:eastAsia="zh-CN"/>
              </w:rPr>
              <w:t>总尺寸</w:t>
            </w:r>
            <w:r>
              <w:rPr>
                <w:rFonts w:hint="eastAsia"/>
                <w:b w:val="0"/>
                <w:bCs/>
                <w:i w:val="0"/>
                <w:iCs/>
                <w:color w:val="auto"/>
                <w:sz w:val="21"/>
                <w:szCs w:val="21"/>
                <w:lang w:val="en-US" w:eastAsia="zh-CN"/>
              </w:rPr>
              <w:t>L×B×H=15m×6.4m×6.3m；</w:t>
            </w:r>
          </w:p>
          <w:p w14:paraId="79C2CE4D">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主要功能：</w:t>
            </w:r>
            <w:r>
              <w:rPr>
                <w:rFonts w:hint="eastAsia"/>
                <w:b w:val="0"/>
                <w:bCs/>
                <w:i w:val="0"/>
                <w:iCs/>
                <w:color w:val="auto"/>
                <w:sz w:val="21"/>
                <w:szCs w:val="21"/>
                <w:lang w:val="en-US" w:eastAsia="zh-CN"/>
              </w:rPr>
              <w:t>通过利用滤料中的反硝化菌的生化作用，进一步去除污水中的总氮。</w:t>
            </w:r>
          </w:p>
        </w:tc>
        <w:tc>
          <w:tcPr>
            <w:tcW w:w="287" w:type="pct"/>
            <w:vMerge w:val="continue"/>
            <w:tcBorders>
              <w:tl2br w:val="nil"/>
              <w:tr2bl w:val="nil"/>
            </w:tcBorders>
            <w:noWrap w:val="0"/>
            <w:vAlign w:val="center"/>
          </w:tcPr>
          <w:p w14:paraId="0DA8115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098004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w:t>
            </w:r>
          </w:p>
        </w:tc>
      </w:tr>
      <w:tr w14:paraId="42FF2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0C4E169">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70804C59">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深度处理</w:t>
            </w:r>
          </w:p>
        </w:tc>
        <w:tc>
          <w:tcPr>
            <w:tcW w:w="534" w:type="pct"/>
            <w:tcBorders>
              <w:tl2br w:val="nil"/>
              <w:tr2bl w:val="nil"/>
            </w:tcBorders>
            <w:noWrap w:val="0"/>
            <w:vAlign w:val="center"/>
          </w:tcPr>
          <w:p w14:paraId="7568C219">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高级氧化</w:t>
            </w:r>
            <w:r>
              <w:rPr>
                <w:rFonts w:hint="eastAsia"/>
                <w:color w:val="auto"/>
                <w:sz w:val="21"/>
                <w:szCs w:val="21"/>
                <w:lang w:val="en-US" w:eastAsia="zh-CN"/>
              </w:rPr>
              <w:t>深度</w:t>
            </w:r>
            <w:r>
              <w:rPr>
                <w:rFonts w:hint="eastAsia"/>
                <w:color w:val="auto"/>
                <w:sz w:val="21"/>
                <w:szCs w:val="21"/>
              </w:rPr>
              <w:t>处理系统</w:t>
            </w:r>
          </w:p>
        </w:tc>
        <w:tc>
          <w:tcPr>
            <w:tcW w:w="3340" w:type="pct"/>
            <w:tcBorders>
              <w:tl2br w:val="nil"/>
              <w:tr2bl w:val="nil"/>
            </w:tcBorders>
            <w:noWrap w:val="0"/>
            <w:vAlign w:val="center"/>
          </w:tcPr>
          <w:p w14:paraId="204C3F4D">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设计规模：3000m³/d，有效容积3000m³，停留时间：12.0h。一期一阶段先安装处理规模1500m³/d，一期二阶段再安装处理规模1500m³/d的设备。</w:t>
            </w:r>
          </w:p>
          <w:p w14:paraId="033E7B8B">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保证出水中COD达标，利用高级氧化技术将经过生化处理后残余的COD进行去除。</w:t>
            </w:r>
          </w:p>
        </w:tc>
        <w:tc>
          <w:tcPr>
            <w:tcW w:w="287" w:type="pct"/>
            <w:vMerge w:val="continue"/>
            <w:tcBorders>
              <w:tl2br w:val="nil"/>
              <w:tr2bl w:val="nil"/>
            </w:tcBorders>
            <w:noWrap w:val="0"/>
            <w:vAlign w:val="center"/>
          </w:tcPr>
          <w:p w14:paraId="6641C2A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2D96DF27">
            <w:pPr>
              <w:pageBreakBefore w:val="0"/>
              <w:wordWrap/>
              <w:bidi w:val="0"/>
              <w:adjustRightInd/>
              <w:snapToGrid/>
              <w:spacing w:line="300" w:lineRule="exact"/>
              <w:ind w:firstLine="0" w:firstLineChars="0"/>
              <w:jc w:val="center"/>
              <w:rPr>
                <w:color w:val="auto"/>
                <w:sz w:val="21"/>
                <w:szCs w:val="21"/>
              </w:rPr>
            </w:pPr>
            <w:r>
              <w:rPr>
                <w:color w:val="auto"/>
                <w:sz w:val="21"/>
                <w:szCs w:val="21"/>
              </w:rPr>
              <w:t>废水、噪声</w:t>
            </w:r>
          </w:p>
        </w:tc>
      </w:tr>
      <w:tr w14:paraId="40EFF4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29CE5711">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219D58AA">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75BAC72D">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紫外线消毒-出水计量渠</w:t>
            </w:r>
          </w:p>
        </w:tc>
        <w:tc>
          <w:tcPr>
            <w:tcW w:w="3340" w:type="pct"/>
            <w:tcBorders>
              <w:tl2br w:val="nil"/>
              <w:tr2bl w:val="nil"/>
            </w:tcBorders>
            <w:noWrap w:val="0"/>
            <w:vAlign w:val="center"/>
          </w:tcPr>
          <w:p w14:paraId="48262478">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设消毒水池一座，钢筋砼结构，设计规模：16000m³/d，总尺寸</w:t>
            </w:r>
            <w:r>
              <w:rPr>
                <w:rFonts w:hint="eastAsia"/>
                <w:b w:val="0"/>
                <w:bCs/>
                <w:i w:val="0"/>
                <w:iCs/>
                <w:color w:val="auto"/>
                <w:sz w:val="21"/>
                <w:szCs w:val="21"/>
                <w:lang w:val="en-US" w:eastAsia="zh-CN"/>
              </w:rPr>
              <w:t>L×B×H=15.00m×4.80m×3.05m，</w:t>
            </w:r>
            <w:r>
              <w:rPr>
                <w:rFonts w:hint="eastAsia"/>
                <w:color w:val="auto"/>
                <w:sz w:val="21"/>
                <w:szCs w:val="21"/>
                <w:lang w:val="en-US" w:eastAsia="zh-CN"/>
              </w:rPr>
              <w:t>有效容积1000m³，内设紫外线消毒设备：1套，处理能力6000m³/d</w:t>
            </w:r>
          </w:p>
          <w:p w14:paraId="7D892CB3">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通过紫外线的杀菌作用处理污水，保证出水中病毒细菌指标达标，同时采用明渠流量计对最终处理达标外排尾水进行实时计量。</w:t>
            </w:r>
          </w:p>
        </w:tc>
        <w:tc>
          <w:tcPr>
            <w:tcW w:w="287" w:type="pct"/>
            <w:vMerge w:val="continue"/>
            <w:tcBorders>
              <w:tl2br w:val="nil"/>
              <w:tr2bl w:val="nil"/>
            </w:tcBorders>
            <w:noWrap w:val="0"/>
            <w:vAlign w:val="center"/>
          </w:tcPr>
          <w:p w14:paraId="2D97F6E8">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24EA223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r w14:paraId="1F065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DB8677C">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452EFB2A">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管道工程</w:t>
            </w:r>
          </w:p>
        </w:tc>
        <w:tc>
          <w:tcPr>
            <w:tcW w:w="534" w:type="pct"/>
            <w:tcBorders>
              <w:tl2br w:val="nil"/>
              <w:tr2bl w:val="nil"/>
            </w:tcBorders>
            <w:noWrap w:val="0"/>
            <w:vAlign w:val="center"/>
          </w:tcPr>
          <w:p w14:paraId="6D595757">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尾水管道</w:t>
            </w:r>
          </w:p>
        </w:tc>
        <w:tc>
          <w:tcPr>
            <w:tcW w:w="3340" w:type="pct"/>
            <w:tcBorders>
              <w:tl2br w:val="nil"/>
              <w:tr2bl w:val="nil"/>
            </w:tcBorders>
            <w:noWrap w:val="0"/>
            <w:vAlign w:val="center"/>
          </w:tcPr>
          <w:p w14:paraId="4A2F65F4">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color w:val="auto"/>
                <w:sz w:val="21"/>
                <w:szCs w:val="21"/>
              </w:rPr>
              <w:t>厂外尾水排放管道按远期2035年</w:t>
            </w:r>
            <w:r>
              <w:rPr>
                <w:rFonts w:hint="eastAsia"/>
                <w:color w:val="auto"/>
                <w:sz w:val="21"/>
                <w:szCs w:val="21"/>
                <w:lang w:eastAsia="zh-CN"/>
              </w:rPr>
              <w:t>，</w:t>
            </w:r>
            <w:r>
              <w:rPr>
                <w:rFonts w:hint="eastAsia"/>
                <w:color w:val="auto"/>
                <w:sz w:val="21"/>
                <w:szCs w:val="21"/>
              </w:rPr>
              <w:t>规模1.6万</w:t>
            </w:r>
            <w:r>
              <w:rPr>
                <w:rFonts w:hint="eastAsia"/>
                <w:color w:val="auto"/>
                <w:sz w:val="21"/>
                <w:szCs w:val="21"/>
                <w:lang w:val="en-US" w:eastAsia="zh-CN"/>
              </w:rPr>
              <w:t>m³</w:t>
            </w:r>
            <w:r>
              <w:rPr>
                <w:rFonts w:hint="eastAsia"/>
                <w:color w:val="auto"/>
                <w:sz w:val="21"/>
                <w:szCs w:val="21"/>
              </w:rPr>
              <w:t>/d设计</w:t>
            </w:r>
            <w:r>
              <w:rPr>
                <w:rFonts w:hint="eastAsia"/>
                <w:color w:val="auto"/>
                <w:sz w:val="21"/>
                <w:szCs w:val="21"/>
                <w:lang w:eastAsia="zh-CN"/>
              </w:rPr>
              <w:t>。</w:t>
            </w:r>
            <w:r>
              <w:rPr>
                <w:rFonts w:hint="eastAsia"/>
                <w:color w:val="auto"/>
                <w:sz w:val="21"/>
                <w:szCs w:val="21"/>
                <w:lang w:val="en-US" w:eastAsia="zh-CN"/>
              </w:rPr>
              <w:t>本工程尾水排放采用重力流排放，</w:t>
            </w:r>
            <w:r>
              <w:rPr>
                <w:rFonts w:hint="eastAsia"/>
                <w:color w:val="auto"/>
                <w:sz w:val="21"/>
                <w:szCs w:val="21"/>
                <w:lang w:eastAsia="zh-CN"/>
              </w:rPr>
              <w:t>起点在污水处理厂南侧围墙外，</w:t>
            </w:r>
            <w:r>
              <w:rPr>
                <w:rFonts w:hint="eastAsia"/>
                <w:color w:val="auto"/>
                <w:sz w:val="21"/>
                <w:szCs w:val="21"/>
                <w:lang w:val="en-US" w:eastAsia="zh-CN"/>
              </w:rPr>
              <w:t>管径DN600采用钢管内外防腐，长度约550m。</w:t>
            </w:r>
          </w:p>
        </w:tc>
        <w:tc>
          <w:tcPr>
            <w:tcW w:w="287" w:type="pct"/>
            <w:vMerge w:val="continue"/>
            <w:tcBorders>
              <w:tl2br w:val="nil"/>
              <w:tr2bl w:val="nil"/>
            </w:tcBorders>
            <w:noWrap w:val="0"/>
            <w:vAlign w:val="center"/>
          </w:tcPr>
          <w:p w14:paraId="2186D0F4">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53C55694">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w:t>
            </w:r>
          </w:p>
        </w:tc>
      </w:tr>
      <w:tr w14:paraId="33E2E2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A8F30B4">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729F5003">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0989732B">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中水回用管道</w:t>
            </w:r>
          </w:p>
        </w:tc>
        <w:tc>
          <w:tcPr>
            <w:tcW w:w="3340" w:type="pct"/>
            <w:tcBorders>
              <w:tl2br w:val="nil"/>
              <w:tr2bl w:val="nil"/>
            </w:tcBorders>
            <w:noWrap w:val="0"/>
            <w:vAlign w:val="center"/>
          </w:tcPr>
          <w:p w14:paraId="49EE691E">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color w:val="auto"/>
                <w:sz w:val="21"/>
                <w:szCs w:val="21"/>
              </w:rPr>
              <w:t>考虑到一期中水回用量较少</w:t>
            </w:r>
            <w:r>
              <w:rPr>
                <w:rFonts w:hint="eastAsia"/>
                <w:color w:val="auto"/>
                <w:sz w:val="21"/>
                <w:szCs w:val="21"/>
                <w:lang w:eastAsia="zh-CN"/>
              </w:rPr>
              <w:t>，</w:t>
            </w:r>
            <w:r>
              <w:rPr>
                <w:rFonts w:hint="eastAsia"/>
                <w:color w:val="auto"/>
                <w:sz w:val="21"/>
                <w:szCs w:val="21"/>
              </w:rPr>
              <w:t>且实际使用中水企业不多</w:t>
            </w:r>
            <w:r>
              <w:rPr>
                <w:rFonts w:hint="eastAsia"/>
                <w:color w:val="auto"/>
                <w:sz w:val="21"/>
                <w:szCs w:val="21"/>
                <w:lang w:eastAsia="zh-CN"/>
              </w:rPr>
              <w:t>，</w:t>
            </w:r>
            <w:r>
              <w:rPr>
                <w:rFonts w:hint="eastAsia"/>
                <w:color w:val="auto"/>
                <w:sz w:val="21"/>
                <w:szCs w:val="21"/>
              </w:rPr>
              <w:t>因此一期中水回用建议用取水车</w:t>
            </w:r>
            <w:r>
              <w:rPr>
                <w:rFonts w:hint="eastAsia"/>
                <w:color w:val="auto"/>
                <w:sz w:val="21"/>
                <w:szCs w:val="21"/>
                <w:lang w:eastAsia="zh-CN"/>
              </w:rPr>
              <w:t>，</w:t>
            </w:r>
            <w:r>
              <w:rPr>
                <w:rFonts w:hint="eastAsia"/>
                <w:color w:val="auto"/>
                <w:sz w:val="21"/>
                <w:szCs w:val="21"/>
                <w:lang w:val="en-US" w:eastAsia="zh-CN"/>
              </w:rPr>
              <w:t>暂不建设中水回用管道。</w:t>
            </w:r>
          </w:p>
        </w:tc>
        <w:tc>
          <w:tcPr>
            <w:tcW w:w="287" w:type="pct"/>
            <w:vMerge w:val="continue"/>
            <w:tcBorders>
              <w:tl2br w:val="nil"/>
              <w:tr2bl w:val="nil"/>
            </w:tcBorders>
            <w:noWrap w:val="0"/>
            <w:vAlign w:val="center"/>
          </w:tcPr>
          <w:p w14:paraId="4846C371">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70A610B3">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w:t>
            </w:r>
          </w:p>
        </w:tc>
      </w:tr>
      <w:tr w14:paraId="7F6D4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3B997D2">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495A6CED">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园区环境监测站</w:t>
            </w:r>
          </w:p>
        </w:tc>
        <w:tc>
          <w:tcPr>
            <w:tcW w:w="534" w:type="pct"/>
            <w:tcBorders>
              <w:tl2br w:val="nil"/>
              <w:tr2bl w:val="nil"/>
            </w:tcBorders>
            <w:noWrap w:val="0"/>
            <w:vAlign w:val="center"/>
          </w:tcPr>
          <w:p w14:paraId="6C721E6A">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常规空气站、颗粒物及光化学组分站</w:t>
            </w:r>
          </w:p>
        </w:tc>
        <w:tc>
          <w:tcPr>
            <w:tcW w:w="3340" w:type="pct"/>
            <w:tcBorders>
              <w:tl2br w:val="nil"/>
              <w:tr2bl w:val="nil"/>
            </w:tcBorders>
            <w:noWrap w:val="0"/>
            <w:vAlign w:val="center"/>
          </w:tcPr>
          <w:p w14:paraId="06115DFC">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位于综合楼内；</w:t>
            </w:r>
          </w:p>
          <w:p w14:paraId="75B1316B">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常规空气站部分（敏感目标）监测项目：</w:t>
            </w:r>
            <w:r>
              <w:rPr>
                <w:rFonts w:hint="eastAsia"/>
                <w:color w:val="auto"/>
                <w:sz w:val="21"/>
                <w:szCs w:val="21"/>
                <w:lang w:val="en-US" w:eastAsia="zh-CN"/>
              </w:rPr>
              <w:t>常规空气六参数，包括SO</w:t>
            </w:r>
            <w:r>
              <w:rPr>
                <w:rFonts w:hint="eastAsia"/>
                <w:color w:val="auto"/>
                <w:sz w:val="21"/>
                <w:szCs w:val="21"/>
                <w:vertAlign w:val="subscript"/>
                <w:lang w:val="en-US" w:eastAsia="zh-CN"/>
              </w:rPr>
              <w:t>2</w:t>
            </w:r>
            <w:r>
              <w:rPr>
                <w:rFonts w:hint="eastAsia"/>
                <w:color w:val="auto"/>
                <w:sz w:val="21"/>
                <w:szCs w:val="21"/>
                <w:lang w:val="en-US" w:eastAsia="zh-CN"/>
              </w:rPr>
              <w:t>、NOx、CO、O</w:t>
            </w:r>
            <w:r>
              <w:rPr>
                <w:rFonts w:hint="eastAsia"/>
                <w:color w:val="auto"/>
                <w:sz w:val="21"/>
                <w:szCs w:val="21"/>
                <w:vertAlign w:val="subscript"/>
                <w:lang w:val="en-US" w:eastAsia="zh-CN"/>
              </w:rPr>
              <w:t>3</w:t>
            </w:r>
            <w:r>
              <w:rPr>
                <w:rFonts w:hint="eastAsia"/>
                <w:color w:val="auto"/>
                <w:sz w:val="21"/>
                <w:szCs w:val="21"/>
                <w:lang w:val="en-US" w:eastAsia="zh-CN"/>
              </w:rPr>
              <w:t>、PM</w:t>
            </w:r>
            <w:r>
              <w:rPr>
                <w:rFonts w:hint="eastAsia"/>
                <w:color w:val="auto"/>
                <w:sz w:val="21"/>
                <w:szCs w:val="21"/>
                <w:vertAlign w:val="subscript"/>
                <w:lang w:val="en-US" w:eastAsia="zh-CN"/>
              </w:rPr>
              <w:t>10</w:t>
            </w:r>
            <w:r>
              <w:rPr>
                <w:rFonts w:hint="eastAsia"/>
                <w:color w:val="auto"/>
                <w:sz w:val="21"/>
                <w:szCs w:val="21"/>
                <w:lang w:val="en-US" w:eastAsia="zh-CN"/>
              </w:rPr>
              <w:t>、PM</w:t>
            </w:r>
            <w:r>
              <w:rPr>
                <w:rFonts w:hint="eastAsia"/>
                <w:color w:val="auto"/>
                <w:sz w:val="21"/>
                <w:szCs w:val="21"/>
                <w:vertAlign w:val="subscript"/>
                <w:lang w:val="en-US" w:eastAsia="zh-CN"/>
              </w:rPr>
              <w:t>2.5</w:t>
            </w:r>
            <w:r>
              <w:rPr>
                <w:rFonts w:hint="eastAsia"/>
                <w:color w:val="auto"/>
                <w:sz w:val="21"/>
                <w:szCs w:val="21"/>
                <w:lang w:val="en-US" w:eastAsia="zh-CN"/>
              </w:rPr>
              <w:t>以及气象五参数。</w:t>
            </w:r>
          </w:p>
          <w:p w14:paraId="3457BF33">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颗粒物及光化学组分监测项目：</w:t>
            </w:r>
            <w:r>
              <w:rPr>
                <w:rFonts w:hint="eastAsia"/>
                <w:color w:val="auto"/>
                <w:sz w:val="21"/>
                <w:szCs w:val="21"/>
                <w:lang w:val="en-US" w:eastAsia="zh-CN"/>
              </w:rPr>
              <w:t>元素碳、有机碳；PM2.5中的水溶性离子（包括硫酸根离子、硝酸根离子、氟离子、氯离子、钠离子、铵根离子、钾离子、镁离子、钙离子等）：环境空气中117种挥发性有机物（包括57种PAMS物质13种醛酮类物质、47种TO15物质监测）；非甲烷总烃、总烃、甲烷气象五参数。</w:t>
            </w:r>
          </w:p>
        </w:tc>
        <w:tc>
          <w:tcPr>
            <w:tcW w:w="287" w:type="pct"/>
            <w:vMerge w:val="continue"/>
            <w:tcBorders>
              <w:tl2br w:val="nil"/>
              <w:tr2bl w:val="nil"/>
            </w:tcBorders>
            <w:noWrap w:val="0"/>
            <w:vAlign w:val="center"/>
          </w:tcPr>
          <w:p w14:paraId="0FEFA15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FF9E72A">
            <w:pPr>
              <w:pageBreakBefore w:val="0"/>
              <w:wordWrap/>
              <w:bidi w:val="0"/>
              <w:adjustRightInd/>
              <w:snapToGrid/>
              <w:spacing w:line="300" w:lineRule="exact"/>
              <w:ind w:firstLine="0" w:firstLineChars="0"/>
              <w:jc w:val="center"/>
              <w:rPr>
                <w:rFonts w:hint="eastAsia"/>
                <w:color w:val="auto"/>
                <w:sz w:val="21"/>
                <w:szCs w:val="21"/>
              </w:rPr>
            </w:pPr>
          </w:p>
        </w:tc>
      </w:tr>
      <w:tr w14:paraId="51735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AE1BA5E">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5D70F69C">
            <w:pPr>
              <w:pageBreakBefore w:val="0"/>
              <w:wordWrap/>
              <w:bidi w:val="0"/>
              <w:adjustRightInd/>
              <w:snapToGrid/>
              <w:spacing w:line="300" w:lineRule="exact"/>
              <w:ind w:firstLine="0" w:firstLineChars="0"/>
              <w:jc w:val="center"/>
              <w:rPr>
                <w:color w:val="auto"/>
                <w:sz w:val="21"/>
                <w:szCs w:val="21"/>
              </w:rPr>
            </w:pPr>
          </w:p>
        </w:tc>
        <w:tc>
          <w:tcPr>
            <w:tcW w:w="534" w:type="pct"/>
            <w:tcBorders>
              <w:tl2br w:val="nil"/>
              <w:tr2bl w:val="nil"/>
            </w:tcBorders>
            <w:noWrap w:val="0"/>
            <w:vAlign w:val="center"/>
          </w:tcPr>
          <w:p w14:paraId="6A72F582">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水质自动监测系统</w:t>
            </w:r>
          </w:p>
        </w:tc>
        <w:tc>
          <w:tcPr>
            <w:tcW w:w="3340" w:type="pct"/>
            <w:tcBorders>
              <w:tl2br w:val="nil"/>
              <w:tr2bl w:val="nil"/>
            </w:tcBorders>
            <w:noWrap w:val="0"/>
            <w:vAlign w:val="center"/>
          </w:tcPr>
          <w:p w14:paraId="1C685E41">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水质自动监测系统监测项目：</w:t>
            </w:r>
            <w:r>
              <w:rPr>
                <w:rFonts w:hint="eastAsia"/>
                <w:color w:val="auto"/>
                <w:sz w:val="21"/>
                <w:szCs w:val="21"/>
                <w:lang w:val="en-US" w:eastAsia="zh-CN"/>
              </w:rPr>
              <w:t>水温、PH、溶解氧、电导率、浊度、高锰酸盐、化学需氧量、氨氮、总磷、总氮。</w:t>
            </w:r>
          </w:p>
        </w:tc>
        <w:tc>
          <w:tcPr>
            <w:tcW w:w="287" w:type="pct"/>
            <w:vMerge w:val="continue"/>
            <w:tcBorders>
              <w:tl2br w:val="nil"/>
              <w:tr2bl w:val="nil"/>
            </w:tcBorders>
            <w:noWrap w:val="0"/>
            <w:vAlign w:val="center"/>
          </w:tcPr>
          <w:p w14:paraId="7A76A12D">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09D7771">
            <w:pPr>
              <w:pageBreakBefore w:val="0"/>
              <w:wordWrap/>
              <w:bidi w:val="0"/>
              <w:adjustRightInd/>
              <w:snapToGrid/>
              <w:spacing w:line="300" w:lineRule="exact"/>
              <w:ind w:firstLine="0" w:firstLineChars="0"/>
              <w:jc w:val="center"/>
              <w:rPr>
                <w:rFonts w:hint="eastAsia"/>
                <w:color w:val="auto"/>
                <w:sz w:val="21"/>
                <w:szCs w:val="21"/>
              </w:rPr>
            </w:pPr>
          </w:p>
        </w:tc>
      </w:tr>
      <w:tr w14:paraId="5CA71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18F9B4F3">
            <w:pPr>
              <w:pageBreakBefore w:val="0"/>
              <w:wordWrap/>
              <w:bidi w:val="0"/>
              <w:adjustRightInd/>
              <w:snapToGrid/>
              <w:spacing w:line="300" w:lineRule="exact"/>
              <w:ind w:firstLine="0" w:firstLineChars="0"/>
              <w:jc w:val="center"/>
              <w:rPr>
                <w:color w:val="auto"/>
                <w:sz w:val="21"/>
                <w:szCs w:val="21"/>
              </w:rPr>
            </w:pPr>
            <w:r>
              <w:rPr>
                <w:color w:val="auto"/>
                <w:sz w:val="21"/>
                <w:szCs w:val="21"/>
              </w:rPr>
              <w:t>配套辅助公辅设施</w:t>
            </w:r>
          </w:p>
        </w:tc>
        <w:tc>
          <w:tcPr>
            <w:tcW w:w="756" w:type="pct"/>
            <w:gridSpan w:val="2"/>
            <w:tcBorders>
              <w:tl2br w:val="nil"/>
              <w:tr2bl w:val="nil"/>
            </w:tcBorders>
            <w:noWrap w:val="0"/>
            <w:vAlign w:val="center"/>
          </w:tcPr>
          <w:p w14:paraId="27B0C258">
            <w:pPr>
              <w:pageBreakBefore w:val="0"/>
              <w:wordWrap/>
              <w:bidi w:val="0"/>
              <w:adjustRightInd/>
              <w:snapToGrid/>
              <w:spacing w:line="300" w:lineRule="exact"/>
              <w:ind w:firstLine="0" w:firstLineChars="0"/>
              <w:jc w:val="center"/>
              <w:rPr>
                <w:rFonts w:ascii="Times New Roman" w:hAnsi="Times New Roman" w:eastAsia="宋体"/>
                <w:color w:val="auto"/>
                <w:kern w:val="2"/>
                <w:sz w:val="21"/>
                <w:szCs w:val="21"/>
                <w:lang w:val="en-US" w:eastAsia="zh-CN" w:bidi="ar-SA"/>
              </w:rPr>
            </w:pPr>
            <w:r>
              <w:rPr>
                <w:rFonts w:hint="eastAsia"/>
                <w:color w:val="auto"/>
                <w:sz w:val="21"/>
                <w:szCs w:val="21"/>
              </w:rPr>
              <w:t>污泥脱水车间-</w:t>
            </w:r>
            <w:r>
              <w:rPr>
                <w:rFonts w:hint="eastAsia"/>
                <w:color w:val="auto"/>
                <w:sz w:val="21"/>
                <w:szCs w:val="21"/>
                <w:lang w:val="en-US" w:eastAsia="zh-CN"/>
              </w:rPr>
              <w:t>磁混凝</w:t>
            </w:r>
            <w:r>
              <w:rPr>
                <w:rFonts w:hint="eastAsia"/>
                <w:color w:val="auto"/>
                <w:sz w:val="21"/>
                <w:szCs w:val="21"/>
              </w:rPr>
              <w:t>沉淀池</w:t>
            </w:r>
          </w:p>
        </w:tc>
        <w:tc>
          <w:tcPr>
            <w:tcW w:w="3340" w:type="pct"/>
            <w:tcBorders>
              <w:tl2br w:val="nil"/>
              <w:tr2bl w:val="nil"/>
            </w:tcBorders>
            <w:noWrap w:val="0"/>
            <w:vAlign w:val="center"/>
          </w:tcPr>
          <w:p w14:paraId="774A21D7">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磁混凝沉淀池设备间与污泥脱水车间合建1座，框架结构，设计规模6000m³/d，其中：</w:t>
            </w:r>
          </w:p>
          <w:p w14:paraId="27E7CA5C">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磁混凝沉淀池设备间：</w:t>
            </w:r>
            <w:r>
              <w:rPr>
                <w:rFonts w:hint="eastAsia"/>
                <w:color w:val="auto"/>
                <w:sz w:val="21"/>
                <w:szCs w:val="21"/>
                <w:lang w:val="en-US" w:eastAsia="zh-CN"/>
              </w:rPr>
              <w:t>1F，框架结构，总尺寸L×B×H=19.20m×12.00m×11.1m，内设一体化磁混凝沉淀池1套，单套处理能力：3000m³/d，配套PAC、PAM的配置及加药系统；磁混凝沉淀池通过絮凝、混凝反应等一系列反应，去除废水中部分悬浮物、TP、总硬度。</w:t>
            </w:r>
          </w:p>
          <w:p w14:paraId="75C99262">
            <w:pPr>
              <w:pageBreakBefore w:val="0"/>
              <w:wordWrap/>
              <w:bidi w:val="0"/>
              <w:adjustRightInd/>
              <w:snapToGrid/>
              <w:spacing w:line="300" w:lineRule="exact"/>
              <w:ind w:firstLine="0" w:firstLineChars="0"/>
              <w:rPr>
                <w:rFonts w:hint="default" w:ascii="Times New Roman" w:hAnsi="Times New Roman" w:eastAsia="宋体"/>
                <w:color w:val="auto"/>
                <w:kern w:val="2"/>
                <w:sz w:val="21"/>
                <w:szCs w:val="21"/>
                <w:lang w:val="en-US" w:eastAsia="zh-CN" w:bidi="ar-SA"/>
              </w:rPr>
            </w:pPr>
            <w:r>
              <w:rPr>
                <w:rFonts w:hint="eastAsia"/>
                <w:b/>
                <w:bCs/>
                <w:color w:val="auto"/>
                <w:sz w:val="21"/>
                <w:szCs w:val="21"/>
                <w:lang w:val="en-US" w:eastAsia="zh-CN"/>
              </w:rPr>
              <w:t>污泥脱水车间：</w:t>
            </w:r>
            <w:r>
              <w:rPr>
                <w:rFonts w:hint="eastAsia"/>
                <w:color w:val="auto"/>
                <w:sz w:val="21"/>
                <w:szCs w:val="21"/>
                <w:lang w:val="en-US" w:eastAsia="zh-CN"/>
              </w:rPr>
              <w:t>2F，框架结构，总尺寸L×B×H=28.40m×19.20m×15.7m，将整个厂区的污泥进行机械脱水至含水率60%以下。</w:t>
            </w:r>
          </w:p>
        </w:tc>
        <w:tc>
          <w:tcPr>
            <w:tcW w:w="287" w:type="pct"/>
            <w:vMerge w:val="continue"/>
            <w:tcBorders>
              <w:tl2br w:val="nil"/>
              <w:tr2bl w:val="nil"/>
            </w:tcBorders>
            <w:noWrap w:val="0"/>
            <w:vAlign w:val="center"/>
          </w:tcPr>
          <w:p w14:paraId="68661B3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5F3C82DA">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废水、废气、固废</w:t>
            </w:r>
          </w:p>
        </w:tc>
      </w:tr>
      <w:tr w14:paraId="5726C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21578926">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7E0D8534">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污泥池</w:t>
            </w:r>
          </w:p>
        </w:tc>
        <w:tc>
          <w:tcPr>
            <w:tcW w:w="3340" w:type="pct"/>
            <w:tcBorders>
              <w:tl2br w:val="nil"/>
              <w:tr2bl w:val="nil"/>
            </w:tcBorders>
            <w:noWrap w:val="0"/>
            <w:vAlign w:val="center"/>
          </w:tcPr>
          <w:p w14:paraId="199333E9">
            <w:pPr>
              <w:pageBreakBefore w:val="0"/>
              <w:wordWrap/>
              <w:bidi w:val="0"/>
              <w:adjustRightInd/>
              <w:snapToGrid/>
              <w:spacing w:line="300" w:lineRule="exact"/>
              <w:ind w:firstLine="0" w:firstLineChars="0"/>
              <w:rPr>
                <w:rFonts w:hint="eastAsia"/>
                <w:color w:val="auto"/>
                <w:sz w:val="21"/>
                <w:szCs w:val="21"/>
                <w:lang w:eastAsia="zh-CN"/>
              </w:rPr>
            </w:pPr>
            <w:r>
              <w:rPr>
                <w:color w:val="auto"/>
                <w:sz w:val="21"/>
                <w:szCs w:val="21"/>
              </w:rPr>
              <w:t>1座</w:t>
            </w:r>
            <w:r>
              <w:rPr>
                <w:rFonts w:hint="eastAsia"/>
                <w:color w:val="auto"/>
                <w:sz w:val="21"/>
                <w:szCs w:val="21"/>
                <w:lang w:eastAsia="zh-CN"/>
              </w:rPr>
              <w:t>，</w:t>
            </w:r>
            <w:r>
              <w:rPr>
                <w:rFonts w:hint="eastAsia"/>
                <w:color w:val="auto"/>
                <w:sz w:val="21"/>
                <w:szCs w:val="21"/>
                <w:lang w:val="en-US" w:eastAsia="zh-CN"/>
              </w:rPr>
              <w:t>分2格</w:t>
            </w:r>
            <w:r>
              <w:rPr>
                <w:color w:val="auto"/>
                <w:sz w:val="21"/>
                <w:szCs w:val="21"/>
              </w:rPr>
              <w:t>，钢筋砼</w:t>
            </w:r>
            <w:r>
              <w:rPr>
                <w:rFonts w:hint="eastAsia"/>
                <w:color w:val="auto"/>
                <w:sz w:val="21"/>
                <w:szCs w:val="21"/>
                <w:lang w:val="en-US" w:eastAsia="zh-CN"/>
              </w:rPr>
              <w:t>结构</w:t>
            </w:r>
            <w:r>
              <w:rPr>
                <w:color w:val="auto"/>
                <w:sz w:val="21"/>
                <w:szCs w:val="21"/>
              </w:rPr>
              <w:t>，</w:t>
            </w:r>
            <w:r>
              <w:rPr>
                <w:rFonts w:hint="eastAsia"/>
                <w:color w:val="auto"/>
                <w:sz w:val="21"/>
                <w:szCs w:val="21"/>
              </w:rPr>
              <w:t>L×B×H=8.30m×5.00m×5.0m</w:t>
            </w:r>
            <w:r>
              <w:rPr>
                <w:rFonts w:hint="eastAsia"/>
                <w:color w:val="auto"/>
                <w:sz w:val="21"/>
                <w:szCs w:val="21"/>
                <w:lang w:eastAsia="zh-CN"/>
              </w:rPr>
              <w:t>。</w:t>
            </w:r>
          </w:p>
          <w:p w14:paraId="3BBBB1D5">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暂存生化剩余污泥、物化污泥、作为全厂污泥进入污泥脱水系统前的暂存池。</w:t>
            </w:r>
          </w:p>
        </w:tc>
        <w:tc>
          <w:tcPr>
            <w:tcW w:w="287" w:type="pct"/>
            <w:vMerge w:val="continue"/>
            <w:tcBorders>
              <w:tl2br w:val="nil"/>
              <w:tr2bl w:val="nil"/>
            </w:tcBorders>
            <w:noWrap w:val="0"/>
            <w:vAlign w:val="center"/>
          </w:tcPr>
          <w:p w14:paraId="6351CBB9">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F090FF4">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废气、固废</w:t>
            </w:r>
          </w:p>
        </w:tc>
      </w:tr>
      <w:tr w14:paraId="40519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FD361D5">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47C24BBA">
            <w:pPr>
              <w:pageBreakBefore w:val="0"/>
              <w:wordWrap/>
              <w:bidi w:val="0"/>
              <w:adjustRightInd/>
              <w:snapToGrid/>
              <w:spacing w:line="300" w:lineRule="exact"/>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rPr>
              <w:t>园区应急事故池</w:t>
            </w:r>
          </w:p>
        </w:tc>
        <w:tc>
          <w:tcPr>
            <w:tcW w:w="3340" w:type="pct"/>
            <w:tcBorders>
              <w:tl2br w:val="nil"/>
              <w:tr2bl w:val="nil"/>
            </w:tcBorders>
            <w:noWrap w:val="0"/>
            <w:vAlign w:val="center"/>
          </w:tcPr>
          <w:p w14:paraId="2E44269F">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设置园区应急事故池1座，地下水池，内分2个，钢筋砼结构，有效容积：6000m³，总尺寸L×B×H=45.00m×21.00m×7.0m。</w:t>
            </w:r>
          </w:p>
          <w:p w14:paraId="62A34B85">
            <w:pPr>
              <w:pageBreakBefore w:val="0"/>
              <w:wordWrap/>
              <w:bidi w:val="0"/>
              <w:adjustRightInd/>
              <w:snapToGrid/>
              <w:spacing w:line="300" w:lineRule="exact"/>
              <w:ind w:firstLine="0" w:firstLineChars="0"/>
              <w:rPr>
                <w:rFonts w:hint="eastAsia" w:ascii="Times New Roman" w:hAnsi="Times New Roman" w:eastAsia="宋体"/>
                <w:color w:val="auto"/>
                <w:kern w:val="2"/>
                <w:sz w:val="21"/>
                <w:szCs w:val="21"/>
                <w:lang w:val="en-US" w:eastAsia="zh-CN" w:bidi="ar-SA"/>
              </w:rPr>
            </w:pPr>
            <w:r>
              <w:rPr>
                <w:rFonts w:hint="eastAsia"/>
                <w:b/>
                <w:bCs/>
                <w:color w:val="auto"/>
                <w:sz w:val="21"/>
                <w:szCs w:val="21"/>
                <w:lang w:val="en-US" w:eastAsia="zh-CN"/>
              </w:rPr>
              <w:t>主要功能：</w:t>
            </w:r>
            <w:r>
              <w:rPr>
                <w:rFonts w:hint="eastAsia"/>
                <w:color w:val="auto"/>
                <w:sz w:val="21"/>
                <w:szCs w:val="21"/>
                <w:lang w:val="en-US" w:eastAsia="zh-CN"/>
              </w:rPr>
              <w:t>在园区出现事故时将园区的事故废水进行暂存。</w:t>
            </w:r>
          </w:p>
        </w:tc>
        <w:tc>
          <w:tcPr>
            <w:tcW w:w="287" w:type="pct"/>
            <w:vMerge w:val="continue"/>
            <w:tcBorders>
              <w:tl2br w:val="nil"/>
              <w:tr2bl w:val="nil"/>
            </w:tcBorders>
            <w:noWrap w:val="0"/>
            <w:vAlign w:val="center"/>
          </w:tcPr>
          <w:p w14:paraId="4230BCE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3B28E4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w:t>
            </w:r>
          </w:p>
        </w:tc>
      </w:tr>
      <w:tr w14:paraId="4417A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AE52DCD">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736CEA5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除臭设备系统</w:t>
            </w:r>
          </w:p>
        </w:tc>
        <w:tc>
          <w:tcPr>
            <w:tcW w:w="3340" w:type="pct"/>
            <w:tcBorders>
              <w:tl2br w:val="nil"/>
              <w:tr2bl w:val="nil"/>
            </w:tcBorders>
            <w:noWrap w:val="0"/>
            <w:vAlign w:val="center"/>
          </w:tcPr>
          <w:p w14:paraId="1FA9153D">
            <w:pPr>
              <w:pageBreakBefore w:val="0"/>
              <w:wordWrap/>
              <w:bidi w:val="0"/>
              <w:adjustRightInd/>
              <w:snapToGrid/>
              <w:spacing w:line="300" w:lineRule="exact"/>
              <w:ind w:firstLine="0" w:firstLineChars="0"/>
              <w:rPr>
                <w:rFonts w:hint="eastAsia"/>
                <w:color w:val="auto"/>
                <w:sz w:val="21"/>
                <w:szCs w:val="21"/>
              </w:rPr>
            </w:pPr>
            <w:r>
              <w:rPr>
                <w:color w:val="auto"/>
                <w:sz w:val="21"/>
                <w:szCs w:val="21"/>
              </w:rPr>
              <w:t>针对本项目粗、细格栅及曝气沉砂池、调节池、生化池以及</w:t>
            </w:r>
            <w:r>
              <w:rPr>
                <w:rFonts w:hint="eastAsia"/>
                <w:color w:val="auto"/>
                <w:sz w:val="21"/>
                <w:szCs w:val="21"/>
                <w:lang w:eastAsia="zh-CN"/>
              </w:rPr>
              <w:t>污泥池</w:t>
            </w:r>
            <w:r>
              <w:rPr>
                <w:color w:val="auto"/>
                <w:sz w:val="21"/>
                <w:szCs w:val="21"/>
              </w:rPr>
              <w:t>、污泥脱水间等构建筑内产生的臭气进行密闭、加盖，收集率9</w:t>
            </w:r>
            <w:r>
              <w:rPr>
                <w:rFonts w:hint="eastAsia"/>
                <w:color w:val="auto"/>
                <w:sz w:val="21"/>
                <w:szCs w:val="21"/>
              </w:rPr>
              <w:t>5</w:t>
            </w:r>
            <w:r>
              <w:rPr>
                <w:color w:val="auto"/>
                <w:sz w:val="21"/>
                <w:szCs w:val="21"/>
              </w:rPr>
              <w:t>%，采用生物除臭方式，净化效率95%，尾气经15m排气筒，排放。</w:t>
            </w:r>
            <w:r>
              <w:rPr>
                <w:rFonts w:hint="eastAsia"/>
                <w:color w:val="auto"/>
                <w:sz w:val="21"/>
                <w:szCs w:val="21"/>
              </w:rPr>
              <w:t>共设计</w:t>
            </w:r>
            <w:r>
              <w:rPr>
                <w:rFonts w:hint="eastAsia"/>
                <w:color w:val="auto"/>
                <w:sz w:val="21"/>
                <w:szCs w:val="21"/>
                <w:lang w:val="en-US" w:eastAsia="zh-CN"/>
              </w:rPr>
              <w:t>1</w:t>
            </w:r>
            <w:r>
              <w:rPr>
                <w:rFonts w:hint="eastAsia"/>
                <w:color w:val="auto"/>
                <w:sz w:val="21"/>
                <w:szCs w:val="21"/>
              </w:rPr>
              <w:t>套生物除臭系统，总设计风量为</w:t>
            </w:r>
            <w:r>
              <w:rPr>
                <w:rFonts w:hint="eastAsia"/>
                <w:color w:val="auto"/>
                <w:sz w:val="21"/>
                <w:szCs w:val="21"/>
                <w:lang w:val="en-US" w:eastAsia="zh-CN"/>
              </w:rPr>
              <w:t>20</w:t>
            </w:r>
            <w:r>
              <w:rPr>
                <w:rFonts w:hint="eastAsia"/>
                <w:color w:val="auto"/>
                <w:sz w:val="21"/>
                <w:szCs w:val="21"/>
              </w:rPr>
              <w:t>000</w:t>
            </w:r>
            <w:r>
              <w:rPr>
                <w:rFonts w:hint="eastAsia"/>
                <w:color w:val="auto"/>
                <w:sz w:val="21"/>
                <w:szCs w:val="21"/>
                <w:lang w:eastAsia="zh-CN"/>
              </w:rPr>
              <w:t>m³</w:t>
            </w:r>
            <w:r>
              <w:rPr>
                <w:rFonts w:hint="eastAsia"/>
                <w:color w:val="auto"/>
                <w:sz w:val="21"/>
                <w:szCs w:val="21"/>
              </w:rPr>
              <w:t>/h。</w:t>
            </w:r>
          </w:p>
          <w:p w14:paraId="032A021C">
            <w:pPr>
              <w:pStyle w:val="12"/>
              <w:bidi w:val="0"/>
              <w:jc w:val="left"/>
              <w:rPr>
                <w:rFonts w:hint="default"/>
                <w:color w:val="auto"/>
                <w:lang w:val="en-US" w:eastAsia="zh-CN"/>
              </w:rPr>
            </w:pPr>
            <w:r>
              <w:rPr>
                <w:rFonts w:hint="eastAsia"/>
                <w:b/>
                <w:bCs/>
                <w:color w:val="auto"/>
                <w:lang w:val="en-US" w:eastAsia="zh-CN"/>
              </w:rPr>
              <w:t>主要功能：</w:t>
            </w:r>
            <w:r>
              <w:rPr>
                <w:rFonts w:hint="eastAsia"/>
                <w:color w:val="auto"/>
                <w:lang w:val="en-US" w:eastAsia="zh-CN"/>
              </w:rPr>
              <w:t>收集并处理全场恶臭气体，保障尾气达标排放。</w:t>
            </w:r>
          </w:p>
        </w:tc>
        <w:tc>
          <w:tcPr>
            <w:tcW w:w="287" w:type="pct"/>
            <w:vMerge w:val="continue"/>
            <w:tcBorders>
              <w:tl2br w:val="nil"/>
              <w:tr2bl w:val="nil"/>
            </w:tcBorders>
            <w:noWrap w:val="0"/>
            <w:vAlign w:val="center"/>
          </w:tcPr>
          <w:p w14:paraId="13133BF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8663430">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废气、噪声</w:t>
            </w:r>
          </w:p>
        </w:tc>
      </w:tr>
      <w:tr w14:paraId="301FE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D70B6F6">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1FE1408C">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回用水池及泵房</w:t>
            </w:r>
          </w:p>
        </w:tc>
        <w:tc>
          <w:tcPr>
            <w:tcW w:w="3340" w:type="pct"/>
            <w:tcBorders>
              <w:tl2br w:val="nil"/>
              <w:tr2bl w:val="nil"/>
            </w:tcBorders>
            <w:noWrap w:val="0"/>
            <w:vAlign w:val="center"/>
          </w:tcPr>
          <w:p w14:paraId="7F93D6B0">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val="0"/>
                <w:color w:val="auto"/>
                <w:sz w:val="21"/>
                <w:szCs w:val="21"/>
                <w:lang w:val="en-US" w:eastAsia="zh-CN"/>
              </w:rPr>
              <w:t>设置回用水池1座，</w:t>
            </w:r>
            <w:r>
              <w:rPr>
                <w:rFonts w:hint="eastAsia"/>
                <w:color w:val="auto"/>
                <w:sz w:val="21"/>
                <w:szCs w:val="21"/>
                <w:lang w:val="en-US" w:eastAsia="zh-CN"/>
              </w:rPr>
              <w:t>钢筋砼结构，设计规模：1200m³/d，有效容积：300m³，停留时间：6h，总尺寸L×B×H=15.00m×10.00m×3.00m。</w:t>
            </w:r>
          </w:p>
          <w:p w14:paraId="55607786">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default"/>
                <w:color w:val="auto"/>
                <w:sz w:val="21"/>
                <w:szCs w:val="21"/>
                <w:lang w:val="en-US" w:eastAsia="zh-CN"/>
              </w:rPr>
              <w:t>存储回用中水</w:t>
            </w:r>
            <w:r>
              <w:rPr>
                <w:rFonts w:hint="eastAsia"/>
                <w:color w:val="auto"/>
                <w:sz w:val="21"/>
                <w:szCs w:val="21"/>
                <w:lang w:val="en-US" w:eastAsia="zh-CN"/>
              </w:rPr>
              <w:t>，</w:t>
            </w:r>
            <w:r>
              <w:rPr>
                <w:rFonts w:hint="default"/>
                <w:color w:val="auto"/>
                <w:sz w:val="21"/>
                <w:szCs w:val="21"/>
                <w:lang w:val="en-US" w:eastAsia="zh-CN"/>
              </w:rPr>
              <w:t>通过回用中水泵将中水加压送入园区中水回用系统</w:t>
            </w:r>
            <w:r>
              <w:rPr>
                <w:rFonts w:hint="eastAsia"/>
                <w:color w:val="auto"/>
                <w:sz w:val="21"/>
                <w:szCs w:val="21"/>
                <w:lang w:val="en-US" w:eastAsia="zh-CN"/>
              </w:rPr>
              <w:t>。</w:t>
            </w:r>
          </w:p>
        </w:tc>
        <w:tc>
          <w:tcPr>
            <w:tcW w:w="287" w:type="pct"/>
            <w:vMerge w:val="continue"/>
            <w:tcBorders>
              <w:tl2br w:val="nil"/>
              <w:tr2bl w:val="nil"/>
            </w:tcBorders>
            <w:noWrap w:val="0"/>
            <w:vAlign w:val="center"/>
          </w:tcPr>
          <w:p w14:paraId="5142916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8208E67">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w:t>
            </w:r>
          </w:p>
        </w:tc>
      </w:tr>
      <w:tr w14:paraId="6671B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948BA8B">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5194D4E8">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变配电室及鼓风机房</w:t>
            </w:r>
          </w:p>
        </w:tc>
        <w:tc>
          <w:tcPr>
            <w:tcW w:w="3340" w:type="pct"/>
            <w:tcBorders>
              <w:tl2br w:val="nil"/>
              <w:tr2bl w:val="nil"/>
            </w:tcBorders>
            <w:noWrap w:val="0"/>
            <w:vAlign w:val="center"/>
          </w:tcPr>
          <w:p w14:paraId="37E9C975">
            <w:pPr>
              <w:pageBreakBefore w:val="0"/>
              <w:wordWrap/>
              <w:bidi w:val="0"/>
              <w:adjustRightInd/>
              <w:snapToGrid/>
              <w:spacing w:line="300" w:lineRule="exact"/>
              <w:ind w:firstLine="0" w:firstLineChars="0"/>
              <w:rPr>
                <w:rFonts w:hint="eastAsia"/>
                <w:color w:val="auto"/>
                <w:sz w:val="21"/>
                <w:szCs w:val="21"/>
                <w:lang w:eastAsia="zh-CN"/>
              </w:rPr>
            </w:pPr>
            <w:r>
              <w:rPr>
                <w:rFonts w:hint="eastAsia"/>
                <w:color w:val="auto"/>
                <w:sz w:val="21"/>
                <w:szCs w:val="21"/>
              </w:rPr>
              <w:t>变配电室和鼓风机房为合建建筑</w:t>
            </w:r>
            <w:r>
              <w:rPr>
                <w:rFonts w:hint="eastAsia"/>
                <w:color w:val="auto"/>
                <w:sz w:val="21"/>
                <w:szCs w:val="21"/>
                <w:lang w:eastAsia="zh-CN"/>
              </w:rPr>
              <w:t>，</w:t>
            </w:r>
            <w:r>
              <w:rPr>
                <w:rFonts w:hint="eastAsia"/>
                <w:color w:val="auto"/>
                <w:sz w:val="21"/>
                <w:szCs w:val="21"/>
              </w:rPr>
              <w:t>为丙类单层厂房</w:t>
            </w:r>
            <w:r>
              <w:rPr>
                <w:rFonts w:hint="eastAsia"/>
                <w:color w:val="auto"/>
                <w:sz w:val="21"/>
                <w:szCs w:val="21"/>
                <w:lang w:eastAsia="zh-CN"/>
              </w:rPr>
              <w:t>，</w:t>
            </w:r>
            <w:r>
              <w:rPr>
                <w:rFonts w:hint="eastAsia"/>
                <w:color w:val="auto"/>
                <w:sz w:val="21"/>
                <w:szCs w:val="21"/>
              </w:rPr>
              <w:t>总建筑面积</w:t>
            </w:r>
            <w:r>
              <w:rPr>
                <w:rFonts w:hint="eastAsia"/>
                <w:color w:val="auto"/>
                <w:sz w:val="21"/>
                <w:szCs w:val="21"/>
                <w:lang w:eastAsia="zh-CN"/>
              </w:rPr>
              <w:t>：</w:t>
            </w:r>
            <w:r>
              <w:rPr>
                <w:rFonts w:hint="eastAsia"/>
                <w:color w:val="auto"/>
                <w:sz w:val="21"/>
                <w:szCs w:val="21"/>
              </w:rPr>
              <w:t>275.26平方米</w:t>
            </w:r>
            <w:r>
              <w:rPr>
                <w:rFonts w:hint="eastAsia"/>
                <w:color w:val="auto"/>
                <w:sz w:val="21"/>
                <w:szCs w:val="21"/>
                <w:lang w:eastAsia="zh-CN"/>
              </w:rPr>
              <w:t>，</w:t>
            </w:r>
            <w:r>
              <w:rPr>
                <w:rFonts w:hint="eastAsia"/>
                <w:color w:val="auto"/>
                <w:sz w:val="21"/>
                <w:szCs w:val="21"/>
              </w:rPr>
              <w:t>建筑高度6.9m</w:t>
            </w:r>
            <w:r>
              <w:rPr>
                <w:rFonts w:hint="eastAsia"/>
                <w:color w:val="auto"/>
                <w:sz w:val="21"/>
                <w:szCs w:val="21"/>
                <w:lang w:eastAsia="zh-CN"/>
              </w:rPr>
              <w:t>。</w:t>
            </w:r>
          </w:p>
          <w:p w14:paraId="3B37AAED">
            <w:pPr>
              <w:pageBreakBefore w:val="0"/>
              <w:wordWrap/>
              <w:bidi w:val="0"/>
              <w:adjustRightInd/>
              <w:snapToGrid/>
              <w:spacing w:line="300" w:lineRule="exact"/>
              <w:ind w:firstLine="0" w:firstLineChars="0"/>
              <w:rPr>
                <w:rFonts w:hint="eastAsia"/>
                <w:color w:val="auto"/>
                <w:sz w:val="21"/>
                <w:szCs w:val="21"/>
                <w:lang w:eastAsia="zh-CN"/>
              </w:rPr>
            </w:pPr>
            <w:r>
              <w:rPr>
                <w:rFonts w:hint="eastAsia"/>
                <w:b/>
                <w:bCs/>
                <w:color w:val="auto"/>
                <w:sz w:val="21"/>
                <w:szCs w:val="21"/>
                <w:lang w:val="en-US" w:eastAsia="zh-CN"/>
              </w:rPr>
              <w:t>主要功能：</w:t>
            </w:r>
            <w:r>
              <w:rPr>
                <w:rFonts w:hint="eastAsia"/>
                <w:b w:val="0"/>
                <w:bCs w:val="0"/>
                <w:color w:val="auto"/>
                <w:sz w:val="21"/>
                <w:szCs w:val="21"/>
                <w:lang w:val="en-US" w:eastAsia="zh-CN"/>
              </w:rPr>
              <w:t>安装一期、二期的配电和自控设施，以及一期、二期的鼓风机设施。</w:t>
            </w:r>
          </w:p>
        </w:tc>
        <w:tc>
          <w:tcPr>
            <w:tcW w:w="287" w:type="pct"/>
            <w:vMerge w:val="continue"/>
            <w:tcBorders>
              <w:tl2br w:val="nil"/>
              <w:tr2bl w:val="nil"/>
            </w:tcBorders>
            <w:noWrap w:val="0"/>
            <w:vAlign w:val="center"/>
          </w:tcPr>
          <w:p w14:paraId="7B6FADAF">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02E14EE">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w:t>
            </w:r>
          </w:p>
        </w:tc>
      </w:tr>
      <w:tr w14:paraId="235B0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9617B6D">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25F2E843">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机修间及危废间</w:t>
            </w:r>
          </w:p>
        </w:tc>
        <w:tc>
          <w:tcPr>
            <w:tcW w:w="3340" w:type="pct"/>
            <w:tcBorders>
              <w:tl2br w:val="nil"/>
              <w:tr2bl w:val="nil"/>
            </w:tcBorders>
            <w:noWrap w:val="0"/>
            <w:vAlign w:val="center"/>
          </w:tcPr>
          <w:p w14:paraId="245828A6">
            <w:pPr>
              <w:pageBreakBefore w:val="0"/>
              <w:wordWrap/>
              <w:bidi w:val="0"/>
              <w:adjustRightInd/>
              <w:snapToGrid/>
              <w:spacing w:line="300" w:lineRule="exact"/>
              <w:ind w:firstLine="0" w:firstLineChars="0"/>
              <w:rPr>
                <w:rFonts w:hint="eastAsia"/>
                <w:color w:val="auto"/>
                <w:sz w:val="21"/>
                <w:szCs w:val="21"/>
                <w:lang w:eastAsia="zh-CN"/>
              </w:rPr>
            </w:pPr>
            <w:r>
              <w:rPr>
                <w:rFonts w:hint="eastAsia"/>
                <w:color w:val="auto"/>
                <w:sz w:val="21"/>
                <w:szCs w:val="21"/>
              </w:rPr>
              <w:t>机修间和危废间为合建建筑</w:t>
            </w:r>
            <w:r>
              <w:rPr>
                <w:rFonts w:hint="eastAsia"/>
                <w:color w:val="auto"/>
                <w:sz w:val="21"/>
                <w:szCs w:val="21"/>
                <w:lang w:eastAsia="zh-CN"/>
              </w:rPr>
              <w:t>，</w:t>
            </w:r>
            <w:r>
              <w:rPr>
                <w:rFonts w:hint="eastAsia"/>
                <w:color w:val="auto"/>
                <w:sz w:val="21"/>
                <w:szCs w:val="21"/>
              </w:rPr>
              <w:t>为丙类单层厂房</w:t>
            </w:r>
            <w:r>
              <w:rPr>
                <w:rFonts w:hint="eastAsia"/>
                <w:color w:val="auto"/>
                <w:sz w:val="21"/>
                <w:szCs w:val="21"/>
                <w:lang w:eastAsia="zh-CN"/>
              </w:rPr>
              <w:t>，</w:t>
            </w:r>
            <w:r>
              <w:rPr>
                <w:rFonts w:hint="eastAsia"/>
                <w:color w:val="auto"/>
                <w:sz w:val="21"/>
                <w:szCs w:val="21"/>
              </w:rPr>
              <w:t>总建筑面积</w:t>
            </w:r>
            <w:r>
              <w:rPr>
                <w:rFonts w:hint="eastAsia"/>
                <w:color w:val="auto"/>
                <w:sz w:val="21"/>
                <w:szCs w:val="21"/>
                <w:lang w:eastAsia="zh-CN"/>
              </w:rPr>
              <w:t>：</w:t>
            </w:r>
            <w:r>
              <w:rPr>
                <w:rFonts w:hint="eastAsia"/>
                <w:color w:val="auto"/>
                <w:sz w:val="21"/>
                <w:szCs w:val="21"/>
              </w:rPr>
              <w:t>222.39平方米</w:t>
            </w:r>
            <w:r>
              <w:rPr>
                <w:rFonts w:hint="eastAsia"/>
                <w:color w:val="auto"/>
                <w:sz w:val="21"/>
                <w:szCs w:val="21"/>
                <w:lang w:eastAsia="zh-CN"/>
              </w:rPr>
              <w:t>，</w:t>
            </w:r>
            <w:r>
              <w:rPr>
                <w:rFonts w:hint="eastAsia"/>
                <w:color w:val="auto"/>
                <w:sz w:val="21"/>
                <w:szCs w:val="21"/>
              </w:rPr>
              <w:t>建筑高度7.8m</w:t>
            </w:r>
            <w:r>
              <w:rPr>
                <w:rFonts w:hint="eastAsia"/>
                <w:color w:val="auto"/>
                <w:sz w:val="21"/>
                <w:szCs w:val="21"/>
                <w:lang w:eastAsia="zh-CN"/>
              </w:rPr>
              <w:t>。</w:t>
            </w:r>
          </w:p>
          <w:p w14:paraId="2BF628EB">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为全厂设备进行维修提供场所，暂存全厂的危险废物。</w:t>
            </w:r>
          </w:p>
        </w:tc>
        <w:tc>
          <w:tcPr>
            <w:tcW w:w="287" w:type="pct"/>
            <w:vMerge w:val="continue"/>
            <w:tcBorders>
              <w:tl2br w:val="nil"/>
              <w:tr2bl w:val="nil"/>
            </w:tcBorders>
            <w:noWrap w:val="0"/>
            <w:vAlign w:val="center"/>
          </w:tcPr>
          <w:p w14:paraId="692494D2">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7B7678A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噪声、固废</w:t>
            </w:r>
          </w:p>
        </w:tc>
      </w:tr>
      <w:tr w14:paraId="78FF2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2C9DD41">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62CC77FC">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进出水在线监测间</w:t>
            </w:r>
          </w:p>
        </w:tc>
        <w:tc>
          <w:tcPr>
            <w:tcW w:w="3340" w:type="pct"/>
            <w:tcBorders>
              <w:tl2br w:val="nil"/>
              <w:tr2bl w:val="nil"/>
            </w:tcBorders>
            <w:noWrap w:val="0"/>
            <w:vAlign w:val="center"/>
          </w:tcPr>
          <w:p w14:paraId="6109DC57">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1座，1F，框架结构，总建筑面积：38.88平方米，建筑高度3.6m。为进出水在线监测设备提供安装场所。</w:t>
            </w:r>
          </w:p>
        </w:tc>
        <w:tc>
          <w:tcPr>
            <w:tcW w:w="287" w:type="pct"/>
            <w:vMerge w:val="continue"/>
            <w:tcBorders>
              <w:tl2br w:val="nil"/>
              <w:tr2bl w:val="nil"/>
            </w:tcBorders>
            <w:noWrap w:val="0"/>
            <w:vAlign w:val="center"/>
          </w:tcPr>
          <w:p w14:paraId="72A4929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8C80F92">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废水、噪声、固废</w:t>
            </w:r>
          </w:p>
        </w:tc>
      </w:tr>
      <w:tr w14:paraId="156F6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D694EDE">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0BB25F71">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综合办公楼</w:t>
            </w:r>
          </w:p>
        </w:tc>
        <w:tc>
          <w:tcPr>
            <w:tcW w:w="3340" w:type="pct"/>
            <w:tcBorders>
              <w:tl2br w:val="nil"/>
              <w:tr2bl w:val="nil"/>
            </w:tcBorders>
            <w:noWrap w:val="0"/>
            <w:vAlign w:val="center"/>
          </w:tcPr>
          <w:p w14:paraId="4D9E7CCD">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1座，2F，局部3F，框架结构，总建筑面积：1126.66平方米，建筑高度9.75m。内设置办公区和环境监测大厅，设置常规空气站部分（敏感目标），颗粒物及光化学组分监测、水质自动监测系统。</w:t>
            </w:r>
          </w:p>
        </w:tc>
        <w:tc>
          <w:tcPr>
            <w:tcW w:w="287" w:type="pct"/>
            <w:vMerge w:val="continue"/>
            <w:tcBorders>
              <w:tl2br w:val="nil"/>
              <w:tr2bl w:val="nil"/>
            </w:tcBorders>
            <w:noWrap w:val="0"/>
            <w:vAlign w:val="center"/>
          </w:tcPr>
          <w:p w14:paraId="6A9049A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61560A0">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废水、噪声、固废</w:t>
            </w:r>
          </w:p>
        </w:tc>
      </w:tr>
      <w:tr w14:paraId="75EC9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6A77D25">
            <w:pPr>
              <w:pageBreakBefore w:val="0"/>
              <w:wordWrap/>
              <w:bidi w:val="0"/>
              <w:adjustRightInd/>
              <w:snapToGrid/>
              <w:spacing w:line="300" w:lineRule="exact"/>
              <w:ind w:firstLine="0" w:firstLineChars="0"/>
              <w:jc w:val="center"/>
              <w:rPr>
                <w:color w:val="auto"/>
                <w:sz w:val="21"/>
                <w:szCs w:val="21"/>
              </w:rPr>
            </w:pPr>
          </w:p>
        </w:tc>
        <w:tc>
          <w:tcPr>
            <w:tcW w:w="756" w:type="pct"/>
            <w:gridSpan w:val="2"/>
            <w:tcBorders>
              <w:tl2br w:val="nil"/>
              <w:tr2bl w:val="nil"/>
            </w:tcBorders>
            <w:noWrap w:val="0"/>
            <w:vAlign w:val="center"/>
          </w:tcPr>
          <w:p w14:paraId="2F16423F">
            <w:pPr>
              <w:pageBreakBefore w:val="0"/>
              <w:wordWrap/>
              <w:bidi w:val="0"/>
              <w:adjustRightInd/>
              <w:snapToGrid/>
              <w:spacing w:line="30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门卫室</w:t>
            </w:r>
          </w:p>
        </w:tc>
        <w:tc>
          <w:tcPr>
            <w:tcW w:w="3340" w:type="pct"/>
            <w:tcBorders>
              <w:tl2br w:val="nil"/>
              <w:tr2bl w:val="nil"/>
            </w:tcBorders>
            <w:noWrap w:val="0"/>
            <w:vAlign w:val="center"/>
          </w:tcPr>
          <w:p w14:paraId="168FACD1">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color w:val="auto"/>
                <w:sz w:val="21"/>
                <w:szCs w:val="21"/>
                <w:lang w:val="en-US" w:eastAsia="zh-CN"/>
              </w:rPr>
              <w:t>2座，1F，框架结构，总建筑面积：38.8平方米，建筑高度4.10m，为厂区保安门卫人员提供工作场所。</w:t>
            </w:r>
          </w:p>
        </w:tc>
        <w:tc>
          <w:tcPr>
            <w:tcW w:w="287" w:type="pct"/>
            <w:vMerge w:val="continue"/>
            <w:tcBorders>
              <w:tl2br w:val="nil"/>
              <w:tr2bl w:val="nil"/>
            </w:tcBorders>
            <w:noWrap w:val="0"/>
            <w:vAlign w:val="center"/>
          </w:tcPr>
          <w:p w14:paraId="278D95CF">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9EE817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噪声、固废</w:t>
            </w:r>
          </w:p>
        </w:tc>
      </w:tr>
    </w:tbl>
    <w:p w14:paraId="1B4E626F">
      <w:pPr>
        <w:pStyle w:val="5"/>
        <w:pageBreakBefore w:val="0"/>
        <w:wordWrap/>
        <w:bidi w:val="0"/>
        <w:adjustRightInd/>
        <w:snapToGrid/>
        <w:spacing w:before="62" w:after="62"/>
        <w:ind w:left="0"/>
        <w:rPr>
          <w:rFonts w:eastAsia="宋体"/>
          <w:color w:val="auto"/>
        </w:rPr>
      </w:pPr>
      <w:bookmarkStart w:id="76" w:name="_Toc22291"/>
      <w:r>
        <w:rPr>
          <w:rFonts w:hint="eastAsia" w:eastAsia="宋体"/>
          <w:color w:val="auto"/>
        </w:rPr>
        <w:t xml:space="preserve"> </w:t>
      </w:r>
      <w:r>
        <w:rPr>
          <w:rFonts w:eastAsia="宋体"/>
          <w:color w:val="auto"/>
        </w:rPr>
        <w:t>主要构筑物、设备清单</w:t>
      </w:r>
    </w:p>
    <w:p w14:paraId="4011633E">
      <w:pPr>
        <w:pageBreakBefore w:val="0"/>
        <w:wordWrap/>
        <w:bidi w:val="0"/>
        <w:adjustRightInd/>
        <w:snapToGrid/>
        <w:rPr>
          <w:rFonts w:hint="default"/>
          <w:b/>
          <w:bCs/>
          <w:color w:val="auto"/>
          <w:lang w:val="en-US" w:eastAsia="zh-CN"/>
        </w:rPr>
      </w:pPr>
      <w:r>
        <w:rPr>
          <w:rFonts w:hint="eastAsia"/>
          <w:b/>
          <w:bCs/>
          <w:color w:val="auto"/>
          <w:lang w:val="en-US" w:eastAsia="zh-CN"/>
        </w:rPr>
        <w:t>1、主要构筑物</w:t>
      </w:r>
    </w:p>
    <w:p w14:paraId="0A036AD0">
      <w:pPr>
        <w:pStyle w:val="15"/>
        <w:numPr>
          <w:ilvl w:val="0"/>
          <w:numId w:val="13"/>
        </w:numPr>
        <w:bidi w:val="0"/>
        <w:ind w:left="0" w:leftChars="0" w:firstLine="0" w:firstLineChars="0"/>
        <w:rPr>
          <w:color w:val="auto"/>
        </w:rPr>
      </w:pPr>
      <w:r>
        <w:rPr>
          <w:rFonts w:hint="eastAsia"/>
          <w:color w:val="auto"/>
          <w:lang w:val="en-US" w:eastAsia="zh-CN"/>
        </w:rPr>
        <w:t>污水处理厂</w:t>
      </w:r>
      <w:r>
        <w:rPr>
          <w:color w:val="auto"/>
        </w:rPr>
        <w:t>主要构筑物一览表</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2867"/>
        <w:gridCol w:w="3639"/>
        <w:gridCol w:w="1483"/>
        <w:gridCol w:w="1154"/>
        <w:gridCol w:w="1642"/>
        <w:gridCol w:w="2527"/>
      </w:tblGrid>
      <w:tr w14:paraId="06009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304" w:type="pct"/>
            <w:tcBorders>
              <w:tl2br w:val="nil"/>
              <w:tr2bl w:val="nil"/>
            </w:tcBorders>
            <w:noWrap w:val="0"/>
            <w:vAlign w:val="center"/>
          </w:tcPr>
          <w:p w14:paraId="4A4E0BF2">
            <w:pPr>
              <w:pStyle w:val="431"/>
              <w:pageBreakBefore w:val="0"/>
              <w:wordWrap/>
              <w:bidi w:val="0"/>
              <w:adjustRightInd/>
              <w:snapToGrid/>
              <w:spacing w:line="240" w:lineRule="auto"/>
              <w:ind w:firstLine="0" w:firstLineChars="0"/>
              <w:rPr>
                <w:b/>
                <w:bCs/>
                <w:color w:val="auto"/>
                <w:sz w:val="21"/>
                <w:szCs w:val="21"/>
              </w:rPr>
            </w:pPr>
            <w:r>
              <w:rPr>
                <w:b/>
                <w:bCs/>
                <w:color w:val="auto"/>
                <w:sz w:val="21"/>
                <w:szCs w:val="21"/>
              </w:rPr>
              <w:t>序号</w:t>
            </w:r>
          </w:p>
        </w:tc>
        <w:tc>
          <w:tcPr>
            <w:tcW w:w="1011" w:type="pct"/>
            <w:tcBorders>
              <w:tl2br w:val="nil"/>
              <w:tr2bl w:val="nil"/>
            </w:tcBorders>
            <w:noWrap w:val="0"/>
            <w:vAlign w:val="center"/>
          </w:tcPr>
          <w:p w14:paraId="6977BC07">
            <w:pPr>
              <w:pStyle w:val="431"/>
              <w:pageBreakBefore w:val="0"/>
              <w:wordWrap/>
              <w:bidi w:val="0"/>
              <w:adjustRightInd/>
              <w:snapToGrid/>
              <w:spacing w:line="240" w:lineRule="auto"/>
              <w:ind w:firstLine="0" w:firstLineChars="0"/>
              <w:rPr>
                <w:b/>
                <w:bCs/>
                <w:color w:val="auto"/>
                <w:sz w:val="21"/>
                <w:szCs w:val="21"/>
              </w:rPr>
            </w:pPr>
            <w:r>
              <w:rPr>
                <w:b/>
                <w:bCs/>
                <w:color w:val="auto"/>
                <w:sz w:val="21"/>
                <w:szCs w:val="21"/>
              </w:rPr>
              <w:t>构筑物名称</w:t>
            </w:r>
          </w:p>
        </w:tc>
        <w:tc>
          <w:tcPr>
            <w:tcW w:w="1283" w:type="pct"/>
            <w:tcBorders>
              <w:tl2br w:val="nil"/>
              <w:tr2bl w:val="nil"/>
            </w:tcBorders>
            <w:noWrap w:val="0"/>
            <w:vAlign w:val="center"/>
          </w:tcPr>
          <w:p w14:paraId="5BFF152F">
            <w:pPr>
              <w:pStyle w:val="600"/>
              <w:pageBreakBefore w:val="0"/>
              <w:wordWrap/>
              <w:bidi w:val="0"/>
              <w:adjustRightInd/>
              <w:snapToGrid/>
              <w:spacing w:line="240" w:lineRule="auto"/>
              <w:ind w:firstLine="0" w:firstLineChars="0"/>
              <w:jc w:val="center"/>
              <w:rPr>
                <w:rFonts w:ascii="Times New Roman" w:hAnsi="Times New Roman"/>
                <w:b/>
                <w:bCs/>
                <w:color w:val="auto"/>
                <w:kern w:val="0"/>
                <w:sz w:val="21"/>
                <w:szCs w:val="21"/>
              </w:rPr>
            </w:pPr>
            <w:r>
              <w:rPr>
                <w:rFonts w:ascii="Times New Roman" w:hAnsi="Times New Roman"/>
                <w:b/>
                <w:bCs/>
                <w:color w:val="auto"/>
                <w:kern w:val="0"/>
                <w:sz w:val="21"/>
                <w:szCs w:val="21"/>
              </w:rPr>
              <w:t>规格</w:t>
            </w:r>
          </w:p>
        </w:tc>
        <w:tc>
          <w:tcPr>
            <w:tcW w:w="523" w:type="pct"/>
            <w:tcBorders>
              <w:tl2br w:val="nil"/>
              <w:tr2bl w:val="nil"/>
            </w:tcBorders>
            <w:noWrap w:val="0"/>
            <w:vAlign w:val="center"/>
          </w:tcPr>
          <w:p w14:paraId="0B7AB9B4">
            <w:pPr>
              <w:pStyle w:val="600"/>
              <w:pageBreakBefore w:val="0"/>
              <w:wordWrap/>
              <w:bidi w:val="0"/>
              <w:adjustRightInd/>
              <w:snapToGrid/>
              <w:spacing w:line="240" w:lineRule="auto"/>
              <w:ind w:firstLine="0" w:firstLineChars="0"/>
              <w:jc w:val="center"/>
              <w:rPr>
                <w:rFonts w:ascii="Times New Roman" w:hAnsi="Times New Roman"/>
                <w:b/>
                <w:bCs/>
                <w:color w:val="auto"/>
                <w:kern w:val="0"/>
                <w:sz w:val="21"/>
                <w:szCs w:val="21"/>
              </w:rPr>
            </w:pPr>
            <w:r>
              <w:rPr>
                <w:rFonts w:ascii="Times New Roman" w:hAnsi="Times New Roman"/>
                <w:b/>
                <w:bCs/>
                <w:color w:val="auto"/>
                <w:kern w:val="0"/>
                <w:sz w:val="21"/>
                <w:szCs w:val="21"/>
              </w:rPr>
              <w:t>结构形式</w:t>
            </w:r>
          </w:p>
        </w:tc>
        <w:tc>
          <w:tcPr>
            <w:tcW w:w="407" w:type="pct"/>
            <w:tcBorders>
              <w:tl2br w:val="nil"/>
              <w:tr2bl w:val="nil"/>
            </w:tcBorders>
            <w:noWrap w:val="0"/>
            <w:vAlign w:val="center"/>
          </w:tcPr>
          <w:p w14:paraId="58833005">
            <w:pPr>
              <w:pStyle w:val="431"/>
              <w:pageBreakBefore w:val="0"/>
              <w:wordWrap/>
              <w:bidi w:val="0"/>
              <w:adjustRightInd/>
              <w:snapToGrid/>
              <w:spacing w:line="240" w:lineRule="auto"/>
              <w:ind w:firstLine="0" w:firstLineChars="0"/>
              <w:rPr>
                <w:b/>
                <w:bCs/>
                <w:color w:val="auto"/>
                <w:sz w:val="21"/>
                <w:szCs w:val="21"/>
              </w:rPr>
            </w:pPr>
            <w:r>
              <w:rPr>
                <w:b/>
                <w:bCs/>
                <w:color w:val="auto"/>
                <w:sz w:val="21"/>
                <w:szCs w:val="21"/>
              </w:rPr>
              <w:t>单位</w:t>
            </w:r>
          </w:p>
        </w:tc>
        <w:tc>
          <w:tcPr>
            <w:tcW w:w="579" w:type="pct"/>
            <w:tcBorders>
              <w:tl2br w:val="nil"/>
              <w:tr2bl w:val="nil"/>
            </w:tcBorders>
            <w:noWrap w:val="0"/>
            <w:vAlign w:val="center"/>
          </w:tcPr>
          <w:p w14:paraId="3B16F586">
            <w:pPr>
              <w:pStyle w:val="431"/>
              <w:pageBreakBefore w:val="0"/>
              <w:wordWrap/>
              <w:bidi w:val="0"/>
              <w:adjustRightInd/>
              <w:snapToGrid/>
              <w:spacing w:line="240" w:lineRule="auto"/>
              <w:ind w:firstLine="0" w:firstLineChars="0"/>
              <w:rPr>
                <w:b/>
                <w:bCs/>
                <w:color w:val="auto"/>
                <w:sz w:val="21"/>
                <w:szCs w:val="21"/>
              </w:rPr>
            </w:pPr>
            <w:r>
              <w:rPr>
                <w:b/>
                <w:bCs/>
                <w:color w:val="auto"/>
                <w:sz w:val="21"/>
                <w:szCs w:val="21"/>
              </w:rPr>
              <w:t>数量</w:t>
            </w:r>
          </w:p>
        </w:tc>
        <w:tc>
          <w:tcPr>
            <w:tcW w:w="891" w:type="pct"/>
            <w:tcBorders>
              <w:tl2br w:val="nil"/>
              <w:tr2bl w:val="nil"/>
            </w:tcBorders>
            <w:noWrap w:val="0"/>
            <w:vAlign w:val="center"/>
          </w:tcPr>
          <w:p w14:paraId="569D0541">
            <w:pPr>
              <w:pStyle w:val="431"/>
              <w:pageBreakBefore w:val="0"/>
              <w:wordWrap/>
              <w:bidi w:val="0"/>
              <w:adjustRightInd/>
              <w:snapToGrid/>
              <w:spacing w:line="240" w:lineRule="auto"/>
              <w:ind w:firstLine="0" w:firstLineChars="0"/>
              <w:rPr>
                <w:b/>
                <w:bCs/>
                <w:color w:val="auto"/>
                <w:sz w:val="21"/>
                <w:szCs w:val="21"/>
              </w:rPr>
            </w:pPr>
            <w:r>
              <w:rPr>
                <w:b/>
                <w:bCs/>
                <w:color w:val="auto"/>
                <w:sz w:val="21"/>
                <w:szCs w:val="21"/>
              </w:rPr>
              <w:t>备注</w:t>
            </w:r>
          </w:p>
        </w:tc>
      </w:tr>
      <w:tr w14:paraId="1357F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A7FA7FF">
            <w:pPr>
              <w:pStyle w:val="431"/>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1011" w:type="pct"/>
            <w:tcBorders>
              <w:tl2br w:val="nil"/>
              <w:tr2bl w:val="nil"/>
            </w:tcBorders>
            <w:noWrap w:val="0"/>
            <w:vAlign w:val="center"/>
          </w:tcPr>
          <w:p w14:paraId="0098A933">
            <w:pPr>
              <w:pStyle w:val="431"/>
              <w:pageBreakBefore w:val="0"/>
              <w:wordWrap/>
              <w:bidi w:val="0"/>
              <w:adjustRightInd/>
              <w:snapToGrid/>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超细格栅池</w:t>
            </w:r>
          </w:p>
        </w:tc>
        <w:tc>
          <w:tcPr>
            <w:tcW w:w="1283" w:type="pct"/>
            <w:tcBorders>
              <w:tl2br w:val="nil"/>
              <w:tr2bl w:val="nil"/>
            </w:tcBorders>
            <w:noWrap w:val="0"/>
            <w:vAlign w:val="center"/>
          </w:tcPr>
          <w:p w14:paraId="62DCD778">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color w:val="auto"/>
                <w:kern w:val="0"/>
                <w:sz w:val="21"/>
                <w:szCs w:val="21"/>
                <w:lang w:val="en-US" w:eastAsia="zh-CN"/>
              </w:rPr>
              <w:t>7.70</w:t>
            </w:r>
            <w:r>
              <w:rPr>
                <w:color w:val="auto"/>
                <w:kern w:val="0"/>
                <w:sz w:val="21"/>
                <w:szCs w:val="21"/>
              </w:rPr>
              <w:t>×</w:t>
            </w:r>
            <w:r>
              <w:rPr>
                <w:rFonts w:hint="eastAsia"/>
                <w:color w:val="auto"/>
                <w:kern w:val="0"/>
                <w:sz w:val="21"/>
                <w:szCs w:val="21"/>
                <w:lang w:val="en-US" w:eastAsia="zh-CN"/>
              </w:rPr>
              <w:t>3.50</w:t>
            </w:r>
            <w:r>
              <w:rPr>
                <w:color w:val="auto"/>
                <w:kern w:val="0"/>
                <w:sz w:val="21"/>
                <w:szCs w:val="21"/>
              </w:rPr>
              <w:t>×</w:t>
            </w:r>
            <w:r>
              <w:rPr>
                <w:rFonts w:hint="eastAsia"/>
                <w:color w:val="auto"/>
                <w:kern w:val="0"/>
                <w:sz w:val="21"/>
                <w:szCs w:val="21"/>
                <w:lang w:val="en-US" w:eastAsia="zh-CN"/>
              </w:rPr>
              <w:t>2.00</w:t>
            </w:r>
            <w:r>
              <w:rPr>
                <w:color w:val="auto"/>
                <w:kern w:val="0"/>
                <w:sz w:val="21"/>
                <w:szCs w:val="21"/>
              </w:rPr>
              <w:t>m</w:t>
            </w:r>
          </w:p>
        </w:tc>
        <w:tc>
          <w:tcPr>
            <w:tcW w:w="523" w:type="pct"/>
            <w:tcBorders>
              <w:tl2br w:val="nil"/>
              <w:tr2bl w:val="nil"/>
            </w:tcBorders>
            <w:noWrap w:val="0"/>
            <w:vAlign w:val="center"/>
          </w:tcPr>
          <w:p w14:paraId="0FDA4FA6">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0BFA72CE">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5DDBD39D">
            <w:pPr>
              <w:pStyle w:val="431"/>
              <w:pageBreakBefore w:val="0"/>
              <w:wordWrap/>
              <w:bidi w:val="0"/>
              <w:adjustRightInd/>
              <w:snapToGrid/>
              <w:spacing w:line="240" w:lineRule="auto"/>
              <w:ind w:firstLine="0" w:firstLineChars="0"/>
              <w:rPr>
                <w:color w:val="auto"/>
                <w:sz w:val="21"/>
                <w:szCs w:val="21"/>
              </w:rPr>
            </w:pPr>
            <w:r>
              <w:rPr>
                <w:color w:val="auto"/>
                <w:sz w:val="21"/>
                <w:szCs w:val="21"/>
              </w:rPr>
              <w:t>1座2格</w:t>
            </w:r>
          </w:p>
        </w:tc>
        <w:tc>
          <w:tcPr>
            <w:tcW w:w="891" w:type="pct"/>
            <w:tcBorders>
              <w:tl2br w:val="nil"/>
              <w:tr2bl w:val="nil"/>
            </w:tcBorders>
            <w:noWrap w:val="0"/>
            <w:vAlign w:val="center"/>
          </w:tcPr>
          <w:p w14:paraId="7DCC4022">
            <w:pPr>
              <w:pStyle w:val="431"/>
              <w:pageBreakBefore w:val="0"/>
              <w:wordWrap/>
              <w:bidi w:val="0"/>
              <w:adjustRightInd/>
              <w:snapToGrid/>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去除悬浮物</w:t>
            </w:r>
          </w:p>
        </w:tc>
      </w:tr>
      <w:tr w14:paraId="2DE8F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59BD4D6E">
            <w:pPr>
              <w:pStyle w:val="431"/>
              <w:pageBreakBefore w:val="0"/>
              <w:wordWrap/>
              <w:bidi w:val="0"/>
              <w:adjustRightInd/>
              <w:snapToGrid/>
              <w:spacing w:line="240" w:lineRule="auto"/>
              <w:ind w:firstLine="0" w:firstLineChars="0"/>
              <w:rPr>
                <w:color w:val="auto"/>
                <w:sz w:val="21"/>
                <w:szCs w:val="21"/>
              </w:rPr>
            </w:pPr>
            <w:r>
              <w:rPr>
                <w:color w:val="auto"/>
                <w:sz w:val="21"/>
                <w:szCs w:val="21"/>
              </w:rPr>
              <w:t>3</w:t>
            </w:r>
          </w:p>
        </w:tc>
        <w:tc>
          <w:tcPr>
            <w:tcW w:w="1011" w:type="pct"/>
            <w:tcBorders>
              <w:tl2br w:val="nil"/>
              <w:tr2bl w:val="nil"/>
            </w:tcBorders>
            <w:noWrap w:val="0"/>
            <w:vAlign w:val="center"/>
          </w:tcPr>
          <w:p w14:paraId="5376090F">
            <w:pPr>
              <w:pStyle w:val="431"/>
              <w:pageBreakBefore w:val="0"/>
              <w:wordWrap/>
              <w:bidi w:val="0"/>
              <w:adjustRightInd/>
              <w:snapToGrid/>
              <w:spacing w:line="240" w:lineRule="auto"/>
              <w:ind w:firstLine="0" w:firstLineChars="0"/>
              <w:rPr>
                <w:rFonts w:hint="eastAsia"/>
                <w:color w:val="auto"/>
                <w:sz w:val="21"/>
                <w:szCs w:val="21"/>
              </w:rPr>
            </w:pPr>
            <w:r>
              <w:rPr>
                <w:color w:val="auto"/>
                <w:sz w:val="21"/>
                <w:szCs w:val="21"/>
              </w:rPr>
              <w:t>调节</w:t>
            </w:r>
            <w:r>
              <w:rPr>
                <w:rFonts w:hint="eastAsia"/>
                <w:color w:val="auto"/>
                <w:sz w:val="21"/>
                <w:szCs w:val="21"/>
              </w:rPr>
              <w:t>池</w:t>
            </w:r>
          </w:p>
        </w:tc>
        <w:tc>
          <w:tcPr>
            <w:tcW w:w="1283" w:type="pct"/>
            <w:tcBorders>
              <w:tl2br w:val="nil"/>
              <w:tr2bl w:val="nil"/>
            </w:tcBorders>
            <w:noWrap w:val="0"/>
            <w:vAlign w:val="center"/>
          </w:tcPr>
          <w:p w14:paraId="14D19696">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b w:val="0"/>
                <w:bCs/>
                <w:i w:val="0"/>
                <w:iCs/>
                <w:color w:val="auto"/>
                <w:sz w:val="21"/>
                <w:szCs w:val="21"/>
                <w:lang w:val="en-US" w:eastAsia="zh-CN"/>
              </w:rPr>
              <w:t>21.10m×14.00m×8.05m</w:t>
            </w:r>
          </w:p>
        </w:tc>
        <w:tc>
          <w:tcPr>
            <w:tcW w:w="523" w:type="pct"/>
            <w:tcBorders>
              <w:tl2br w:val="nil"/>
              <w:tr2bl w:val="nil"/>
            </w:tcBorders>
            <w:noWrap w:val="0"/>
            <w:vAlign w:val="center"/>
          </w:tcPr>
          <w:p w14:paraId="72BBA469">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1785835C">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333A1945">
            <w:pPr>
              <w:pStyle w:val="431"/>
              <w:pageBreakBefore w:val="0"/>
              <w:wordWrap/>
              <w:bidi w:val="0"/>
              <w:adjustRightInd/>
              <w:snapToGrid/>
              <w:spacing w:line="240" w:lineRule="auto"/>
              <w:ind w:firstLine="0" w:firstLineChars="0"/>
              <w:rPr>
                <w:color w:val="auto"/>
                <w:sz w:val="21"/>
                <w:szCs w:val="21"/>
              </w:rPr>
            </w:pPr>
            <w:r>
              <w:rPr>
                <w:color w:val="auto"/>
                <w:sz w:val="21"/>
                <w:szCs w:val="21"/>
              </w:rPr>
              <w:t>1座2格</w:t>
            </w:r>
          </w:p>
        </w:tc>
        <w:tc>
          <w:tcPr>
            <w:tcW w:w="891" w:type="pct"/>
            <w:tcBorders>
              <w:tl2br w:val="nil"/>
              <w:tr2bl w:val="nil"/>
            </w:tcBorders>
            <w:noWrap w:val="0"/>
            <w:vAlign w:val="center"/>
          </w:tcPr>
          <w:p w14:paraId="50793EE7">
            <w:pPr>
              <w:pStyle w:val="431"/>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除臭，有效水深6.8m</w:t>
            </w:r>
          </w:p>
        </w:tc>
      </w:tr>
      <w:tr w14:paraId="52A97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126B6B7C">
            <w:pPr>
              <w:pStyle w:val="431"/>
              <w:pageBreakBefore w:val="0"/>
              <w:wordWrap/>
              <w:bidi w:val="0"/>
              <w:adjustRightInd/>
              <w:snapToGrid/>
              <w:spacing w:line="240" w:lineRule="auto"/>
              <w:ind w:firstLine="0" w:firstLineChars="0"/>
              <w:rPr>
                <w:color w:val="auto"/>
                <w:sz w:val="21"/>
                <w:szCs w:val="21"/>
              </w:rPr>
            </w:pPr>
            <w:r>
              <w:rPr>
                <w:color w:val="auto"/>
                <w:sz w:val="21"/>
                <w:szCs w:val="21"/>
              </w:rPr>
              <w:t>4</w:t>
            </w:r>
          </w:p>
        </w:tc>
        <w:tc>
          <w:tcPr>
            <w:tcW w:w="1011" w:type="pct"/>
            <w:tcBorders>
              <w:tl2br w:val="nil"/>
              <w:tr2bl w:val="nil"/>
            </w:tcBorders>
            <w:noWrap w:val="0"/>
            <w:vAlign w:val="center"/>
          </w:tcPr>
          <w:p w14:paraId="3300A107">
            <w:pPr>
              <w:pStyle w:val="431"/>
              <w:pageBreakBefore w:val="0"/>
              <w:wordWrap/>
              <w:bidi w:val="0"/>
              <w:adjustRightInd/>
              <w:snapToGrid/>
              <w:spacing w:line="240" w:lineRule="auto"/>
              <w:ind w:firstLine="0" w:firstLineChars="0"/>
              <w:rPr>
                <w:rFonts w:hint="eastAsia"/>
                <w:color w:val="auto"/>
                <w:sz w:val="21"/>
                <w:szCs w:val="21"/>
              </w:rPr>
            </w:pPr>
            <w:r>
              <w:rPr>
                <w:rFonts w:hint="eastAsia"/>
                <w:color w:val="auto"/>
                <w:sz w:val="21"/>
                <w:szCs w:val="21"/>
              </w:rPr>
              <w:t>事故池</w:t>
            </w:r>
          </w:p>
        </w:tc>
        <w:tc>
          <w:tcPr>
            <w:tcW w:w="1283" w:type="pct"/>
            <w:tcBorders>
              <w:tl2br w:val="nil"/>
              <w:tr2bl w:val="nil"/>
            </w:tcBorders>
            <w:noWrap w:val="0"/>
            <w:vAlign w:val="center"/>
          </w:tcPr>
          <w:p w14:paraId="7D51A3B4">
            <w:pPr>
              <w:pStyle w:val="431"/>
              <w:pageBreakBefore w:val="0"/>
              <w:wordWrap/>
              <w:bidi w:val="0"/>
              <w:adjustRightInd/>
              <w:snapToGrid/>
              <w:spacing w:line="240" w:lineRule="auto"/>
              <w:ind w:firstLine="0" w:firstLineChars="0"/>
              <w:rPr>
                <w:rFonts w:hint="eastAsia"/>
                <w:color w:val="auto"/>
                <w:kern w:val="0"/>
                <w:sz w:val="21"/>
                <w:szCs w:val="21"/>
              </w:rPr>
            </w:pPr>
            <w:r>
              <w:rPr>
                <w:color w:val="auto"/>
                <w:kern w:val="0"/>
                <w:sz w:val="21"/>
                <w:szCs w:val="21"/>
              </w:rPr>
              <w:t>L×B×H=</w:t>
            </w:r>
            <w:r>
              <w:rPr>
                <w:rFonts w:hint="eastAsia"/>
                <w:b w:val="0"/>
                <w:bCs/>
                <w:i w:val="0"/>
                <w:iCs/>
                <w:color w:val="auto"/>
                <w:sz w:val="21"/>
                <w:szCs w:val="21"/>
                <w:lang w:val="en-US" w:eastAsia="zh-CN"/>
              </w:rPr>
              <w:t>29.60m×14.9m×8.05m</w:t>
            </w:r>
          </w:p>
        </w:tc>
        <w:tc>
          <w:tcPr>
            <w:tcW w:w="523" w:type="pct"/>
            <w:tcBorders>
              <w:tl2br w:val="nil"/>
              <w:tr2bl w:val="nil"/>
            </w:tcBorders>
            <w:noWrap w:val="0"/>
            <w:vAlign w:val="center"/>
          </w:tcPr>
          <w:p w14:paraId="28DA02F9">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153FD8EA">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4EE93301">
            <w:pPr>
              <w:pStyle w:val="431"/>
              <w:pageBreakBefore w:val="0"/>
              <w:wordWrap/>
              <w:bidi w:val="0"/>
              <w:adjustRightInd/>
              <w:snapToGrid/>
              <w:spacing w:line="240" w:lineRule="auto"/>
              <w:ind w:firstLine="0" w:firstLineChars="0"/>
              <w:rPr>
                <w:rFonts w:hint="eastAsia"/>
                <w:color w:val="auto"/>
                <w:sz w:val="21"/>
                <w:szCs w:val="21"/>
              </w:rPr>
            </w:pPr>
            <w:r>
              <w:rPr>
                <w:color w:val="auto"/>
                <w:sz w:val="21"/>
                <w:szCs w:val="21"/>
              </w:rPr>
              <w:t>1座2格</w:t>
            </w:r>
          </w:p>
        </w:tc>
        <w:tc>
          <w:tcPr>
            <w:tcW w:w="891" w:type="pct"/>
            <w:tcBorders>
              <w:tl2br w:val="nil"/>
              <w:tr2bl w:val="nil"/>
            </w:tcBorders>
            <w:noWrap w:val="0"/>
            <w:vAlign w:val="center"/>
          </w:tcPr>
          <w:p w14:paraId="0E6FA13D">
            <w:pPr>
              <w:pStyle w:val="431"/>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除臭，有效水深6.8m</w:t>
            </w:r>
          </w:p>
        </w:tc>
      </w:tr>
      <w:tr w14:paraId="427B4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FDCF82B">
            <w:pPr>
              <w:pStyle w:val="431"/>
              <w:pageBreakBefore w:val="0"/>
              <w:wordWrap/>
              <w:bidi w:val="0"/>
              <w:adjustRightInd/>
              <w:snapToGrid/>
              <w:spacing w:line="240" w:lineRule="auto"/>
              <w:ind w:firstLine="0" w:firstLineChars="0"/>
              <w:rPr>
                <w:color w:val="auto"/>
                <w:sz w:val="21"/>
                <w:szCs w:val="21"/>
              </w:rPr>
            </w:pPr>
            <w:r>
              <w:rPr>
                <w:color w:val="auto"/>
                <w:sz w:val="21"/>
                <w:szCs w:val="21"/>
              </w:rPr>
              <w:t>5</w:t>
            </w:r>
          </w:p>
        </w:tc>
        <w:tc>
          <w:tcPr>
            <w:tcW w:w="1011" w:type="pct"/>
            <w:tcBorders>
              <w:tl2br w:val="nil"/>
              <w:tr2bl w:val="nil"/>
            </w:tcBorders>
            <w:noWrap w:val="0"/>
            <w:vAlign w:val="center"/>
          </w:tcPr>
          <w:p w14:paraId="5F77AABD">
            <w:pPr>
              <w:pStyle w:val="431"/>
              <w:pageBreakBefore w:val="0"/>
              <w:wordWrap/>
              <w:bidi w:val="0"/>
              <w:adjustRightInd/>
              <w:snapToGrid/>
              <w:spacing w:line="240" w:lineRule="auto"/>
              <w:ind w:firstLine="0" w:firstLineChars="0"/>
              <w:rPr>
                <w:color w:val="auto"/>
                <w:sz w:val="21"/>
                <w:szCs w:val="21"/>
              </w:rPr>
            </w:pPr>
            <w:r>
              <w:rPr>
                <w:color w:val="auto"/>
                <w:sz w:val="21"/>
                <w:szCs w:val="21"/>
              </w:rPr>
              <w:t>水解酸化池</w:t>
            </w:r>
          </w:p>
        </w:tc>
        <w:tc>
          <w:tcPr>
            <w:tcW w:w="1283" w:type="pct"/>
            <w:tcBorders>
              <w:tl2br w:val="nil"/>
              <w:tr2bl w:val="nil"/>
            </w:tcBorders>
            <w:noWrap w:val="0"/>
            <w:vAlign w:val="center"/>
          </w:tcPr>
          <w:p w14:paraId="05302794">
            <w:pPr>
              <w:pStyle w:val="431"/>
              <w:pageBreakBefore w:val="0"/>
              <w:wordWrap/>
              <w:bidi w:val="0"/>
              <w:adjustRightInd/>
              <w:snapToGrid/>
              <w:spacing w:line="240" w:lineRule="auto"/>
              <w:ind w:firstLine="0" w:firstLineChars="0"/>
              <w:rPr>
                <w:color w:val="auto"/>
                <w:kern w:val="0"/>
                <w:sz w:val="21"/>
                <w:szCs w:val="21"/>
              </w:rPr>
            </w:pPr>
            <w:r>
              <w:rPr>
                <w:color w:val="auto"/>
                <w:kern w:val="0"/>
                <w:sz w:val="21"/>
                <w:szCs w:val="21"/>
              </w:rPr>
              <w:t>L×B×H=</w:t>
            </w:r>
            <w:r>
              <w:rPr>
                <w:rFonts w:hint="eastAsia"/>
                <w:b w:val="0"/>
                <w:bCs/>
                <w:i w:val="0"/>
                <w:iCs/>
                <w:color w:val="auto"/>
                <w:sz w:val="21"/>
                <w:szCs w:val="21"/>
                <w:lang w:val="en-US" w:eastAsia="zh-CN"/>
              </w:rPr>
              <w:t>33.20m×8.4m×6.6m</w:t>
            </w:r>
          </w:p>
        </w:tc>
        <w:tc>
          <w:tcPr>
            <w:tcW w:w="523" w:type="pct"/>
            <w:tcBorders>
              <w:tl2br w:val="nil"/>
              <w:tr2bl w:val="nil"/>
            </w:tcBorders>
            <w:noWrap w:val="0"/>
            <w:vAlign w:val="center"/>
          </w:tcPr>
          <w:p w14:paraId="63074B32">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79B7B39A">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2A8D7D79">
            <w:pPr>
              <w:pStyle w:val="431"/>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2E47C86F">
            <w:pPr>
              <w:pStyle w:val="431"/>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241DD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75716286">
            <w:pPr>
              <w:pStyle w:val="431"/>
              <w:pageBreakBefore w:val="0"/>
              <w:wordWrap/>
              <w:bidi w:val="0"/>
              <w:adjustRightInd/>
              <w:snapToGrid/>
              <w:spacing w:line="240" w:lineRule="auto"/>
              <w:ind w:firstLine="0" w:firstLineChars="0"/>
              <w:rPr>
                <w:color w:val="auto"/>
                <w:sz w:val="21"/>
                <w:szCs w:val="21"/>
              </w:rPr>
            </w:pPr>
            <w:r>
              <w:rPr>
                <w:color w:val="auto"/>
                <w:sz w:val="21"/>
                <w:szCs w:val="21"/>
              </w:rPr>
              <w:t>6</w:t>
            </w:r>
          </w:p>
        </w:tc>
        <w:tc>
          <w:tcPr>
            <w:tcW w:w="1011" w:type="pct"/>
            <w:tcBorders>
              <w:tl2br w:val="nil"/>
              <w:tr2bl w:val="nil"/>
            </w:tcBorders>
            <w:noWrap w:val="0"/>
            <w:vAlign w:val="center"/>
          </w:tcPr>
          <w:p w14:paraId="788C6330">
            <w:pPr>
              <w:pStyle w:val="431"/>
              <w:pageBreakBefore w:val="0"/>
              <w:wordWrap/>
              <w:bidi w:val="0"/>
              <w:adjustRightInd/>
              <w:snapToGrid/>
              <w:spacing w:line="240" w:lineRule="auto"/>
              <w:ind w:firstLine="0" w:firstLineChars="0"/>
              <w:rPr>
                <w:rFonts w:hint="eastAsia" w:eastAsia="宋体"/>
                <w:color w:val="auto"/>
                <w:sz w:val="21"/>
                <w:szCs w:val="21"/>
                <w:lang w:eastAsia="zh-CN"/>
              </w:rPr>
            </w:pPr>
            <w:r>
              <w:rPr>
                <w:rFonts w:hint="eastAsia"/>
                <w:color w:val="auto"/>
                <w:sz w:val="21"/>
                <w:szCs w:val="21"/>
                <w:lang w:val="en-US" w:eastAsia="zh-CN"/>
              </w:rPr>
              <w:t>生化池</w:t>
            </w:r>
          </w:p>
        </w:tc>
        <w:tc>
          <w:tcPr>
            <w:tcW w:w="1283" w:type="pct"/>
            <w:tcBorders>
              <w:tl2br w:val="nil"/>
              <w:tr2bl w:val="nil"/>
            </w:tcBorders>
            <w:noWrap w:val="0"/>
            <w:vAlign w:val="center"/>
          </w:tcPr>
          <w:p w14:paraId="4E399C63">
            <w:pPr>
              <w:pStyle w:val="431"/>
              <w:pageBreakBefore w:val="0"/>
              <w:wordWrap/>
              <w:bidi w:val="0"/>
              <w:adjustRightInd/>
              <w:snapToGrid/>
              <w:spacing w:line="240" w:lineRule="auto"/>
              <w:ind w:firstLine="0" w:firstLineChars="0"/>
              <w:rPr>
                <w:rFonts w:hint="eastAsia"/>
                <w:color w:val="auto"/>
                <w:sz w:val="21"/>
                <w:szCs w:val="21"/>
              </w:rPr>
            </w:pPr>
            <w:r>
              <w:rPr>
                <w:color w:val="auto"/>
                <w:kern w:val="0"/>
                <w:sz w:val="21"/>
                <w:szCs w:val="21"/>
              </w:rPr>
              <w:t>L×B×H=</w:t>
            </w:r>
            <w:r>
              <w:rPr>
                <w:rFonts w:hint="eastAsia"/>
                <w:b w:val="0"/>
                <w:bCs/>
                <w:i w:val="0"/>
                <w:iCs/>
                <w:color w:val="auto"/>
                <w:sz w:val="21"/>
                <w:szCs w:val="21"/>
                <w:lang w:val="en-US" w:eastAsia="zh-CN"/>
              </w:rPr>
              <w:t>32.70m×20.8m×6.3m</w:t>
            </w:r>
          </w:p>
        </w:tc>
        <w:tc>
          <w:tcPr>
            <w:tcW w:w="523" w:type="pct"/>
            <w:tcBorders>
              <w:tl2br w:val="nil"/>
              <w:tr2bl w:val="nil"/>
            </w:tcBorders>
            <w:noWrap w:val="0"/>
            <w:vAlign w:val="center"/>
          </w:tcPr>
          <w:p w14:paraId="76C10673">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0640B67B">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9B56EFD">
            <w:pPr>
              <w:pStyle w:val="431"/>
              <w:pageBreakBefore w:val="0"/>
              <w:wordWrap/>
              <w:bidi w:val="0"/>
              <w:adjustRightInd/>
              <w:snapToGrid/>
              <w:spacing w:line="240" w:lineRule="auto"/>
              <w:ind w:firstLine="0" w:firstLineChars="0"/>
              <w:rPr>
                <w:rFonts w:hint="eastAsia" w:eastAsia="宋体"/>
                <w:color w:val="auto"/>
                <w:sz w:val="21"/>
                <w:szCs w:val="21"/>
                <w:lang w:val="en-US" w:eastAsia="zh-CN"/>
              </w:rPr>
            </w:pPr>
            <w:r>
              <w:rPr>
                <w:color w:val="auto"/>
                <w:sz w:val="21"/>
                <w:szCs w:val="21"/>
              </w:rPr>
              <w:t>1座2</w:t>
            </w:r>
            <w:r>
              <w:rPr>
                <w:rFonts w:hint="eastAsia"/>
                <w:color w:val="auto"/>
                <w:sz w:val="21"/>
                <w:szCs w:val="21"/>
                <w:lang w:val="en-US" w:eastAsia="zh-CN"/>
              </w:rPr>
              <w:t>格</w:t>
            </w:r>
          </w:p>
        </w:tc>
        <w:tc>
          <w:tcPr>
            <w:tcW w:w="891" w:type="pct"/>
            <w:tcBorders>
              <w:tl2br w:val="nil"/>
              <w:tr2bl w:val="nil"/>
            </w:tcBorders>
            <w:noWrap w:val="0"/>
            <w:vAlign w:val="center"/>
          </w:tcPr>
          <w:p w14:paraId="37FD48EC">
            <w:pPr>
              <w:pStyle w:val="431"/>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383EA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15776FC8">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7</w:t>
            </w:r>
          </w:p>
        </w:tc>
        <w:tc>
          <w:tcPr>
            <w:tcW w:w="1011" w:type="pct"/>
            <w:tcBorders>
              <w:tl2br w:val="nil"/>
              <w:tr2bl w:val="nil"/>
            </w:tcBorders>
            <w:noWrap w:val="0"/>
            <w:vAlign w:val="center"/>
          </w:tcPr>
          <w:p w14:paraId="7F247DF2">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反硝化深床滤池</w:t>
            </w:r>
          </w:p>
        </w:tc>
        <w:tc>
          <w:tcPr>
            <w:tcW w:w="1283" w:type="pct"/>
            <w:tcBorders>
              <w:tl2br w:val="nil"/>
              <w:tr2bl w:val="nil"/>
            </w:tcBorders>
            <w:noWrap w:val="0"/>
            <w:vAlign w:val="center"/>
          </w:tcPr>
          <w:p w14:paraId="74ADC4D4">
            <w:pPr>
              <w:pStyle w:val="431"/>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L×B×H=21.90m×14.60m×（4.14-5.94）m</w:t>
            </w:r>
          </w:p>
        </w:tc>
        <w:tc>
          <w:tcPr>
            <w:tcW w:w="523" w:type="pct"/>
            <w:tcBorders>
              <w:tl2br w:val="nil"/>
              <w:tr2bl w:val="nil"/>
            </w:tcBorders>
            <w:noWrap w:val="0"/>
            <w:vAlign w:val="center"/>
          </w:tcPr>
          <w:p w14:paraId="12FF531D">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628C227B">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4FD4E924">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1</w:t>
            </w:r>
          </w:p>
        </w:tc>
        <w:tc>
          <w:tcPr>
            <w:tcW w:w="891" w:type="pct"/>
            <w:tcBorders>
              <w:tl2br w:val="nil"/>
              <w:tr2bl w:val="nil"/>
            </w:tcBorders>
            <w:noWrap w:val="0"/>
            <w:vAlign w:val="center"/>
          </w:tcPr>
          <w:p w14:paraId="11D164A0">
            <w:pPr>
              <w:pStyle w:val="431"/>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47227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F4DFE2C">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8</w:t>
            </w:r>
          </w:p>
        </w:tc>
        <w:tc>
          <w:tcPr>
            <w:tcW w:w="1011" w:type="pct"/>
            <w:tcBorders>
              <w:tl2br w:val="nil"/>
              <w:tr2bl w:val="nil"/>
            </w:tcBorders>
            <w:noWrap w:val="0"/>
            <w:vAlign w:val="center"/>
          </w:tcPr>
          <w:p w14:paraId="0AED6006">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高级氧化</w:t>
            </w:r>
            <w:r>
              <w:rPr>
                <w:rFonts w:hint="eastAsia"/>
                <w:color w:val="auto"/>
                <w:sz w:val="21"/>
                <w:szCs w:val="21"/>
                <w:lang w:val="en-US" w:eastAsia="zh-CN"/>
              </w:rPr>
              <w:t>深度</w:t>
            </w:r>
            <w:r>
              <w:rPr>
                <w:rFonts w:hint="eastAsia"/>
                <w:color w:val="auto"/>
                <w:sz w:val="21"/>
                <w:szCs w:val="21"/>
              </w:rPr>
              <w:t>处理系统</w:t>
            </w:r>
          </w:p>
        </w:tc>
        <w:tc>
          <w:tcPr>
            <w:tcW w:w="1283" w:type="pct"/>
            <w:tcBorders>
              <w:tl2br w:val="nil"/>
              <w:tr2bl w:val="nil"/>
            </w:tcBorders>
            <w:noWrap w:val="0"/>
            <w:vAlign w:val="center"/>
          </w:tcPr>
          <w:p w14:paraId="4F4D87D9">
            <w:pPr>
              <w:pStyle w:val="431"/>
              <w:pageBreakBefore w:val="0"/>
              <w:wordWrap/>
              <w:bidi w:val="0"/>
              <w:adjustRightInd/>
              <w:snapToGrid/>
              <w:spacing w:line="240" w:lineRule="auto"/>
              <w:ind w:firstLine="0" w:firstLineChars="0"/>
              <w:rPr>
                <w:rFonts w:hint="eastAsia" w:eastAsia="宋体"/>
                <w:color w:val="auto"/>
                <w:sz w:val="21"/>
                <w:szCs w:val="21"/>
                <w:lang w:eastAsia="zh-CN"/>
              </w:rPr>
            </w:pPr>
            <w:r>
              <w:rPr>
                <w:rFonts w:hint="eastAsia"/>
                <w:color w:val="auto"/>
                <w:kern w:val="0"/>
                <w:sz w:val="21"/>
                <w:szCs w:val="21"/>
                <w:lang w:val="en-US" w:eastAsia="zh-CN"/>
              </w:rPr>
              <w:t>L×B=10.00m×4.00m</w:t>
            </w:r>
          </w:p>
        </w:tc>
        <w:tc>
          <w:tcPr>
            <w:tcW w:w="523" w:type="pct"/>
            <w:tcBorders>
              <w:tl2br w:val="nil"/>
              <w:tr2bl w:val="nil"/>
            </w:tcBorders>
            <w:noWrap w:val="0"/>
            <w:vAlign w:val="center"/>
          </w:tcPr>
          <w:p w14:paraId="59BDEFDE">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12423486">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FAC420A">
            <w:pPr>
              <w:pStyle w:val="431"/>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56733F09">
            <w:pPr>
              <w:pStyle w:val="431"/>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23F41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110F530">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9</w:t>
            </w:r>
          </w:p>
        </w:tc>
        <w:tc>
          <w:tcPr>
            <w:tcW w:w="1011" w:type="pct"/>
            <w:tcBorders>
              <w:tl2br w:val="nil"/>
              <w:tr2bl w:val="nil"/>
            </w:tcBorders>
            <w:noWrap w:val="0"/>
            <w:vAlign w:val="center"/>
          </w:tcPr>
          <w:p w14:paraId="7C78ABB3">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紫外线消毒-出水计量渠</w:t>
            </w:r>
          </w:p>
        </w:tc>
        <w:tc>
          <w:tcPr>
            <w:tcW w:w="1283" w:type="pct"/>
            <w:tcBorders>
              <w:tl2br w:val="nil"/>
              <w:tr2bl w:val="nil"/>
            </w:tcBorders>
            <w:noWrap w:val="0"/>
            <w:vAlign w:val="center"/>
          </w:tcPr>
          <w:p w14:paraId="57C731B5">
            <w:pPr>
              <w:pStyle w:val="431"/>
              <w:pageBreakBefore w:val="0"/>
              <w:wordWrap/>
              <w:bidi w:val="0"/>
              <w:adjustRightInd/>
              <w:snapToGrid/>
              <w:spacing w:line="240" w:lineRule="auto"/>
              <w:ind w:firstLine="0" w:firstLineChars="0"/>
              <w:rPr>
                <w:color w:val="auto"/>
                <w:kern w:val="0"/>
                <w:sz w:val="21"/>
                <w:szCs w:val="21"/>
              </w:rPr>
            </w:pPr>
            <w:r>
              <w:rPr>
                <w:color w:val="auto"/>
                <w:kern w:val="0"/>
                <w:sz w:val="21"/>
                <w:szCs w:val="21"/>
              </w:rPr>
              <w:t>L×B×H=</w:t>
            </w:r>
            <w:r>
              <w:rPr>
                <w:rFonts w:hint="eastAsia"/>
                <w:b w:val="0"/>
                <w:bCs/>
                <w:i w:val="0"/>
                <w:iCs/>
                <w:color w:val="auto"/>
                <w:sz w:val="21"/>
                <w:szCs w:val="21"/>
                <w:lang w:val="en-US" w:eastAsia="zh-CN"/>
              </w:rPr>
              <w:t>15.00m×4.80m×3.05m</w:t>
            </w:r>
          </w:p>
        </w:tc>
        <w:tc>
          <w:tcPr>
            <w:tcW w:w="523" w:type="pct"/>
            <w:tcBorders>
              <w:tl2br w:val="nil"/>
              <w:tr2bl w:val="nil"/>
            </w:tcBorders>
            <w:noWrap w:val="0"/>
            <w:vAlign w:val="center"/>
          </w:tcPr>
          <w:p w14:paraId="726AEE6F">
            <w:pPr>
              <w:pStyle w:val="431"/>
              <w:pageBreakBefore w:val="0"/>
              <w:wordWrap/>
              <w:bidi w:val="0"/>
              <w:adjustRightInd/>
              <w:snapToGrid/>
              <w:spacing w:line="240" w:lineRule="auto"/>
              <w:ind w:firstLine="0" w:firstLineChars="0"/>
              <w:rPr>
                <w:color w:val="auto"/>
                <w:kern w:val="0"/>
                <w:sz w:val="21"/>
                <w:szCs w:val="21"/>
              </w:rPr>
            </w:pPr>
            <w:r>
              <w:rPr>
                <w:color w:val="auto"/>
                <w:kern w:val="0"/>
                <w:sz w:val="21"/>
                <w:szCs w:val="21"/>
              </w:rPr>
              <w:t>钢筋砼+框架</w:t>
            </w:r>
          </w:p>
        </w:tc>
        <w:tc>
          <w:tcPr>
            <w:tcW w:w="407" w:type="pct"/>
            <w:tcBorders>
              <w:tl2br w:val="nil"/>
              <w:tr2bl w:val="nil"/>
            </w:tcBorders>
            <w:noWrap w:val="0"/>
            <w:vAlign w:val="center"/>
          </w:tcPr>
          <w:p w14:paraId="14B99845">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E7B4BD3">
            <w:pPr>
              <w:pStyle w:val="431"/>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3D59B550">
            <w:pPr>
              <w:pStyle w:val="431"/>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66618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B5D70CA">
            <w:pPr>
              <w:pStyle w:val="431"/>
              <w:pageBreakBefore w:val="0"/>
              <w:wordWrap/>
              <w:bidi w:val="0"/>
              <w:adjustRightInd/>
              <w:snapToGrid/>
              <w:spacing w:line="240" w:lineRule="auto"/>
              <w:ind w:firstLine="0" w:firstLineChars="0"/>
              <w:rPr>
                <w:color w:val="auto"/>
                <w:sz w:val="21"/>
                <w:szCs w:val="21"/>
              </w:rPr>
            </w:pPr>
            <w:r>
              <w:rPr>
                <w:color w:val="auto"/>
                <w:sz w:val="21"/>
                <w:szCs w:val="21"/>
              </w:rPr>
              <w:t>10</w:t>
            </w:r>
          </w:p>
        </w:tc>
        <w:tc>
          <w:tcPr>
            <w:tcW w:w="1011" w:type="pct"/>
            <w:tcBorders>
              <w:tl2br w:val="nil"/>
              <w:tr2bl w:val="nil"/>
            </w:tcBorders>
            <w:noWrap w:val="0"/>
            <w:vAlign w:val="center"/>
          </w:tcPr>
          <w:p w14:paraId="2C3AFC73">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磁混凝沉淀池</w:t>
            </w:r>
          </w:p>
        </w:tc>
        <w:tc>
          <w:tcPr>
            <w:tcW w:w="1283" w:type="pct"/>
            <w:tcBorders>
              <w:tl2br w:val="nil"/>
              <w:tr2bl w:val="nil"/>
            </w:tcBorders>
            <w:noWrap w:val="0"/>
            <w:vAlign w:val="center"/>
          </w:tcPr>
          <w:p w14:paraId="0AE03D76">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color w:val="auto"/>
                <w:sz w:val="21"/>
                <w:szCs w:val="21"/>
                <w:lang w:val="en-US" w:eastAsia="zh-CN"/>
              </w:rPr>
              <w:t>19.20m×12.00m×11.1m</w:t>
            </w:r>
          </w:p>
        </w:tc>
        <w:tc>
          <w:tcPr>
            <w:tcW w:w="523" w:type="pct"/>
            <w:tcBorders>
              <w:tl2br w:val="nil"/>
              <w:tr2bl w:val="nil"/>
            </w:tcBorders>
            <w:noWrap w:val="0"/>
            <w:vAlign w:val="center"/>
          </w:tcPr>
          <w:p w14:paraId="33D33888">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2BE7FF50">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7FB754BE">
            <w:pPr>
              <w:pStyle w:val="431"/>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310FCD0C">
            <w:pPr>
              <w:pStyle w:val="431"/>
              <w:pageBreakBefore w:val="0"/>
              <w:wordWrap/>
              <w:bidi w:val="0"/>
              <w:adjustRightInd/>
              <w:snapToGrid/>
              <w:spacing w:line="240" w:lineRule="auto"/>
              <w:ind w:firstLine="0" w:firstLineChars="0"/>
              <w:rPr>
                <w:rFonts w:hint="eastAsia" w:eastAsia="宋体"/>
                <w:color w:val="auto"/>
                <w:sz w:val="21"/>
                <w:szCs w:val="21"/>
                <w:lang w:val="en-US" w:eastAsia="zh-CN"/>
              </w:rPr>
            </w:pPr>
            <w:r>
              <w:rPr>
                <w:color w:val="auto"/>
                <w:sz w:val="21"/>
                <w:szCs w:val="21"/>
              </w:rPr>
              <w:t>除臭</w:t>
            </w:r>
          </w:p>
        </w:tc>
      </w:tr>
      <w:tr w14:paraId="55C7E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34798F02">
            <w:pPr>
              <w:pStyle w:val="431"/>
              <w:pageBreakBefore w:val="0"/>
              <w:wordWrap/>
              <w:bidi w:val="0"/>
              <w:adjustRightInd/>
              <w:snapToGrid/>
              <w:spacing w:line="240" w:lineRule="auto"/>
              <w:ind w:firstLine="0" w:firstLineChars="0"/>
              <w:rPr>
                <w:color w:val="auto"/>
                <w:sz w:val="21"/>
                <w:szCs w:val="21"/>
              </w:rPr>
            </w:pPr>
            <w:r>
              <w:rPr>
                <w:color w:val="auto"/>
                <w:sz w:val="21"/>
                <w:szCs w:val="21"/>
              </w:rPr>
              <w:t>11</w:t>
            </w:r>
          </w:p>
        </w:tc>
        <w:tc>
          <w:tcPr>
            <w:tcW w:w="1011" w:type="pct"/>
            <w:tcBorders>
              <w:tl2br w:val="nil"/>
              <w:tr2bl w:val="nil"/>
            </w:tcBorders>
            <w:noWrap w:val="0"/>
            <w:vAlign w:val="center"/>
          </w:tcPr>
          <w:p w14:paraId="74F144B1">
            <w:pPr>
              <w:pStyle w:val="431"/>
              <w:pageBreakBefore w:val="0"/>
              <w:wordWrap/>
              <w:bidi w:val="0"/>
              <w:adjustRightInd/>
              <w:snapToGrid/>
              <w:spacing w:line="240" w:lineRule="auto"/>
              <w:ind w:firstLine="0" w:firstLineChars="0"/>
              <w:rPr>
                <w:rFonts w:hint="eastAsia"/>
                <w:color w:val="auto"/>
                <w:sz w:val="21"/>
                <w:szCs w:val="21"/>
              </w:rPr>
            </w:pPr>
            <w:r>
              <w:rPr>
                <w:rFonts w:hint="eastAsia"/>
                <w:color w:val="auto"/>
                <w:sz w:val="21"/>
                <w:szCs w:val="21"/>
              </w:rPr>
              <w:t>污泥脱水车间</w:t>
            </w:r>
          </w:p>
        </w:tc>
        <w:tc>
          <w:tcPr>
            <w:tcW w:w="1283" w:type="pct"/>
            <w:tcBorders>
              <w:tl2br w:val="nil"/>
              <w:tr2bl w:val="nil"/>
            </w:tcBorders>
            <w:noWrap w:val="0"/>
            <w:vAlign w:val="center"/>
          </w:tcPr>
          <w:p w14:paraId="3CFA7FBD">
            <w:pPr>
              <w:pStyle w:val="431"/>
              <w:pageBreakBefore w:val="0"/>
              <w:wordWrap/>
              <w:bidi w:val="0"/>
              <w:adjustRightInd/>
              <w:snapToGrid/>
              <w:spacing w:line="240" w:lineRule="auto"/>
              <w:ind w:firstLine="0" w:firstLineChars="0"/>
              <w:rPr>
                <w:color w:val="auto"/>
                <w:kern w:val="0"/>
                <w:sz w:val="21"/>
                <w:szCs w:val="21"/>
              </w:rPr>
            </w:pPr>
            <w:r>
              <w:rPr>
                <w:rFonts w:hint="eastAsia"/>
                <w:color w:val="auto"/>
                <w:sz w:val="21"/>
                <w:szCs w:val="21"/>
                <w:lang w:val="en-US" w:eastAsia="zh-CN"/>
              </w:rPr>
              <w:t>L×B×H=28.40m×19.20m×15.7m</w:t>
            </w:r>
          </w:p>
        </w:tc>
        <w:tc>
          <w:tcPr>
            <w:tcW w:w="523" w:type="pct"/>
            <w:tcBorders>
              <w:tl2br w:val="nil"/>
              <w:tr2bl w:val="nil"/>
            </w:tcBorders>
            <w:noWrap w:val="0"/>
            <w:vAlign w:val="center"/>
          </w:tcPr>
          <w:p w14:paraId="2B3AC45F">
            <w:pPr>
              <w:pStyle w:val="431"/>
              <w:pageBreakBefore w:val="0"/>
              <w:wordWrap/>
              <w:bidi w:val="0"/>
              <w:adjustRightInd/>
              <w:snapToGrid/>
              <w:spacing w:line="240" w:lineRule="auto"/>
              <w:ind w:firstLine="0" w:firstLineChars="0"/>
              <w:rPr>
                <w:rFonts w:hint="default" w:eastAsia="宋体"/>
                <w:color w:val="auto"/>
                <w:kern w:val="0"/>
                <w:sz w:val="21"/>
                <w:szCs w:val="21"/>
                <w:lang w:val="en-US" w:eastAsia="zh-CN"/>
              </w:rPr>
            </w:pPr>
            <w:r>
              <w:rPr>
                <w:rFonts w:hint="eastAsia"/>
                <w:color w:val="auto"/>
                <w:kern w:val="0"/>
                <w:sz w:val="21"/>
                <w:szCs w:val="21"/>
                <w:lang w:val="en-US" w:eastAsia="zh-CN"/>
              </w:rPr>
              <w:t>框架</w:t>
            </w:r>
          </w:p>
        </w:tc>
        <w:tc>
          <w:tcPr>
            <w:tcW w:w="407" w:type="pct"/>
            <w:tcBorders>
              <w:tl2br w:val="nil"/>
              <w:tr2bl w:val="nil"/>
            </w:tcBorders>
            <w:noWrap w:val="0"/>
            <w:vAlign w:val="center"/>
          </w:tcPr>
          <w:p w14:paraId="58620959">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64900895">
            <w:pPr>
              <w:pStyle w:val="431"/>
              <w:pageBreakBefore w:val="0"/>
              <w:wordWrap/>
              <w:bidi w:val="0"/>
              <w:adjustRightInd/>
              <w:snapToGrid/>
              <w:spacing w:line="240" w:lineRule="auto"/>
              <w:ind w:firstLine="0" w:firstLineChars="0"/>
              <w:rPr>
                <w:rFonts w:hint="default" w:eastAsia="宋体"/>
                <w:color w:val="auto"/>
                <w:sz w:val="21"/>
                <w:szCs w:val="21"/>
                <w:lang w:val="en-US" w:eastAsia="zh-CN"/>
              </w:rPr>
            </w:pPr>
            <w:r>
              <w:rPr>
                <w:color w:val="auto"/>
                <w:sz w:val="21"/>
                <w:szCs w:val="21"/>
              </w:rPr>
              <w:t>1</w:t>
            </w:r>
            <w:r>
              <w:rPr>
                <w:rFonts w:hint="eastAsia"/>
                <w:color w:val="auto"/>
                <w:sz w:val="21"/>
                <w:szCs w:val="21"/>
              </w:rPr>
              <w:t>座</w:t>
            </w:r>
            <w:r>
              <w:rPr>
                <w:rFonts w:hint="eastAsia"/>
                <w:color w:val="auto"/>
                <w:sz w:val="21"/>
                <w:szCs w:val="21"/>
                <w:lang w:val="en-US" w:eastAsia="zh-CN"/>
              </w:rPr>
              <w:t>2F</w:t>
            </w:r>
          </w:p>
        </w:tc>
        <w:tc>
          <w:tcPr>
            <w:tcW w:w="891" w:type="pct"/>
            <w:tcBorders>
              <w:tl2br w:val="nil"/>
              <w:tr2bl w:val="nil"/>
            </w:tcBorders>
            <w:noWrap w:val="0"/>
            <w:vAlign w:val="center"/>
          </w:tcPr>
          <w:p w14:paraId="70B860FD">
            <w:pPr>
              <w:pStyle w:val="431"/>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75ABC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7E731310">
            <w:pPr>
              <w:pStyle w:val="431"/>
              <w:pageBreakBefore w:val="0"/>
              <w:wordWrap/>
              <w:bidi w:val="0"/>
              <w:adjustRightInd/>
              <w:snapToGrid/>
              <w:spacing w:line="240" w:lineRule="auto"/>
              <w:ind w:firstLine="0" w:firstLineChars="0"/>
              <w:rPr>
                <w:color w:val="auto"/>
                <w:sz w:val="21"/>
                <w:szCs w:val="21"/>
              </w:rPr>
            </w:pPr>
            <w:r>
              <w:rPr>
                <w:color w:val="auto"/>
                <w:sz w:val="21"/>
                <w:szCs w:val="21"/>
              </w:rPr>
              <w:t>12</w:t>
            </w:r>
          </w:p>
        </w:tc>
        <w:tc>
          <w:tcPr>
            <w:tcW w:w="1011" w:type="pct"/>
            <w:tcBorders>
              <w:tl2br w:val="nil"/>
              <w:tr2bl w:val="nil"/>
            </w:tcBorders>
            <w:noWrap w:val="0"/>
            <w:vAlign w:val="center"/>
          </w:tcPr>
          <w:p w14:paraId="606340D2">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lang w:val="en-US" w:eastAsia="zh-CN"/>
              </w:rPr>
              <w:t>污泥池</w:t>
            </w:r>
          </w:p>
        </w:tc>
        <w:tc>
          <w:tcPr>
            <w:tcW w:w="1283" w:type="pct"/>
            <w:tcBorders>
              <w:tl2br w:val="nil"/>
              <w:tr2bl w:val="nil"/>
            </w:tcBorders>
            <w:noWrap w:val="0"/>
            <w:vAlign w:val="center"/>
          </w:tcPr>
          <w:p w14:paraId="4391D77B">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L×B×H=8.30m×5.00m×5.0m</w:t>
            </w:r>
          </w:p>
        </w:tc>
        <w:tc>
          <w:tcPr>
            <w:tcW w:w="523" w:type="pct"/>
            <w:tcBorders>
              <w:tl2br w:val="nil"/>
              <w:tr2bl w:val="nil"/>
            </w:tcBorders>
            <w:noWrap w:val="0"/>
            <w:vAlign w:val="center"/>
          </w:tcPr>
          <w:p w14:paraId="46A098C6">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22B7DD69">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6FE66152">
            <w:pPr>
              <w:pStyle w:val="431"/>
              <w:pageBreakBefore w:val="0"/>
              <w:wordWrap/>
              <w:bidi w:val="0"/>
              <w:adjustRightInd/>
              <w:snapToGrid/>
              <w:spacing w:line="240" w:lineRule="auto"/>
              <w:ind w:firstLine="0" w:firstLineChars="0"/>
              <w:rPr>
                <w:color w:val="auto"/>
                <w:sz w:val="21"/>
                <w:szCs w:val="21"/>
              </w:rPr>
            </w:pPr>
            <w:r>
              <w:rPr>
                <w:color w:val="auto"/>
                <w:sz w:val="21"/>
                <w:szCs w:val="21"/>
              </w:rPr>
              <w:t>1</w:t>
            </w:r>
            <w:r>
              <w:rPr>
                <w:rFonts w:hint="eastAsia"/>
                <w:color w:val="auto"/>
                <w:sz w:val="21"/>
                <w:szCs w:val="21"/>
              </w:rPr>
              <w:t>座</w:t>
            </w:r>
            <w:r>
              <w:rPr>
                <w:rFonts w:hint="eastAsia"/>
                <w:color w:val="auto"/>
                <w:sz w:val="21"/>
                <w:szCs w:val="21"/>
                <w:lang w:val="en-US" w:eastAsia="zh-CN"/>
              </w:rPr>
              <w:t>2</w:t>
            </w:r>
            <w:r>
              <w:rPr>
                <w:rFonts w:hint="eastAsia"/>
                <w:color w:val="auto"/>
                <w:sz w:val="21"/>
                <w:szCs w:val="21"/>
              </w:rPr>
              <w:t>格</w:t>
            </w:r>
          </w:p>
        </w:tc>
        <w:tc>
          <w:tcPr>
            <w:tcW w:w="891" w:type="pct"/>
            <w:tcBorders>
              <w:tl2br w:val="nil"/>
              <w:tr2bl w:val="nil"/>
            </w:tcBorders>
            <w:noWrap w:val="0"/>
            <w:vAlign w:val="center"/>
          </w:tcPr>
          <w:p w14:paraId="51F97728">
            <w:pPr>
              <w:pStyle w:val="431"/>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29D30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1639725D">
            <w:pPr>
              <w:pStyle w:val="431"/>
              <w:pageBreakBefore w:val="0"/>
              <w:wordWrap/>
              <w:bidi w:val="0"/>
              <w:adjustRightInd/>
              <w:snapToGrid/>
              <w:spacing w:line="240" w:lineRule="auto"/>
              <w:ind w:firstLine="0" w:firstLineChars="0"/>
              <w:rPr>
                <w:color w:val="auto"/>
                <w:sz w:val="21"/>
                <w:szCs w:val="21"/>
              </w:rPr>
            </w:pPr>
            <w:r>
              <w:rPr>
                <w:color w:val="auto"/>
                <w:sz w:val="21"/>
                <w:szCs w:val="21"/>
              </w:rPr>
              <w:t>13</w:t>
            </w:r>
          </w:p>
        </w:tc>
        <w:tc>
          <w:tcPr>
            <w:tcW w:w="1011" w:type="pct"/>
            <w:tcBorders>
              <w:tl2br w:val="nil"/>
              <w:tr2bl w:val="nil"/>
            </w:tcBorders>
            <w:noWrap w:val="0"/>
            <w:vAlign w:val="center"/>
          </w:tcPr>
          <w:p w14:paraId="688C2F3D">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园区应急事故池</w:t>
            </w:r>
          </w:p>
        </w:tc>
        <w:tc>
          <w:tcPr>
            <w:tcW w:w="1283" w:type="pct"/>
            <w:tcBorders>
              <w:tl2br w:val="nil"/>
              <w:tr2bl w:val="nil"/>
            </w:tcBorders>
            <w:noWrap w:val="0"/>
            <w:vAlign w:val="center"/>
          </w:tcPr>
          <w:p w14:paraId="718C1F7A">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lang w:val="en-US" w:eastAsia="zh-CN"/>
              </w:rPr>
              <w:t>L×B×H=45.00m×21.00m×7.0m</w:t>
            </w:r>
          </w:p>
        </w:tc>
        <w:tc>
          <w:tcPr>
            <w:tcW w:w="523" w:type="pct"/>
            <w:tcBorders>
              <w:tl2br w:val="nil"/>
              <w:tr2bl w:val="nil"/>
            </w:tcBorders>
            <w:noWrap w:val="0"/>
            <w:vAlign w:val="center"/>
          </w:tcPr>
          <w:p w14:paraId="704BD56B">
            <w:pPr>
              <w:pStyle w:val="431"/>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081A2396">
            <w:pPr>
              <w:pStyle w:val="431"/>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2842A3C5">
            <w:pPr>
              <w:pStyle w:val="431"/>
              <w:pageBreakBefore w:val="0"/>
              <w:wordWrap/>
              <w:bidi w:val="0"/>
              <w:adjustRightInd/>
              <w:snapToGrid/>
              <w:spacing w:line="240" w:lineRule="auto"/>
              <w:ind w:firstLine="0" w:firstLineChars="0"/>
              <w:rPr>
                <w:color w:val="auto"/>
                <w:sz w:val="21"/>
                <w:szCs w:val="21"/>
              </w:rPr>
            </w:pPr>
            <w:r>
              <w:rPr>
                <w:color w:val="auto"/>
                <w:sz w:val="21"/>
                <w:szCs w:val="21"/>
              </w:rPr>
              <w:t>1</w:t>
            </w:r>
            <w:r>
              <w:rPr>
                <w:rFonts w:hint="eastAsia"/>
                <w:color w:val="auto"/>
                <w:sz w:val="21"/>
                <w:szCs w:val="21"/>
              </w:rPr>
              <w:t>座</w:t>
            </w:r>
            <w:r>
              <w:rPr>
                <w:rFonts w:hint="eastAsia"/>
                <w:color w:val="auto"/>
                <w:sz w:val="21"/>
                <w:szCs w:val="21"/>
                <w:lang w:val="en-US" w:eastAsia="zh-CN"/>
              </w:rPr>
              <w:t>2</w:t>
            </w:r>
            <w:r>
              <w:rPr>
                <w:rFonts w:hint="eastAsia"/>
                <w:color w:val="auto"/>
                <w:sz w:val="21"/>
                <w:szCs w:val="21"/>
              </w:rPr>
              <w:t>格</w:t>
            </w:r>
          </w:p>
        </w:tc>
        <w:tc>
          <w:tcPr>
            <w:tcW w:w="891" w:type="pct"/>
            <w:tcBorders>
              <w:tl2br w:val="nil"/>
              <w:tr2bl w:val="nil"/>
            </w:tcBorders>
            <w:noWrap w:val="0"/>
            <w:vAlign w:val="center"/>
          </w:tcPr>
          <w:p w14:paraId="31F5E49C">
            <w:pPr>
              <w:pStyle w:val="431"/>
              <w:pageBreakBefore w:val="0"/>
              <w:wordWrap/>
              <w:bidi w:val="0"/>
              <w:adjustRightInd/>
              <w:snapToGrid/>
              <w:spacing w:line="240" w:lineRule="auto"/>
              <w:ind w:firstLine="0" w:firstLineChars="0"/>
              <w:rPr>
                <w:rFonts w:hint="eastAsia" w:eastAsia="宋体"/>
                <w:color w:val="auto"/>
                <w:sz w:val="21"/>
                <w:szCs w:val="21"/>
                <w:lang w:val="en-US" w:eastAsia="zh-CN"/>
              </w:rPr>
            </w:pPr>
            <w:r>
              <w:rPr>
                <w:rFonts w:hint="eastAsia"/>
                <w:color w:val="auto"/>
                <w:sz w:val="21"/>
                <w:szCs w:val="21"/>
                <w:lang w:val="en-US" w:eastAsia="zh-CN"/>
              </w:rPr>
              <w:t>除臭</w:t>
            </w:r>
          </w:p>
        </w:tc>
      </w:tr>
      <w:tr w14:paraId="6805A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4C90F932">
            <w:pPr>
              <w:pStyle w:val="431"/>
              <w:pageBreakBefore w:val="0"/>
              <w:wordWrap/>
              <w:bidi w:val="0"/>
              <w:adjustRightInd/>
              <w:snapToGrid/>
              <w:spacing w:line="240" w:lineRule="auto"/>
              <w:ind w:firstLine="0" w:firstLineChars="0"/>
              <w:rPr>
                <w:color w:val="auto"/>
                <w:sz w:val="21"/>
                <w:szCs w:val="21"/>
              </w:rPr>
            </w:pPr>
            <w:r>
              <w:rPr>
                <w:color w:val="auto"/>
                <w:sz w:val="21"/>
                <w:szCs w:val="21"/>
              </w:rPr>
              <w:t>14</w:t>
            </w:r>
          </w:p>
        </w:tc>
        <w:tc>
          <w:tcPr>
            <w:tcW w:w="1011" w:type="pct"/>
            <w:tcBorders>
              <w:tl2br w:val="nil"/>
              <w:tr2bl w:val="nil"/>
            </w:tcBorders>
            <w:noWrap w:val="0"/>
            <w:vAlign w:val="center"/>
          </w:tcPr>
          <w:p w14:paraId="20DA40C4">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回用水池</w:t>
            </w:r>
          </w:p>
        </w:tc>
        <w:tc>
          <w:tcPr>
            <w:tcW w:w="1283" w:type="pct"/>
            <w:tcBorders>
              <w:tl2br w:val="nil"/>
              <w:tr2bl w:val="nil"/>
            </w:tcBorders>
            <w:noWrap w:val="0"/>
            <w:vAlign w:val="center"/>
          </w:tcPr>
          <w:p w14:paraId="16DA50DD">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L×B×H=15.00m×10.00m×3.00m</w:t>
            </w:r>
          </w:p>
        </w:tc>
        <w:tc>
          <w:tcPr>
            <w:tcW w:w="523" w:type="pct"/>
            <w:tcBorders>
              <w:tl2br w:val="nil"/>
              <w:tr2bl w:val="nil"/>
            </w:tcBorders>
            <w:noWrap w:val="0"/>
            <w:vAlign w:val="center"/>
          </w:tcPr>
          <w:p w14:paraId="73E3F5E0">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钢筋砼</w:t>
            </w:r>
          </w:p>
        </w:tc>
        <w:tc>
          <w:tcPr>
            <w:tcW w:w="407" w:type="pct"/>
            <w:tcBorders>
              <w:tl2br w:val="nil"/>
              <w:tr2bl w:val="nil"/>
            </w:tcBorders>
            <w:noWrap w:val="0"/>
            <w:vAlign w:val="center"/>
          </w:tcPr>
          <w:p w14:paraId="0353BCB0">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6C0498CD">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138658EF">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5FF0B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02269F4">
            <w:pPr>
              <w:pStyle w:val="431"/>
              <w:pageBreakBefore w:val="0"/>
              <w:wordWrap/>
              <w:bidi w:val="0"/>
              <w:adjustRightInd/>
              <w:snapToGrid/>
              <w:spacing w:line="240" w:lineRule="auto"/>
              <w:ind w:firstLine="0" w:firstLineChars="0"/>
              <w:rPr>
                <w:color w:val="auto"/>
                <w:sz w:val="21"/>
                <w:szCs w:val="21"/>
              </w:rPr>
            </w:pPr>
            <w:r>
              <w:rPr>
                <w:color w:val="auto"/>
                <w:sz w:val="21"/>
                <w:szCs w:val="21"/>
              </w:rPr>
              <w:t>15</w:t>
            </w:r>
          </w:p>
        </w:tc>
        <w:tc>
          <w:tcPr>
            <w:tcW w:w="1011" w:type="pct"/>
            <w:tcBorders>
              <w:tl2br w:val="nil"/>
              <w:tr2bl w:val="nil"/>
            </w:tcBorders>
            <w:noWrap w:val="0"/>
            <w:vAlign w:val="center"/>
          </w:tcPr>
          <w:p w14:paraId="6597A822">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变配电室及鼓风机房</w:t>
            </w:r>
          </w:p>
        </w:tc>
        <w:tc>
          <w:tcPr>
            <w:tcW w:w="1283" w:type="pct"/>
            <w:tcBorders>
              <w:tl2br w:val="nil"/>
              <w:tr2bl w:val="nil"/>
            </w:tcBorders>
            <w:noWrap w:val="0"/>
            <w:vAlign w:val="center"/>
          </w:tcPr>
          <w:p w14:paraId="44D2004A">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w:t>
            </w:r>
            <w:r>
              <w:rPr>
                <w:rFonts w:hint="eastAsia"/>
                <w:color w:val="auto"/>
                <w:sz w:val="21"/>
                <w:szCs w:val="21"/>
              </w:rPr>
              <w:t>275.26平方米</w:t>
            </w:r>
            <w:r>
              <w:rPr>
                <w:rFonts w:hint="eastAsia"/>
                <w:color w:val="auto"/>
                <w:sz w:val="21"/>
                <w:szCs w:val="21"/>
                <w:lang w:eastAsia="zh-CN"/>
              </w:rPr>
              <w:t>，</w:t>
            </w:r>
            <w:r>
              <w:rPr>
                <w:rFonts w:hint="eastAsia"/>
                <w:color w:val="auto"/>
                <w:sz w:val="21"/>
                <w:szCs w:val="21"/>
              </w:rPr>
              <w:t>高度6.9m</w:t>
            </w:r>
          </w:p>
        </w:tc>
        <w:tc>
          <w:tcPr>
            <w:tcW w:w="523" w:type="pct"/>
            <w:tcBorders>
              <w:tl2br w:val="nil"/>
              <w:tr2bl w:val="nil"/>
            </w:tcBorders>
            <w:noWrap w:val="0"/>
            <w:vAlign w:val="center"/>
          </w:tcPr>
          <w:p w14:paraId="15D2CCCB">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68600BE0">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289662E9">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19DFED4B">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75992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D42827C">
            <w:pPr>
              <w:pStyle w:val="431"/>
              <w:pageBreakBefore w:val="0"/>
              <w:wordWrap/>
              <w:bidi w:val="0"/>
              <w:adjustRightInd/>
              <w:snapToGrid/>
              <w:spacing w:line="240" w:lineRule="auto"/>
              <w:ind w:firstLine="0" w:firstLineChars="0"/>
              <w:rPr>
                <w:color w:val="auto"/>
                <w:sz w:val="21"/>
                <w:szCs w:val="21"/>
              </w:rPr>
            </w:pPr>
            <w:r>
              <w:rPr>
                <w:color w:val="auto"/>
                <w:sz w:val="21"/>
                <w:szCs w:val="21"/>
              </w:rPr>
              <w:t>16</w:t>
            </w:r>
          </w:p>
        </w:tc>
        <w:tc>
          <w:tcPr>
            <w:tcW w:w="1011" w:type="pct"/>
            <w:tcBorders>
              <w:tl2br w:val="nil"/>
              <w:tr2bl w:val="nil"/>
            </w:tcBorders>
            <w:noWrap w:val="0"/>
            <w:vAlign w:val="center"/>
          </w:tcPr>
          <w:p w14:paraId="2D712A9B">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机修间及危废间</w:t>
            </w:r>
          </w:p>
        </w:tc>
        <w:tc>
          <w:tcPr>
            <w:tcW w:w="1283" w:type="pct"/>
            <w:tcBorders>
              <w:tl2br w:val="nil"/>
              <w:tr2bl w:val="nil"/>
            </w:tcBorders>
            <w:noWrap w:val="0"/>
            <w:vAlign w:val="center"/>
          </w:tcPr>
          <w:p w14:paraId="3BED2B63">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面积222.39平方米</w:t>
            </w:r>
            <w:r>
              <w:rPr>
                <w:rFonts w:hint="eastAsia"/>
                <w:color w:val="auto"/>
                <w:sz w:val="21"/>
                <w:szCs w:val="21"/>
                <w:lang w:eastAsia="zh-CN"/>
              </w:rPr>
              <w:t>，</w:t>
            </w:r>
            <w:r>
              <w:rPr>
                <w:rFonts w:hint="eastAsia"/>
                <w:color w:val="auto"/>
                <w:sz w:val="21"/>
                <w:szCs w:val="21"/>
              </w:rPr>
              <w:t>高度7.8m</w:t>
            </w:r>
          </w:p>
        </w:tc>
        <w:tc>
          <w:tcPr>
            <w:tcW w:w="523" w:type="pct"/>
            <w:tcBorders>
              <w:tl2br w:val="nil"/>
              <w:tr2bl w:val="nil"/>
            </w:tcBorders>
            <w:noWrap w:val="0"/>
            <w:vAlign w:val="center"/>
          </w:tcPr>
          <w:p w14:paraId="31EAFD29">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117F9851">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34FBBCA8">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1DA705F8">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6B19B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036FE3A">
            <w:pPr>
              <w:pStyle w:val="431"/>
              <w:pageBreakBefore w:val="0"/>
              <w:wordWrap/>
              <w:bidi w:val="0"/>
              <w:adjustRightInd/>
              <w:snapToGrid/>
              <w:spacing w:line="240" w:lineRule="auto"/>
              <w:ind w:firstLine="0" w:firstLineChars="0"/>
              <w:rPr>
                <w:color w:val="auto"/>
                <w:sz w:val="21"/>
                <w:szCs w:val="21"/>
              </w:rPr>
            </w:pPr>
            <w:r>
              <w:rPr>
                <w:color w:val="auto"/>
                <w:sz w:val="21"/>
                <w:szCs w:val="21"/>
              </w:rPr>
              <w:t>17</w:t>
            </w:r>
          </w:p>
        </w:tc>
        <w:tc>
          <w:tcPr>
            <w:tcW w:w="1011" w:type="pct"/>
            <w:tcBorders>
              <w:tl2br w:val="nil"/>
              <w:tr2bl w:val="nil"/>
            </w:tcBorders>
            <w:noWrap w:val="0"/>
            <w:vAlign w:val="center"/>
          </w:tcPr>
          <w:p w14:paraId="4FCCDA8F">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进出水在线监测间</w:t>
            </w:r>
          </w:p>
        </w:tc>
        <w:tc>
          <w:tcPr>
            <w:tcW w:w="1283" w:type="pct"/>
            <w:tcBorders>
              <w:tl2br w:val="nil"/>
              <w:tr2bl w:val="nil"/>
            </w:tcBorders>
            <w:noWrap w:val="0"/>
            <w:vAlign w:val="center"/>
          </w:tcPr>
          <w:p w14:paraId="59CA85DF">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面积38.88平方米，高度3.6m</w:t>
            </w:r>
          </w:p>
        </w:tc>
        <w:tc>
          <w:tcPr>
            <w:tcW w:w="523" w:type="pct"/>
            <w:tcBorders>
              <w:tl2br w:val="nil"/>
              <w:tr2bl w:val="nil"/>
            </w:tcBorders>
            <w:noWrap w:val="0"/>
            <w:vAlign w:val="center"/>
          </w:tcPr>
          <w:p w14:paraId="6151002A">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446111A1">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55C0F036">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08BD1C13">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3C7DD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5CDC8EC3">
            <w:pPr>
              <w:pStyle w:val="431"/>
              <w:pageBreakBefore w:val="0"/>
              <w:wordWrap/>
              <w:bidi w:val="0"/>
              <w:adjustRightInd/>
              <w:snapToGrid/>
              <w:spacing w:line="240" w:lineRule="auto"/>
              <w:ind w:firstLine="0" w:firstLineChars="0"/>
              <w:rPr>
                <w:color w:val="auto"/>
                <w:sz w:val="21"/>
                <w:szCs w:val="21"/>
              </w:rPr>
            </w:pPr>
            <w:r>
              <w:rPr>
                <w:color w:val="auto"/>
                <w:sz w:val="21"/>
                <w:szCs w:val="21"/>
              </w:rPr>
              <w:t>18</w:t>
            </w:r>
          </w:p>
        </w:tc>
        <w:tc>
          <w:tcPr>
            <w:tcW w:w="1011" w:type="pct"/>
            <w:tcBorders>
              <w:tl2br w:val="nil"/>
              <w:tr2bl w:val="nil"/>
            </w:tcBorders>
            <w:noWrap w:val="0"/>
            <w:vAlign w:val="center"/>
          </w:tcPr>
          <w:p w14:paraId="5F571052">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综合办公楼</w:t>
            </w:r>
          </w:p>
        </w:tc>
        <w:tc>
          <w:tcPr>
            <w:tcW w:w="1283" w:type="pct"/>
            <w:tcBorders>
              <w:tl2br w:val="nil"/>
              <w:tr2bl w:val="nil"/>
            </w:tcBorders>
            <w:noWrap w:val="0"/>
            <w:vAlign w:val="center"/>
          </w:tcPr>
          <w:p w14:paraId="3794B2B3">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面积1126.66平方米，高度9.75m</w:t>
            </w:r>
          </w:p>
        </w:tc>
        <w:tc>
          <w:tcPr>
            <w:tcW w:w="523" w:type="pct"/>
            <w:tcBorders>
              <w:tl2br w:val="nil"/>
              <w:tr2bl w:val="nil"/>
            </w:tcBorders>
            <w:noWrap w:val="0"/>
            <w:vAlign w:val="center"/>
          </w:tcPr>
          <w:p w14:paraId="305545E1">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7BD724B2">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6789E0C0">
            <w:pPr>
              <w:pStyle w:val="431"/>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w:t>
            </w:r>
          </w:p>
        </w:tc>
        <w:tc>
          <w:tcPr>
            <w:tcW w:w="891" w:type="pct"/>
            <w:tcBorders>
              <w:tl2br w:val="nil"/>
              <w:tr2bl w:val="nil"/>
            </w:tcBorders>
            <w:noWrap w:val="0"/>
            <w:vAlign w:val="center"/>
          </w:tcPr>
          <w:p w14:paraId="3C8C1C4B">
            <w:pPr>
              <w:pStyle w:val="431"/>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3F</w:t>
            </w:r>
          </w:p>
        </w:tc>
      </w:tr>
      <w:tr w14:paraId="13C2C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9322034">
            <w:pPr>
              <w:pStyle w:val="431"/>
              <w:pageBreakBefore w:val="0"/>
              <w:wordWrap/>
              <w:bidi w:val="0"/>
              <w:adjustRightInd/>
              <w:snapToGrid/>
              <w:spacing w:line="240" w:lineRule="auto"/>
              <w:ind w:firstLine="0" w:firstLineChars="0"/>
              <w:rPr>
                <w:color w:val="auto"/>
                <w:sz w:val="21"/>
                <w:szCs w:val="21"/>
              </w:rPr>
            </w:pPr>
            <w:r>
              <w:rPr>
                <w:rFonts w:hint="eastAsia"/>
                <w:color w:val="auto"/>
                <w:sz w:val="21"/>
                <w:szCs w:val="21"/>
              </w:rPr>
              <w:t>19</w:t>
            </w:r>
          </w:p>
        </w:tc>
        <w:tc>
          <w:tcPr>
            <w:tcW w:w="1011" w:type="pct"/>
            <w:tcBorders>
              <w:tl2br w:val="nil"/>
              <w:tr2bl w:val="nil"/>
            </w:tcBorders>
            <w:noWrap w:val="0"/>
            <w:vAlign w:val="center"/>
          </w:tcPr>
          <w:p w14:paraId="58674D08">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门卫室</w:t>
            </w:r>
          </w:p>
        </w:tc>
        <w:tc>
          <w:tcPr>
            <w:tcW w:w="1283" w:type="pct"/>
            <w:tcBorders>
              <w:tl2br w:val="nil"/>
              <w:tr2bl w:val="nil"/>
            </w:tcBorders>
            <w:noWrap w:val="0"/>
            <w:vAlign w:val="center"/>
          </w:tcPr>
          <w:p w14:paraId="1472788A">
            <w:pPr>
              <w:pStyle w:val="431"/>
              <w:pageBreakBefore w:val="0"/>
              <w:wordWrap/>
              <w:bidi w:val="0"/>
              <w:adjustRightInd/>
              <w:snapToGrid/>
              <w:spacing w:line="240" w:lineRule="auto"/>
              <w:ind w:firstLine="0" w:firstLineChars="0"/>
              <w:rPr>
                <w:rFonts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面积38.8平方米，高度4.10m</w:t>
            </w:r>
          </w:p>
        </w:tc>
        <w:tc>
          <w:tcPr>
            <w:tcW w:w="523" w:type="pct"/>
            <w:tcBorders>
              <w:tl2br w:val="nil"/>
              <w:tr2bl w:val="nil"/>
            </w:tcBorders>
            <w:noWrap w:val="0"/>
            <w:vAlign w:val="center"/>
          </w:tcPr>
          <w:p w14:paraId="67A42511">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529EE223">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6D99B09E">
            <w:pPr>
              <w:pStyle w:val="431"/>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color w:val="auto"/>
                <w:sz w:val="21"/>
                <w:szCs w:val="21"/>
              </w:rPr>
              <w:t>2</w:t>
            </w:r>
          </w:p>
        </w:tc>
        <w:tc>
          <w:tcPr>
            <w:tcW w:w="891" w:type="pct"/>
            <w:tcBorders>
              <w:tl2br w:val="nil"/>
              <w:tr2bl w:val="nil"/>
            </w:tcBorders>
            <w:noWrap w:val="0"/>
            <w:vAlign w:val="center"/>
          </w:tcPr>
          <w:p w14:paraId="2195B8CE">
            <w:pPr>
              <w:pStyle w:val="431"/>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p>
        </w:tc>
      </w:tr>
      <w:tr w14:paraId="64FFF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3D5E7D98">
            <w:pPr>
              <w:pStyle w:val="431"/>
              <w:pageBreakBefore w:val="0"/>
              <w:wordWrap/>
              <w:bidi w:val="0"/>
              <w:adjustRightInd/>
              <w:snapToGrid/>
              <w:spacing w:line="240" w:lineRule="auto"/>
              <w:ind w:firstLine="0" w:firstLineChars="0"/>
              <w:rPr>
                <w:rFonts w:hint="eastAsia" w:ascii="Times New Roman" w:hAnsi="Times New Roman" w:eastAsia="宋体"/>
                <w:color w:val="auto"/>
                <w:kern w:val="2"/>
                <w:sz w:val="21"/>
                <w:szCs w:val="21"/>
                <w:lang w:val="en-US" w:eastAsia="zh-CN" w:bidi="ar-SA"/>
              </w:rPr>
            </w:pPr>
            <w:r>
              <w:rPr>
                <w:rFonts w:hint="eastAsia"/>
                <w:color w:val="auto"/>
                <w:sz w:val="21"/>
                <w:szCs w:val="21"/>
              </w:rPr>
              <w:t>20</w:t>
            </w:r>
          </w:p>
        </w:tc>
        <w:tc>
          <w:tcPr>
            <w:tcW w:w="1011" w:type="pct"/>
            <w:tcBorders>
              <w:tl2br w:val="nil"/>
              <w:tr2bl w:val="nil"/>
            </w:tcBorders>
            <w:noWrap w:val="0"/>
            <w:vAlign w:val="center"/>
          </w:tcPr>
          <w:p w14:paraId="16B0B2F1">
            <w:pPr>
              <w:pStyle w:val="431"/>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除臭装置</w:t>
            </w:r>
          </w:p>
        </w:tc>
        <w:tc>
          <w:tcPr>
            <w:tcW w:w="1283" w:type="pct"/>
            <w:tcBorders>
              <w:tl2br w:val="nil"/>
              <w:tr2bl w:val="nil"/>
            </w:tcBorders>
            <w:noWrap w:val="0"/>
            <w:vAlign w:val="center"/>
          </w:tcPr>
          <w:p w14:paraId="58191BE6">
            <w:pPr>
              <w:pStyle w:val="431"/>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风量20000m³/h</w:t>
            </w:r>
          </w:p>
        </w:tc>
        <w:tc>
          <w:tcPr>
            <w:tcW w:w="523" w:type="pct"/>
            <w:tcBorders>
              <w:tl2br w:val="nil"/>
              <w:tr2bl w:val="nil"/>
            </w:tcBorders>
            <w:noWrap w:val="0"/>
            <w:vAlign w:val="center"/>
          </w:tcPr>
          <w:p w14:paraId="566377CB">
            <w:pPr>
              <w:pStyle w:val="431"/>
              <w:pageBreakBefore w:val="0"/>
              <w:wordWrap/>
              <w:bidi w:val="0"/>
              <w:adjustRightInd/>
              <w:snapToGrid/>
              <w:spacing w:line="240" w:lineRule="auto"/>
              <w:ind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kern w:val="0"/>
                <w:sz w:val="21"/>
                <w:szCs w:val="21"/>
                <w:lang w:val="en-US" w:eastAsia="zh-CN"/>
              </w:rPr>
              <w:t>/</w:t>
            </w:r>
          </w:p>
        </w:tc>
        <w:tc>
          <w:tcPr>
            <w:tcW w:w="407" w:type="pct"/>
            <w:tcBorders>
              <w:tl2br w:val="nil"/>
              <w:tr2bl w:val="nil"/>
            </w:tcBorders>
            <w:noWrap w:val="0"/>
            <w:vAlign w:val="center"/>
          </w:tcPr>
          <w:p w14:paraId="10D90E3A">
            <w:pPr>
              <w:pStyle w:val="431"/>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套</w:t>
            </w:r>
          </w:p>
        </w:tc>
        <w:tc>
          <w:tcPr>
            <w:tcW w:w="579" w:type="pct"/>
            <w:tcBorders>
              <w:tl2br w:val="nil"/>
              <w:tr2bl w:val="nil"/>
            </w:tcBorders>
            <w:noWrap w:val="0"/>
            <w:vAlign w:val="center"/>
          </w:tcPr>
          <w:p w14:paraId="0ACA0897">
            <w:pPr>
              <w:pStyle w:val="431"/>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w:t>
            </w:r>
          </w:p>
        </w:tc>
        <w:tc>
          <w:tcPr>
            <w:tcW w:w="891" w:type="pct"/>
            <w:tcBorders>
              <w:tl2br w:val="nil"/>
              <w:tr2bl w:val="nil"/>
            </w:tcBorders>
            <w:noWrap w:val="0"/>
            <w:vAlign w:val="center"/>
          </w:tcPr>
          <w:p w14:paraId="3DBE3076">
            <w:pPr>
              <w:pStyle w:val="431"/>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p>
        </w:tc>
      </w:tr>
    </w:tbl>
    <w:p w14:paraId="1689654F">
      <w:pPr>
        <w:pageBreakBefore w:val="0"/>
        <w:wordWrap/>
        <w:bidi w:val="0"/>
        <w:adjustRightInd/>
        <w:snapToGrid/>
        <w:rPr>
          <w:b/>
          <w:bCs/>
          <w:color w:val="auto"/>
        </w:rPr>
      </w:pPr>
      <w:r>
        <w:rPr>
          <w:rFonts w:hint="eastAsia"/>
          <w:b/>
          <w:bCs/>
          <w:color w:val="auto"/>
          <w:lang w:val="en-US" w:eastAsia="zh-CN"/>
        </w:rPr>
        <w:t>2、</w:t>
      </w:r>
      <w:r>
        <w:rPr>
          <w:b/>
          <w:bCs/>
          <w:color w:val="auto"/>
        </w:rPr>
        <w:t>主要设备清单</w:t>
      </w:r>
    </w:p>
    <w:p w14:paraId="17110CE1">
      <w:pPr>
        <w:pStyle w:val="15"/>
        <w:numPr>
          <w:ilvl w:val="0"/>
          <w:numId w:val="13"/>
        </w:numPr>
        <w:bidi w:val="0"/>
        <w:ind w:left="0" w:leftChars="0" w:firstLine="0" w:firstLineChars="0"/>
        <w:rPr>
          <w:color w:val="auto"/>
        </w:rPr>
      </w:pPr>
      <w:r>
        <w:rPr>
          <w:rFonts w:hint="eastAsia"/>
          <w:color w:val="auto"/>
          <w:lang w:val="en-US" w:eastAsia="zh-CN"/>
        </w:rPr>
        <w:t>污水处理厂</w:t>
      </w:r>
      <w:r>
        <w:rPr>
          <w:color w:val="auto"/>
        </w:rPr>
        <w:t>主要设备清单一览表</w:t>
      </w:r>
    </w:p>
    <w:tbl>
      <w:tblPr>
        <w:tblStyle w:val="703"/>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7"/>
        <w:gridCol w:w="943"/>
        <w:gridCol w:w="20"/>
        <w:gridCol w:w="2333"/>
        <w:gridCol w:w="4275"/>
        <w:gridCol w:w="1710"/>
        <w:gridCol w:w="780"/>
        <w:gridCol w:w="682"/>
        <w:gridCol w:w="3159"/>
        <w:gridCol w:w="31"/>
      </w:tblGrid>
      <w:tr w14:paraId="0E001AE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E3E4784">
            <w:pPr>
              <w:pStyle w:val="12"/>
              <w:pageBreakBefore w:val="0"/>
              <w:wordWrap/>
              <w:bidi w:val="0"/>
              <w:adjustRightInd/>
              <w:snapToGrid/>
              <w:jc w:val="left"/>
              <w:rPr>
                <w:b/>
                <w:bCs/>
                <w:color w:val="auto"/>
              </w:rPr>
            </w:pPr>
            <w:r>
              <w:rPr>
                <w:rFonts w:hint="eastAsia"/>
                <w:b/>
                <w:bCs/>
                <w:color w:val="auto"/>
                <w:sz w:val="24"/>
                <w:szCs w:val="32"/>
                <w:lang w:val="en-US" w:eastAsia="zh-CN"/>
              </w:rPr>
              <w:t>一期一阶段工艺设备表</w:t>
            </w:r>
          </w:p>
        </w:tc>
      </w:tr>
      <w:tr w14:paraId="4744B4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49ADD8DC">
            <w:pPr>
              <w:pStyle w:val="12"/>
              <w:pageBreakBefore w:val="0"/>
              <w:wordWrap/>
              <w:bidi w:val="0"/>
              <w:adjustRightInd/>
              <w:snapToGrid/>
              <w:jc w:val="left"/>
              <w:rPr>
                <w:color w:val="auto"/>
              </w:rPr>
            </w:pPr>
            <w:r>
              <w:rPr>
                <w:b/>
                <w:bCs/>
                <w:color w:val="auto"/>
              </w:rPr>
              <w:t>超细格栅主要设备一览表</w:t>
            </w:r>
          </w:p>
        </w:tc>
      </w:tr>
      <w:tr w14:paraId="1E35BE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BF0CC9F">
            <w:pPr>
              <w:pStyle w:val="12"/>
              <w:pageBreakBefore w:val="0"/>
              <w:wordWrap/>
              <w:bidi w:val="0"/>
              <w:adjustRightInd/>
              <w:snapToGrid/>
              <w:rPr>
                <w:rFonts w:hint="eastAsia" w:eastAsia="宋体"/>
                <w:b/>
                <w:bCs/>
                <w:color w:val="auto"/>
                <w:lang w:val="en-US" w:eastAsia="zh-CN"/>
              </w:rPr>
            </w:pPr>
            <w:r>
              <w:rPr>
                <w:rFonts w:hint="eastAsia"/>
                <w:b/>
                <w:bCs/>
                <w:color w:val="auto"/>
                <w:lang w:val="en-US" w:eastAsia="zh-CN"/>
              </w:rPr>
              <w:t>序号</w:t>
            </w:r>
          </w:p>
        </w:tc>
        <w:tc>
          <w:tcPr>
            <w:tcW w:w="843" w:type="pct"/>
            <w:gridSpan w:val="2"/>
            <w:tcBorders>
              <w:tl2br w:val="nil"/>
              <w:tr2bl w:val="nil"/>
            </w:tcBorders>
            <w:noWrap w:val="0"/>
            <w:vAlign w:val="center"/>
          </w:tcPr>
          <w:p w14:paraId="267F2064">
            <w:pPr>
              <w:pStyle w:val="12"/>
              <w:pageBreakBefore w:val="0"/>
              <w:wordWrap/>
              <w:bidi w:val="0"/>
              <w:adjustRightInd/>
              <w:snapToGrid/>
              <w:rPr>
                <w:b/>
                <w:bCs/>
                <w:color w:val="auto"/>
              </w:rPr>
            </w:pPr>
            <w:r>
              <w:rPr>
                <w:b/>
                <w:bCs/>
                <w:color w:val="auto"/>
              </w:rPr>
              <w:t>设备名称</w:t>
            </w:r>
          </w:p>
        </w:tc>
        <w:tc>
          <w:tcPr>
            <w:tcW w:w="1532" w:type="pct"/>
            <w:tcBorders>
              <w:tl2br w:val="nil"/>
              <w:tr2bl w:val="nil"/>
            </w:tcBorders>
            <w:noWrap w:val="0"/>
            <w:vAlign w:val="center"/>
          </w:tcPr>
          <w:p w14:paraId="3233B5B7">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05C9E94B">
            <w:pPr>
              <w:pStyle w:val="12"/>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55D13B3D">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7C9FEB2B">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26958A27">
            <w:pPr>
              <w:pStyle w:val="12"/>
              <w:pageBreakBefore w:val="0"/>
              <w:wordWrap/>
              <w:bidi w:val="0"/>
              <w:adjustRightInd/>
              <w:snapToGrid/>
              <w:rPr>
                <w:b/>
                <w:bCs/>
                <w:color w:val="auto"/>
              </w:rPr>
            </w:pPr>
            <w:r>
              <w:rPr>
                <w:b/>
                <w:bCs/>
                <w:color w:val="auto"/>
              </w:rPr>
              <w:t>备注</w:t>
            </w:r>
          </w:p>
        </w:tc>
      </w:tr>
      <w:tr w14:paraId="4CCD86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7DC5B92">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843" w:type="pct"/>
            <w:gridSpan w:val="2"/>
            <w:tcBorders>
              <w:tl2br w:val="nil"/>
              <w:tr2bl w:val="nil"/>
            </w:tcBorders>
            <w:noWrap w:val="0"/>
            <w:vAlign w:val="center"/>
          </w:tcPr>
          <w:p w14:paraId="75570232">
            <w:pPr>
              <w:pStyle w:val="12"/>
              <w:pageBreakBefore w:val="0"/>
              <w:wordWrap/>
              <w:bidi w:val="0"/>
              <w:adjustRightInd/>
              <w:snapToGrid/>
              <w:rPr>
                <w:color w:val="auto"/>
              </w:rPr>
            </w:pPr>
            <w:r>
              <w:rPr>
                <w:color w:val="auto"/>
              </w:rPr>
              <w:t>内进流非金属孔板格栅</w:t>
            </w:r>
          </w:p>
        </w:tc>
        <w:tc>
          <w:tcPr>
            <w:tcW w:w="1532" w:type="pct"/>
            <w:tcBorders>
              <w:tl2br w:val="nil"/>
              <w:tr2bl w:val="nil"/>
            </w:tcBorders>
            <w:noWrap w:val="0"/>
            <w:vAlign w:val="center"/>
          </w:tcPr>
          <w:p w14:paraId="7164F296">
            <w:pPr>
              <w:pStyle w:val="12"/>
              <w:pageBreakBefore w:val="0"/>
              <w:wordWrap/>
              <w:bidi w:val="0"/>
              <w:adjustRightInd/>
              <w:snapToGrid/>
              <w:rPr>
                <w:color w:val="auto"/>
              </w:rPr>
            </w:pPr>
            <w:r>
              <w:rPr>
                <w:color w:val="auto"/>
              </w:rPr>
              <w:t>进水口</w:t>
            </w:r>
            <w:r>
              <w:rPr>
                <w:rFonts w:hint="eastAsia"/>
                <w:color w:val="auto"/>
                <w:lang w:eastAsia="zh-CN"/>
              </w:rPr>
              <w:t>宽度</w:t>
            </w:r>
            <w:r>
              <w:rPr>
                <w:color w:val="auto"/>
              </w:rPr>
              <w:t>480mm</w:t>
            </w:r>
            <w:r>
              <w:rPr>
                <w:rFonts w:hint="eastAsia"/>
                <w:color w:val="auto"/>
                <w:lang w:eastAsia="zh-CN"/>
              </w:rPr>
              <w:t>，</w:t>
            </w:r>
            <w:r>
              <w:rPr>
                <w:color w:val="auto"/>
              </w:rPr>
              <w:t>网板</w:t>
            </w:r>
            <w:r>
              <w:rPr>
                <w:rFonts w:hint="eastAsia"/>
                <w:color w:val="auto"/>
                <w:lang w:eastAsia="zh-CN"/>
              </w:rPr>
              <w:t>宽度</w:t>
            </w:r>
            <w:r>
              <w:rPr>
                <w:color w:val="auto"/>
              </w:rPr>
              <w:t>1200mm</w:t>
            </w:r>
            <w:r>
              <w:rPr>
                <w:rFonts w:hint="eastAsia"/>
                <w:color w:val="auto"/>
                <w:lang w:eastAsia="zh-CN"/>
              </w:rPr>
              <w:t>，</w:t>
            </w:r>
            <w:r>
              <w:rPr>
                <w:color w:val="auto"/>
              </w:rPr>
              <w:t>渠宽1300mm</w:t>
            </w:r>
            <w:r>
              <w:rPr>
                <w:rFonts w:hint="eastAsia"/>
                <w:color w:val="auto"/>
                <w:lang w:eastAsia="zh-CN"/>
              </w:rPr>
              <w:t>，</w:t>
            </w:r>
            <w:r>
              <w:rPr>
                <w:color w:val="auto"/>
              </w:rPr>
              <w:t>过滤精度</w:t>
            </w:r>
            <w:r>
              <w:rPr>
                <w:rFonts w:hint="eastAsia"/>
                <w:color w:val="auto"/>
                <w:lang w:eastAsia="zh-CN"/>
              </w:rPr>
              <w:t>1</w:t>
            </w:r>
            <w:r>
              <w:rPr>
                <w:color w:val="auto"/>
              </w:rPr>
              <w:t>.0mm</w:t>
            </w:r>
            <w:r>
              <w:rPr>
                <w:rFonts w:hint="eastAsia"/>
                <w:color w:val="auto"/>
                <w:lang w:eastAsia="zh-CN"/>
              </w:rPr>
              <w:t>，</w:t>
            </w:r>
            <w:r>
              <w:rPr>
                <w:color w:val="auto"/>
              </w:rPr>
              <w:t>电机功</w:t>
            </w:r>
            <w:r>
              <w:rPr>
                <w:rFonts w:hint="eastAsia"/>
                <w:color w:val="auto"/>
                <w:lang w:eastAsia="zh-CN"/>
              </w:rPr>
              <w:t>率1</w:t>
            </w:r>
            <w:r>
              <w:rPr>
                <w:color w:val="auto"/>
              </w:rPr>
              <w:t>.5kW</w:t>
            </w:r>
          </w:p>
        </w:tc>
        <w:tc>
          <w:tcPr>
            <w:tcW w:w="612" w:type="pct"/>
            <w:tcBorders>
              <w:tl2br w:val="nil"/>
              <w:tr2bl w:val="nil"/>
            </w:tcBorders>
            <w:noWrap w:val="0"/>
            <w:vAlign w:val="center"/>
          </w:tcPr>
          <w:p w14:paraId="24611D62">
            <w:pPr>
              <w:pStyle w:val="12"/>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6E1AB1D7">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9C1F60D">
            <w:pPr>
              <w:pStyle w:val="12"/>
              <w:pageBreakBefore w:val="0"/>
              <w:wordWrap/>
              <w:bidi w:val="0"/>
              <w:adjustRightInd/>
              <w:snapToGrid/>
              <w:rPr>
                <w:color w:val="auto"/>
              </w:rPr>
            </w:pPr>
            <w:r>
              <w:rPr>
                <w:color w:val="auto"/>
              </w:rPr>
              <w:t>2</w:t>
            </w:r>
          </w:p>
        </w:tc>
        <w:tc>
          <w:tcPr>
            <w:tcW w:w="1132" w:type="pct"/>
            <w:vMerge w:val="restart"/>
            <w:tcBorders>
              <w:tl2br w:val="nil"/>
              <w:tr2bl w:val="nil"/>
            </w:tcBorders>
            <w:noWrap w:val="0"/>
            <w:vAlign w:val="center"/>
          </w:tcPr>
          <w:p w14:paraId="5AEDEF7A">
            <w:pPr>
              <w:pStyle w:val="12"/>
              <w:pageBreakBefore w:val="0"/>
              <w:wordWrap/>
              <w:bidi w:val="0"/>
              <w:adjustRightInd/>
              <w:snapToGrid/>
              <w:rPr>
                <w:color w:val="auto"/>
              </w:rPr>
            </w:pPr>
            <w:r>
              <w:rPr>
                <w:color w:val="auto"/>
              </w:rPr>
              <w:t>与格栅机成套供应</w:t>
            </w:r>
            <w:r>
              <w:rPr>
                <w:rFonts w:hint="eastAsia"/>
                <w:color w:val="auto"/>
                <w:lang w:eastAsia="zh-CN"/>
              </w:rPr>
              <w:t>，</w:t>
            </w:r>
            <w:r>
              <w:rPr>
                <w:color w:val="auto"/>
              </w:rPr>
              <w:t>高压冲洗水泵配套篮式过滤器</w:t>
            </w:r>
            <w:r>
              <w:rPr>
                <w:rFonts w:hint="eastAsia"/>
                <w:color w:val="auto"/>
                <w:lang w:eastAsia="zh-CN"/>
              </w:rPr>
              <w:t>、</w:t>
            </w:r>
            <w:r>
              <w:rPr>
                <w:color w:val="auto"/>
              </w:rPr>
              <w:t>手动蝶阀</w:t>
            </w:r>
            <w:r>
              <w:rPr>
                <w:rFonts w:hint="eastAsia"/>
                <w:color w:val="auto"/>
                <w:lang w:eastAsia="zh-CN"/>
              </w:rPr>
              <w:t>、</w:t>
            </w:r>
            <w:r>
              <w:rPr>
                <w:color w:val="auto"/>
              </w:rPr>
              <w:t>止回阀、管件等</w:t>
            </w:r>
            <w:r>
              <w:rPr>
                <w:rFonts w:hint="eastAsia"/>
                <w:color w:val="auto"/>
                <w:lang w:eastAsia="zh-CN"/>
              </w:rPr>
              <w:t>，</w:t>
            </w:r>
            <w:r>
              <w:rPr>
                <w:color w:val="auto"/>
              </w:rPr>
              <w:t>水箱配套遥控液位阀</w:t>
            </w:r>
            <w:r>
              <w:rPr>
                <w:rFonts w:hint="eastAsia"/>
                <w:color w:val="auto"/>
                <w:lang w:eastAsia="zh-CN"/>
              </w:rPr>
              <w:t>、</w:t>
            </w:r>
            <w:r>
              <w:rPr>
                <w:color w:val="auto"/>
              </w:rPr>
              <w:t>手动蝶阀、管件等附件</w:t>
            </w:r>
          </w:p>
        </w:tc>
      </w:tr>
      <w:tr w14:paraId="1F09F6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555015">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B1A969F">
            <w:pPr>
              <w:pStyle w:val="12"/>
              <w:pageBreakBefore w:val="0"/>
              <w:wordWrap/>
              <w:bidi w:val="0"/>
              <w:adjustRightInd/>
              <w:snapToGrid/>
              <w:rPr>
                <w:color w:val="auto"/>
              </w:rPr>
            </w:pPr>
            <w:r>
              <w:rPr>
                <w:color w:val="auto"/>
              </w:rPr>
              <w:t>溜槽</w:t>
            </w:r>
          </w:p>
        </w:tc>
        <w:tc>
          <w:tcPr>
            <w:tcW w:w="1532" w:type="pct"/>
            <w:tcBorders>
              <w:tl2br w:val="nil"/>
              <w:tr2bl w:val="nil"/>
            </w:tcBorders>
            <w:noWrap w:val="0"/>
            <w:vAlign w:val="center"/>
          </w:tcPr>
          <w:p w14:paraId="681CEB58">
            <w:pPr>
              <w:pStyle w:val="12"/>
              <w:pageBreakBefore w:val="0"/>
              <w:wordWrap/>
              <w:bidi w:val="0"/>
              <w:adjustRightInd/>
              <w:snapToGrid/>
              <w:rPr>
                <w:color w:val="auto"/>
              </w:rPr>
            </w:pPr>
            <w:r>
              <w:rPr>
                <w:color w:val="auto"/>
              </w:rPr>
              <w:t>输送槽</w:t>
            </w:r>
            <w:r>
              <w:rPr>
                <w:rFonts w:hint="eastAsia"/>
                <w:color w:val="auto"/>
                <w:lang w:eastAsia="zh-CN"/>
              </w:rPr>
              <w:t>宽度</w:t>
            </w:r>
            <w:r>
              <w:rPr>
                <w:color w:val="auto"/>
              </w:rPr>
              <w:t>300mm</w:t>
            </w:r>
            <w:r>
              <w:rPr>
                <w:rFonts w:hint="eastAsia"/>
                <w:color w:val="auto"/>
                <w:lang w:eastAsia="zh-CN"/>
              </w:rPr>
              <w:t>，</w:t>
            </w:r>
            <w:r>
              <w:rPr>
                <w:color w:val="auto"/>
              </w:rPr>
              <w:t>厚</w:t>
            </w:r>
            <w:r>
              <w:rPr>
                <w:rFonts w:hint="eastAsia"/>
                <w:color w:val="auto"/>
                <w:lang w:eastAsia="zh-CN"/>
              </w:rPr>
              <w:t>度</w:t>
            </w:r>
            <w:r>
              <w:rPr>
                <w:color w:val="auto"/>
              </w:rPr>
              <w:t>2mm</w:t>
            </w:r>
            <w:r>
              <w:rPr>
                <w:rFonts w:hint="eastAsia"/>
                <w:color w:val="auto"/>
                <w:lang w:eastAsia="zh-CN"/>
              </w:rPr>
              <w:t>，</w:t>
            </w:r>
            <w:r>
              <w:rPr>
                <w:color w:val="auto"/>
              </w:rPr>
              <w:t>两台格栅合用</w:t>
            </w:r>
            <w:r>
              <w:rPr>
                <w:rFonts w:hint="eastAsia"/>
                <w:color w:val="auto"/>
                <w:lang w:eastAsia="zh-CN"/>
              </w:rPr>
              <w:t>，</w:t>
            </w:r>
            <w:r>
              <w:rPr>
                <w:color w:val="auto"/>
              </w:rPr>
              <w:t>L=6000mm</w:t>
            </w:r>
          </w:p>
        </w:tc>
        <w:tc>
          <w:tcPr>
            <w:tcW w:w="612" w:type="pct"/>
            <w:tcBorders>
              <w:tl2br w:val="nil"/>
              <w:tr2bl w:val="nil"/>
            </w:tcBorders>
            <w:noWrap w:val="0"/>
            <w:vAlign w:val="center"/>
          </w:tcPr>
          <w:p w14:paraId="3F3CA59D">
            <w:pPr>
              <w:pStyle w:val="12"/>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710F9E2C">
            <w:pPr>
              <w:pStyle w:val="12"/>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2E047301">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3095A78">
            <w:pPr>
              <w:pStyle w:val="12"/>
              <w:pageBreakBefore w:val="0"/>
              <w:wordWrap/>
              <w:bidi w:val="0"/>
              <w:adjustRightInd/>
              <w:snapToGrid/>
              <w:rPr>
                <w:color w:val="auto"/>
              </w:rPr>
            </w:pPr>
          </w:p>
        </w:tc>
      </w:tr>
      <w:tr w14:paraId="5DC03E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930102">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7D91B34C">
            <w:pPr>
              <w:pStyle w:val="12"/>
              <w:pageBreakBefore w:val="0"/>
              <w:wordWrap/>
              <w:bidi w:val="0"/>
              <w:adjustRightInd/>
              <w:snapToGrid/>
              <w:rPr>
                <w:color w:val="auto"/>
              </w:rPr>
            </w:pPr>
            <w:r>
              <w:rPr>
                <w:color w:val="auto"/>
              </w:rPr>
              <w:t>落渣管</w:t>
            </w:r>
          </w:p>
        </w:tc>
        <w:tc>
          <w:tcPr>
            <w:tcW w:w="1532" w:type="pct"/>
            <w:tcBorders>
              <w:tl2br w:val="nil"/>
              <w:tr2bl w:val="nil"/>
            </w:tcBorders>
            <w:noWrap w:val="0"/>
            <w:vAlign w:val="center"/>
          </w:tcPr>
          <w:p w14:paraId="07D9EF0D">
            <w:pPr>
              <w:pStyle w:val="12"/>
              <w:pageBreakBefore w:val="0"/>
              <w:wordWrap/>
              <w:bidi w:val="0"/>
              <w:adjustRightInd/>
              <w:snapToGrid/>
              <w:rPr>
                <w:color w:val="auto"/>
              </w:rPr>
            </w:pPr>
            <w:r>
              <w:rPr>
                <w:rFonts w:hint="eastAsia"/>
                <w:color w:val="auto"/>
                <w:lang w:eastAsia="zh-CN"/>
              </w:rPr>
              <w:t>宽度</w:t>
            </w:r>
            <w:r>
              <w:rPr>
                <w:color w:val="auto"/>
              </w:rPr>
              <w:t>300mm</w:t>
            </w:r>
            <w:r>
              <w:rPr>
                <w:rFonts w:hint="eastAsia"/>
                <w:color w:val="auto"/>
                <w:lang w:eastAsia="zh-CN"/>
              </w:rPr>
              <w:t>，</w:t>
            </w:r>
            <w:r>
              <w:rPr>
                <w:color w:val="auto"/>
              </w:rPr>
              <w:t>L=2000mm</w:t>
            </w:r>
          </w:p>
        </w:tc>
        <w:tc>
          <w:tcPr>
            <w:tcW w:w="612" w:type="pct"/>
            <w:tcBorders>
              <w:tl2br w:val="nil"/>
              <w:tr2bl w:val="nil"/>
            </w:tcBorders>
            <w:noWrap w:val="0"/>
            <w:vAlign w:val="center"/>
          </w:tcPr>
          <w:p w14:paraId="4B7C62AF">
            <w:pPr>
              <w:pStyle w:val="12"/>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1C830C78">
            <w:pPr>
              <w:pStyle w:val="12"/>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506E366D">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F9F2B1B">
            <w:pPr>
              <w:pStyle w:val="12"/>
              <w:pageBreakBefore w:val="0"/>
              <w:wordWrap/>
              <w:bidi w:val="0"/>
              <w:adjustRightInd/>
              <w:snapToGrid/>
              <w:rPr>
                <w:color w:val="auto"/>
              </w:rPr>
            </w:pPr>
          </w:p>
        </w:tc>
      </w:tr>
      <w:tr w14:paraId="339EDC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20ED7B">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FFDC040">
            <w:pPr>
              <w:pStyle w:val="12"/>
              <w:pageBreakBefore w:val="0"/>
              <w:wordWrap/>
              <w:bidi w:val="0"/>
              <w:adjustRightInd/>
              <w:snapToGrid/>
              <w:rPr>
                <w:color w:val="auto"/>
              </w:rPr>
            </w:pPr>
            <w:r>
              <w:rPr>
                <w:color w:val="auto"/>
              </w:rPr>
              <w:t>螺旋压榨机</w:t>
            </w:r>
          </w:p>
        </w:tc>
        <w:tc>
          <w:tcPr>
            <w:tcW w:w="1532" w:type="pct"/>
            <w:tcBorders>
              <w:tl2br w:val="nil"/>
              <w:tr2bl w:val="nil"/>
            </w:tcBorders>
            <w:noWrap w:val="0"/>
            <w:vAlign w:val="center"/>
          </w:tcPr>
          <w:p w14:paraId="3A22528B">
            <w:pPr>
              <w:pStyle w:val="12"/>
              <w:pageBreakBefore w:val="0"/>
              <w:wordWrap/>
              <w:bidi w:val="0"/>
              <w:adjustRightInd/>
              <w:snapToGrid/>
              <w:rPr>
                <w:color w:val="auto"/>
              </w:rPr>
            </w:pPr>
            <w:r>
              <w:rPr>
                <w:color w:val="auto"/>
              </w:rPr>
              <w:t>型号</w:t>
            </w:r>
            <w:r>
              <w:rPr>
                <w:rFonts w:hint="eastAsia"/>
                <w:color w:val="auto"/>
                <w:lang w:eastAsia="zh-CN"/>
              </w:rPr>
              <w:t>：</w:t>
            </w:r>
            <w:r>
              <w:rPr>
                <w:color w:val="auto"/>
              </w:rPr>
              <w:t>LYZ300/05</w:t>
            </w:r>
            <w:r>
              <w:rPr>
                <w:rFonts w:hint="eastAsia"/>
                <w:color w:val="auto"/>
                <w:lang w:eastAsia="zh-CN"/>
              </w:rPr>
              <w:t>，</w:t>
            </w:r>
            <w:r>
              <w:rPr>
                <w:color w:val="auto"/>
              </w:rPr>
              <w:t>功</w:t>
            </w:r>
            <w:r>
              <w:rPr>
                <w:rFonts w:hint="eastAsia"/>
                <w:color w:val="auto"/>
                <w:lang w:eastAsia="zh-CN"/>
              </w:rPr>
              <w:t>率</w:t>
            </w:r>
            <w:r>
              <w:rPr>
                <w:color w:val="auto"/>
              </w:rPr>
              <w:t>2.2kW</w:t>
            </w:r>
            <w:r>
              <w:rPr>
                <w:rFonts w:hint="eastAsia"/>
                <w:color w:val="auto"/>
                <w:lang w:eastAsia="zh-CN"/>
              </w:rPr>
              <w:t>，</w:t>
            </w:r>
            <w:r>
              <w:rPr>
                <w:color w:val="auto"/>
              </w:rPr>
              <w:t>处理渣水量</w:t>
            </w:r>
            <w:r>
              <w:rPr>
                <w:rFonts w:hint="eastAsia"/>
                <w:color w:val="auto"/>
                <w:lang w:eastAsia="zh-CN"/>
              </w:rPr>
              <w:t>：</w:t>
            </w:r>
            <w:r>
              <w:rPr>
                <w:color w:val="auto"/>
              </w:rPr>
              <w:t>20</w:t>
            </w:r>
            <w:r>
              <w:rPr>
                <w:rFonts w:hint="eastAsia"/>
                <w:color w:val="auto"/>
                <w:lang w:eastAsia="zh-CN"/>
              </w:rPr>
              <w:t>m³</w:t>
            </w:r>
            <w:r>
              <w:rPr>
                <w:color w:val="auto"/>
              </w:rPr>
              <w:t>/h</w:t>
            </w:r>
          </w:p>
        </w:tc>
        <w:tc>
          <w:tcPr>
            <w:tcW w:w="612" w:type="pct"/>
            <w:tcBorders>
              <w:tl2br w:val="nil"/>
              <w:tr2bl w:val="nil"/>
            </w:tcBorders>
            <w:noWrap w:val="0"/>
            <w:vAlign w:val="center"/>
          </w:tcPr>
          <w:p w14:paraId="225D5C00">
            <w:pPr>
              <w:pStyle w:val="12"/>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72835CA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67722E1">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078FE1F4">
            <w:pPr>
              <w:pStyle w:val="12"/>
              <w:pageBreakBefore w:val="0"/>
              <w:wordWrap/>
              <w:bidi w:val="0"/>
              <w:adjustRightInd/>
              <w:snapToGrid/>
              <w:rPr>
                <w:color w:val="auto"/>
              </w:rPr>
            </w:pPr>
          </w:p>
        </w:tc>
      </w:tr>
      <w:tr w14:paraId="44E7492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A79A28">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642C7D95">
            <w:pPr>
              <w:pStyle w:val="12"/>
              <w:pageBreakBefore w:val="0"/>
              <w:wordWrap/>
              <w:bidi w:val="0"/>
              <w:adjustRightInd/>
              <w:snapToGrid/>
              <w:rPr>
                <w:color w:val="auto"/>
              </w:rPr>
            </w:pPr>
            <w:r>
              <w:rPr>
                <w:color w:val="auto"/>
              </w:rPr>
              <w:t>高压冲洗水泵</w:t>
            </w:r>
          </w:p>
        </w:tc>
        <w:tc>
          <w:tcPr>
            <w:tcW w:w="1532" w:type="pct"/>
            <w:tcBorders>
              <w:tl2br w:val="nil"/>
              <w:tr2bl w:val="nil"/>
            </w:tcBorders>
            <w:noWrap w:val="0"/>
            <w:vAlign w:val="center"/>
          </w:tcPr>
          <w:p w14:paraId="753A3196">
            <w:pPr>
              <w:pStyle w:val="12"/>
              <w:pageBreakBefore w:val="0"/>
              <w:wordWrap/>
              <w:bidi w:val="0"/>
              <w:adjustRightInd/>
              <w:snapToGrid/>
              <w:rPr>
                <w:color w:val="auto"/>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H=90m</w:t>
            </w:r>
            <w:r>
              <w:rPr>
                <w:rFonts w:hint="eastAsia"/>
                <w:color w:val="auto"/>
                <w:lang w:eastAsia="zh-CN"/>
              </w:rPr>
              <w:t>，</w:t>
            </w:r>
            <w:r>
              <w:rPr>
                <w:color w:val="auto"/>
              </w:rPr>
              <w:t>N=4kW</w:t>
            </w:r>
          </w:p>
        </w:tc>
        <w:tc>
          <w:tcPr>
            <w:tcW w:w="612" w:type="pct"/>
            <w:tcBorders>
              <w:tl2br w:val="nil"/>
              <w:tr2bl w:val="nil"/>
            </w:tcBorders>
            <w:noWrap w:val="0"/>
            <w:vAlign w:val="center"/>
          </w:tcPr>
          <w:p w14:paraId="63F5D581">
            <w:pPr>
              <w:pStyle w:val="12"/>
              <w:pageBreakBefore w:val="0"/>
              <w:wordWrap/>
              <w:bidi w:val="0"/>
              <w:adjustRightInd/>
              <w:snapToGrid/>
              <w:rPr>
                <w:color w:val="auto"/>
              </w:rPr>
            </w:pPr>
          </w:p>
        </w:tc>
        <w:tc>
          <w:tcPr>
            <w:tcW w:w="279" w:type="pct"/>
            <w:tcBorders>
              <w:tl2br w:val="nil"/>
              <w:tr2bl w:val="nil"/>
            </w:tcBorders>
            <w:noWrap w:val="0"/>
            <w:vAlign w:val="center"/>
          </w:tcPr>
          <w:p w14:paraId="5B76CD5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0D35547">
            <w:pPr>
              <w:pStyle w:val="12"/>
              <w:pageBreakBefore w:val="0"/>
              <w:wordWrap/>
              <w:bidi w:val="0"/>
              <w:adjustRightInd/>
              <w:snapToGrid/>
              <w:rPr>
                <w:color w:val="auto"/>
              </w:rPr>
            </w:pPr>
            <w:r>
              <w:rPr>
                <w:color w:val="auto"/>
              </w:rPr>
              <w:t>2</w:t>
            </w:r>
          </w:p>
        </w:tc>
        <w:tc>
          <w:tcPr>
            <w:tcW w:w="1132" w:type="pct"/>
            <w:vMerge w:val="continue"/>
            <w:tcBorders>
              <w:tl2br w:val="nil"/>
              <w:tr2bl w:val="nil"/>
            </w:tcBorders>
            <w:noWrap w:val="0"/>
            <w:vAlign w:val="center"/>
          </w:tcPr>
          <w:p w14:paraId="1AA8367C">
            <w:pPr>
              <w:pStyle w:val="12"/>
              <w:pageBreakBefore w:val="0"/>
              <w:wordWrap/>
              <w:bidi w:val="0"/>
              <w:adjustRightInd/>
              <w:snapToGrid/>
              <w:rPr>
                <w:color w:val="auto"/>
              </w:rPr>
            </w:pPr>
          </w:p>
        </w:tc>
      </w:tr>
      <w:tr w14:paraId="79697F6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D140703">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45683EDB">
            <w:pPr>
              <w:pStyle w:val="12"/>
              <w:pageBreakBefore w:val="0"/>
              <w:wordWrap/>
              <w:bidi w:val="0"/>
              <w:adjustRightInd/>
              <w:snapToGrid/>
              <w:rPr>
                <w:color w:val="auto"/>
              </w:rPr>
            </w:pPr>
            <w:r>
              <w:rPr>
                <w:color w:val="auto"/>
              </w:rPr>
              <w:t>反冲洗水箱</w:t>
            </w:r>
          </w:p>
        </w:tc>
        <w:tc>
          <w:tcPr>
            <w:tcW w:w="1532" w:type="pct"/>
            <w:tcBorders>
              <w:tl2br w:val="nil"/>
              <w:tr2bl w:val="nil"/>
            </w:tcBorders>
            <w:noWrap w:val="0"/>
            <w:vAlign w:val="center"/>
          </w:tcPr>
          <w:p w14:paraId="10443EA4">
            <w:pPr>
              <w:pStyle w:val="12"/>
              <w:pageBreakBefore w:val="0"/>
              <w:wordWrap/>
              <w:bidi w:val="0"/>
              <w:adjustRightInd/>
              <w:snapToGrid/>
              <w:rPr>
                <w:rFonts w:hint="eastAsia" w:eastAsia="宋体"/>
                <w:color w:val="auto"/>
                <w:lang w:eastAsia="zh-CN"/>
              </w:rPr>
            </w:pPr>
            <w:r>
              <w:rPr>
                <w:color w:val="auto"/>
              </w:rPr>
              <w:t>V=6</w:t>
            </w:r>
            <w:r>
              <w:rPr>
                <w:rFonts w:hint="eastAsia"/>
                <w:color w:val="auto"/>
                <w:lang w:eastAsia="zh-CN"/>
              </w:rPr>
              <w:t>m³，</w:t>
            </w:r>
            <w:r>
              <w:rPr>
                <w:color w:val="auto"/>
              </w:rPr>
              <w:t>L×B×H=2×1×3m</w:t>
            </w:r>
            <w:r>
              <w:rPr>
                <w:rFonts w:hint="eastAsia"/>
                <w:color w:val="auto"/>
                <w:lang w:eastAsia="zh-CN"/>
              </w:rPr>
              <w:t>（</w:t>
            </w:r>
            <w:r>
              <w:rPr>
                <w:color w:val="auto"/>
              </w:rPr>
              <w:t>由6个体积为1</w:t>
            </w:r>
            <w:r>
              <w:rPr>
                <w:rFonts w:hint="eastAsia"/>
                <w:color w:val="auto"/>
                <w:lang w:eastAsia="zh-CN"/>
              </w:rPr>
              <w:t>m³</w:t>
            </w:r>
            <w:r>
              <w:rPr>
                <w:color w:val="auto"/>
              </w:rPr>
              <w:t>组成</w:t>
            </w:r>
            <w:r>
              <w:rPr>
                <w:rFonts w:hint="eastAsia"/>
                <w:color w:val="auto"/>
                <w:lang w:eastAsia="zh-CN"/>
              </w:rPr>
              <w:t>）</w:t>
            </w:r>
          </w:p>
        </w:tc>
        <w:tc>
          <w:tcPr>
            <w:tcW w:w="612" w:type="pct"/>
            <w:tcBorders>
              <w:tl2br w:val="nil"/>
              <w:tr2bl w:val="nil"/>
            </w:tcBorders>
            <w:noWrap w:val="0"/>
            <w:vAlign w:val="center"/>
          </w:tcPr>
          <w:p w14:paraId="035F2528">
            <w:pPr>
              <w:pStyle w:val="12"/>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6AE8F4E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8812CF4">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5FA71A8B">
            <w:pPr>
              <w:pStyle w:val="12"/>
              <w:pageBreakBefore w:val="0"/>
              <w:wordWrap/>
              <w:bidi w:val="0"/>
              <w:adjustRightInd/>
              <w:snapToGrid/>
              <w:rPr>
                <w:color w:val="auto"/>
              </w:rPr>
            </w:pPr>
          </w:p>
        </w:tc>
      </w:tr>
      <w:tr w14:paraId="568F40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4E45114">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7A30704E">
            <w:pPr>
              <w:pStyle w:val="12"/>
              <w:pageBreakBefore w:val="0"/>
              <w:wordWrap/>
              <w:bidi w:val="0"/>
              <w:adjustRightInd/>
              <w:snapToGrid/>
              <w:rPr>
                <w:color w:val="auto"/>
              </w:rPr>
            </w:pPr>
            <w:r>
              <w:rPr>
                <w:color w:val="auto"/>
              </w:rPr>
              <w:t>压力传感器、遥控液位阀、压力表、浸入式液位计</w:t>
            </w:r>
          </w:p>
        </w:tc>
        <w:tc>
          <w:tcPr>
            <w:tcW w:w="1532" w:type="pct"/>
            <w:tcBorders>
              <w:tl2br w:val="nil"/>
              <w:tr2bl w:val="nil"/>
            </w:tcBorders>
            <w:noWrap w:val="0"/>
            <w:vAlign w:val="center"/>
          </w:tcPr>
          <w:p w14:paraId="07BA483C">
            <w:pPr>
              <w:pStyle w:val="12"/>
              <w:pageBreakBefore w:val="0"/>
              <w:wordWrap/>
              <w:bidi w:val="0"/>
              <w:adjustRightInd/>
              <w:snapToGrid/>
              <w:rPr>
                <w:color w:val="auto"/>
              </w:rPr>
            </w:pPr>
          </w:p>
        </w:tc>
        <w:tc>
          <w:tcPr>
            <w:tcW w:w="612" w:type="pct"/>
            <w:tcBorders>
              <w:tl2br w:val="nil"/>
              <w:tr2bl w:val="nil"/>
            </w:tcBorders>
            <w:noWrap w:val="0"/>
            <w:vAlign w:val="center"/>
          </w:tcPr>
          <w:p w14:paraId="69085EBC">
            <w:pPr>
              <w:pStyle w:val="12"/>
              <w:pageBreakBefore w:val="0"/>
              <w:wordWrap/>
              <w:bidi w:val="0"/>
              <w:adjustRightInd/>
              <w:snapToGrid/>
              <w:rPr>
                <w:color w:val="auto"/>
              </w:rPr>
            </w:pPr>
          </w:p>
        </w:tc>
        <w:tc>
          <w:tcPr>
            <w:tcW w:w="279" w:type="pct"/>
            <w:tcBorders>
              <w:tl2br w:val="nil"/>
              <w:tr2bl w:val="nil"/>
            </w:tcBorders>
            <w:noWrap w:val="0"/>
            <w:vAlign w:val="center"/>
          </w:tcPr>
          <w:p w14:paraId="4BEC331A">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A02CE02">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5059B680">
            <w:pPr>
              <w:pStyle w:val="12"/>
              <w:pageBreakBefore w:val="0"/>
              <w:wordWrap/>
              <w:bidi w:val="0"/>
              <w:adjustRightInd/>
              <w:snapToGrid/>
              <w:rPr>
                <w:color w:val="auto"/>
              </w:rPr>
            </w:pPr>
          </w:p>
        </w:tc>
      </w:tr>
      <w:tr w14:paraId="30C4326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D16DA2F">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7FAF1143">
            <w:pPr>
              <w:pStyle w:val="12"/>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7654A475">
            <w:pPr>
              <w:pStyle w:val="12"/>
              <w:pageBreakBefore w:val="0"/>
              <w:wordWrap/>
              <w:bidi w:val="0"/>
              <w:adjustRightInd/>
              <w:snapToGrid/>
              <w:rPr>
                <w:color w:val="auto"/>
              </w:rPr>
            </w:pPr>
            <w:r>
              <w:rPr>
                <w:color w:val="auto"/>
              </w:rPr>
              <w:t>量程0-3m</w:t>
            </w:r>
            <w:r>
              <w:rPr>
                <w:rFonts w:hint="eastAsia"/>
                <w:color w:val="auto"/>
                <w:lang w:eastAsia="zh-CN"/>
              </w:rPr>
              <w:t>，</w:t>
            </w:r>
            <w:r>
              <w:rPr>
                <w:color w:val="auto"/>
              </w:rPr>
              <w:t>输出4-20mA</w:t>
            </w:r>
          </w:p>
        </w:tc>
        <w:tc>
          <w:tcPr>
            <w:tcW w:w="612" w:type="pct"/>
            <w:tcBorders>
              <w:tl2br w:val="nil"/>
              <w:tr2bl w:val="nil"/>
            </w:tcBorders>
            <w:noWrap w:val="0"/>
            <w:vAlign w:val="center"/>
          </w:tcPr>
          <w:p w14:paraId="2D401D46">
            <w:pPr>
              <w:pStyle w:val="12"/>
              <w:pageBreakBefore w:val="0"/>
              <w:wordWrap/>
              <w:bidi w:val="0"/>
              <w:adjustRightInd/>
              <w:snapToGrid/>
              <w:rPr>
                <w:color w:val="auto"/>
              </w:rPr>
            </w:pPr>
          </w:p>
        </w:tc>
        <w:tc>
          <w:tcPr>
            <w:tcW w:w="279" w:type="pct"/>
            <w:tcBorders>
              <w:tl2br w:val="nil"/>
              <w:tr2bl w:val="nil"/>
            </w:tcBorders>
            <w:noWrap w:val="0"/>
            <w:vAlign w:val="center"/>
          </w:tcPr>
          <w:p w14:paraId="23A46075">
            <w:pPr>
              <w:pStyle w:val="12"/>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66357338">
            <w:pPr>
              <w:pStyle w:val="12"/>
              <w:pageBreakBefore w:val="0"/>
              <w:wordWrap/>
              <w:bidi w:val="0"/>
              <w:adjustRightInd/>
              <w:snapToGrid/>
              <w:rPr>
                <w:color w:val="auto"/>
              </w:rPr>
            </w:pPr>
            <w:r>
              <w:rPr>
                <w:color w:val="auto"/>
              </w:rPr>
              <w:t>4</w:t>
            </w:r>
          </w:p>
        </w:tc>
        <w:tc>
          <w:tcPr>
            <w:tcW w:w="1132" w:type="pct"/>
            <w:vMerge w:val="continue"/>
            <w:tcBorders>
              <w:tl2br w:val="nil"/>
              <w:tr2bl w:val="nil"/>
            </w:tcBorders>
            <w:noWrap w:val="0"/>
            <w:vAlign w:val="center"/>
          </w:tcPr>
          <w:p w14:paraId="6894B783">
            <w:pPr>
              <w:pStyle w:val="12"/>
              <w:pageBreakBefore w:val="0"/>
              <w:wordWrap/>
              <w:bidi w:val="0"/>
              <w:adjustRightInd/>
              <w:snapToGrid/>
              <w:rPr>
                <w:color w:val="auto"/>
              </w:rPr>
            </w:pPr>
          </w:p>
        </w:tc>
      </w:tr>
      <w:tr w14:paraId="6159CA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E09229">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0F14D7C1">
            <w:pPr>
              <w:pStyle w:val="12"/>
              <w:pageBreakBefore w:val="0"/>
              <w:wordWrap/>
              <w:bidi w:val="0"/>
              <w:adjustRightInd/>
              <w:snapToGrid/>
              <w:rPr>
                <w:color w:val="auto"/>
              </w:rPr>
            </w:pPr>
            <w:r>
              <w:rPr>
                <w:color w:val="auto"/>
              </w:rPr>
              <w:t>手动铸铁镶铜方闸门</w:t>
            </w:r>
          </w:p>
        </w:tc>
        <w:tc>
          <w:tcPr>
            <w:tcW w:w="1532" w:type="pct"/>
            <w:tcBorders>
              <w:tl2br w:val="nil"/>
              <w:tr2bl w:val="nil"/>
            </w:tcBorders>
            <w:noWrap w:val="0"/>
            <w:vAlign w:val="center"/>
          </w:tcPr>
          <w:p w14:paraId="6988BBB0">
            <w:pPr>
              <w:pStyle w:val="12"/>
              <w:pageBreakBefore w:val="0"/>
              <w:wordWrap/>
              <w:bidi w:val="0"/>
              <w:adjustRightInd/>
              <w:snapToGrid/>
              <w:rPr>
                <w:color w:val="auto"/>
              </w:rPr>
            </w:pPr>
            <w:r>
              <w:rPr>
                <w:color w:val="auto"/>
              </w:rPr>
              <w:t>A×B=500×500</w:t>
            </w:r>
            <w:r>
              <w:rPr>
                <w:rFonts w:hint="eastAsia"/>
                <w:color w:val="auto"/>
                <w:lang w:eastAsia="zh-CN"/>
              </w:rPr>
              <w:t>，</w:t>
            </w:r>
            <w:r>
              <w:rPr>
                <w:color w:val="auto"/>
              </w:rPr>
              <w:t>闸门中心距池顶</w:t>
            </w:r>
            <w:r>
              <w:rPr>
                <w:rFonts w:hint="eastAsia"/>
                <w:color w:val="auto"/>
                <w:lang w:eastAsia="zh-CN"/>
              </w:rPr>
              <w:t>1</w:t>
            </w:r>
            <w:r>
              <w:rPr>
                <w:color w:val="auto"/>
              </w:rPr>
              <w:t>.5m</w:t>
            </w:r>
          </w:p>
        </w:tc>
        <w:tc>
          <w:tcPr>
            <w:tcW w:w="612" w:type="pct"/>
            <w:tcBorders>
              <w:tl2br w:val="nil"/>
              <w:tr2bl w:val="nil"/>
            </w:tcBorders>
            <w:noWrap w:val="0"/>
            <w:vAlign w:val="center"/>
          </w:tcPr>
          <w:p w14:paraId="140E473B">
            <w:pPr>
              <w:pStyle w:val="12"/>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47F58F4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1A1CE01">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71392AA">
            <w:pPr>
              <w:pStyle w:val="12"/>
              <w:pageBreakBefore w:val="0"/>
              <w:wordWrap/>
              <w:bidi w:val="0"/>
              <w:adjustRightInd/>
              <w:snapToGrid/>
              <w:rPr>
                <w:color w:val="auto"/>
              </w:rPr>
            </w:pPr>
            <w:r>
              <w:rPr>
                <w:color w:val="auto"/>
              </w:rPr>
              <w:t>正向水压</w:t>
            </w:r>
            <w:r>
              <w:rPr>
                <w:rFonts w:hint="eastAsia"/>
                <w:color w:val="auto"/>
                <w:lang w:eastAsia="zh-CN"/>
              </w:rPr>
              <w:t>，</w:t>
            </w:r>
            <w:r>
              <w:rPr>
                <w:color w:val="auto"/>
              </w:rPr>
              <w:t>配套手动启闭机</w:t>
            </w:r>
          </w:p>
        </w:tc>
      </w:tr>
      <w:tr w14:paraId="2C1C29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89DD773">
            <w:pPr>
              <w:pStyle w:val="12"/>
              <w:pageBreakBefore w:val="0"/>
              <w:wordWrap/>
              <w:bidi w:val="0"/>
              <w:adjustRightInd/>
              <w:snapToGrid/>
              <w:jc w:val="left"/>
              <w:rPr>
                <w:color w:val="auto"/>
              </w:rPr>
            </w:pPr>
            <w:r>
              <w:rPr>
                <w:b/>
                <w:bCs/>
                <w:color w:val="auto"/>
              </w:rPr>
              <w:t>调节池-厂区事故池主要设备一览表</w:t>
            </w:r>
          </w:p>
        </w:tc>
      </w:tr>
      <w:tr w14:paraId="0C0FCB0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220F72">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0DF2F038">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3110E6E7">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1D8774AA">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5F385DA5">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212545B1">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51095268">
            <w:pPr>
              <w:pStyle w:val="12"/>
              <w:pageBreakBefore w:val="0"/>
              <w:wordWrap/>
              <w:bidi w:val="0"/>
              <w:adjustRightInd/>
              <w:snapToGrid/>
              <w:rPr>
                <w:b/>
                <w:bCs/>
                <w:color w:val="auto"/>
              </w:rPr>
            </w:pPr>
            <w:r>
              <w:rPr>
                <w:b/>
                <w:bCs/>
                <w:color w:val="auto"/>
              </w:rPr>
              <w:t>备注</w:t>
            </w:r>
          </w:p>
        </w:tc>
      </w:tr>
      <w:tr w14:paraId="2E0108F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92B3FA">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54AD938D">
            <w:pPr>
              <w:pStyle w:val="12"/>
              <w:pageBreakBefore w:val="0"/>
              <w:wordWrap/>
              <w:bidi w:val="0"/>
              <w:adjustRightInd/>
              <w:snapToGrid/>
              <w:rPr>
                <w:color w:val="auto"/>
              </w:rPr>
            </w:pPr>
            <w:r>
              <w:rPr>
                <w:color w:val="auto"/>
              </w:rPr>
              <w:t>潜污泵</w:t>
            </w:r>
          </w:p>
        </w:tc>
        <w:tc>
          <w:tcPr>
            <w:tcW w:w="1532" w:type="pct"/>
            <w:tcBorders>
              <w:tl2br w:val="nil"/>
              <w:tr2bl w:val="nil"/>
            </w:tcBorders>
            <w:noWrap w:val="0"/>
            <w:vAlign w:val="center"/>
          </w:tcPr>
          <w:p w14:paraId="5CF49C70">
            <w:pPr>
              <w:pStyle w:val="12"/>
              <w:pageBreakBefore w:val="0"/>
              <w:wordWrap/>
              <w:bidi w:val="0"/>
              <w:adjustRightInd/>
              <w:snapToGrid/>
              <w:rPr>
                <w:color w:val="auto"/>
              </w:rPr>
            </w:pPr>
            <w:r>
              <w:rPr>
                <w:color w:val="auto"/>
              </w:rPr>
              <w:t>Q=70</w:t>
            </w:r>
            <w:r>
              <w:rPr>
                <w:rFonts w:hint="eastAsia"/>
                <w:color w:val="auto"/>
                <w:lang w:eastAsia="zh-CN"/>
              </w:rPr>
              <w:t>m³</w:t>
            </w:r>
            <w:r>
              <w:rPr>
                <w:color w:val="auto"/>
              </w:rPr>
              <w:t>/h</w:t>
            </w:r>
            <w:r>
              <w:rPr>
                <w:rFonts w:hint="eastAsia"/>
                <w:color w:val="auto"/>
                <w:lang w:eastAsia="zh-CN"/>
              </w:rPr>
              <w:t>，</w:t>
            </w:r>
            <w:r>
              <w:rPr>
                <w:color w:val="auto"/>
              </w:rPr>
              <w:t>H=15.0m</w:t>
            </w:r>
            <w:r>
              <w:rPr>
                <w:rFonts w:hint="eastAsia"/>
                <w:color w:val="auto"/>
                <w:lang w:eastAsia="zh-CN"/>
              </w:rPr>
              <w:t>，</w:t>
            </w:r>
            <w:r>
              <w:rPr>
                <w:color w:val="auto"/>
              </w:rPr>
              <w:t>N=9kW</w:t>
            </w:r>
          </w:p>
        </w:tc>
        <w:tc>
          <w:tcPr>
            <w:tcW w:w="612" w:type="pct"/>
            <w:tcBorders>
              <w:tl2br w:val="nil"/>
              <w:tr2bl w:val="nil"/>
            </w:tcBorders>
            <w:noWrap w:val="0"/>
            <w:vAlign w:val="center"/>
          </w:tcPr>
          <w:p w14:paraId="5A24E0C3">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734BEF7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C686997">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1280EAB">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变频控制</w:t>
            </w:r>
            <w:r>
              <w:rPr>
                <w:rFonts w:hint="eastAsia"/>
                <w:color w:val="auto"/>
                <w:lang w:eastAsia="zh-CN"/>
              </w:rPr>
              <w:t>，</w:t>
            </w:r>
            <w:r>
              <w:rPr>
                <w:color w:val="auto"/>
              </w:rPr>
              <w:t>带耦合装置</w:t>
            </w:r>
            <w:r>
              <w:rPr>
                <w:rFonts w:hint="eastAsia"/>
                <w:color w:val="auto"/>
                <w:lang w:eastAsia="zh-CN"/>
              </w:rPr>
              <w:t>，</w:t>
            </w:r>
            <w:r>
              <w:rPr>
                <w:color w:val="auto"/>
              </w:rPr>
              <w:t>配特制吊钩及导向绳</w:t>
            </w:r>
          </w:p>
        </w:tc>
      </w:tr>
      <w:tr w14:paraId="0FA288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94EF0B">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21B7F878">
            <w:pPr>
              <w:pStyle w:val="12"/>
              <w:pageBreakBefore w:val="0"/>
              <w:wordWrap/>
              <w:bidi w:val="0"/>
              <w:adjustRightInd/>
              <w:snapToGrid/>
              <w:rPr>
                <w:color w:val="auto"/>
              </w:rPr>
            </w:pPr>
            <w:r>
              <w:rPr>
                <w:color w:val="auto"/>
              </w:rPr>
              <w:t>潜污泵</w:t>
            </w:r>
          </w:p>
        </w:tc>
        <w:tc>
          <w:tcPr>
            <w:tcW w:w="1532" w:type="pct"/>
            <w:tcBorders>
              <w:tl2br w:val="nil"/>
              <w:tr2bl w:val="nil"/>
            </w:tcBorders>
            <w:noWrap w:val="0"/>
            <w:vAlign w:val="center"/>
          </w:tcPr>
          <w:p w14:paraId="643809AD">
            <w:pPr>
              <w:pStyle w:val="12"/>
              <w:pageBreakBefore w:val="0"/>
              <w:wordWrap/>
              <w:bidi w:val="0"/>
              <w:adjustRightInd/>
              <w:snapToGrid/>
              <w:rPr>
                <w:color w:val="auto"/>
              </w:rPr>
            </w:pPr>
            <w:r>
              <w:rPr>
                <w:color w:val="auto"/>
              </w:rPr>
              <w:t>Q=150</w:t>
            </w:r>
            <w:r>
              <w:rPr>
                <w:rFonts w:hint="eastAsia"/>
                <w:color w:val="auto"/>
                <w:lang w:eastAsia="zh-CN"/>
              </w:rPr>
              <w:t>m³</w:t>
            </w:r>
            <w:r>
              <w:rPr>
                <w:color w:val="auto"/>
              </w:rPr>
              <w:t>/h</w:t>
            </w:r>
            <w:r>
              <w:rPr>
                <w:rFonts w:hint="eastAsia"/>
                <w:color w:val="auto"/>
                <w:lang w:eastAsia="zh-CN"/>
              </w:rPr>
              <w:t>，</w:t>
            </w:r>
            <w:r>
              <w:rPr>
                <w:color w:val="auto"/>
              </w:rPr>
              <w:t>H=15.0m</w:t>
            </w:r>
            <w:r>
              <w:rPr>
                <w:rFonts w:hint="eastAsia"/>
                <w:color w:val="auto"/>
                <w:lang w:eastAsia="zh-CN"/>
              </w:rPr>
              <w:t>，</w:t>
            </w:r>
            <w:r>
              <w:rPr>
                <w:color w:val="auto"/>
              </w:rPr>
              <w:t>N=15kW</w:t>
            </w:r>
          </w:p>
        </w:tc>
        <w:tc>
          <w:tcPr>
            <w:tcW w:w="612" w:type="pct"/>
            <w:tcBorders>
              <w:tl2br w:val="nil"/>
              <w:tr2bl w:val="nil"/>
            </w:tcBorders>
            <w:noWrap w:val="0"/>
            <w:vAlign w:val="center"/>
          </w:tcPr>
          <w:p w14:paraId="14D4E671">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65CF544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C97E368">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618A3A9">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变频控制</w:t>
            </w:r>
            <w:r>
              <w:rPr>
                <w:rFonts w:hint="eastAsia"/>
                <w:color w:val="auto"/>
                <w:lang w:eastAsia="zh-CN"/>
              </w:rPr>
              <w:t>，</w:t>
            </w:r>
            <w:r>
              <w:rPr>
                <w:color w:val="auto"/>
              </w:rPr>
              <w:t>带耦合装置</w:t>
            </w:r>
            <w:r>
              <w:rPr>
                <w:rFonts w:hint="eastAsia"/>
                <w:color w:val="auto"/>
                <w:lang w:eastAsia="zh-CN"/>
              </w:rPr>
              <w:t>，</w:t>
            </w:r>
            <w:r>
              <w:rPr>
                <w:color w:val="auto"/>
              </w:rPr>
              <w:t>配特制吊钩及导向绳</w:t>
            </w:r>
          </w:p>
        </w:tc>
      </w:tr>
      <w:tr w14:paraId="00068A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EA2FC67">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6504D554">
            <w:pPr>
              <w:pStyle w:val="12"/>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5B3156ED">
            <w:pPr>
              <w:pStyle w:val="12"/>
              <w:pageBreakBefore w:val="0"/>
              <w:wordWrap/>
              <w:bidi w:val="0"/>
              <w:adjustRightInd/>
              <w:snapToGrid/>
              <w:rPr>
                <w:color w:val="auto"/>
              </w:rPr>
            </w:pPr>
            <w:r>
              <w:rPr>
                <w:color w:val="auto"/>
              </w:rPr>
              <w:t>QJB2.5/8-400/3-740</w:t>
            </w:r>
            <w:r>
              <w:rPr>
                <w:rFonts w:hint="eastAsia"/>
                <w:color w:val="auto"/>
                <w:lang w:eastAsia="zh-CN"/>
              </w:rPr>
              <w:t>，</w:t>
            </w:r>
            <w:r>
              <w:rPr>
                <w:color w:val="auto"/>
              </w:rPr>
              <w:t>N=3kW</w:t>
            </w:r>
          </w:p>
        </w:tc>
        <w:tc>
          <w:tcPr>
            <w:tcW w:w="612" w:type="pct"/>
            <w:tcBorders>
              <w:tl2br w:val="nil"/>
              <w:tr2bl w:val="nil"/>
            </w:tcBorders>
            <w:noWrap w:val="0"/>
            <w:vAlign w:val="center"/>
          </w:tcPr>
          <w:p w14:paraId="5D7114A8">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283033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78AA9DC">
            <w:pPr>
              <w:pStyle w:val="12"/>
              <w:pageBreakBefore w:val="0"/>
              <w:wordWrap/>
              <w:bidi w:val="0"/>
              <w:adjustRightInd/>
              <w:snapToGrid/>
              <w:rPr>
                <w:color w:val="auto"/>
              </w:rPr>
            </w:pPr>
            <w:r>
              <w:rPr>
                <w:color w:val="auto"/>
              </w:rPr>
              <w:t>7</w:t>
            </w:r>
          </w:p>
        </w:tc>
        <w:tc>
          <w:tcPr>
            <w:tcW w:w="1132" w:type="pct"/>
            <w:tcBorders>
              <w:tl2br w:val="nil"/>
              <w:tr2bl w:val="nil"/>
            </w:tcBorders>
            <w:noWrap w:val="0"/>
            <w:vAlign w:val="center"/>
          </w:tcPr>
          <w:p w14:paraId="73D3C999">
            <w:pPr>
              <w:pStyle w:val="12"/>
              <w:pageBreakBefore w:val="0"/>
              <w:wordWrap/>
              <w:bidi w:val="0"/>
              <w:adjustRightInd/>
              <w:snapToGrid/>
              <w:rPr>
                <w:color w:val="auto"/>
              </w:rPr>
            </w:pPr>
          </w:p>
        </w:tc>
      </w:tr>
      <w:tr w14:paraId="7AC2AF1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58A2FE3">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B1E8CB7">
            <w:pPr>
              <w:pStyle w:val="12"/>
              <w:pageBreakBefore w:val="0"/>
              <w:wordWrap/>
              <w:bidi w:val="0"/>
              <w:adjustRightInd/>
              <w:snapToGrid/>
              <w:rPr>
                <w:color w:val="auto"/>
              </w:rPr>
            </w:pPr>
            <w:r>
              <w:rPr>
                <w:color w:val="auto"/>
              </w:rPr>
              <w:t>附壁式方闸门</w:t>
            </w:r>
          </w:p>
        </w:tc>
        <w:tc>
          <w:tcPr>
            <w:tcW w:w="1532" w:type="pct"/>
            <w:tcBorders>
              <w:tl2br w:val="nil"/>
              <w:tr2bl w:val="nil"/>
            </w:tcBorders>
            <w:noWrap w:val="0"/>
            <w:vAlign w:val="center"/>
          </w:tcPr>
          <w:p w14:paraId="25D868FD">
            <w:pPr>
              <w:pStyle w:val="12"/>
              <w:pageBreakBefore w:val="0"/>
              <w:wordWrap/>
              <w:bidi w:val="0"/>
              <w:adjustRightInd/>
              <w:snapToGrid/>
              <w:rPr>
                <w:color w:val="auto"/>
              </w:rPr>
            </w:pPr>
            <w:r>
              <w:rPr>
                <w:color w:val="auto"/>
              </w:rPr>
              <w:t>A×B=300×300</w:t>
            </w:r>
            <w:r>
              <w:rPr>
                <w:rFonts w:hint="eastAsia"/>
                <w:color w:val="auto"/>
                <w:lang w:eastAsia="zh-CN"/>
              </w:rPr>
              <w:t>，</w:t>
            </w:r>
            <w:r>
              <w:rPr>
                <w:color w:val="auto"/>
              </w:rPr>
              <w:t>H=7.5m</w:t>
            </w:r>
            <w:r>
              <w:rPr>
                <w:rFonts w:hint="eastAsia"/>
                <w:color w:val="auto"/>
                <w:lang w:eastAsia="zh-CN"/>
              </w:rPr>
              <w:t>，</w:t>
            </w:r>
            <w:r>
              <w:rPr>
                <w:color w:val="auto"/>
              </w:rPr>
              <w:t>附壁式上开</w:t>
            </w:r>
          </w:p>
        </w:tc>
        <w:tc>
          <w:tcPr>
            <w:tcW w:w="612" w:type="pct"/>
            <w:tcBorders>
              <w:tl2br w:val="nil"/>
              <w:tr2bl w:val="nil"/>
            </w:tcBorders>
            <w:noWrap w:val="0"/>
            <w:vAlign w:val="center"/>
          </w:tcPr>
          <w:p w14:paraId="2DFE6543">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2883824A">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3BD9F4C">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9CEBA46">
            <w:pPr>
              <w:pStyle w:val="12"/>
              <w:pageBreakBefore w:val="0"/>
              <w:wordWrap/>
              <w:bidi w:val="0"/>
              <w:adjustRightInd/>
              <w:snapToGrid/>
              <w:rPr>
                <w:color w:val="auto"/>
              </w:rPr>
            </w:pPr>
            <w:r>
              <w:rPr>
                <w:color w:val="auto"/>
              </w:rPr>
              <w:t>配手动启闭机</w:t>
            </w:r>
            <w:r>
              <w:rPr>
                <w:rFonts w:hint="eastAsia"/>
                <w:color w:val="auto"/>
                <w:lang w:eastAsia="zh-CN"/>
              </w:rPr>
              <w:t>，</w:t>
            </w:r>
            <w:r>
              <w:rPr>
                <w:color w:val="auto"/>
              </w:rPr>
              <w:t>配套丝杆</w:t>
            </w:r>
            <w:r>
              <w:rPr>
                <w:rFonts w:hint="eastAsia"/>
                <w:color w:val="auto"/>
                <w:lang w:eastAsia="zh-CN"/>
              </w:rPr>
              <w:t>，</w:t>
            </w:r>
            <w:r>
              <w:rPr>
                <w:color w:val="auto"/>
              </w:rPr>
              <w:t>轴导架、联接套</w:t>
            </w:r>
          </w:p>
        </w:tc>
      </w:tr>
      <w:tr w14:paraId="63879D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7AE326">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0FE210BE">
            <w:pPr>
              <w:pStyle w:val="12"/>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4DF18B64">
            <w:pPr>
              <w:pStyle w:val="12"/>
              <w:pageBreakBefore w:val="0"/>
              <w:wordWrap/>
              <w:bidi w:val="0"/>
              <w:adjustRightInd/>
              <w:snapToGrid/>
              <w:rPr>
                <w:color w:val="auto"/>
              </w:rPr>
            </w:pP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7D49FD4C">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36A6E6D7">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0477F9B">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9F3850E">
            <w:pPr>
              <w:pStyle w:val="12"/>
              <w:pageBreakBefore w:val="0"/>
              <w:wordWrap/>
              <w:bidi w:val="0"/>
              <w:adjustRightInd/>
              <w:snapToGrid/>
              <w:rPr>
                <w:color w:val="auto"/>
              </w:rPr>
            </w:pPr>
          </w:p>
        </w:tc>
      </w:tr>
      <w:tr w14:paraId="2778E0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FEE0991">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5BCFC3A3">
            <w:pPr>
              <w:pStyle w:val="12"/>
              <w:pageBreakBefore w:val="0"/>
              <w:wordWrap/>
              <w:bidi w:val="0"/>
              <w:adjustRightInd/>
              <w:snapToGrid/>
              <w:rPr>
                <w:color w:val="auto"/>
              </w:rPr>
            </w:pPr>
            <w:r>
              <w:rPr>
                <w:color w:val="auto"/>
              </w:rPr>
              <w:t>橡胶接头</w:t>
            </w:r>
          </w:p>
        </w:tc>
        <w:tc>
          <w:tcPr>
            <w:tcW w:w="1532" w:type="pct"/>
            <w:tcBorders>
              <w:tl2br w:val="nil"/>
              <w:tr2bl w:val="nil"/>
            </w:tcBorders>
            <w:noWrap w:val="0"/>
            <w:vAlign w:val="center"/>
          </w:tcPr>
          <w:p w14:paraId="0531D639">
            <w:pPr>
              <w:pStyle w:val="12"/>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2631077D">
            <w:pPr>
              <w:pStyle w:val="12"/>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31E3211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5095D53">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BC38FC1">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57ADF8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FCAF131">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207534A9">
            <w:pPr>
              <w:pStyle w:val="12"/>
              <w:pageBreakBefore w:val="0"/>
              <w:wordWrap/>
              <w:bidi w:val="0"/>
              <w:adjustRightInd/>
              <w:snapToGrid/>
              <w:rPr>
                <w:color w:val="auto"/>
              </w:rPr>
            </w:pPr>
            <w:r>
              <w:rPr>
                <w:color w:val="auto"/>
              </w:rPr>
              <w:t>橡胶接头</w:t>
            </w:r>
          </w:p>
        </w:tc>
        <w:tc>
          <w:tcPr>
            <w:tcW w:w="1532" w:type="pct"/>
            <w:tcBorders>
              <w:tl2br w:val="nil"/>
              <w:tr2bl w:val="nil"/>
            </w:tcBorders>
            <w:noWrap w:val="0"/>
            <w:vAlign w:val="center"/>
          </w:tcPr>
          <w:p w14:paraId="4B0C4392">
            <w:pPr>
              <w:pStyle w:val="12"/>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D2759A0">
            <w:pPr>
              <w:pStyle w:val="12"/>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7AE391A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9811CEC">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34B730B">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D92E4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8262438">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25304DB5">
            <w:pPr>
              <w:pStyle w:val="12"/>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13E4ECB5">
            <w:pPr>
              <w:pStyle w:val="12"/>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0697F8A">
            <w:pPr>
              <w:pStyle w:val="12"/>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55481F2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5BAC14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405C911">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31DED0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963F2C4">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10B2AAEB">
            <w:pPr>
              <w:pStyle w:val="12"/>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471E2C16">
            <w:pPr>
              <w:pStyle w:val="12"/>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E0A5F32">
            <w:pPr>
              <w:pStyle w:val="12"/>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52AB593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4F06A68">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D52D8EF">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48EDB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47C91C">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63FBC84F">
            <w:pPr>
              <w:pStyle w:val="12"/>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54ADBA59">
            <w:pPr>
              <w:pStyle w:val="12"/>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55B5ABF">
            <w:pPr>
              <w:pStyle w:val="12"/>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569CC7C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3D75B3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161357D">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0F6F98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7368B4">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276E217B">
            <w:pPr>
              <w:pStyle w:val="12"/>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2B9C4E8A">
            <w:pPr>
              <w:pStyle w:val="12"/>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E20881A">
            <w:pPr>
              <w:pStyle w:val="12"/>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4EAA794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3170FA3">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475D321">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71654C9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8BB5D5C">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6B054B9B">
            <w:pPr>
              <w:pStyle w:val="12"/>
              <w:pageBreakBefore w:val="0"/>
              <w:wordWrap/>
              <w:bidi w:val="0"/>
              <w:adjustRightInd/>
              <w:snapToGrid/>
              <w:rPr>
                <w:color w:val="auto"/>
              </w:rPr>
            </w:pPr>
            <w:r>
              <w:rPr>
                <w:color w:val="auto"/>
              </w:rPr>
              <w:t>有毒气体检测仪</w:t>
            </w:r>
          </w:p>
        </w:tc>
        <w:tc>
          <w:tcPr>
            <w:tcW w:w="1532" w:type="pct"/>
            <w:tcBorders>
              <w:tl2br w:val="nil"/>
              <w:tr2bl w:val="nil"/>
            </w:tcBorders>
            <w:noWrap w:val="0"/>
            <w:vAlign w:val="center"/>
          </w:tcPr>
          <w:p w14:paraId="11FEC45D">
            <w:pPr>
              <w:pStyle w:val="12"/>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665FFC82">
            <w:pPr>
              <w:pStyle w:val="12"/>
              <w:pageBreakBefore w:val="0"/>
              <w:wordWrap/>
              <w:bidi w:val="0"/>
              <w:adjustRightInd/>
              <w:snapToGrid/>
              <w:rPr>
                <w:color w:val="auto"/>
              </w:rPr>
            </w:pPr>
          </w:p>
        </w:tc>
        <w:tc>
          <w:tcPr>
            <w:tcW w:w="279" w:type="pct"/>
            <w:tcBorders>
              <w:tl2br w:val="nil"/>
              <w:tr2bl w:val="nil"/>
            </w:tcBorders>
            <w:noWrap w:val="0"/>
            <w:vAlign w:val="center"/>
          </w:tcPr>
          <w:p w14:paraId="5EAF07A1">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C3BFB36">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DB89160">
            <w:pPr>
              <w:pStyle w:val="12"/>
              <w:pageBreakBefore w:val="0"/>
              <w:wordWrap/>
              <w:bidi w:val="0"/>
              <w:adjustRightInd/>
              <w:snapToGrid/>
              <w:rPr>
                <w:color w:val="auto"/>
              </w:rPr>
            </w:pPr>
            <w:r>
              <w:rPr>
                <w:color w:val="auto"/>
              </w:rPr>
              <w:t>计入自控</w:t>
            </w:r>
          </w:p>
        </w:tc>
      </w:tr>
      <w:tr w14:paraId="6E977B2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7AD236C">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099C2F51">
            <w:pPr>
              <w:pStyle w:val="12"/>
              <w:pageBreakBefore w:val="0"/>
              <w:wordWrap/>
              <w:bidi w:val="0"/>
              <w:adjustRightInd/>
              <w:snapToGrid/>
              <w:rPr>
                <w:color w:val="auto"/>
              </w:rPr>
            </w:pPr>
            <w:r>
              <w:rPr>
                <w:color w:val="auto"/>
              </w:rPr>
              <w:t>液位计</w:t>
            </w:r>
          </w:p>
        </w:tc>
        <w:tc>
          <w:tcPr>
            <w:tcW w:w="1532" w:type="pct"/>
            <w:tcBorders>
              <w:tl2br w:val="nil"/>
              <w:tr2bl w:val="nil"/>
            </w:tcBorders>
            <w:noWrap w:val="0"/>
            <w:vAlign w:val="center"/>
          </w:tcPr>
          <w:p w14:paraId="20ED42DC">
            <w:pPr>
              <w:pStyle w:val="12"/>
              <w:pageBreakBefore w:val="0"/>
              <w:wordWrap/>
              <w:bidi w:val="0"/>
              <w:adjustRightInd/>
              <w:snapToGrid/>
              <w:rPr>
                <w:color w:val="auto"/>
              </w:rPr>
            </w:pPr>
            <w:r>
              <w:rPr>
                <w:color w:val="auto"/>
              </w:rPr>
              <w:t>0-10m</w:t>
            </w:r>
          </w:p>
        </w:tc>
        <w:tc>
          <w:tcPr>
            <w:tcW w:w="612" w:type="pct"/>
            <w:tcBorders>
              <w:tl2br w:val="nil"/>
              <w:tr2bl w:val="nil"/>
            </w:tcBorders>
            <w:noWrap w:val="0"/>
            <w:vAlign w:val="center"/>
          </w:tcPr>
          <w:p w14:paraId="646F78CC">
            <w:pPr>
              <w:pStyle w:val="12"/>
              <w:pageBreakBefore w:val="0"/>
              <w:wordWrap/>
              <w:bidi w:val="0"/>
              <w:adjustRightInd/>
              <w:snapToGrid/>
              <w:rPr>
                <w:color w:val="auto"/>
              </w:rPr>
            </w:pPr>
          </w:p>
        </w:tc>
        <w:tc>
          <w:tcPr>
            <w:tcW w:w="279" w:type="pct"/>
            <w:tcBorders>
              <w:tl2br w:val="nil"/>
              <w:tr2bl w:val="nil"/>
            </w:tcBorders>
            <w:noWrap w:val="0"/>
            <w:vAlign w:val="center"/>
          </w:tcPr>
          <w:p w14:paraId="21A3024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46641C3">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779A45A">
            <w:pPr>
              <w:pStyle w:val="12"/>
              <w:pageBreakBefore w:val="0"/>
              <w:wordWrap/>
              <w:bidi w:val="0"/>
              <w:adjustRightInd/>
              <w:snapToGrid/>
              <w:rPr>
                <w:color w:val="auto"/>
              </w:rPr>
            </w:pPr>
            <w:r>
              <w:rPr>
                <w:color w:val="auto"/>
              </w:rPr>
              <w:t>计入自控用于调节池</w:t>
            </w:r>
          </w:p>
        </w:tc>
      </w:tr>
      <w:tr w14:paraId="7682C33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36EAD03">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579A2A8A">
            <w:pPr>
              <w:pStyle w:val="12"/>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43A24882">
            <w:pPr>
              <w:pStyle w:val="12"/>
              <w:pageBreakBefore w:val="0"/>
              <w:wordWrap/>
              <w:bidi w:val="0"/>
              <w:adjustRightInd/>
              <w:snapToGrid/>
              <w:rPr>
                <w:color w:val="auto"/>
              </w:rPr>
            </w:pPr>
            <w:r>
              <w:rPr>
                <w:color w:val="auto"/>
              </w:rPr>
              <w:t>起吊高</w:t>
            </w:r>
            <w:r>
              <w:rPr>
                <w:rFonts w:hint="eastAsia"/>
                <w:color w:val="auto"/>
                <w:lang w:eastAsia="zh-CN"/>
              </w:rPr>
              <w:t>度</w:t>
            </w:r>
            <w:r>
              <w:rPr>
                <w:color w:val="auto"/>
              </w:rPr>
              <w:t>9.0m</w:t>
            </w:r>
            <w:r>
              <w:rPr>
                <w:rFonts w:hint="eastAsia"/>
                <w:color w:val="auto"/>
                <w:lang w:eastAsia="zh-CN"/>
              </w:rPr>
              <w:t>，</w:t>
            </w:r>
            <w:r>
              <w:rPr>
                <w:color w:val="auto"/>
              </w:rPr>
              <w:t>起吊重量</w:t>
            </w:r>
            <w:r>
              <w:rPr>
                <w:rFonts w:hint="eastAsia"/>
                <w:color w:val="auto"/>
                <w:lang w:eastAsia="zh-CN"/>
              </w:rPr>
              <w:t>1</w:t>
            </w:r>
            <w:r>
              <w:rPr>
                <w:color w:val="auto"/>
              </w:rPr>
              <w:t>t</w:t>
            </w:r>
            <w:r>
              <w:rPr>
                <w:rFonts w:hint="eastAsia"/>
                <w:color w:val="auto"/>
                <w:lang w:eastAsia="zh-CN"/>
              </w:rPr>
              <w:t>，</w:t>
            </w:r>
            <w:r>
              <w:rPr>
                <w:color w:val="auto"/>
              </w:rPr>
              <w:t>N=</w:t>
            </w:r>
            <w:r>
              <w:rPr>
                <w:rFonts w:hint="eastAsia"/>
                <w:color w:val="auto"/>
                <w:lang w:eastAsia="zh-CN"/>
              </w:rPr>
              <w:t>1</w:t>
            </w:r>
            <w:r>
              <w:rPr>
                <w:color w:val="auto"/>
              </w:rPr>
              <w:t>.5+2×0.2kW</w:t>
            </w:r>
          </w:p>
        </w:tc>
        <w:tc>
          <w:tcPr>
            <w:tcW w:w="612" w:type="pct"/>
            <w:tcBorders>
              <w:tl2br w:val="nil"/>
              <w:tr2bl w:val="nil"/>
            </w:tcBorders>
            <w:noWrap w:val="0"/>
            <w:vAlign w:val="center"/>
          </w:tcPr>
          <w:p w14:paraId="4F3957E4">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339316F">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9BE26AA">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8A4EC4D">
            <w:pPr>
              <w:pStyle w:val="12"/>
              <w:pageBreakBefore w:val="0"/>
              <w:wordWrap/>
              <w:bidi w:val="0"/>
              <w:adjustRightInd/>
              <w:snapToGrid/>
              <w:rPr>
                <w:color w:val="auto"/>
              </w:rPr>
            </w:pPr>
          </w:p>
        </w:tc>
      </w:tr>
      <w:tr w14:paraId="5364D46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3AC3CAE">
            <w:pPr>
              <w:pStyle w:val="12"/>
              <w:pageBreakBefore w:val="0"/>
              <w:wordWrap/>
              <w:bidi w:val="0"/>
              <w:adjustRightInd/>
              <w:snapToGrid/>
              <w:jc w:val="left"/>
              <w:rPr>
                <w:color w:val="auto"/>
              </w:rPr>
            </w:pPr>
            <w:r>
              <w:rPr>
                <w:b/>
                <w:bCs/>
                <w:color w:val="auto"/>
              </w:rPr>
              <w:t>水解酸化池设备一览表</w:t>
            </w:r>
          </w:p>
        </w:tc>
      </w:tr>
      <w:tr w14:paraId="44AF24F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8903DC9">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2E2251FE">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05C84E7">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65B9616E">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706B1118">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2B40472B">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6FB4FCE5">
            <w:pPr>
              <w:pStyle w:val="12"/>
              <w:pageBreakBefore w:val="0"/>
              <w:wordWrap/>
              <w:bidi w:val="0"/>
              <w:adjustRightInd/>
              <w:snapToGrid/>
              <w:rPr>
                <w:b/>
                <w:bCs/>
                <w:color w:val="auto"/>
              </w:rPr>
            </w:pPr>
            <w:r>
              <w:rPr>
                <w:b/>
                <w:bCs/>
                <w:color w:val="auto"/>
              </w:rPr>
              <w:t>备注</w:t>
            </w:r>
          </w:p>
        </w:tc>
      </w:tr>
      <w:tr w14:paraId="6A52F0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B4E4355">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F70E0E9">
            <w:pPr>
              <w:pStyle w:val="12"/>
              <w:pageBreakBefore w:val="0"/>
              <w:wordWrap/>
              <w:bidi w:val="0"/>
              <w:adjustRightInd/>
              <w:snapToGrid/>
              <w:rPr>
                <w:color w:val="auto"/>
              </w:rPr>
            </w:pPr>
            <w:r>
              <w:rPr>
                <w:color w:val="auto"/>
              </w:rPr>
              <w:t>手电方形铸铁镶铜闸板</w:t>
            </w:r>
          </w:p>
        </w:tc>
        <w:tc>
          <w:tcPr>
            <w:tcW w:w="1532" w:type="pct"/>
            <w:tcBorders>
              <w:tl2br w:val="nil"/>
              <w:tr2bl w:val="nil"/>
            </w:tcBorders>
            <w:noWrap w:val="0"/>
            <w:vAlign w:val="center"/>
          </w:tcPr>
          <w:p w14:paraId="574413B3">
            <w:pPr>
              <w:pStyle w:val="12"/>
              <w:pageBreakBefore w:val="0"/>
              <w:wordWrap/>
              <w:bidi w:val="0"/>
              <w:adjustRightInd/>
              <w:snapToGrid/>
              <w:rPr>
                <w:color w:val="auto"/>
              </w:rPr>
            </w:pPr>
            <w:r>
              <w:rPr>
                <w:color w:val="auto"/>
              </w:rPr>
              <w:t>A×B=300×300</w:t>
            </w:r>
            <w:r>
              <w:rPr>
                <w:rFonts w:hint="eastAsia"/>
                <w:color w:val="auto"/>
                <w:lang w:eastAsia="zh-CN"/>
              </w:rPr>
              <w:t>，</w:t>
            </w:r>
            <w:r>
              <w:rPr>
                <w:color w:val="auto"/>
              </w:rPr>
              <w:t>H=5.55m</w:t>
            </w:r>
            <w:r>
              <w:rPr>
                <w:rFonts w:hint="eastAsia"/>
                <w:color w:val="auto"/>
                <w:lang w:eastAsia="zh-CN"/>
              </w:rPr>
              <w:t>，</w:t>
            </w:r>
            <w:r>
              <w:rPr>
                <w:color w:val="auto"/>
              </w:rPr>
              <w:t>配手电两用启闭机</w:t>
            </w:r>
            <w:r>
              <w:rPr>
                <w:rFonts w:hint="eastAsia"/>
                <w:color w:val="auto"/>
                <w:lang w:eastAsia="zh-CN"/>
              </w:rPr>
              <w:t>，</w:t>
            </w:r>
            <w:r>
              <w:rPr>
                <w:color w:val="auto"/>
              </w:rPr>
              <w:t>N=0.75kW</w:t>
            </w:r>
          </w:p>
        </w:tc>
        <w:tc>
          <w:tcPr>
            <w:tcW w:w="612" w:type="pct"/>
            <w:tcBorders>
              <w:tl2br w:val="nil"/>
              <w:tr2bl w:val="nil"/>
            </w:tcBorders>
            <w:noWrap w:val="0"/>
            <w:vAlign w:val="center"/>
          </w:tcPr>
          <w:p w14:paraId="14EA328A">
            <w:pPr>
              <w:pStyle w:val="12"/>
              <w:pageBreakBefore w:val="0"/>
              <w:wordWrap/>
              <w:bidi w:val="0"/>
              <w:adjustRightInd/>
              <w:snapToGrid/>
              <w:rPr>
                <w:color w:val="auto"/>
              </w:rPr>
            </w:pPr>
          </w:p>
        </w:tc>
        <w:tc>
          <w:tcPr>
            <w:tcW w:w="279" w:type="pct"/>
            <w:tcBorders>
              <w:tl2br w:val="nil"/>
              <w:tr2bl w:val="nil"/>
            </w:tcBorders>
            <w:noWrap w:val="0"/>
            <w:vAlign w:val="center"/>
          </w:tcPr>
          <w:p w14:paraId="691FE42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B8111E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5020D06">
            <w:pPr>
              <w:pStyle w:val="12"/>
              <w:pageBreakBefore w:val="0"/>
              <w:wordWrap/>
              <w:bidi w:val="0"/>
              <w:adjustRightInd/>
              <w:snapToGrid/>
              <w:rPr>
                <w:color w:val="auto"/>
              </w:rPr>
            </w:pPr>
          </w:p>
        </w:tc>
      </w:tr>
      <w:tr w14:paraId="6DA4FF6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69295A3">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58CCE113">
            <w:pPr>
              <w:pStyle w:val="12"/>
              <w:pageBreakBefore w:val="0"/>
              <w:wordWrap/>
              <w:bidi w:val="0"/>
              <w:adjustRightInd/>
              <w:snapToGrid/>
              <w:rPr>
                <w:color w:val="auto"/>
              </w:rPr>
            </w:pPr>
            <w:r>
              <w:rPr>
                <w:color w:val="auto"/>
              </w:rPr>
              <w:t>污泥泵</w:t>
            </w:r>
          </w:p>
        </w:tc>
        <w:tc>
          <w:tcPr>
            <w:tcW w:w="1532" w:type="pct"/>
            <w:tcBorders>
              <w:tl2br w:val="nil"/>
              <w:tr2bl w:val="nil"/>
            </w:tcBorders>
            <w:noWrap w:val="0"/>
            <w:vAlign w:val="center"/>
          </w:tcPr>
          <w:p w14:paraId="1076FEEF">
            <w:pPr>
              <w:pStyle w:val="12"/>
              <w:pageBreakBefore w:val="0"/>
              <w:wordWrap/>
              <w:bidi w:val="0"/>
              <w:adjustRightInd/>
              <w:snapToGrid/>
              <w:rPr>
                <w:color w:val="auto"/>
              </w:rPr>
            </w:pPr>
            <w:r>
              <w:rPr>
                <w:color w:val="auto"/>
              </w:rPr>
              <w:t>离心泵</w:t>
            </w:r>
            <w:r>
              <w:rPr>
                <w:rFonts w:hint="eastAsia"/>
                <w:color w:val="auto"/>
                <w:lang w:eastAsia="zh-CN"/>
              </w:rPr>
              <w:t>：</w:t>
            </w:r>
            <w:r>
              <w:rPr>
                <w:color w:val="auto"/>
              </w:rPr>
              <w:t>Q=80</w:t>
            </w:r>
            <w:r>
              <w:rPr>
                <w:rFonts w:hint="eastAsia"/>
                <w:color w:val="auto"/>
                <w:lang w:eastAsia="zh-CN"/>
              </w:rPr>
              <w:t>m³</w:t>
            </w:r>
            <w:r>
              <w:rPr>
                <w:color w:val="auto"/>
              </w:rPr>
              <w:t>/h</w:t>
            </w:r>
            <w:r>
              <w:rPr>
                <w:rFonts w:hint="eastAsia"/>
                <w:color w:val="auto"/>
                <w:lang w:eastAsia="zh-CN"/>
              </w:rPr>
              <w:t>，</w:t>
            </w:r>
            <w:r>
              <w:rPr>
                <w:color w:val="auto"/>
              </w:rPr>
              <w:t>N=3kW</w:t>
            </w:r>
            <w:r>
              <w:rPr>
                <w:rFonts w:hint="eastAsia"/>
                <w:color w:val="auto"/>
                <w:lang w:eastAsia="zh-CN"/>
              </w:rPr>
              <w:t>，</w:t>
            </w:r>
            <w:r>
              <w:rPr>
                <w:color w:val="auto"/>
              </w:rPr>
              <w:t>H=8m</w:t>
            </w:r>
          </w:p>
        </w:tc>
        <w:tc>
          <w:tcPr>
            <w:tcW w:w="612" w:type="pct"/>
            <w:tcBorders>
              <w:tl2br w:val="nil"/>
              <w:tr2bl w:val="nil"/>
            </w:tcBorders>
            <w:noWrap w:val="0"/>
            <w:vAlign w:val="center"/>
          </w:tcPr>
          <w:p w14:paraId="55DF9453">
            <w:pPr>
              <w:pStyle w:val="12"/>
              <w:pageBreakBefore w:val="0"/>
              <w:wordWrap/>
              <w:bidi w:val="0"/>
              <w:adjustRightInd/>
              <w:snapToGrid/>
              <w:rPr>
                <w:color w:val="auto"/>
              </w:rPr>
            </w:pPr>
          </w:p>
        </w:tc>
        <w:tc>
          <w:tcPr>
            <w:tcW w:w="279" w:type="pct"/>
            <w:tcBorders>
              <w:tl2br w:val="nil"/>
              <w:tr2bl w:val="nil"/>
            </w:tcBorders>
            <w:noWrap w:val="0"/>
            <w:vAlign w:val="center"/>
          </w:tcPr>
          <w:p w14:paraId="2E4B5D3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4AFD13D">
            <w:pPr>
              <w:pStyle w:val="12"/>
              <w:pageBreakBefore w:val="0"/>
              <w:wordWrap/>
              <w:bidi w:val="0"/>
              <w:adjustRightInd/>
              <w:snapToGrid/>
              <w:rPr>
                <w:color w:val="auto"/>
              </w:rPr>
            </w:pPr>
            <w:r>
              <w:rPr>
                <w:color w:val="auto"/>
              </w:rPr>
              <w:t>5</w:t>
            </w:r>
          </w:p>
        </w:tc>
        <w:tc>
          <w:tcPr>
            <w:tcW w:w="1132" w:type="pct"/>
            <w:tcBorders>
              <w:tl2br w:val="nil"/>
              <w:tr2bl w:val="nil"/>
            </w:tcBorders>
            <w:noWrap w:val="0"/>
            <w:vAlign w:val="center"/>
          </w:tcPr>
          <w:p w14:paraId="1F1F4743">
            <w:pPr>
              <w:pStyle w:val="12"/>
              <w:pageBreakBefore w:val="0"/>
              <w:wordWrap/>
              <w:bidi w:val="0"/>
              <w:adjustRightInd/>
              <w:snapToGrid/>
              <w:rPr>
                <w:rFonts w:hint="eastAsia" w:eastAsia="宋体"/>
                <w:color w:val="auto"/>
                <w:lang w:eastAsia="zh-CN"/>
              </w:rPr>
            </w:pPr>
            <w:r>
              <w:rPr>
                <w:color w:val="auto"/>
              </w:rPr>
              <w:t>水解池排泥泵</w:t>
            </w:r>
            <w:r>
              <w:rPr>
                <w:rFonts w:hint="eastAsia"/>
                <w:color w:val="auto"/>
                <w:lang w:eastAsia="zh-CN"/>
              </w:rPr>
              <w:t>，</w:t>
            </w:r>
            <w:r>
              <w:rPr>
                <w:color w:val="auto"/>
              </w:rPr>
              <w:t>4用</w:t>
            </w:r>
            <w:r>
              <w:rPr>
                <w:rFonts w:hint="eastAsia"/>
                <w:color w:val="auto"/>
                <w:lang w:eastAsia="zh-CN"/>
              </w:rPr>
              <w:t>1</w:t>
            </w:r>
            <w:r>
              <w:rPr>
                <w:color w:val="auto"/>
              </w:rPr>
              <w:t>备</w:t>
            </w:r>
            <w:r>
              <w:rPr>
                <w:rFonts w:hint="eastAsia"/>
                <w:color w:val="auto"/>
                <w:lang w:eastAsia="zh-CN"/>
              </w:rPr>
              <w:t>（</w:t>
            </w:r>
            <w:r>
              <w:rPr>
                <w:color w:val="auto"/>
              </w:rPr>
              <w:t>冷备</w:t>
            </w:r>
            <w:r>
              <w:rPr>
                <w:rFonts w:hint="eastAsia"/>
                <w:color w:val="auto"/>
                <w:lang w:eastAsia="zh-CN"/>
              </w:rPr>
              <w:t>）</w:t>
            </w:r>
          </w:p>
        </w:tc>
      </w:tr>
      <w:tr w14:paraId="3EBDB5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7512E9C">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2F356332">
            <w:pPr>
              <w:pStyle w:val="12"/>
              <w:pageBreakBefore w:val="0"/>
              <w:wordWrap/>
              <w:bidi w:val="0"/>
              <w:adjustRightInd/>
              <w:snapToGrid/>
              <w:rPr>
                <w:color w:val="auto"/>
              </w:rPr>
            </w:pPr>
            <w:r>
              <w:rPr>
                <w:color w:val="auto"/>
              </w:rPr>
              <w:t>低速潜水推流器</w:t>
            </w:r>
          </w:p>
        </w:tc>
        <w:tc>
          <w:tcPr>
            <w:tcW w:w="1532" w:type="pct"/>
            <w:tcBorders>
              <w:tl2br w:val="nil"/>
              <w:tr2bl w:val="nil"/>
            </w:tcBorders>
            <w:noWrap w:val="0"/>
            <w:vAlign w:val="center"/>
          </w:tcPr>
          <w:p w14:paraId="6F6A724B">
            <w:pPr>
              <w:pStyle w:val="12"/>
              <w:pageBreakBefore w:val="0"/>
              <w:wordWrap/>
              <w:bidi w:val="0"/>
              <w:adjustRightInd/>
              <w:snapToGrid/>
              <w:rPr>
                <w:color w:val="auto"/>
              </w:rPr>
            </w:pPr>
            <w:r>
              <w:rPr>
                <w:color w:val="auto"/>
              </w:rPr>
              <w:t>QJB</w:t>
            </w:r>
            <w:r>
              <w:rPr>
                <w:rFonts w:hint="eastAsia"/>
                <w:color w:val="auto"/>
                <w:lang w:eastAsia="zh-CN"/>
              </w:rPr>
              <w:t>1</w:t>
            </w:r>
            <w:r>
              <w:rPr>
                <w:color w:val="auto"/>
              </w:rPr>
              <w:t>.5/8-400/3-740</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18A2402D">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EDDD6F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5F8B7F3">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74844F8">
            <w:pPr>
              <w:pStyle w:val="12"/>
              <w:pageBreakBefore w:val="0"/>
              <w:wordWrap/>
              <w:bidi w:val="0"/>
              <w:adjustRightInd/>
              <w:snapToGrid/>
              <w:rPr>
                <w:color w:val="auto"/>
              </w:rPr>
            </w:pPr>
            <w:r>
              <w:rPr>
                <w:color w:val="auto"/>
              </w:rPr>
              <w:t>带起吊设施</w:t>
            </w:r>
          </w:p>
        </w:tc>
      </w:tr>
      <w:tr w14:paraId="7B4E545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E96F6D8">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7D7831EC">
            <w:pPr>
              <w:pStyle w:val="12"/>
              <w:pageBreakBefore w:val="0"/>
              <w:wordWrap/>
              <w:bidi w:val="0"/>
              <w:adjustRightInd/>
              <w:snapToGrid/>
              <w:rPr>
                <w:color w:val="auto"/>
              </w:rPr>
            </w:pPr>
            <w:r>
              <w:rPr>
                <w:color w:val="auto"/>
              </w:rPr>
              <w:t>组合式填料</w:t>
            </w:r>
          </w:p>
        </w:tc>
        <w:tc>
          <w:tcPr>
            <w:tcW w:w="1532" w:type="pct"/>
            <w:tcBorders>
              <w:tl2br w:val="nil"/>
              <w:tr2bl w:val="nil"/>
            </w:tcBorders>
            <w:noWrap w:val="0"/>
            <w:vAlign w:val="center"/>
          </w:tcPr>
          <w:p w14:paraId="161F8FBB">
            <w:pPr>
              <w:pStyle w:val="12"/>
              <w:pageBreakBefore w:val="0"/>
              <w:wordWrap/>
              <w:bidi w:val="0"/>
              <w:adjustRightInd/>
              <w:snapToGrid/>
              <w:rPr>
                <w:color w:val="auto"/>
              </w:rPr>
            </w:pPr>
            <w:r>
              <w:rPr>
                <w:color w:val="auto"/>
              </w:rPr>
              <w:t>φ150×60</w:t>
            </w:r>
            <w:r>
              <w:rPr>
                <w:rFonts w:hint="eastAsia"/>
                <w:color w:val="auto"/>
                <w:lang w:eastAsia="zh-CN"/>
              </w:rPr>
              <w:t>，</w:t>
            </w:r>
            <w:r>
              <w:rPr>
                <w:color w:val="auto"/>
              </w:rPr>
              <w:t>含填料支架</w:t>
            </w:r>
          </w:p>
        </w:tc>
        <w:tc>
          <w:tcPr>
            <w:tcW w:w="612" w:type="pct"/>
            <w:tcBorders>
              <w:tl2br w:val="nil"/>
              <w:tr2bl w:val="nil"/>
            </w:tcBorders>
            <w:noWrap w:val="0"/>
            <w:vAlign w:val="center"/>
          </w:tcPr>
          <w:p w14:paraId="3ABBF368">
            <w:pPr>
              <w:pStyle w:val="12"/>
              <w:pageBreakBefore w:val="0"/>
              <w:wordWrap/>
              <w:bidi w:val="0"/>
              <w:adjustRightInd/>
              <w:snapToGrid/>
              <w:rPr>
                <w:color w:val="auto"/>
              </w:rPr>
            </w:pPr>
          </w:p>
        </w:tc>
        <w:tc>
          <w:tcPr>
            <w:tcW w:w="279" w:type="pct"/>
            <w:tcBorders>
              <w:tl2br w:val="nil"/>
              <w:tr2bl w:val="nil"/>
            </w:tcBorders>
            <w:noWrap w:val="0"/>
            <w:vAlign w:val="center"/>
          </w:tcPr>
          <w:p w14:paraId="3CFED0C2">
            <w:pPr>
              <w:pStyle w:val="12"/>
              <w:pageBreakBefore w:val="0"/>
              <w:wordWrap/>
              <w:bidi w:val="0"/>
              <w:adjustRightInd/>
              <w:snapToGrid/>
              <w:rPr>
                <w:rFonts w:hint="eastAsia" w:eastAsia="宋体"/>
                <w:color w:val="auto"/>
                <w:lang w:eastAsia="zh-CN"/>
              </w:rPr>
            </w:pPr>
            <w:r>
              <w:rPr>
                <w:rFonts w:hint="eastAsia"/>
                <w:color w:val="auto"/>
                <w:lang w:eastAsia="zh-CN"/>
              </w:rPr>
              <w:t>m³</w:t>
            </w:r>
          </w:p>
        </w:tc>
        <w:tc>
          <w:tcPr>
            <w:tcW w:w="244" w:type="pct"/>
            <w:tcBorders>
              <w:tl2br w:val="nil"/>
              <w:tr2bl w:val="nil"/>
            </w:tcBorders>
            <w:noWrap w:val="0"/>
            <w:vAlign w:val="center"/>
          </w:tcPr>
          <w:p w14:paraId="71772636">
            <w:pPr>
              <w:pStyle w:val="12"/>
              <w:pageBreakBefore w:val="0"/>
              <w:wordWrap/>
              <w:bidi w:val="0"/>
              <w:adjustRightInd/>
              <w:snapToGrid/>
              <w:rPr>
                <w:color w:val="auto"/>
              </w:rPr>
            </w:pPr>
            <w:r>
              <w:rPr>
                <w:color w:val="auto"/>
              </w:rPr>
              <w:t>340</w:t>
            </w:r>
          </w:p>
        </w:tc>
        <w:tc>
          <w:tcPr>
            <w:tcW w:w="1132" w:type="pct"/>
            <w:tcBorders>
              <w:tl2br w:val="nil"/>
              <w:tr2bl w:val="nil"/>
            </w:tcBorders>
            <w:noWrap w:val="0"/>
            <w:vAlign w:val="center"/>
          </w:tcPr>
          <w:p w14:paraId="394E108C">
            <w:pPr>
              <w:pStyle w:val="12"/>
              <w:pageBreakBefore w:val="0"/>
              <w:wordWrap/>
              <w:bidi w:val="0"/>
              <w:adjustRightInd/>
              <w:snapToGrid/>
              <w:rPr>
                <w:color w:val="auto"/>
              </w:rPr>
            </w:pPr>
            <w:r>
              <w:rPr>
                <w:color w:val="auto"/>
              </w:rPr>
              <w:t>水解酸化池</w:t>
            </w:r>
          </w:p>
        </w:tc>
      </w:tr>
      <w:tr w14:paraId="2C1EDCB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25E6B43">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450F57BC">
            <w:pPr>
              <w:pStyle w:val="12"/>
              <w:pageBreakBefore w:val="0"/>
              <w:wordWrap/>
              <w:bidi w:val="0"/>
              <w:adjustRightInd/>
              <w:snapToGrid/>
              <w:rPr>
                <w:color w:val="auto"/>
              </w:rPr>
            </w:pPr>
            <w:r>
              <w:rPr>
                <w:color w:val="auto"/>
              </w:rPr>
              <w:t>出水堰板</w:t>
            </w:r>
          </w:p>
        </w:tc>
        <w:tc>
          <w:tcPr>
            <w:tcW w:w="1532" w:type="pct"/>
            <w:tcBorders>
              <w:tl2br w:val="nil"/>
              <w:tr2bl w:val="nil"/>
            </w:tcBorders>
            <w:noWrap w:val="0"/>
            <w:vAlign w:val="center"/>
          </w:tcPr>
          <w:p w14:paraId="600FB02A">
            <w:pPr>
              <w:pStyle w:val="12"/>
              <w:pageBreakBefore w:val="0"/>
              <w:wordWrap/>
              <w:bidi w:val="0"/>
              <w:adjustRightInd/>
              <w:snapToGrid/>
              <w:rPr>
                <w:color w:val="auto"/>
              </w:rPr>
            </w:pPr>
            <w:r>
              <w:rPr>
                <w:color w:val="auto"/>
              </w:rPr>
              <w:t>三角堰</w:t>
            </w:r>
            <w:r>
              <w:rPr>
                <w:rFonts w:hint="eastAsia"/>
                <w:color w:val="auto"/>
                <w:lang w:eastAsia="zh-CN"/>
              </w:rPr>
              <w:t>，</w:t>
            </w:r>
            <w:r>
              <w:rPr>
                <w:color w:val="auto"/>
              </w:rPr>
              <w:t>h=250mm</w:t>
            </w:r>
            <w:r>
              <w:rPr>
                <w:rFonts w:hint="eastAsia"/>
                <w:color w:val="auto"/>
                <w:lang w:eastAsia="zh-CN"/>
              </w:rPr>
              <w:t>，</w:t>
            </w:r>
            <w:r>
              <w:rPr>
                <w:color w:val="auto"/>
              </w:rPr>
              <w:t>厚</w:t>
            </w:r>
            <w:r>
              <w:rPr>
                <w:rFonts w:hint="eastAsia"/>
                <w:color w:val="auto"/>
                <w:lang w:eastAsia="zh-CN"/>
              </w:rPr>
              <w:t>度</w:t>
            </w:r>
            <w:r>
              <w:rPr>
                <w:color w:val="auto"/>
              </w:rPr>
              <w:t>4mm</w:t>
            </w:r>
          </w:p>
        </w:tc>
        <w:tc>
          <w:tcPr>
            <w:tcW w:w="612" w:type="pct"/>
            <w:tcBorders>
              <w:tl2br w:val="nil"/>
              <w:tr2bl w:val="nil"/>
            </w:tcBorders>
            <w:noWrap w:val="0"/>
            <w:vAlign w:val="center"/>
          </w:tcPr>
          <w:p w14:paraId="6F9C314B">
            <w:pPr>
              <w:pStyle w:val="12"/>
              <w:pageBreakBefore w:val="0"/>
              <w:wordWrap/>
              <w:bidi w:val="0"/>
              <w:adjustRightInd/>
              <w:snapToGrid/>
              <w:rPr>
                <w:color w:val="auto"/>
              </w:rPr>
            </w:pPr>
          </w:p>
        </w:tc>
        <w:tc>
          <w:tcPr>
            <w:tcW w:w="279" w:type="pct"/>
            <w:tcBorders>
              <w:tl2br w:val="nil"/>
              <w:tr2bl w:val="nil"/>
            </w:tcBorders>
            <w:noWrap w:val="0"/>
            <w:vAlign w:val="center"/>
          </w:tcPr>
          <w:p w14:paraId="5C1173CF">
            <w:pPr>
              <w:pStyle w:val="12"/>
              <w:pageBreakBefore w:val="0"/>
              <w:wordWrap/>
              <w:bidi w:val="0"/>
              <w:adjustRightInd/>
              <w:snapToGrid/>
              <w:rPr>
                <w:color w:val="auto"/>
              </w:rPr>
            </w:pPr>
            <w:r>
              <w:rPr>
                <w:color w:val="auto"/>
              </w:rPr>
              <w:t>m</w:t>
            </w:r>
          </w:p>
        </w:tc>
        <w:tc>
          <w:tcPr>
            <w:tcW w:w="244" w:type="pct"/>
            <w:tcBorders>
              <w:tl2br w:val="nil"/>
              <w:tr2bl w:val="nil"/>
            </w:tcBorders>
            <w:noWrap w:val="0"/>
            <w:vAlign w:val="center"/>
          </w:tcPr>
          <w:p w14:paraId="1DAE31C4">
            <w:pPr>
              <w:pStyle w:val="12"/>
              <w:pageBreakBefore w:val="0"/>
              <w:wordWrap/>
              <w:bidi w:val="0"/>
              <w:adjustRightInd/>
              <w:snapToGrid/>
              <w:rPr>
                <w:color w:val="auto"/>
              </w:rPr>
            </w:pPr>
            <w:r>
              <w:rPr>
                <w:color w:val="auto"/>
              </w:rPr>
              <w:t>40</w:t>
            </w:r>
          </w:p>
        </w:tc>
        <w:tc>
          <w:tcPr>
            <w:tcW w:w="1132" w:type="pct"/>
            <w:tcBorders>
              <w:tl2br w:val="nil"/>
              <w:tr2bl w:val="nil"/>
            </w:tcBorders>
            <w:noWrap w:val="0"/>
            <w:vAlign w:val="center"/>
          </w:tcPr>
          <w:p w14:paraId="5552DE8A">
            <w:pPr>
              <w:pStyle w:val="12"/>
              <w:pageBreakBefore w:val="0"/>
              <w:wordWrap/>
              <w:bidi w:val="0"/>
              <w:adjustRightInd/>
              <w:snapToGrid/>
              <w:rPr>
                <w:color w:val="auto"/>
              </w:rPr>
            </w:pPr>
          </w:p>
        </w:tc>
      </w:tr>
      <w:tr w14:paraId="5F8E32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17DA307">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7C116083">
            <w:pPr>
              <w:pStyle w:val="12"/>
              <w:pageBreakBefore w:val="0"/>
              <w:wordWrap/>
              <w:bidi w:val="0"/>
              <w:adjustRightInd/>
              <w:snapToGrid/>
              <w:rPr>
                <w:color w:val="auto"/>
              </w:rPr>
            </w:pPr>
            <w:r>
              <w:rPr>
                <w:color w:val="auto"/>
              </w:rPr>
              <w:t>穿孔配水管</w:t>
            </w:r>
          </w:p>
        </w:tc>
        <w:tc>
          <w:tcPr>
            <w:tcW w:w="1532" w:type="pct"/>
            <w:tcBorders>
              <w:tl2br w:val="nil"/>
              <w:tr2bl w:val="nil"/>
            </w:tcBorders>
            <w:noWrap w:val="0"/>
            <w:vAlign w:val="center"/>
          </w:tcPr>
          <w:p w14:paraId="1F13F9F0">
            <w:pPr>
              <w:pStyle w:val="12"/>
              <w:pageBreakBefore w:val="0"/>
              <w:wordWrap/>
              <w:bidi w:val="0"/>
              <w:adjustRightInd/>
              <w:snapToGrid/>
              <w:rPr>
                <w:color w:val="auto"/>
              </w:rPr>
            </w:pPr>
            <w:r>
              <w:rPr>
                <w:color w:val="auto"/>
              </w:rPr>
              <w:t>DN100</w:t>
            </w:r>
            <w:r>
              <w:rPr>
                <w:rFonts w:hint="eastAsia"/>
                <w:color w:val="auto"/>
                <w:lang w:eastAsia="zh-CN"/>
              </w:rPr>
              <w:t>，</w:t>
            </w:r>
            <w:r>
              <w:rPr>
                <w:color w:val="auto"/>
              </w:rPr>
              <w:t>L=15m</w:t>
            </w:r>
            <w:r>
              <w:rPr>
                <w:rFonts w:hint="eastAsia"/>
                <w:color w:val="auto"/>
                <w:lang w:eastAsia="zh-CN"/>
              </w:rPr>
              <w:t>，</w:t>
            </w:r>
            <w:r>
              <w:rPr>
                <w:color w:val="auto"/>
              </w:rPr>
              <w:t>配套管件支架等</w:t>
            </w:r>
          </w:p>
        </w:tc>
        <w:tc>
          <w:tcPr>
            <w:tcW w:w="612" w:type="pct"/>
            <w:tcBorders>
              <w:tl2br w:val="nil"/>
              <w:tr2bl w:val="nil"/>
            </w:tcBorders>
            <w:noWrap w:val="0"/>
            <w:vAlign w:val="center"/>
          </w:tcPr>
          <w:p w14:paraId="61CDDA5A">
            <w:pPr>
              <w:pStyle w:val="12"/>
              <w:pageBreakBefore w:val="0"/>
              <w:wordWrap/>
              <w:bidi w:val="0"/>
              <w:adjustRightInd/>
              <w:snapToGrid/>
              <w:rPr>
                <w:color w:val="auto"/>
              </w:rPr>
            </w:pPr>
            <w:r>
              <w:rPr>
                <w:color w:val="auto"/>
              </w:rPr>
              <w:t>UPVC</w:t>
            </w:r>
          </w:p>
        </w:tc>
        <w:tc>
          <w:tcPr>
            <w:tcW w:w="279" w:type="pct"/>
            <w:tcBorders>
              <w:tl2br w:val="nil"/>
              <w:tr2bl w:val="nil"/>
            </w:tcBorders>
            <w:noWrap w:val="0"/>
            <w:vAlign w:val="center"/>
          </w:tcPr>
          <w:p w14:paraId="6EDDA5E9">
            <w:pPr>
              <w:pStyle w:val="12"/>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44DE8E13">
            <w:pPr>
              <w:pStyle w:val="12"/>
              <w:pageBreakBefore w:val="0"/>
              <w:wordWrap/>
              <w:bidi w:val="0"/>
              <w:adjustRightInd/>
              <w:snapToGrid/>
              <w:rPr>
                <w:color w:val="auto"/>
              </w:rPr>
            </w:pPr>
            <w:r>
              <w:rPr>
                <w:color w:val="auto"/>
              </w:rPr>
              <w:t>18</w:t>
            </w:r>
          </w:p>
        </w:tc>
        <w:tc>
          <w:tcPr>
            <w:tcW w:w="1132" w:type="pct"/>
            <w:tcBorders>
              <w:tl2br w:val="nil"/>
              <w:tr2bl w:val="nil"/>
            </w:tcBorders>
            <w:noWrap w:val="0"/>
            <w:vAlign w:val="center"/>
          </w:tcPr>
          <w:p w14:paraId="4856D38D">
            <w:pPr>
              <w:pStyle w:val="12"/>
              <w:pageBreakBefore w:val="0"/>
              <w:wordWrap/>
              <w:bidi w:val="0"/>
              <w:adjustRightInd/>
              <w:snapToGrid/>
              <w:rPr>
                <w:color w:val="auto"/>
              </w:rPr>
            </w:pPr>
          </w:p>
        </w:tc>
      </w:tr>
      <w:tr w14:paraId="454E31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D8C8EC5">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6AB8DE51">
            <w:pPr>
              <w:pStyle w:val="12"/>
              <w:pageBreakBefore w:val="0"/>
              <w:wordWrap/>
              <w:bidi w:val="0"/>
              <w:adjustRightInd/>
              <w:snapToGrid/>
              <w:rPr>
                <w:color w:val="auto"/>
              </w:rPr>
            </w:pPr>
            <w:r>
              <w:rPr>
                <w:color w:val="auto"/>
              </w:rPr>
              <w:t>污泥界面仪</w:t>
            </w:r>
          </w:p>
        </w:tc>
        <w:tc>
          <w:tcPr>
            <w:tcW w:w="1532" w:type="pct"/>
            <w:tcBorders>
              <w:tl2br w:val="nil"/>
              <w:tr2bl w:val="nil"/>
            </w:tcBorders>
            <w:noWrap w:val="0"/>
            <w:vAlign w:val="center"/>
          </w:tcPr>
          <w:p w14:paraId="576535B1">
            <w:pPr>
              <w:pStyle w:val="12"/>
              <w:pageBreakBefore w:val="0"/>
              <w:wordWrap/>
              <w:bidi w:val="0"/>
              <w:adjustRightInd/>
              <w:snapToGrid/>
              <w:rPr>
                <w:color w:val="auto"/>
              </w:rPr>
            </w:pPr>
          </w:p>
        </w:tc>
        <w:tc>
          <w:tcPr>
            <w:tcW w:w="612" w:type="pct"/>
            <w:tcBorders>
              <w:tl2br w:val="nil"/>
              <w:tr2bl w:val="nil"/>
            </w:tcBorders>
            <w:noWrap w:val="0"/>
            <w:vAlign w:val="center"/>
          </w:tcPr>
          <w:p w14:paraId="00DEE359">
            <w:pPr>
              <w:pStyle w:val="12"/>
              <w:pageBreakBefore w:val="0"/>
              <w:wordWrap/>
              <w:bidi w:val="0"/>
              <w:adjustRightInd/>
              <w:snapToGrid/>
              <w:rPr>
                <w:color w:val="auto"/>
              </w:rPr>
            </w:pPr>
          </w:p>
        </w:tc>
        <w:tc>
          <w:tcPr>
            <w:tcW w:w="279" w:type="pct"/>
            <w:tcBorders>
              <w:tl2br w:val="nil"/>
              <w:tr2bl w:val="nil"/>
            </w:tcBorders>
            <w:noWrap w:val="0"/>
            <w:vAlign w:val="center"/>
          </w:tcPr>
          <w:p w14:paraId="0DB875BF">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CD70C1E">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6E8D4EE">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水解酸化池</w:t>
            </w:r>
          </w:p>
        </w:tc>
      </w:tr>
      <w:tr w14:paraId="6200793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9136970">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3AAECB8D">
            <w:pPr>
              <w:pStyle w:val="12"/>
              <w:pageBreakBefore w:val="0"/>
              <w:wordWrap/>
              <w:bidi w:val="0"/>
              <w:adjustRightInd/>
              <w:snapToGrid/>
              <w:rPr>
                <w:color w:val="auto"/>
              </w:rPr>
            </w:pPr>
            <w:r>
              <w:rPr>
                <w:rFonts w:hint="eastAsia"/>
                <w:color w:val="auto"/>
                <w:lang w:eastAsia="zh-CN"/>
              </w:rPr>
              <w:t>MLSS</w:t>
            </w:r>
            <w:r>
              <w:rPr>
                <w:color w:val="auto"/>
              </w:rPr>
              <w:t>仪</w:t>
            </w:r>
          </w:p>
        </w:tc>
        <w:tc>
          <w:tcPr>
            <w:tcW w:w="1532" w:type="pct"/>
            <w:tcBorders>
              <w:tl2br w:val="nil"/>
              <w:tr2bl w:val="nil"/>
            </w:tcBorders>
            <w:noWrap w:val="0"/>
            <w:vAlign w:val="center"/>
          </w:tcPr>
          <w:p w14:paraId="7DFAAE2C">
            <w:pPr>
              <w:pStyle w:val="12"/>
              <w:pageBreakBefore w:val="0"/>
              <w:wordWrap/>
              <w:bidi w:val="0"/>
              <w:adjustRightInd/>
              <w:snapToGrid/>
              <w:rPr>
                <w:color w:val="auto"/>
              </w:rPr>
            </w:pPr>
            <w:r>
              <w:rPr>
                <w:color w:val="auto"/>
              </w:rPr>
              <w:t>0~10g/L</w:t>
            </w:r>
            <w:r>
              <w:rPr>
                <w:rFonts w:hint="eastAsia"/>
                <w:color w:val="auto"/>
                <w:lang w:eastAsia="zh-CN"/>
              </w:rPr>
              <w:t>，</w:t>
            </w:r>
            <w:r>
              <w:rPr>
                <w:color w:val="auto"/>
              </w:rPr>
              <w:t>机械清洗</w:t>
            </w:r>
          </w:p>
        </w:tc>
        <w:tc>
          <w:tcPr>
            <w:tcW w:w="612" w:type="pct"/>
            <w:tcBorders>
              <w:tl2br w:val="nil"/>
              <w:tr2bl w:val="nil"/>
            </w:tcBorders>
            <w:noWrap w:val="0"/>
            <w:vAlign w:val="center"/>
          </w:tcPr>
          <w:p w14:paraId="4494EF59">
            <w:pPr>
              <w:pStyle w:val="12"/>
              <w:pageBreakBefore w:val="0"/>
              <w:wordWrap/>
              <w:bidi w:val="0"/>
              <w:adjustRightInd/>
              <w:snapToGrid/>
              <w:rPr>
                <w:color w:val="auto"/>
              </w:rPr>
            </w:pPr>
          </w:p>
        </w:tc>
        <w:tc>
          <w:tcPr>
            <w:tcW w:w="279" w:type="pct"/>
            <w:tcBorders>
              <w:tl2br w:val="nil"/>
              <w:tr2bl w:val="nil"/>
            </w:tcBorders>
            <w:noWrap w:val="0"/>
            <w:vAlign w:val="center"/>
          </w:tcPr>
          <w:p w14:paraId="244557F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24D980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AE301A9">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水解酸化池</w:t>
            </w:r>
          </w:p>
        </w:tc>
      </w:tr>
      <w:tr w14:paraId="7A72DB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7C4C96A">
            <w:pPr>
              <w:pStyle w:val="12"/>
              <w:pageBreakBefore w:val="0"/>
              <w:wordWrap/>
              <w:bidi w:val="0"/>
              <w:adjustRightInd/>
              <w:snapToGrid/>
              <w:jc w:val="left"/>
              <w:rPr>
                <w:color w:val="auto"/>
              </w:rPr>
            </w:pPr>
            <w:r>
              <w:rPr>
                <w:b/>
                <w:bCs/>
                <w:color w:val="auto"/>
              </w:rPr>
              <w:t>生化池主要设备表</w:t>
            </w:r>
          </w:p>
        </w:tc>
      </w:tr>
      <w:tr w14:paraId="53DF35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EE092AF">
            <w:pPr>
              <w:pStyle w:val="12"/>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286EA4A6">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27464EF1">
            <w:pPr>
              <w:pStyle w:val="12"/>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6E3313B9">
            <w:pPr>
              <w:pStyle w:val="12"/>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6BECA509">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3C536DEB">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1C9CE6E8">
            <w:pPr>
              <w:pStyle w:val="12"/>
              <w:pageBreakBefore w:val="0"/>
              <w:wordWrap/>
              <w:bidi w:val="0"/>
              <w:adjustRightInd/>
              <w:snapToGrid/>
              <w:rPr>
                <w:b/>
                <w:bCs/>
                <w:color w:val="auto"/>
              </w:rPr>
            </w:pPr>
            <w:r>
              <w:rPr>
                <w:b/>
                <w:bCs/>
                <w:color w:val="auto"/>
              </w:rPr>
              <w:t>备注</w:t>
            </w:r>
          </w:p>
        </w:tc>
      </w:tr>
      <w:tr w14:paraId="3CBFCF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14073F">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20CA559B">
            <w:pPr>
              <w:pStyle w:val="12"/>
              <w:pageBreakBefore w:val="0"/>
              <w:wordWrap/>
              <w:bidi w:val="0"/>
              <w:adjustRightInd/>
              <w:snapToGrid/>
              <w:rPr>
                <w:color w:val="auto"/>
              </w:rPr>
            </w:pPr>
            <w:r>
              <w:rPr>
                <w:color w:val="auto"/>
              </w:rPr>
              <w:t>可提升微孔曝气软管</w:t>
            </w:r>
          </w:p>
        </w:tc>
        <w:tc>
          <w:tcPr>
            <w:tcW w:w="1532" w:type="pct"/>
            <w:tcBorders>
              <w:tl2br w:val="nil"/>
              <w:tr2bl w:val="nil"/>
            </w:tcBorders>
            <w:noWrap w:val="0"/>
            <w:vAlign w:val="center"/>
          </w:tcPr>
          <w:p w14:paraId="7C2DB068">
            <w:pPr>
              <w:pStyle w:val="12"/>
              <w:pageBreakBefore w:val="0"/>
              <w:wordWrap/>
              <w:bidi w:val="0"/>
              <w:adjustRightInd/>
              <w:snapToGrid/>
              <w:rPr>
                <w:color w:val="auto"/>
              </w:rPr>
            </w:pPr>
            <w:r>
              <w:rPr>
                <w:color w:val="auto"/>
              </w:rPr>
              <w:t>EB-TH4500</w:t>
            </w:r>
            <w:r>
              <w:rPr>
                <w:rFonts w:hint="eastAsia"/>
                <w:color w:val="auto"/>
                <w:lang w:eastAsia="zh-CN"/>
              </w:rPr>
              <w:t>，</w:t>
            </w:r>
            <w:r>
              <w:rPr>
                <w:color w:val="auto"/>
              </w:rPr>
              <w:t>φ62-65</w:t>
            </w:r>
          </w:p>
        </w:tc>
        <w:tc>
          <w:tcPr>
            <w:tcW w:w="612" w:type="pct"/>
            <w:tcBorders>
              <w:tl2br w:val="nil"/>
              <w:tr2bl w:val="nil"/>
            </w:tcBorders>
            <w:noWrap w:val="0"/>
            <w:vAlign w:val="center"/>
          </w:tcPr>
          <w:p w14:paraId="4B46CB12">
            <w:pPr>
              <w:pStyle w:val="12"/>
              <w:pageBreakBefore w:val="0"/>
              <w:wordWrap/>
              <w:bidi w:val="0"/>
              <w:adjustRightInd/>
              <w:snapToGrid/>
              <w:rPr>
                <w:color w:val="auto"/>
              </w:rPr>
            </w:pPr>
            <w:r>
              <w:rPr>
                <w:color w:val="auto"/>
              </w:rPr>
              <w:t>PU+添加剂</w:t>
            </w:r>
          </w:p>
        </w:tc>
        <w:tc>
          <w:tcPr>
            <w:tcW w:w="279" w:type="pct"/>
            <w:tcBorders>
              <w:tl2br w:val="nil"/>
              <w:tr2bl w:val="nil"/>
            </w:tcBorders>
            <w:noWrap w:val="0"/>
            <w:vAlign w:val="center"/>
          </w:tcPr>
          <w:p w14:paraId="6B9A61D5">
            <w:pPr>
              <w:pStyle w:val="12"/>
              <w:pageBreakBefore w:val="0"/>
              <w:wordWrap/>
              <w:bidi w:val="0"/>
              <w:adjustRightInd/>
              <w:snapToGrid/>
              <w:rPr>
                <w:color w:val="auto"/>
              </w:rPr>
            </w:pPr>
            <w:r>
              <w:rPr>
                <w:color w:val="auto"/>
              </w:rPr>
              <w:t>米</w:t>
            </w:r>
          </w:p>
        </w:tc>
        <w:tc>
          <w:tcPr>
            <w:tcW w:w="244" w:type="pct"/>
            <w:tcBorders>
              <w:tl2br w:val="nil"/>
              <w:tr2bl w:val="nil"/>
            </w:tcBorders>
            <w:noWrap w:val="0"/>
            <w:vAlign w:val="center"/>
          </w:tcPr>
          <w:p w14:paraId="5FDA2288">
            <w:pPr>
              <w:pStyle w:val="12"/>
              <w:pageBreakBefore w:val="0"/>
              <w:wordWrap/>
              <w:bidi w:val="0"/>
              <w:adjustRightInd/>
              <w:snapToGrid/>
              <w:rPr>
                <w:color w:val="auto"/>
              </w:rPr>
            </w:pPr>
            <w:r>
              <w:rPr>
                <w:color w:val="auto"/>
              </w:rPr>
              <w:t>600</w:t>
            </w:r>
          </w:p>
        </w:tc>
        <w:tc>
          <w:tcPr>
            <w:tcW w:w="1132" w:type="pct"/>
            <w:tcBorders>
              <w:tl2br w:val="nil"/>
              <w:tr2bl w:val="nil"/>
            </w:tcBorders>
            <w:noWrap w:val="0"/>
            <w:vAlign w:val="center"/>
          </w:tcPr>
          <w:p w14:paraId="284B196B">
            <w:pPr>
              <w:pStyle w:val="12"/>
              <w:pageBreakBefore w:val="0"/>
              <w:wordWrap/>
              <w:bidi w:val="0"/>
              <w:adjustRightInd/>
              <w:snapToGrid/>
              <w:rPr>
                <w:color w:val="auto"/>
              </w:rPr>
            </w:pPr>
            <w:r>
              <w:rPr>
                <w:color w:val="auto"/>
              </w:rPr>
              <w:t>进口</w:t>
            </w:r>
            <w:r>
              <w:rPr>
                <w:rFonts w:hint="eastAsia"/>
                <w:color w:val="auto"/>
                <w:lang w:eastAsia="zh-CN"/>
              </w:rPr>
              <w:t>，</w:t>
            </w:r>
            <w:r>
              <w:rPr>
                <w:color w:val="auto"/>
              </w:rPr>
              <w:t>安装长度</w:t>
            </w:r>
          </w:p>
        </w:tc>
      </w:tr>
      <w:tr w14:paraId="1273ED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CD5EDE5">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AF5F8F8">
            <w:pPr>
              <w:pStyle w:val="12"/>
              <w:pageBreakBefore w:val="0"/>
              <w:wordWrap/>
              <w:bidi w:val="0"/>
              <w:adjustRightInd/>
              <w:snapToGrid/>
              <w:rPr>
                <w:color w:val="auto"/>
              </w:rPr>
            </w:pPr>
            <w:r>
              <w:rPr>
                <w:color w:val="auto"/>
              </w:rPr>
              <w:t>导向绳索</w:t>
            </w:r>
          </w:p>
        </w:tc>
        <w:tc>
          <w:tcPr>
            <w:tcW w:w="1532" w:type="pct"/>
            <w:tcBorders>
              <w:tl2br w:val="nil"/>
              <w:tr2bl w:val="nil"/>
            </w:tcBorders>
            <w:noWrap w:val="0"/>
            <w:vAlign w:val="center"/>
          </w:tcPr>
          <w:p w14:paraId="7F0CF886">
            <w:pPr>
              <w:pStyle w:val="12"/>
              <w:pageBreakBefore w:val="0"/>
              <w:wordWrap/>
              <w:bidi w:val="0"/>
              <w:adjustRightInd/>
              <w:snapToGrid/>
              <w:rPr>
                <w:color w:val="auto"/>
              </w:rPr>
            </w:pPr>
            <w:r>
              <w:rPr>
                <w:color w:val="auto"/>
              </w:rPr>
              <w:t>TR-6＆8000</w:t>
            </w:r>
          </w:p>
        </w:tc>
        <w:tc>
          <w:tcPr>
            <w:tcW w:w="612" w:type="pct"/>
            <w:tcBorders>
              <w:tl2br w:val="nil"/>
              <w:tr2bl w:val="nil"/>
            </w:tcBorders>
            <w:noWrap w:val="0"/>
            <w:vAlign w:val="center"/>
          </w:tcPr>
          <w:p w14:paraId="5CCC5422">
            <w:pPr>
              <w:pStyle w:val="12"/>
              <w:pageBreakBefore w:val="0"/>
              <w:wordWrap/>
              <w:bidi w:val="0"/>
              <w:adjustRightInd/>
              <w:snapToGrid/>
              <w:rPr>
                <w:color w:val="auto"/>
              </w:rPr>
            </w:pPr>
            <w:r>
              <w:rPr>
                <w:color w:val="auto"/>
              </w:rPr>
              <w:t>尼龙</w:t>
            </w:r>
          </w:p>
        </w:tc>
        <w:tc>
          <w:tcPr>
            <w:tcW w:w="279" w:type="pct"/>
            <w:tcBorders>
              <w:tl2br w:val="nil"/>
              <w:tr2bl w:val="nil"/>
            </w:tcBorders>
            <w:noWrap w:val="0"/>
            <w:vAlign w:val="center"/>
          </w:tcPr>
          <w:p w14:paraId="5FAE1642">
            <w:pPr>
              <w:pStyle w:val="12"/>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6CE57E8D">
            <w:pPr>
              <w:pStyle w:val="12"/>
              <w:pageBreakBefore w:val="0"/>
              <w:wordWrap/>
              <w:bidi w:val="0"/>
              <w:adjustRightInd/>
              <w:snapToGrid/>
              <w:rPr>
                <w:color w:val="auto"/>
              </w:rPr>
            </w:pPr>
            <w:r>
              <w:rPr>
                <w:color w:val="auto"/>
              </w:rPr>
              <w:t>55</w:t>
            </w:r>
          </w:p>
        </w:tc>
        <w:tc>
          <w:tcPr>
            <w:tcW w:w="1132" w:type="pct"/>
            <w:tcBorders>
              <w:tl2br w:val="nil"/>
              <w:tr2bl w:val="nil"/>
            </w:tcBorders>
            <w:noWrap w:val="0"/>
            <w:vAlign w:val="center"/>
          </w:tcPr>
          <w:p w14:paraId="4167CD0C">
            <w:pPr>
              <w:pStyle w:val="12"/>
              <w:pageBreakBefore w:val="0"/>
              <w:wordWrap/>
              <w:bidi w:val="0"/>
              <w:adjustRightInd/>
              <w:snapToGrid/>
              <w:rPr>
                <w:color w:val="auto"/>
              </w:rPr>
            </w:pPr>
          </w:p>
        </w:tc>
      </w:tr>
      <w:tr w14:paraId="0E9C06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7ECCD2F">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6B53CA3">
            <w:pPr>
              <w:pStyle w:val="12"/>
              <w:pageBreakBefore w:val="0"/>
              <w:wordWrap/>
              <w:bidi w:val="0"/>
              <w:adjustRightInd/>
              <w:snapToGrid/>
              <w:rPr>
                <w:color w:val="auto"/>
              </w:rPr>
            </w:pPr>
            <w:r>
              <w:rPr>
                <w:color w:val="auto"/>
              </w:rPr>
              <w:t>挂钩</w:t>
            </w:r>
          </w:p>
        </w:tc>
        <w:tc>
          <w:tcPr>
            <w:tcW w:w="1532" w:type="pct"/>
            <w:tcBorders>
              <w:tl2br w:val="nil"/>
              <w:tr2bl w:val="nil"/>
            </w:tcBorders>
            <w:noWrap w:val="0"/>
            <w:vAlign w:val="center"/>
          </w:tcPr>
          <w:p w14:paraId="2E1453BD">
            <w:pPr>
              <w:pStyle w:val="12"/>
              <w:pageBreakBefore w:val="0"/>
              <w:wordWrap/>
              <w:bidi w:val="0"/>
              <w:adjustRightInd/>
              <w:snapToGrid/>
              <w:rPr>
                <w:color w:val="auto"/>
              </w:rPr>
            </w:pPr>
            <w:r>
              <w:rPr>
                <w:color w:val="auto"/>
              </w:rPr>
              <w:t>非标</w:t>
            </w:r>
          </w:p>
        </w:tc>
        <w:tc>
          <w:tcPr>
            <w:tcW w:w="612" w:type="pct"/>
            <w:tcBorders>
              <w:tl2br w:val="nil"/>
              <w:tr2bl w:val="nil"/>
            </w:tcBorders>
            <w:noWrap w:val="0"/>
            <w:vAlign w:val="center"/>
          </w:tcPr>
          <w:p w14:paraId="5A119459">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3A9788E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9998FCB">
            <w:pPr>
              <w:pStyle w:val="12"/>
              <w:pageBreakBefore w:val="0"/>
              <w:wordWrap/>
              <w:bidi w:val="0"/>
              <w:adjustRightInd/>
              <w:snapToGrid/>
              <w:rPr>
                <w:color w:val="auto"/>
              </w:rPr>
            </w:pPr>
            <w:r>
              <w:rPr>
                <w:color w:val="auto"/>
              </w:rPr>
              <w:t>70</w:t>
            </w:r>
          </w:p>
        </w:tc>
        <w:tc>
          <w:tcPr>
            <w:tcW w:w="1132" w:type="pct"/>
            <w:tcBorders>
              <w:tl2br w:val="nil"/>
              <w:tr2bl w:val="nil"/>
            </w:tcBorders>
            <w:noWrap w:val="0"/>
            <w:vAlign w:val="center"/>
          </w:tcPr>
          <w:p w14:paraId="01DAEAFD">
            <w:pPr>
              <w:pStyle w:val="12"/>
              <w:pageBreakBefore w:val="0"/>
              <w:wordWrap/>
              <w:bidi w:val="0"/>
              <w:adjustRightInd/>
              <w:snapToGrid/>
              <w:rPr>
                <w:color w:val="auto"/>
              </w:rPr>
            </w:pPr>
          </w:p>
        </w:tc>
      </w:tr>
      <w:tr w14:paraId="5417BB1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8C89672">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7B5D13BC">
            <w:pPr>
              <w:pStyle w:val="12"/>
              <w:pageBreakBefore w:val="0"/>
              <w:wordWrap/>
              <w:bidi w:val="0"/>
              <w:adjustRightInd/>
              <w:snapToGrid/>
              <w:rPr>
                <w:color w:val="auto"/>
              </w:rPr>
            </w:pPr>
            <w:r>
              <w:rPr>
                <w:color w:val="auto"/>
              </w:rPr>
              <w:t>专用连接件</w:t>
            </w:r>
          </w:p>
        </w:tc>
        <w:tc>
          <w:tcPr>
            <w:tcW w:w="1532" w:type="pct"/>
            <w:tcBorders>
              <w:tl2br w:val="nil"/>
              <w:tr2bl w:val="nil"/>
            </w:tcBorders>
            <w:noWrap w:val="0"/>
            <w:vAlign w:val="center"/>
          </w:tcPr>
          <w:p w14:paraId="07A4E731">
            <w:pPr>
              <w:pStyle w:val="12"/>
              <w:pageBreakBefore w:val="0"/>
              <w:wordWrap/>
              <w:bidi w:val="0"/>
              <w:adjustRightInd/>
              <w:snapToGrid/>
              <w:rPr>
                <w:color w:val="auto"/>
              </w:rPr>
            </w:pPr>
            <w:r>
              <w:rPr>
                <w:color w:val="auto"/>
              </w:rPr>
              <w:t>φ50-φ70</w:t>
            </w:r>
          </w:p>
        </w:tc>
        <w:tc>
          <w:tcPr>
            <w:tcW w:w="612" w:type="pct"/>
            <w:tcBorders>
              <w:tl2br w:val="nil"/>
              <w:tr2bl w:val="nil"/>
            </w:tcBorders>
            <w:noWrap w:val="0"/>
            <w:vAlign w:val="center"/>
          </w:tcPr>
          <w:p w14:paraId="2F6EEEC8">
            <w:pPr>
              <w:pStyle w:val="12"/>
              <w:pageBreakBefore w:val="0"/>
              <w:wordWrap/>
              <w:bidi w:val="0"/>
              <w:adjustRightInd/>
              <w:snapToGrid/>
              <w:rPr>
                <w:color w:val="auto"/>
              </w:rPr>
            </w:pPr>
            <w:r>
              <w:rPr>
                <w:rFonts w:hint="eastAsia"/>
                <w:color w:val="auto"/>
                <w:lang w:val="en-US" w:eastAsia="zh-CN"/>
              </w:rPr>
              <w:t>SS</w:t>
            </w:r>
            <w:r>
              <w:rPr>
                <w:color w:val="auto"/>
              </w:rPr>
              <w:t>316L</w:t>
            </w:r>
          </w:p>
        </w:tc>
        <w:tc>
          <w:tcPr>
            <w:tcW w:w="279" w:type="pct"/>
            <w:tcBorders>
              <w:tl2br w:val="nil"/>
              <w:tr2bl w:val="nil"/>
            </w:tcBorders>
            <w:noWrap w:val="0"/>
            <w:vAlign w:val="center"/>
          </w:tcPr>
          <w:p w14:paraId="37A39063">
            <w:pPr>
              <w:pStyle w:val="12"/>
              <w:pageBreakBefore w:val="0"/>
              <w:wordWrap/>
              <w:bidi w:val="0"/>
              <w:adjustRightInd/>
              <w:snapToGrid/>
              <w:rPr>
                <w:color w:val="auto"/>
              </w:rPr>
            </w:pPr>
            <w:r>
              <w:rPr>
                <w:color w:val="auto"/>
              </w:rPr>
              <w:t>只</w:t>
            </w:r>
          </w:p>
        </w:tc>
        <w:tc>
          <w:tcPr>
            <w:tcW w:w="244" w:type="pct"/>
            <w:tcBorders>
              <w:tl2br w:val="nil"/>
              <w:tr2bl w:val="nil"/>
            </w:tcBorders>
            <w:noWrap w:val="0"/>
            <w:vAlign w:val="center"/>
          </w:tcPr>
          <w:p w14:paraId="2BCDB4A7">
            <w:pPr>
              <w:pStyle w:val="12"/>
              <w:pageBreakBefore w:val="0"/>
              <w:wordWrap/>
              <w:bidi w:val="0"/>
              <w:adjustRightInd/>
              <w:snapToGrid/>
              <w:rPr>
                <w:color w:val="auto"/>
              </w:rPr>
            </w:pPr>
            <w:r>
              <w:rPr>
                <w:color w:val="auto"/>
              </w:rPr>
              <w:t>110</w:t>
            </w:r>
          </w:p>
        </w:tc>
        <w:tc>
          <w:tcPr>
            <w:tcW w:w="1132" w:type="pct"/>
            <w:tcBorders>
              <w:tl2br w:val="nil"/>
              <w:tr2bl w:val="nil"/>
            </w:tcBorders>
            <w:noWrap w:val="0"/>
            <w:vAlign w:val="center"/>
          </w:tcPr>
          <w:p w14:paraId="488C3F14">
            <w:pPr>
              <w:pStyle w:val="12"/>
              <w:pageBreakBefore w:val="0"/>
              <w:wordWrap/>
              <w:bidi w:val="0"/>
              <w:adjustRightInd/>
              <w:snapToGrid/>
              <w:rPr>
                <w:color w:val="auto"/>
              </w:rPr>
            </w:pPr>
          </w:p>
        </w:tc>
      </w:tr>
      <w:tr w14:paraId="39315D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F346E0B">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1E8D9DEB">
            <w:pPr>
              <w:pStyle w:val="12"/>
              <w:pageBreakBefore w:val="0"/>
              <w:wordWrap/>
              <w:bidi w:val="0"/>
              <w:adjustRightInd/>
              <w:snapToGrid/>
              <w:rPr>
                <w:color w:val="auto"/>
              </w:rPr>
            </w:pPr>
            <w:r>
              <w:rPr>
                <w:color w:val="auto"/>
              </w:rPr>
              <w:t>导向滑轨</w:t>
            </w:r>
          </w:p>
        </w:tc>
        <w:tc>
          <w:tcPr>
            <w:tcW w:w="1532" w:type="pct"/>
            <w:tcBorders>
              <w:tl2br w:val="nil"/>
              <w:tr2bl w:val="nil"/>
            </w:tcBorders>
            <w:noWrap w:val="0"/>
            <w:vAlign w:val="center"/>
          </w:tcPr>
          <w:p w14:paraId="331BAF42">
            <w:pPr>
              <w:pStyle w:val="12"/>
              <w:pageBreakBefore w:val="0"/>
              <w:wordWrap/>
              <w:bidi w:val="0"/>
              <w:adjustRightInd/>
              <w:snapToGrid/>
              <w:rPr>
                <w:color w:val="auto"/>
              </w:rPr>
            </w:pPr>
            <w:r>
              <w:rPr>
                <w:color w:val="auto"/>
              </w:rPr>
              <w:t>GR-5500</w:t>
            </w:r>
          </w:p>
        </w:tc>
        <w:tc>
          <w:tcPr>
            <w:tcW w:w="612" w:type="pct"/>
            <w:tcBorders>
              <w:tl2br w:val="nil"/>
              <w:tr2bl w:val="nil"/>
            </w:tcBorders>
            <w:noWrap w:val="0"/>
            <w:vAlign w:val="center"/>
          </w:tcPr>
          <w:p w14:paraId="18A1CE39">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5EE6461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AD82CC7">
            <w:pPr>
              <w:pStyle w:val="12"/>
              <w:pageBreakBefore w:val="0"/>
              <w:wordWrap/>
              <w:bidi w:val="0"/>
              <w:adjustRightInd/>
              <w:snapToGrid/>
              <w:rPr>
                <w:color w:val="auto"/>
              </w:rPr>
            </w:pPr>
            <w:r>
              <w:rPr>
                <w:color w:val="auto"/>
              </w:rPr>
              <w:t>30</w:t>
            </w:r>
          </w:p>
        </w:tc>
        <w:tc>
          <w:tcPr>
            <w:tcW w:w="1132" w:type="pct"/>
            <w:tcBorders>
              <w:tl2br w:val="nil"/>
              <w:tr2bl w:val="nil"/>
            </w:tcBorders>
            <w:noWrap w:val="0"/>
            <w:vAlign w:val="center"/>
          </w:tcPr>
          <w:p w14:paraId="14234683">
            <w:pPr>
              <w:pStyle w:val="12"/>
              <w:pageBreakBefore w:val="0"/>
              <w:wordWrap/>
              <w:bidi w:val="0"/>
              <w:adjustRightInd/>
              <w:snapToGrid/>
              <w:rPr>
                <w:color w:val="auto"/>
              </w:rPr>
            </w:pPr>
          </w:p>
        </w:tc>
      </w:tr>
      <w:tr w14:paraId="1399AE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037AFA0">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786F3306">
            <w:pPr>
              <w:pStyle w:val="12"/>
              <w:pageBreakBefore w:val="0"/>
              <w:wordWrap/>
              <w:bidi w:val="0"/>
              <w:adjustRightInd/>
              <w:snapToGrid/>
              <w:rPr>
                <w:color w:val="auto"/>
              </w:rPr>
            </w:pPr>
            <w:r>
              <w:rPr>
                <w:color w:val="auto"/>
              </w:rPr>
              <w:t>鼓风支管</w:t>
            </w:r>
          </w:p>
        </w:tc>
        <w:tc>
          <w:tcPr>
            <w:tcW w:w="1532" w:type="pct"/>
            <w:tcBorders>
              <w:tl2br w:val="nil"/>
              <w:tr2bl w:val="nil"/>
            </w:tcBorders>
            <w:noWrap w:val="0"/>
            <w:vAlign w:val="center"/>
          </w:tcPr>
          <w:p w14:paraId="5B351F70">
            <w:pPr>
              <w:pStyle w:val="12"/>
              <w:pageBreakBefore w:val="0"/>
              <w:wordWrap/>
              <w:bidi w:val="0"/>
              <w:adjustRightInd/>
              <w:snapToGrid/>
              <w:rPr>
                <w:color w:val="auto"/>
              </w:rPr>
            </w:pPr>
            <w:r>
              <w:rPr>
                <w:color w:val="auto"/>
              </w:rPr>
              <w:t>ABP-5500</w:t>
            </w:r>
            <w:r>
              <w:rPr>
                <w:rFonts w:hint="eastAsia"/>
                <w:color w:val="auto"/>
                <w:lang w:eastAsia="zh-CN"/>
              </w:rPr>
              <w:t>，</w:t>
            </w:r>
            <w:r>
              <w:rPr>
                <w:color w:val="auto"/>
              </w:rPr>
              <w:t>φ63</w:t>
            </w:r>
            <w:r>
              <w:rPr>
                <w:rFonts w:hint="eastAsia"/>
                <w:color w:val="auto"/>
                <w:lang w:eastAsia="zh-CN"/>
              </w:rPr>
              <w:t>，</w:t>
            </w:r>
            <w:r>
              <w:rPr>
                <w:color w:val="auto"/>
              </w:rPr>
              <w:t>壁厚</w:t>
            </w:r>
            <w:r>
              <w:rPr>
                <w:rFonts w:hint="eastAsia"/>
                <w:color w:val="auto"/>
                <w:lang w:eastAsia="zh-CN"/>
              </w:rPr>
              <w:t>1</w:t>
            </w:r>
            <w:r>
              <w:rPr>
                <w:color w:val="auto"/>
              </w:rPr>
              <w:t>.2mm</w:t>
            </w:r>
          </w:p>
        </w:tc>
        <w:tc>
          <w:tcPr>
            <w:tcW w:w="612" w:type="pct"/>
            <w:tcBorders>
              <w:tl2br w:val="nil"/>
              <w:tr2bl w:val="nil"/>
            </w:tcBorders>
            <w:noWrap w:val="0"/>
            <w:vAlign w:val="center"/>
          </w:tcPr>
          <w:p w14:paraId="61170DA9">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4B3E35E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AD7C31E">
            <w:pPr>
              <w:pStyle w:val="12"/>
              <w:pageBreakBefore w:val="0"/>
              <w:wordWrap/>
              <w:bidi w:val="0"/>
              <w:adjustRightInd/>
              <w:snapToGrid/>
              <w:rPr>
                <w:color w:val="auto"/>
              </w:rPr>
            </w:pPr>
            <w:r>
              <w:rPr>
                <w:color w:val="auto"/>
              </w:rPr>
              <w:t>30</w:t>
            </w:r>
          </w:p>
        </w:tc>
        <w:tc>
          <w:tcPr>
            <w:tcW w:w="1132" w:type="pct"/>
            <w:tcBorders>
              <w:tl2br w:val="nil"/>
              <w:tr2bl w:val="nil"/>
            </w:tcBorders>
            <w:noWrap w:val="0"/>
            <w:vAlign w:val="center"/>
          </w:tcPr>
          <w:p w14:paraId="59E44DE2">
            <w:pPr>
              <w:pStyle w:val="12"/>
              <w:pageBreakBefore w:val="0"/>
              <w:wordWrap/>
              <w:bidi w:val="0"/>
              <w:adjustRightInd/>
              <w:snapToGrid/>
              <w:rPr>
                <w:color w:val="auto"/>
              </w:rPr>
            </w:pPr>
          </w:p>
        </w:tc>
      </w:tr>
      <w:tr w14:paraId="4EB08C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DDB5D8">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5A9301CB">
            <w:pPr>
              <w:pStyle w:val="12"/>
              <w:pageBreakBefore w:val="0"/>
              <w:wordWrap/>
              <w:bidi w:val="0"/>
              <w:adjustRightInd/>
              <w:snapToGrid/>
              <w:rPr>
                <w:color w:val="auto"/>
              </w:rPr>
            </w:pPr>
            <w:r>
              <w:rPr>
                <w:color w:val="auto"/>
              </w:rPr>
              <w:t>导向滑轨支撑</w:t>
            </w:r>
          </w:p>
        </w:tc>
        <w:tc>
          <w:tcPr>
            <w:tcW w:w="1532" w:type="pct"/>
            <w:tcBorders>
              <w:tl2br w:val="nil"/>
              <w:tr2bl w:val="nil"/>
            </w:tcBorders>
            <w:noWrap w:val="0"/>
            <w:vAlign w:val="center"/>
          </w:tcPr>
          <w:p w14:paraId="7191FA4E">
            <w:pPr>
              <w:pStyle w:val="12"/>
              <w:pageBreakBefore w:val="0"/>
              <w:wordWrap/>
              <w:bidi w:val="0"/>
              <w:adjustRightInd/>
              <w:snapToGrid/>
              <w:rPr>
                <w:color w:val="auto"/>
              </w:rPr>
            </w:pPr>
            <w:r>
              <w:rPr>
                <w:color w:val="auto"/>
              </w:rPr>
              <w:t>GRH-2000</w:t>
            </w:r>
          </w:p>
        </w:tc>
        <w:tc>
          <w:tcPr>
            <w:tcW w:w="612" w:type="pct"/>
            <w:tcBorders>
              <w:tl2br w:val="nil"/>
              <w:tr2bl w:val="nil"/>
            </w:tcBorders>
            <w:noWrap w:val="0"/>
            <w:vAlign w:val="center"/>
          </w:tcPr>
          <w:p w14:paraId="016B6E3A">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71D012D5">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AC5F987">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36534B62">
            <w:pPr>
              <w:pStyle w:val="12"/>
              <w:pageBreakBefore w:val="0"/>
              <w:wordWrap/>
              <w:bidi w:val="0"/>
              <w:adjustRightInd/>
              <w:snapToGrid/>
              <w:rPr>
                <w:color w:val="auto"/>
              </w:rPr>
            </w:pPr>
          </w:p>
        </w:tc>
      </w:tr>
      <w:tr w14:paraId="3664B18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E64C434">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727D50FF">
            <w:pPr>
              <w:pStyle w:val="12"/>
              <w:pageBreakBefore w:val="0"/>
              <w:wordWrap/>
              <w:bidi w:val="0"/>
              <w:adjustRightInd/>
              <w:snapToGrid/>
              <w:rPr>
                <w:color w:val="auto"/>
              </w:rPr>
            </w:pPr>
            <w:r>
              <w:rPr>
                <w:color w:val="auto"/>
              </w:rPr>
              <w:t>导向装置</w:t>
            </w:r>
          </w:p>
        </w:tc>
        <w:tc>
          <w:tcPr>
            <w:tcW w:w="1532" w:type="pct"/>
            <w:tcBorders>
              <w:tl2br w:val="nil"/>
              <w:tr2bl w:val="nil"/>
            </w:tcBorders>
            <w:noWrap w:val="0"/>
            <w:vAlign w:val="center"/>
          </w:tcPr>
          <w:p w14:paraId="28B59720">
            <w:pPr>
              <w:pStyle w:val="12"/>
              <w:pageBreakBefore w:val="0"/>
              <w:wordWrap/>
              <w:bidi w:val="0"/>
              <w:adjustRightInd/>
              <w:snapToGrid/>
              <w:rPr>
                <w:color w:val="auto"/>
              </w:rPr>
            </w:pPr>
            <w:r>
              <w:rPr>
                <w:color w:val="auto"/>
              </w:rPr>
              <w:t>GE-2000</w:t>
            </w:r>
          </w:p>
        </w:tc>
        <w:tc>
          <w:tcPr>
            <w:tcW w:w="612" w:type="pct"/>
            <w:tcBorders>
              <w:tl2br w:val="nil"/>
              <w:tr2bl w:val="nil"/>
            </w:tcBorders>
            <w:noWrap w:val="0"/>
            <w:vAlign w:val="center"/>
          </w:tcPr>
          <w:p w14:paraId="70373729">
            <w:pPr>
              <w:pStyle w:val="12"/>
              <w:pageBreakBefore w:val="0"/>
              <w:wordWrap/>
              <w:bidi w:val="0"/>
              <w:adjustRightInd/>
              <w:snapToGrid/>
              <w:rPr>
                <w:color w:val="auto"/>
              </w:rPr>
            </w:pPr>
            <w:r>
              <w:rPr>
                <w:color w:val="auto"/>
              </w:rPr>
              <w:t>PVC</w:t>
            </w:r>
          </w:p>
        </w:tc>
        <w:tc>
          <w:tcPr>
            <w:tcW w:w="279" w:type="pct"/>
            <w:tcBorders>
              <w:tl2br w:val="nil"/>
              <w:tr2bl w:val="nil"/>
            </w:tcBorders>
            <w:noWrap w:val="0"/>
            <w:vAlign w:val="center"/>
          </w:tcPr>
          <w:p w14:paraId="71F00145">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3BB429C">
            <w:pPr>
              <w:pStyle w:val="12"/>
              <w:pageBreakBefore w:val="0"/>
              <w:wordWrap/>
              <w:bidi w:val="0"/>
              <w:adjustRightInd/>
              <w:snapToGrid/>
              <w:rPr>
                <w:color w:val="auto"/>
              </w:rPr>
            </w:pPr>
            <w:r>
              <w:rPr>
                <w:color w:val="auto"/>
              </w:rPr>
              <w:t>120</w:t>
            </w:r>
          </w:p>
        </w:tc>
        <w:tc>
          <w:tcPr>
            <w:tcW w:w="1132" w:type="pct"/>
            <w:tcBorders>
              <w:tl2br w:val="nil"/>
              <w:tr2bl w:val="nil"/>
            </w:tcBorders>
            <w:noWrap w:val="0"/>
            <w:vAlign w:val="center"/>
          </w:tcPr>
          <w:p w14:paraId="190D659E">
            <w:pPr>
              <w:pStyle w:val="12"/>
              <w:pageBreakBefore w:val="0"/>
              <w:wordWrap/>
              <w:bidi w:val="0"/>
              <w:adjustRightInd/>
              <w:snapToGrid/>
              <w:rPr>
                <w:color w:val="auto"/>
              </w:rPr>
            </w:pPr>
            <w:r>
              <w:rPr>
                <w:color w:val="auto"/>
              </w:rPr>
              <w:t>软管限位附件</w:t>
            </w:r>
          </w:p>
        </w:tc>
      </w:tr>
      <w:tr w14:paraId="31CB4B2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7933A4B">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24089C24">
            <w:pPr>
              <w:pStyle w:val="12"/>
              <w:pageBreakBefore w:val="0"/>
              <w:wordWrap/>
              <w:bidi w:val="0"/>
              <w:adjustRightInd/>
              <w:snapToGrid/>
              <w:rPr>
                <w:color w:val="auto"/>
              </w:rPr>
            </w:pPr>
            <w:r>
              <w:rPr>
                <w:color w:val="auto"/>
              </w:rPr>
              <w:t>导向支架</w:t>
            </w:r>
          </w:p>
        </w:tc>
        <w:tc>
          <w:tcPr>
            <w:tcW w:w="1532" w:type="pct"/>
            <w:tcBorders>
              <w:tl2br w:val="nil"/>
              <w:tr2bl w:val="nil"/>
            </w:tcBorders>
            <w:noWrap w:val="0"/>
            <w:vAlign w:val="center"/>
          </w:tcPr>
          <w:p w14:paraId="2D9B8162">
            <w:pPr>
              <w:pStyle w:val="12"/>
              <w:pageBreakBefore w:val="0"/>
              <w:wordWrap/>
              <w:bidi w:val="0"/>
              <w:adjustRightInd/>
              <w:snapToGrid/>
              <w:rPr>
                <w:color w:val="auto"/>
              </w:rPr>
            </w:pPr>
            <w:r>
              <w:rPr>
                <w:color w:val="auto"/>
              </w:rPr>
              <w:t>GH-3000</w:t>
            </w:r>
          </w:p>
        </w:tc>
        <w:tc>
          <w:tcPr>
            <w:tcW w:w="612" w:type="pct"/>
            <w:tcBorders>
              <w:tl2br w:val="nil"/>
              <w:tr2bl w:val="nil"/>
            </w:tcBorders>
            <w:noWrap w:val="0"/>
            <w:vAlign w:val="center"/>
          </w:tcPr>
          <w:p w14:paraId="57A5238D">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63A209C6">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6C9DA63">
            <w:pPr>
              <w:pStyle w:val="12"/>
              <w:pageBreakBefore w:val="0"/>
              <w:wordWrap/>
              <w:bidi w:val="0"/>
              <w:adjustRightInd/>
              <w:snapToGrid/>
              <w:rPr>
                <w:color w:val="auto"/>
              </w:rPr>
            </w:pPr>
            <w:r>
              <w:rPr>
                <w:color w:val="auto"/>
              </w:rPr>
              <w:t>35</w:t>
            </w:r>
          </w:p>
        </w:tc>
        <w:tc>
          <w:tcPr>
            <w:tcW w:w="1132" w:type="pct"/>
            <w:tcBorders>
              <w:tl2br w:val="nil"/>
              <w:tr2bl w:val="nil"/>
            </w:tcBorders>
            <w:noWrap w:val="0"/>
            <w:vAlign w:val="center"/>
          </w:tcPr>
          <w:p w14:paraId="5386FB1F">
            <w:pPr>
              <w:pStyle w:val="12"/>
              <w:pageBreakBefore w:val="0"/>
              <w:wordWrap/>
              <w:bidi w:val="0"/>
              <w:adjustRightInd/>
              <w:snapToGrid/>
              <w:rPr>
                <w:color w:val="auto"/>
              </w:rPr>
            </w:pPr>
            <w:r>
              <w:rPr>
                <w:color w:val="auto"/>
              </w:rPr>
              <w:t>软管限位附件</w:t>
            </w:r>
          </w:p>
        </w:tc>
      </w:tr>
      <w:tr w14:paraId="0DC4534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BB6B553">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21C68D61">
            <w:pPr>
              <w:pStyle w:val="12"/>
              <w:pageBreakBefore w:val="0"/>
              <w:wordWrap/>
              <w:bidi w:val="0"/>
              <w:adjustRightInd/>
              <w:snapToGrid/>
              <w:rPr>
                <w:color w:val="auto"/>
              </w:rPr>
            </w:pPr>
            <w:r>
              <w:rPr>
                <w:color w:val="auto"/>
              </w:rPr>
              <w:t>导向滚轴</w:t>
            </w:r>
          </w:p>
        </w:tc>
        <w:tc>
          <w:tcPr>
            <w:tcW w:w="1532" w:type="pct"/>
            <w:tcBorders>
              <w:tl2br w:val="nil"/>
              <w:tr2bl w:val="nil"/>
            </w:tcBorders>
            <w:noWrap w:val="0"/>
            <w:vAlign w:val="center"/>
          </w:tcPr>
          <w:p w14:paraId="3F7DEB7E">
            <w:pPr>
              <w:pStyle w:val="12"/>
              <w:pageBreakBefore w:val="0"/>
              <w:wordWrap/>
              <w:bidi w:val="0"/>
              <w:adjustRightInd/>
              <w:snapToGrid/>
              <w:rPr>
                <w:color w:val="auto"/>
              </w:rPr>
            </w:pPr>
            <w:r>
              <w:rPr>
                <w:color w:val="auto"/>
              </w:rPr>
              <w:t>GA-2000</w:t>
            </w:r>
          </w:p>
        </w:tc>
        <w:tc>
          <w:tcPr>
            <w:tcW w:w="612" w:type="pct"/>
            <w:tcBorders>
              <w:tl2br w:val="nil"/>
              <w:tr2bl w:val="nil"/>
            </w:tcBorders>
            <w:noWrap w:val="0"/>
            <w:vAlign w:val="center"/>
          </w:tcPr>
          <w:p w14:paraId="7076A2E4">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74A5D5B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91167A4">
            <w:pPr>
              <w:pStyle w:val="12"/>
              <w:pageBreakBefore w:val="0"/>
              <w:wordWrap/>
              <w:bidi w:val="0"/>
              <w:adjustRightInd/>
              <w:snapToGrid/>
              <w:rPr>
                <w:color w:val="auto"/>
              </w:rPr>
            </w:pPr>
            <w:r>
              <w:rPr>
                <w:color w:val="auto"/>
              </w:rPr>
              <w:t>11</w:t>
            </w:r>
          </w:p>
        </w:tc>
        <w:tc>
          <w:tcPr>
            <w:tcW w:w="1132" w:type="pct"/>
            <w:tcBorders>
              <w:tl2br w:val="nil"/>
              <w:tr2bl w:val="nil"/>
            </w:tcBorders>
            <w:noWrap w:val="0"/>
            <w:vAlign w:val="center"/>
          </w:tcPr>
          <w:p w14:paraId="650B5122">
            <w:pPr>
              <w:pStyle w:val="12"/>
              <w:pageBreakBefore w:val="0"/>
              <w:wordWrap/>
              <w:bidi w:val="0"/>
              <w:adjustRightInd/>
              <w:snapToGrid/>
              <w:rPr>
                <w:color w:val="auto"/>
              </w:rPr>
            </w:pPr>
            <w:r>
              <w:rPr>
                <w:color w:val="auto"/>
              </w:rPr>
              <w:t>软管限位附件</w:t>
            </w:r>
          </w:p>
        </w:tc>
      </w:tr>
      <w:tr w14:paraId="70A0AC6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9D3A31">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6F6F6AC2">
            <w:pPr>
              <w:pStyle w:val="12"/>
              <w:pageBreakBefore w:val="0"/>
              <w:wordWrap/>
              <w:bidi w:val="0"/>
              <w:adjustRightInd/>
              <w:snapToGrid/>
              <w:rPr>
                <w:color w:val="auto"/>
              </w:rPr>
            </w:pPr>
            <w:r>
              <w:rPr>
                <w:color w:val="auto"/>
              </w:rPr>
              <w:t>空气推流器</w:t>
            </w:r>
          </w:p>
        </w:tc>
        <w:tc>
          <w:tcPr>
            <w:tcW w:w="1532" w:type="pct"/>
            <w:tcBorders>
              <w:tl2br w:val="nil"/>
              <w:tr2bl w:val="nil"/>
            </w:tcBorders>
            <w:noWrap w:val="0"/>
            <w:vAlign w:val="center"/>
          </w:tcPr>
          <w:p w14:paraId="0F035D00">
            <w:pPr>
              <w:pStyle w:val="12"/>
              <w:pageBreakBefore w:val="0"/>
              <w:wordWrap/>
              <w:bidi w:val="0"/>
              <w:adjustRightInd/>
              <w:snapToGrid/>
              <w:rPr>
                <w:color w:val="auto"/>
              </w:rPr>
            </w:pPr>
            <w:r>
              <w:rPr>
                <w:color w:val="auto"/>
              </w:rPr>
              <w:t>ACE-2000</w:t>
            </w:r>
          </w:p>
        </w:tc>
        <w:tc>
          <w:tcPr>
            <w:tcW w:w="612" w:type="pct"/>
            <w:tcBorders>
              <w:tl2br w:val="nil"/>
              <w:tr2bl w:val="nil"/>
            </w:tcBorders>
            <w:noWrap w:val="0"/>
            <w:vAlign w:val="center"/>
          </w:tcPr>
          <w:p w14:paraId="3F631581">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61F656B5">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DC34F29">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7D2740B2">
            <w:pPr>
              <w:pStyle w:val="12"/>
              <w:pageBreakBefore w:val="0"/>
              <w:wordWrap/>
              <w:bidi w:val="0"/>
              <w:adjustRightInd/>
              <w:snapToGrid/>
              <w:rPr>
                <w:color w:val="auto"/>
              </w:rPr>
            </w:pPr>
          </w:p>
        </w:tc>
      </w:tr>
      <w:tr w14:paraId="2B9603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E97DCA7">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23B64C83">
            <w:pPr>
              <w:pStyle w:val="12"/>
              <w:pageBreakBefore w:val="0"/>
              <w:wordWrap/>
              <w:bidi w:val="0"/>
              <w:adjustRightInd/>
              <w:snapToGrid/>
              <w:rPr>
                <w:color w:val="auto"/>
              </w:rPr>
            </w:pPr>
            <w:r>
              <w:rPr>
                <w:color w:val="auto"/>
              </w:rPr>
              <w:t>溶氧仪支架</w:t>
            </w:r>
          </w:p>
        </w:tc>
        <w:tc>
          <w:tcPr>
            <w:tcW w:w="1532" w:type="pct"/>
            <w:tcBorders>
              <w:tl2br w:val="nil"/>
              <w:tr2bl w:val="nil"/>
            </w:tcBorders>
            <w:noWrap w:val="0"/>
            <w:vAlign w:val="center"/>
          </w:tcPr>
          <w:p w14:paraId="3D7D4673">
            <w:pPr>
              <w:pStyle w:val="12"/>
              <w:pageBreakBefore w:val="0"/>
              <w:wordWrap/>
              <w:bidi w:val="0"/>
              <w:adjustRightInd/>
              <w:snapToGrid/>
              <w:rPr>
                <w:color w:val="auto"/>
              </w:rPr>
            </w:pPr>
            <w:r>
              <w:rPr>
                <w:color w:val="auto"/>
              </w:rPr>
              <w:t>与溶氧仪配套</w:t>
            </w:r>
          </w:p>
        </w:tc>
        <w:tc>
          <w:tcPr>
            <w:tcW w:w="612" w:type="pct"/>
            <w:tcBorders>
              <w:tl2br w:val="nil"/>
              <w:tr2bl w:val="nil"/>
            </w:tcBorders>
            <w:noWrap w:val="0"/>
            <w:vAlign w:val="center"/>
          </w:tcPr>
          <w:p w14:paraId="312EFC16">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0C8B122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103A744">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25D0B9D">
            <w:pPr>
              <w:pStyle w:val="12"/>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58F6D2E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11C94E8">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116E2F27">
            <w:pPr>
              <w:pStyle w:val="12"/>
              <w:pageBreakBefore w:val="0"/>
              <w:wordWrap/>
              <w:bidi w:val="0"/>
              <w:adjustRightInd/>
              <w:snapToGrid/>
              <w:rPr>
                <w:color w:val="auto"/>
              </w:rPr>
            </w:pPr>
            <w:r>
              <w:rPr>
                <w:color w:val="auto"/>
              </w:rPr>
              <w:t>溶氧仪</w:t>
            </w:r>
          </w:p>
        </w:tc>
        <w:tc>
          <w:tcPr>
            <w:tcW w:w="1532" w:type="pct"/>
            <w:tcBorders>
              <w:tl2br w:val="nil"/>
              <w:tr2bl w:val="nil"/>
            </w:tcBorders>
            <w:noWrap w:val="0"/>
            <w:vAlign w:val="center"/>
          </w:tcPr>
          <w:p w14:paraId="622A5E0D">
            <w:pPr>
              <w:pStyle w:val="12"/>
              <w:pageBreakBefore w:val="0"/>
              <w:wordWrap/>
              <w:bidi w:val="0"/>
              <w:adjustRightInd/>
              <w:snapToGrid/>
              <w:rPr>
                <w:color w:val="auto"/>
              </w:rPr>
            </w:pPr>
            <w:r>
              <w:rPr>
                <w:color w:val="auto"/>
              </w:rPr>
              <w:t>LOD在线溶解氧仪+</w:t>
            </w:r>
            <w:r>
              <w:rPr>
                <w:rFonts w:hint="eastAsia"/>
                <w:color w:val="auto"/>
                <w:lang w:eastAsia="zh-CN"/>
              </w:rPr>
              <w:t>，</w:t>
            </w:r>
            <w:r>
              <w:rPr>
                <w:color w:val="auto"/>
              </w:rPr>
              <w:t>C200控制器</w:t>
            </w:r>
          </w:p>
        </w:tc>
        <w:tc>
          <w:tcPr>
            <w:tcW w:w="612" w:type="pct"/>
            <w:tcBorders>
              <w:tl2br w:val="nil"/>
              <w:tr2bl w:val="nil"/>
            </w:tcBorders>
            <w:noWrap w:val="0"/>
            <w:vAlign w:val="center"/>
          </w:tcPr>
          <w:p w14:paraId="7ABD032F">
            <w:pPr>
              <w:pStyle w:val="12"/>
              <w:pageBreakBefore w:val="0"/>
              <w:wordWrap/>
              <w:bidi w:val="0"/>
              <w:adjustRightInd/>
              <w:snapToGrid/>
              <w:rPr>
                <w:color w:val="auto"/>
              </w:rPr>
            </w:pPr>
          </w:p>
        </w:tc>
        <w:tc>
          <w:tcPr>
            <w:tcW w:w="279" w:type="pct"/>
            <w:tcBorders>
              <w:tl2br w:val="nil"/>
              <w:tr2bl w:val="nil"/>
            </w:tcBorders>
            <w:noWrap w:val="0"/>
            <w:vAlign w:val="center"/>
          </w:tcPr>
          <w:p w14:paraId="1205B7C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D7BD48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FC05BC1">
            <w:pPr>
              <w:pStyle w:val="12"/>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4546204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395179C">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11AEC278">
            <w:pPr>
              <w:pStyle w:val="12"/>
              <w:pageBreakBefore w:val="0"/>
              <w:wordWrap/>
              <w:bidi w:val="0"/>
              <w:adjustRightInd/>
              <w:snapToGrid/>
              <w:rPr>
                <w:color w:val="auto"/>
              </w:rPr>
            </w:pPr>
            <w:r>
              <w:rPr>
                <w:color w:val="auto"/>
              </w:rPr>
              <w:t>污泥回流泵</w:t>
            </w:r>
          </w:p>
        </w:tc>
        <w:tc>
          <w:tcPr>
            <w:tcW w:w="1532" w:type="pct"/>
            <w:tcBorders>
              <w:tl2br w:val="nil"/>
              <w:tr2bl w:val="nil"/>
            </w:tcBorders>
            <w:noWrap w:val="0"/>
            <w:vAlign w:val="center"/>
          </w:tcPr>
          <w:p w14:paraId="127729A0">
            <w:pPr>
              <w:pStyle w:val="12"/>
              <w:pageBreakBefore w:val="0"/>
              <w:wordWrap/>
              <w:bidi w:val="0"/>
              <w:adjustRightInd/>
              <w:snapToGrid/>
              <w:rPr>
                <w:color w:val="auto"/>
              </w:rPr>
            </w:pPr>
            <w:r>
              <w:rPr>
                <w:color w:val="auto"/>
              </w:rPr>
              <w:t>Q=62.5</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N=5.5kW</w:t>
            </w:r>
            <w:r>
              <w:rPr>
                <w:rFonts w:hint="eastAsia"/>
                <w:color w:val="auto"/>
                <w:lang w:eastAsia="zh-CN"/>
              </w:rPr>
              <w:t>，</w:t>
            </w:r>
            <w:r>
              <w:rPr>
                <w:color w:val="auto"/>
              </w:rPr>
              <w:t>变频控制</w:t>
            </w:r>
          </w:p>
        </w:tc>
        <w:tc>
          <w:tcPr>
            <w:tcW w:w="612" w:type="pct"/>
            <w:tcBorders>
              <w:tl2br w:val="nil"/>
              <w:tr2bl w:val="nil"/>
            </w:tcBorders>
            <w:noWrap w:val="0"/>
            <w:vAlign w:val="center"/>
          </w:tcPr>
          <w:p w14:paraId="61B4CB7C">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12C01926">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9A6E895">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30B941D">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变频运行</w:t>
            </w:r>
          </w:p>
        </w:tc>
      </w:tr>
      <w:tr w14:paraId="7EE5486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DBE542F">
            <w:pPr>
              <w:pStyle w:val="12"/>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62F47CCF">
            <w:pPr>
              <w:pStyle w:val="12"/>
              <w:pageBreakBefore w:val="0"/>
              <w:wordWrap/>
              <w:bidi w:val="0"/>
              <w:adjustRightInd/>
              <w:snapToGrid/>
              <w:rPr>
                <w:color w:val="auto"/>
              </w:rPr>
            </w:pPr>
            <w:r>
              <w:rPr>
                <w:color w:val="auto"/>
              </w:rPr>
              <w:t>出水支槽</w:t>
            </w:r>
          </w:p>
        </w:tc>
        <w:tc>
          <w:tcPr>
            <w:tcW w:w="1532" w:type="pct"/>
            <w:tcBorders>
              <w:tl2br w:val="nil"/>
              <w:tr2bl w:val="nil"/>
            </w:tcBorders>
            <w:noWrap w:val="0"/>
            <w:vAlign w:val="center"/>
          </w:tcPr>
          <w:p w14:paraId="658F8F0F">
            <w:pPr>
              <w:pStyle w:val="12"/>
              <w:pageBreakBefore w:val="0"/>
              <w:wordWrap/>
              <w:bidi w:val="0"/>
              <w:adjustRightInd/>
              <w:snapToGrid/>
              <w:rPr>
                <w:color w:val="auto"/>
              </w:rPr>
            </w:pPr>
            <w:r>
              <w:rPr>
                <w:color w:val="auto"/>
              </w:rPr>
              <w:t>非标</w:t>
            </w:r>
            <w:r>
              <w:rPr>
                <w:rFonts w:hint="eastAsia"/>
                <w:color w:val="auto"/>
                <w:lang w:eastAsia="zh-CN"/>
              </w:rPr>
              <w:t>，</w:t>
            </w:r>
            <w:r>
              <w:rPr>
                <w:color w:val="auto"/>
              </w:rPr>
              <w:t>2900×200×200mm</w:t>
            </w:r>
          </w:p>
        </w:tc>
        <w:tc>
          <w:tcPr>
            <w:tcW w:w="612" w:type="pct"/>
            <w:tcBorders>
              <w:tl2br w:val="nil"/>
              <w:tr2bl w:val="nil"/>
            </w:tcBorders>
            <w:noWrap w:val="0"/>
            <w:vAlign w:val="center"/>
          </w:tcPr>
          <w:p w14:paraId="76245291">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68FC7AB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55C37F3">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57239759">
            <w:pPr>
              <w:pStyle w:val="12"/>
              <w:pageBreakBefore w:val="0"/>
              <w:wordWrap/>
              <w:bidi w:val="0"/>
              <w:adjustRightInd/>
              <w:snapToGrid/>
              <w:rPr>
                <w:color w:val="auto"/>
              </w:rPr>
            </w:pPr>
          </w:p>
        </w:tc>
      </w:tr>
      <w:tr w14:paraId="254C5D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81C6832">
            <w:pPr>
              <w:pStyle w:val="12"/>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6F5FE406">
            <w:pPr>
              <w:pStyle w:val="12"/>
              <w:pageBreakBefore w:val="0"/>
              <w:wordWrap/>
              <w:bidi w:val="0"/>
              <w:adjustRightInd/>
              <w:snapToGrid/>
              <w:rPr>
                <w:color w:val="auto"/>
              </w:rPr>
            </w:pPr>
            <w:r>
              <w:rPr>
                <w:color w:val="auto"/>
              </w:rPr>
              <w:t>涡轮传动法兰蝶阀</w:t>
            </w:r>
          </w:p>
        </w:tc>
        <w:tc>
          <w:tcPr>
            <w:tcW w:w="1532" w:type="pct"/>
            <w:tcBorders>
              <w:tl2br w:val="nil"/>
              <w:tr2bl w:val="nil"/>
            </w:tcBorders>
            <w:noWrap w:val="0"/>
            <w:vAlign w:val="center"/>
          </w:tcPr>
          <w:p w14:paraId="0961B71B">
            <w:pPr>
              <w:pStyle w:val="12"/>
              <w:pageBreakBefore w:val="0"/>
              <w:wordWrap/>
              <w:bidi w:val="0"/>
              <w:adjustRightInd/>
              <w:snapToGrid/>
              <w:rPr>
                <w:color w:val="auto"/>
              </w:rPr>
            </w:pPr>
            <w:r>
              <w:rPr>
                <w:color w:val="auto"/>
              </w:rPr>
              <w:t>D341×-10</w:t>
            </w:r>
            <w:r>
              <w:rPr>
                <w:rFonts w:hint="eastAsia"/>
                <w:color w:val="auto"/>
                <w:lang w:eastAsia="zh-CN"/>
              </w:rPr>
              <w:t>，</w:t>
            </w:r>
            <w:r>
              <w:rPr>
                <w:color w:val="auto"/>
              </w:rPr>
              <w:t>DN100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D64373F">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21F3727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46CD0AF">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3F87E401">
            <w:pPr>
              <w:pStyle w:val="12"/>
              <w:pageBreakBefore w:val="0"/>
              <w:wordWrap/>
              <w:bidi w:val="0"/>
              <w:adjustRightInd/>
              <w:snapToGrid/>
              <w:rPr>
                <w:color w:val="auto"/>
              </w:rPr>
            </w:pPr>
            <w:r>
              <w:rPr>
                <w:color w:val="auto"/>
              </w:rPr>
              <w:t>鼓风主管阀门</w:t>
            </w:r>
          </w:p>
        </w:tc>
      </w:tr>
      <w:tr w14:paraId="186C94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886B03">
            <w:pPr>
              <w:pStyle w:val="12"/>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17C2C8C4">
            <w:pPr>
              <w:pStyle w:val="12"/>
              <w:pageBreakBefore w:val="0"/>
              <w:wordWrap/>
              <w:bidi w:val="0"/>
              <w:adjustRightInd/>
              <w:snapToGrid/>
              <w:rPr>
                <w:color w:val="auto"/>
              </w:rPr>
            </w:pPr>
            <w:r>
              <w:rPr>
                <w:color w:val="auto"/>
              </w:rPr>
              <w:t>丝扣球阀</w:t>
            </w:r>
          </w:p>
        </w:tc>
        <w:tc>
          <w:tcPr>
            <w:tcW w:w="1532" w:type="pct"/>
            <w:tcBorders>
              <w:tl2br w:val="nil"/>
              <w:tr2bl w:val="nil"/>
            </w:tcBorders>
            <w:noWrap w:val="0"/>
            <w:vAlign w:val="center"/>
          </w:tcPr>
          <w:p w14:paraId="2BDB0E56">
            <w:pPr>
              <w:pStyle w:val="12"/>
              <w:pageBreakBefore w:val="0"/>
              <w:wordWrap/>
              <w:bidi w:val="0"/>
              <w:adjustRightInd/>
              <w:snapToGrid/>
              <w:rPr>
                <w:color w:val="auto"/>
              </w:rPr>
            </w:pPr>
            <w:r>
              <w:rPr>
                <w:color w:val="auto"/>
              </w:rPr>
              <w:t>DN50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FEBAECB">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5367905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C8B9596">
            <w:pPr>
              <w:pStyle w:val="12"/>
              <w:pageBreakBefore w:val="0"/>
              <w:wordWrap/>
              <w:bidi w:val="0"/>
              <w:adjustRightInd/>
              <w:snapToGrid/>
              <w:rPr>
                <w:color w:val="auto"/>
              </w:rPr>
            </w:pPr>
            <w:r>
              <w:rPr>
                <w:color w:val="auto"/>
              </w:rPr>
              <w:t>36</w:t>
            </w:r>
          </w:p>
        </w:tc>
        <w:tc>
          <w:tcPr>
            <w:tcW w:w="1132" w:type="pct"/>
            <w:tcBorders>
              <w:tl2br w:val="nil"/>
              <w:tr2bl w:val="nil"/>
            </w:tcBorders>
            <w:noWrap w:val="0"/>
            <w:vAlign w:val="center"/>
          </w:tcPr>
          <w:p w14:paraId="68FB281F">
            <w:pPr>
              <w:pStyle w:val="12"/>
              <w:pageBreakBefore w:val="0"/>
              <w:wordWrap/>
              <w:bidi w:val="0"/>
              <w:adjustRightInd/>
              <w:snapToGrid/>
              <w:rPr>
                <w:color w:val="auto"/>
              </w:rPr>
            </w:pPr>
            <w:r>
              <w:rPr>
                <w:color w:val="auto"/>
              </w:rPr>
              <w:t>鼓风支管</w:t>
            </w:r>
            <w:r>
              <w:rPr>
                <w:rFonts w:hint="eastAsia"/>
                <w:color w:val="auto"/>
                <w:lang w:eastAsia="zh-CN"/>
              </w:rPr>
              <w:t>、</w:t>
            </w:r>
            <w:r>
              <w:rPr>
                <w:color w:val="auto"/>
              </w:rPr>
              <w:t>放空及气提阀门</w:t>
            </w:r>
          </w:p>
        </w:tc>
      </w:tr>
      <w:tr w14:paraId="14A07F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BEDC51E">
            <w:pPr>
              <w:pStyle w:val="12"/>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21BBCE7F">
            <w:pPr>
              <w:pStyle w:val="12"/>
              <w:pageBreakBefore w:val="0"/>
              <w:wordWrap/>
              <w:bidi w:val="0"/>
              <w:adjustRightInd/>
              <w:snapToGrid/>
              <w:rPr>
                <w:color w:val="auto"/>
              </w:rPr>
            </w:pPr>
            <w:r>
              <w:rPr>
                <w:color w:val="auto"/>
              </w:rPr>
              <w:t>放空消音器</w:t>
            </w:r>
          </w:p>
        </w:tc>
        <w:tc>
          <w:tcPr>
            <w:tcW w:w="1532" w:type="pct"/>
            <w:tcBorders>
              <w:tl2br w:val="nil"/>
              <w:tr2bl w:val="nil"/>
            </w:tcBorders>
            <w:noWrap w:val="0"/>
            <w:vAlign w:val="center"/>
          </w:tcPr>
          <w:p w14:paraId="0CDDF9C4">
            <w:pPr>
              <w:pStyle w:val="12"/>
              <w:pageBreakBefore w:val="0"/>
              <w:wordWrap/>
              <w:bidi w:val="0"/>
              <w:adjustRightInd/>
              <w:snapToGrid/>
              <w:rPr>
                <w:color w:val="auto"/>
              </w:rPr>
            </w:pPr>
            <w:r>
              <w:rPr>
                <w:color w:val="auto"/>
              </w:rPr>
              <w:t>DN50</w:t>
            </w:r>
            <w:r>
              <w:rPr>
                <w:rFonts w:hint="eastAsia"/>
                <w:color w:val="auto"/>
                <w:lang w:eastAsia="zh-CN"/>
              </w:rPr>
              <w:t>，</w:t>
            </w:r>
            <w:r>
              <w:rPr>
                <w:color w:val="auto"/>
              </w:rPr>
              <w:t>L=500</w:t>
            </w:r>
          </w:p>
        </w:tc>
        <w:tc>
          <w:tcPr>
            <w:tcW w:w="612" w:type="pct"/>
            <w:tcBorders>
              <w:tl2br w:val="nil"/>
              <w:tr2bl w:val="nil"/>
            </w:tcBorders>
            <w:noWrap w:val="0"/>
            <w:vAlign w:val="center"/>
          </w:tcPr>
          <w:p w14:paraId="6F920610">
            <w:pPr>
              <w:pStyle w:val="12"/>
              <w:pageBreakBefore w:val="0"/>
              <w:wordWrap/>
              <w:bidi w:val="0"/>
              <w:adjustRightInd/>
              <w:snapToGrid/>
              <w:rPr>
                <w:color w:val="auto"/>
              </w:rPr>
            </w:pPr>
            <w:r>
              <w:rPr>
                <w:color w:val="auto"/>
              </w:rPr>
              <w:t>碳钢</w:t>
            </w:r>
          </w:p>
        </w:tc>
        <w:tc>
          <w:tcPr>
            <w:tcW w:w="279" w:type="pct"/>
            <w:tcBorders>
              <w:tl2br w:val="nil"/>
              <w:tr2bl w:val="nil"/>
            </w:tcBorders>
            <w:noWrap w:val="0"/>
            <w:vAlign w:val="center"/>
          </w:tcPr>
          <w:p w14:paraId="0CCD05B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60DE69C">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CE44B99">
            <w:pPr>
              <w:pStyle w:val="12"/>
              <w:pageBreakBefore w:val="0"/>
              <w:wordWrap/>
              <w:bidi w:val="0"/>
              <w:adjustRightInd/>
              <w:snapToGrid/>
              <w:rPr>
                <w:color w:val="auto"/>
              </w:rPr>
            </w:pPr>
          </w:p>
        </w:tc>
      </w:tr>
      <w:tr w14:paraId="33DA249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5ECFE9">
            <w:pPr>
              <w:pStyle w:val="12"/>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0EA059F0">
            <w:pPr>
              <w:pStyle w:val="12"/>
              <w:pageBreakBefore w:val="0"/>
              <w:wordWrap/>
              <w:bidi w:val="0"/>
              <w:adjustRightInd/>
              <w:snapToGrid/>
              <w:rPr>
                <w:color w:val="auto"/>
              </w:rPr>
            </w:pPr>
            <w:r>
              <w:rPr>
                <w:color w:val="auto"/>
              </w:rPr>
              <w:t>沉淀组合填料</w:t>
            </w:r>
          </w:p>
        </w:tc>
        <w:tc>
          <w:tcPr>
            <w:tcW w:w="1532" w:type="pct"/>
            <w:tcBorders>
              <w:tl2br w:val="nil"/>
              <w:tr2bl w:val="nil"/>
            </w:tcBorders>
            <w:noWrap w:val="0"/>
            <w:vAlign w:val="center"/>
          </w:tcPr>
          <w:p w14:paraId="7B1E6B8E">
            <w:pPr>
              <w:pStyle w:val="12"/>
              <w:pageBreakBefore w:val="0"/>
              <w:wordWrap/>
              <w:bidi w:val="0"/>
              <w:adjustRightInd/>
              <w:snapToGrid/>
              <w:rPr>
                <w:color w:val="auto"/>
              </w:rPr>
            </w:pPr>
            <w:r>
              <w:rPr>
                <w:color w:val="auto"/>
              </w:rPr>
              <w:t>b=</w:t>
            </w:r>
            <w:r>
              <w:rPr>
                <w:rFonts w:hint="eastAsia"/>
                <w:color w:val="auto"/>
                <w:lang w:eastAsia="zh-CN"/>
              </w:rPr>
              <w:t>1</w:t>
            </w:r>
            <w:r>
              <w:rPr>
                <w:color w:val="auto"/>
              </w:rPr>
              <w:t>.0mm</w:t>
            </w:r>
            <w:r>
              <w:rPr>
                <w:rFonts w:hint="eastAsia"/>
                <w:color w:val="auto"/>
                <w:lang w:eastAsia="zh-CN"/>
              </w:rPr>
              <w:t>，</w:t>
            </w:r>
            <w:r>
              <w:rPr>
                <w:color w:val="auto"/>
              </w:rPr>
              <w:t>φ90mm</w:t>
            </w:r>
            <w:r>
              <w:rPr>
                <w:rFonts w:hint="eastAsia"/>
                <w:color w:val="auto"/>
                <w:lang w:eastAsia="zh-CN"/>
              </w:rPr>
              <w:t>，</w:t>
            </w:r>
            <w:r>
              <w:rPr>
                <w:color w:val="auto"/>
              </w:rPr>
              <w:t>垂高</w:t>
            </w:r>
            <w:r>
              <w:rPr>
                <w:rFonts w:hint="eastAsia"/>
                <w:color w:val="auto"/>
                <w:lang w:eastAsia="zh-CN"/>
              </w:rPr>
              <w:t>1</w:t>
            </w:r>
            <w:r>
              <w:rPr>
                <w:color w:val="auto"/>
              </w:rPr>
              <w:t>.7m</w:t>
            </w:r>
          </w:p>
        </w:tc>
        <w:tc>
          <w:tcPr>
            <w:tcW w:w="612" w:type="pct"/>
            <w:tcBorders>
              <w:tl2br w:val="nil"/>
              <w:tr2bl w:val="nil"/>
            </w:tcBorders>
            <w:noWrap w:val="0"/>
            <w:vAlign w:val="center"/>
          </w:tcPr>
          <w:p w14:paraId="139CA316">
            <w:pPr>
              <w:pStyle w:val="12"/>
              <w:pageBreakBefore w:val="0"/>
              <w:wordWrap/>
              <w:bidi w:val="0"/>
              <w:adjustRightInd/>
              <w:snapToGrid/>
              <w:rPr>
                <w:color w:val="auto"/>
              </w:rPr>
            </w:pPr>
            <w:r>
              <w:rPr>
                <w:color w:val="auto"/>
              </w:rPr>
              <w:t>pp/玻璃钢</w:t>
            </w:r>
          </w:p>
        </w:tc>
        <w:tc>
          <w:tcPr>
            <w:tcW w:w="279" w:type="pct"/>
            <w:tcBorders>
              <w:tl2br w:val="nil"/>
              <w:tr2bl w:val="nil"/>
            </w:tcBorders>
            <w:noWrap w:val="0"/>
            <w:vAlign w:val="center"/>
          </w:tcPr>
          <w:p w14:paraId="754317AE">
            <w:pPr>
              <w:pStyle w:val="12"/>
              <w:pageBreakBefore w:val="0"/>
              <w:wordWrap/>
              <w:bidi w:val="0"/>
              <w:adjustRightInd/>
              <w:snapToGrid/>
              <w:rPr>
                <w:color w:val="auto"/>
              </w:rPr>
            </w:pPr>
            <w:r>
              <w:rPr>
                <w:color w:val="auto"/>
              </w:rPr>
              <w:t>m[2]</w:t>
            </w:r>
          </w:p>
        </w:tc>
        <w:tc>
          <w:tcPr>
            <w:tcW w:w="244" w:type="pct"/>
            <w:tcBorders>
              <w:tl2br w:val="nil"/>
              <w:tr2bl w:val="nil"/>
            </w:tcBorders>
            <w:noWrap w:val="0"/>
            <w:vAlign w:val="center"/>
          </w:tcPr>
          <w:p w14:paraId="701B19AD">
            <w:pPr>
              <w:pStyle w:val="12"/>
              <w:pageBreakBefore w:val="0"/>
              <w:wordWrap/>
              <w:bidi w:val="0"/>
              <w:adjustRightInd/>
              <w:snapToGrid/>
              <w:rPr>
                <w:color w:val="auto"/>
              </w:rPr>
            </w:pPr>
            <w:r>
              <w:rPr>
                <w:color w:val="auto"/>
              </w:rPr>
              <w:t>80</w:t>
            </w:r>
          </w:p>
        </w:tc>
        <w:tc>
          <w:tcPr>
            <w:tcW w:w="1132" w:type="pct"/>
            <w:tcBorders>
              <w:tl2br w:val="nil"/>
              <w:tr2bl w:val="nil"/>
            </w:tcBorders>
            <w:noWrap w:val="0"/>
            <w:vAlign w:val="center"/>
          </w:tcPr>
          <w:p w14:paraId="65381207">
            <w:pPr>
              <w:pStyle w:val="12"/>
              <w:pageBreakBefore w:val="0"/>
              <w:wordWrap/>
              <w:bidi w:val="0"/>
              <w:adjustRightInd/>
              <w:snapToGrid/>
              <w:rPr>
                <w:color w:val="auto"/>
              </w:rPr>
            </w:pPr>
          </w:p>
        </w:tc>
      </w:tr>
      <w:tr w14:paraId="0135D6A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646908A">
            <w:pPr>
              <w:pStyle w:val="12"/>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22F2557F">
            <w:pPr>
              <w:pStyle w:val="12"/>
              <w:pageBreakBefore w:val="0"/>
              <w:wordWrap/>
              <w:bidi w:val="0"/>
              <w:adjustRightInd/>
              <w:snapToGrid/>
              <w:rPr>
                <w:color w:val="auto"/>
              </w:rPr>
            </w:pPr>
            <w:r>
              <w:rPr>
                <w:color w:val="auto"/>
              </w:rPr>
              <w:t>潜水搅拌器</w:t>
            </w:r>
          </w:p>
        </w:tc>
        <w:tc>
          <w:tcPr>
            <w:tcW w:w="1532" w:type="pct"/>
            <w:tcBorders>
              <w:tl2br w:val="nil"/>
              <w:tr2bl w:val="nil"/>
            </w:tcBorders>
            <w:noWrap w:val="0"/>
            <w:vAlign w:val="center"/>
          </w:tcPr>
          <w:p w14:paraId="0628B569">
            <w:pPr>
              <w:pStyle w:val="12"/>
              <w:pageBreakBefore w:val="0"/>
              <w:wordWrap/>
              <w:bidi w:val="0"/>
              <w:adjustRightInd/>
              <w:snapToGrid/>
              <w:rPr>
                <w:color w:val="auto"/>
              </w:rPr>
            </w:pPr>
            <w:r>
              <w:rPr>
                <w:color w:val="auto"/>
              </w:rPr>
              <w:t>QJB</w:t>
            </w:r>
            <w:r>
              <w:rPr>
                <w:rFonts w:hint="eastAsia"/>
                <w:color w:val="auto"/>
                <w:lang w:eastAsia="zh-CN"/>
              </w:rPr>
              <w:t>1</w:t>
            </w:r>
            <w:r>
              <w:rPr>
                <w:color w:val="auto"/>
              </w:rPr>
              <w:t>.5/6-260/3-980</w:t>
            </w:r>
          </w:p>
        </w:tc>
        <w:tc>
          <w:tcPr>
            <w:tcW w:w="612" w:type="pct"/>
            <w:tcBorders>
              <w:tl2br w:val="nil"/>
              <w:tr2bl w:val="nil"/>
            </w:tcBorders>
            <w:noWrap w:val="0"/>
            <w:vAlign w:val="center"/>
          </w:tcPr>
          <w:p w14:paraId="2C9E460D">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23D4FE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045908A">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34D6F71B">
            <w:pPr>
              <w:pStyle w:val="12"/>
              <w:pageBreakBefore w:val="0"/>
              <w:wordWrap/>
              <w:bidi w:val="0"/>
              <w:adjustRightInd/>
              <w:snapToGrid/>
              <w:rPr>
                <w:color w:val="auto"/>
              </w:rPr>
            </w:pPr>
            <w:r>
              <w:rPr>
                <w:color w:val="auto"/>
              </w:rPr>
              <w:t>主机不锈钢</w:t>
            </w:r>
            <w:r>
              <w:rPr>
                <w:rFonts w:hint="eastAsia"/>
                <w:color w:val="auto"/>
                <w:lang w:eastAsia="zh-CN"/>
              </w:rPr>
              <w:t>，</w:t>
            </w:r>
            <w:r>
              <w:rPr>
                <w:color w:val="auto"/>
              </w:rPr>
              <w:t>吊架不锈钢304</w:t>
            </w:r>
          </w:p>
        </w:tc>
      </w:tr>
      <w:tr w14:paraId="3D861F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86E5B65">
            <w:pPr>
              <w:pStyle w:val="12"/>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0EE8CF1F">
            <w:pPr>
              <w:pStyle w:val="12"/>
              <w:pageBreakBefore w:val="0"/>
              <w:wordWrap/>
              <w:bidi w:val="0"/>
              <w:adjustRightInd/>
              <w:snapToGrid/>
              <w:rPr>
                <w:color w:val="auto"/>
              </w:rPr>
            </w:pPr>
            <w:r>
              <w:rPr>
                <w:color w:val="auto"/>
              </w:rPr>
              <w:t>电磁流量计</w:t>
            </w:r>
          </w:p>
        </w:tc>
        <w:tc>
          <w:tcPr>
            <w:tcW w:w="1532" w:type="pct"/>
            <w:tcBorders>
              <w:tl2br w:val="nil"/>
              <w:tr2bl w:val="nil"/>
            </w:tcBorders>
            <w:noWrap w:val="0"/>
            <w:vAlign w:val="center"/>
          </w:tcPr>
          <w:p w14:paraId="680F530D">
            <w:pPr>
              <w:pStyle w:val="12"/>
              <w:pageBreakBefore w:val="0"/>
              <w:wordWrap/>
              <w:bidi w:val="0"/>
              <w:adjustRightInd/>
              <w:snapToGrid/>
              <w:rPr>
                <w:rFonts w:hint="eastAsia" w:eastAsia="宋体"/>
                <w:color w:val="auto"/>
                <w:lang w:eastAsia="zh-CN"/>
              </w:rPr>
            </w:pPr>
            <w:r>
              <w:rPr>
                <w:color w:val="auto"/>
              </w:rPr>
              <w:t>DN80</w:t>
            </w:r>
            <w:r>
              <w:rPr>
                <w:rFonts w:hint="eastAsia"/>
                <w:color w:val="auto"/>
                <w:lang w:eastAsia="zh-CN"/>
              </w:rPr>
              <w:t>，</w:t>
            </w:r>
            <w:r>
              <w:rPr>
                <w:color w:val="auto"/>
              </w:rPr>
              <w:t>0-100</w:t>
            </w:r>
            <w:r>
              <w:rPr>
                <w:rFonts w:hint="eastAsia"/>
                <w:color w:val="auto"/>
                <w:lang w:eastAsia="zh-CN"/>
              </w:rPr>
              <w:t>m³</w:t>
            </w:r>
          </w:p>
        </w:tc>
        <w:tc>
          <w:tcPr>
            <w:tcW w:w="612" w:type="pct"/>
            <w:tcBorders>
              <w:tl2br w:val="nil"/>
              <w:tr2bl w:val="nil"/>
            </w:tcBorders>
            <w:noWrap w:val="0"/>
            <w:vAlign w:val="center"/>
          </w:tcPr>
          <w:p w14:paraId="7CCA2112">
            <w:pPr>
              <w:pStyle w:val="12"/>
              <w:pageBreakBefore w:val="0"/>
              <w:wordWrap/>
              <w:bidi w:val="0"/>
              <w:adjustRightInd/>
              <w:snapToGrid/>
              <w:rPr>
                <w:color w:val="auto"/>
              </w:rPr>
            </w:pPr>
          </w:p>
        </w:tc>
        <w:tc>
          <w:tcPr>
            <w:tcW w:w="279" w:type="pct"/>
            <w:tcBorders>
              <w:tl2br w:val="nil"/>
              <w:tr2bl w:val="nil"/>
            </w:tcBorders>
            <w:noWrap w:val="0"/>
            <w:vAlign w:val="center"/>
          </w:tcPr>
          <w:p w14:paraId="01CF505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558BDA6">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001BFF7">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剩余污泥排放管</w:t>
            </w:r>
          </w:p>
        </w:tc>
      </w:tr>
      <w:tr w14:paraId="7681BCD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853371">
            <w:pPr>
              <w:pStyle w:val="12"/>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76467754">
            <w:pPr>
              <w:pStyle w:val="12"/>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2A9CF05F">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08654622">
            <w:pPr>
              <w:pStyle w:val="12"/>
              <w:pageBreakBefore w:val="0"/>
              <w:wordWrap/>
              <w:bidi w:val="0"/>
              <w:adjustRightInd/>
              <w:snapToGrid/>
              <w:rPr>
                <w:color w:val="auto"/>
              </w:rPr>
            </w:pPr>
          </w:p>
        </w:tc>
        <w:tc>
          <w:tcPr>
            <w:tcW w:w="279" w:type="pct"/>
            <w:tcBorders>
              <w:tl2br w:val="nil"/>
              <w:tr2bl w:val="nil"/>
            </w:tcBorders>
            <w:noWrap w:val="0"/>
            <w:vAlign w:val="center"/>
          </w:tcPr>
          <w:p w14:paraId="2240003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610776D">
            <w:pPr>
              <w:pStyle w:val="12"/>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526E8458">
            <w:pPr>
              <w:pStyle w:val="12"/>
              <w:pageBreakBefore w:val="0"/>
              <w:wordWrap/>
              <w:bidi w:val="0"/>
              <w:adjustRightInd/>
              <w:snapToGrid/>
              <w:rPr>
                <w:color w:val="auto"/>
              </w:rPr>
            </w:pPr>
            <w:r>
              <w:rPr>
                <w:color w:val="auto"/>
              </w:rPr>
              <w:t>2#污泥回流泵</w:t>
            </w:r>
          </w:p>
        </w:tc>
      </w:tr>
      <w:tr w14:paraId="6002A8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1AACB43">
            <w:pPr>
              <w:pStyle w:val="12"/>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0D358163">
            <w:pPr>
              <w:pStyle w:val="12"/>
              <w:pageBreakBefore w:val="0"/>
              <w:wordWrap/>
              <w:bidi w:val="0"/>
              <w:adjustRightInd/>
              <w:snapToGrid/>
              <w:rPr>
                <w:color w:val="auto"/>
              </w:rPr>
            </w:pPr>
            <w:r>
              <w:rPr>
                <w:color w:val="auto"/>
              </w:rPr>
              <w:t>旋启式止回阀</w:t>
            </w:r>
          </w:p>
        </w:tc>
        <w:tc>
          <w:tcPr>
            <w:tcW w:w="1532" w:type="pct"/>
            <w:tcBorders>
              <w:tl2br w:val="nil"/>
              <w:tr2bl w:val="nil"/>
            </w:tcBorders>
            <w:noWrap w:val="0"/>
            <w:vAlign w:val="center"/>
          </w:tcPr>
          <w:p w14:paraId="79AE4B2D">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1A646E7B">
            <w:pPr>
              <w:pStyle w:val="12"/>
              <w:pageBreakBefore w:val="0"/>
              <w:wordWrap/>
              <w:bidi w:val="0"/>
              <w:adjustRightInd/>
              <w:snapToGrid/>
              <w:rPr>
                <w:color w:val="auto"/>
              </w:rPr>
            </w:pPr>
          </w:p>
        </w:tc>
        <w:tc>
          <w:tcPr>
            <w:tcW w:w="279" w:type="pct"/>
            <w:tcBorders>
              <w:tl2br w:val="nil"/>
              <w:tr2bl w:val="nil"/>
            </w:tcBorders>
            <w:noWrap w:val="0"/>
            <w:vAlign w:val="center"/>
          </w:tcPr>
          <w:p w14:paraId="6451EE6A">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2061666">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8B75704">
            <w:pPr>
              <w:pStyle w:val="12"/>
              <w:pageBreakBefore w:val="0"/>
              <w:wordWrap/>
              <w:bidi w:val="0"/>
              <w:adjustRightInd/>
              <w:snapToGrid/>
              <w:rPr>
                <w:color w:val="auto"/>
              </w:rPr>
            </w:pPr>
            <w:r>
              <w:rPr>
                <w:color w:val="auto"/>
              </w:rPr>
              <w:t>2#污泥回流泵</w:t>
            </w:r>
          </w:p>
        </w:tc>
      </w:tr>
      <w:tr w14:paraId="1DC7AF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98A3A02">
            <w:pPr>
              <w:pStyle w:val="12"/>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33B6F315">
            <w:pPr>
              <w:pStyle w:val="12"/>
              <w:pageBreakBefore w:val="0"/>
              <w:wordWrap/>
              <w:bidi w:val="0"/>
              <w:adjustRightInd/>
              <w:snapToGrid/>
              <w:rPr>
                <w:color w:val="auto"/>
              </w:rPr>
            </w:pPr>
            <w:r>
              <w:rPr>
                <w:color w:val="auto"/>
              </w:rPr>
              <w:t>可曲挠橡胶接头</w:t>
            </w:r>
          </w:p>
        </w:tc>
        <w:tc>
          <w:tcPr>
            <w:tcW w:w="1532" w:type="pct"/>
            <w:tcBorders>
              <w:tl2br w:val="nil"/>
              <w:tr2bl w:val="nil"/>
            </w:tcBorders>
            <w:noWrap w:val="0"/>
            <w:vAlign w:val="center"/>
          </w:tcPr>
          <w:p w14:paraId="29A8ED4D">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7527A66">
            <w:pPr>
              <w:pStyle w:val="12"/>
              <w:pageBreakBefore w:val="0"/>
              <w:wordWrap/>
              <w:bidi w:val="0"/>
              <w:adjustRightInd/>
              <w:snapToGrid/>
              <w:rPr>
                <w:color w:val="auto"/>
              </w:rPr>
            </w:pPr>
          </w:p>
        </w:tc>
        <w:tc>
          <w:tcPr>
            <w:tcW w:w="279" w:type="pct"/>
            <w:tcBorders>
              <w:tl2br w:val="nil"/>
              <w:tr2bl w:val="nil"/>
            </w:tcBorders>
            <w:noWrap w:val="0"/>
            <w:vAlign w:val="center"/>
          </w:tcPr>
          <w:p w14:paraId="5085F1A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EF781DE">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DC4F9BF">
            <w:pPr>
              <w:pStyle w:val="12"/>
              <w:pageBreakBefore w:val="0"/>
              <w:wordWrap/>
              <w:bidi w:val="0"/>
              <w:adjustRightInd/>
              <w:snapToGrid/>
              <w:rPr>
                <w:color w:val="auto"/>
              </w:rPr>
            </w:pPr>
            <w:r>
              <w:rPr>
                <w:color w:val="auto"/>
              </w:rPr>
              <w:t>2#污泥回流泵</w:t>
            </w:r>
          </w:p>
        </w:tc>
      </w:tr>
      <w:tr w14:paraId="472D38B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3AFA6E">
            <w:pPr>
              <w:pStyle w:val="12"/>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040AEEF5">
            <w:pPr>
              <w:pStyle w:val="12"/>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780402FA">
            <w:pPr>
              <w:pStyle w:val="12"/>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4184563">
            <w:pPr>
              <w:pStyle w:val="12"/>
              <w:pageBreakBefore w:val="0"/>
              <w:wordWrap/>
              <w:bidi w:val="0"/>
              <w:adjustRightInd/>
              <w:snapToGrid/>
              <w:rPr>
                <w:color w:val="auto"/>
              </w:rPr>
            </w:pPr>
          </w:p>
        </w:tc>
        <w:tc>
          <w:tcPr>
            <w:tcW w:w="279" w:type="pct"/>
            <w:tcBorders>
              <w:tl2br w:val="nil"/>
              <w:tr2bl w:val="nil"/>
            </w:tcBorders>
            <w:noWrap w:val="0"/>
            <w:vAlign w:val="center"/>
          </w:tcPr>
          <w:p w14:paraId="011686F9">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B92C8E5">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9560749">
            <w:pPr>
              <w:pStyle w:val="12"/>
              <w:pageBreakBefore w:val="0"/>
              <w:wordWrap/>
              <w:bidi w:val="0"/>
              <w:adjustRightInd/>
              <w:snapToGrid/>
              <w:rPr>
                <w:color w:val="auto"/>
              </w:rPr>
            </w:pPr>
            <w:r>
              <w:rPr>
                <w:color w:val="auto"/>
              </w:rPr>
              <w:t>剩余污泥排放管</w:t>
            </w:r>
          </w:p>
        </w:tc>
      </w:tr>
      <w:tr w14:paraId="654345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3CDF4B5">
            <w:pPr>
              <w:pStyle w:val="12"/>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1ED479DD">
            <w:pPr>
              <w:pStyle w:val="12"/>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2FB7694E">
            <w:pPr>
              <w:pStyle w:val="12"/>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F4AEC1E">
            <w:pPr>
              <w:pStyle w:val="12"/>
              <w:pageBreakBefore w:val="0"/>
              <w:wordWrap/>
              <w:bidi w:val="0"/>
              <w:adjustRightInd/>
              <w:snapToGrid/>
              <w:rPr>
                <w:color w:val="auto"/>
              </w:rPr>
            </w:pPr>
          </w:p>
        </w:tc>
        <w:tc>
          <w:tcPr>
            <w:tcW w:w="279" w:type="pct"/>
            <w:tcBorders>
              <w:tl2br w:val="nil"/>
              <w:tr2bl w:val="nil"/>
            </w:tcBorders>
            <w:noWrap w:val="0"/>
            <w:vAlign w:val="center"/>
          </w:tcPr>
          <w:p w14:paraId="69E8D0E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1D7ED1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B8812C5">
            <w:pPr>
              <w:pStyle w:val="12"/>
              <w:pageBreakBefore w:val="0"/>
              <w:wordWrap/>
              <w:bidi w:val="0"/>
              <w:adjustRightInd/>
              <w:snapToGrid/>
              <w:rPr>
                <w:color w:val="auto"/>
              </w:rPr>
            </w:pPr>
            <w:r>
              <w:rPr>
                <w:color w:val="auto"/>
              </w:rPr>
              <w:t>空气管线</w:t>
            </w:r>
          </w:p>
        </w:tc>
      </w:tr>
      <w:tr w14:paraId="4F05B5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B0EF839">
            <w:pPr>
              <w:pStyle w:val="12"/>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58D82154">
            <w:pPr>
              <w:pStyle w:val="12"/>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47F11319">
            <w:pPr>
              <w:pStyle w:val="12"/>
              <w:pageBreakBefore w:val="0"/>
              <w:wordWrap/>
              <w:bidi w:val="0"/>
              <w:adjustRightInd/>
              <w:snapToGrid/>
              <w:rPr>
                <w:color w:val="auto"/>
              </w:rPr>
            </w:pPr>
            <w:r>
              <w:rPr>
                <w:color w:val="auto"/>
              </w:rPr>
              <w:t>DN65</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B2D7691">
            <w:pPr>
              <w:pStyle w:val="12"/>
              <w:pageBreakBefore w:val="0"/>
              <w:wordWrap/>
              <w:bidi w:val="0"/>
              <w:adjustRightInd/>
              <w:snapToGrid/>
              <w:rPr>
                <w:color w:val="auto"/>
              </w:rPr>
            </w:pPr>
          </w:p>
        </w:tc>
        <w:tc>
          <w:tcPr>
            <w:tcW w:w="279" w:type="pct"/>
            <w:tcBorders>
              <w:tl2br w:val="nil"/>
              <w:tr2bl w:val="nil"/>
            </w:tcBorders>
            <w:noWrap w:val="0"/>
            <w:vAlign w:val="center"/>
          </w:tcPr>
          <w:p w14:paraId="74D541F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BE22582">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35962D89">
            <w:pPr>
              <w:pStyle w:val="12"/>
              <w:pageBreakBefore w:val="0"/>
              <w:wordWrap/>
              <w:bidi w:val="0"/>
              <w:adjustRightInd/>
              <w:snapToGrid/>
              <w:rPr>
                <w:color w:val="auto"/>
              </w:rPr>
            </w:pPr>
            <w:r>
              <w:rPr>
                <w:color w:val="auto"/>
              </w:rPr>
              <w:t>空气管线</w:t>
            </w:r>
          </w:p>
        </w:tc>
      </w:tr>
      <w:tr w14:paraId="6A2A3C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EA9E2B8">
            <w:pPr>
              <w:pStyle w:val="12"/>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5451B0BD">
            <w:pPr>
              <w:pStyle w:val="12"/>
              <w:pageBreakBefore w:val="0"/>
              <w:wordWrap/>
              <w:bidi w:val="0"/>
              <w:adjustRightInd/>
              <w:snapToGrid/>
              <w:rPr>
                <w:color w:val="auto"/>
              </w:rPr>
            </w:pPr>
            <w:r>
              <w:rPr>
                <w:color w:val="auto"/>
              </w:rPr>
              <w:t>双由令球阀</w:t>
            </w:r>
          </w:p>
        </w:tc>
        <w:tc>
          <w:tcPr>
            <w:tcW w:w="1532" w:type="pct"/>
            <w:tcBorders>
              <w:tl2br w:val="nil"/>
              <w:tr2bl w:val="nil"/>
            </w:tcBorders>
            <w:noWrap w:val="0"/>
            <w:vAlign w:val="center"/>
          </w:tcPr>
          <w:p w14:paraId="05679AD1">
            <w:pPr>
              <w:pStyle w:val="12"/>
              <w:pageBreakBefore w:val="0"/>
              <w:wordWrap/>
              <w:bidi w:val="0"/>
              <w:adjustRightInd/>
              <w:snapToGrid/>
              <w:rPr>
                <w:color w:val="auto"/>
              </w:rPr>
            </w:pPr>
            <w:r>
              <w:rPr>
                <w:color w:val="auto"/>
              </w:rPr>
              <w:t>DN32</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7836BE0">
            <w:pPr>
              <w:pStyle w:val="12"/>
              <w:pageBreakBefore w:val="0"/>
              <w:wordWrap/>
              <w:bidi w:val="0"/>
              <w:adjustRightInd/>
              <w:snapToGrid/>
              <w:rPr>
                <w:color w:val="auto"/>
              </w:rPr>
            </w:pPr>
          </w:p>
        </w:tc>
        <w:tc>
          <w:tcPr>
            <w:tcW w:w="279" w:type="pct"/>
            <w:tcBorders>
              <w:tl2br w:val="nil"/>
              <w:tr2bl w:val="nil"/>
            </w:tcBorders>
            <w:noWrap w:val="0"/>
            <w:vAlign w:val="center"/>
          </w:tcPr>
          <w:p w14:paraId="7F889277">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4746DFC">
            <w:pPr>
              <w:pStyle w:val="12"/>
              <w:pageBreakBefore w:val="0"/>
              <w:wordWrap/>
              <w:bidi w:val="0"/>
              <w:adjustRightInd/>
              <w:snapToGrid/>
              <w:rPr>
                <w:color w:val="auto"/>
              </w:rPr>
            </w:pPr>
            <w:r>
              <w:rPr>
                <w:color w:val="auto"/>
              </w:rPr>
              <w:t>22</w:t>
            </w:r>
          </w:p>
        </w:tc>
        <w:tc>
          <w:tcPr>
            <w:tcW w:w="1132" w:type="pct"/>
            <w:tcBorders>
              <w:tl2br w:val="nil"/>
              <w:tr2bl w:val="nil"/>
            </w:tcBorders>
            <w:noWrap w:val="0"/>
            <w:vAlign w:val="center"/>
          </w:tcPr>
          <w:p w14:paraId="04904497">
            <w:pPr>
              <w:pStyle w:val="12"/>
              <w:pageBreakBefore w:val="0"/>
              <w:wordWrap/>
              <w:bidi w:val="0"/>
              <w:adjustRightInd/>
              <w:snapToGrid/>
              <w:rPr>
                <w:color w:val="auto"/>
              </w:rPr>
            </w:pPr>
            <w:r>
              <w:rPr>
                <w:color w:val="auto"/>
              </w:rPr>
              <w:t>反冲洗管线</w:t>
            </w:r>
          </w:p>
        </w:tc>
      </w:tr>
      <w:tr w14:paraId="5A846CD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3E5B8423">
            <w:pPr>
              <w:pStyle w:val="12"/>
              <w:pageBreakBefore w:val="0"/>
              <w:wordWrap/>
              <w:bidi w:val="0"/>
              <w:adjustRightInd/>
              <w:snapToGrid/>
              <w:jc w:val="left"/>
              <w:rPr>
                <w:color w:val="auto"/>
              </w:rPr>
            </w:pPr>
            <w:r>
              <w:rPr>
                <w:rFonts w:hint="eastAsia"/>
                <w:b/>
                <w:bCs/>
                <w:color w:val="auto"/>
                <w:lang w:eastAsia="zh-CN"/>
              </w:rPr>
              <w:t>磁混凝沉淀</w:t>
            </w:r>
            <w:r>
              <w:rPr>
                <w:b/>
                <w:bCs/>
                <w:color w:val="auto"/>
              </w:rPr>
              <w:t>-脱水车间主要设备表</w:t>
            </w:r>
          </w:p>
        </w:tc>
      </w:tr>
      <w:tr w14:paraId="594786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8531159">
            <w:pPr>
              <w:pStyle w:val="12"/>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578A4C0F">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0574FFA1">
            <w:pPr>
              <w:pStyle w:val="12"/>
              <w:pageBreakBefore w:val="0"/>
              <w:wordWrap/>
              <w:bidi w:val="0"/>
              <w:adjustRightInd/>
              <w:snapToGrid/>
              <w:rPr>
                <w:b/>
                <w:bCs/>
                <w:color w:val="auto"/>
              </w:rPr>
            </w:pPr>
            <w:r>
              <w:rPr>
                <w:b/>
                <w:bCs/>
                <w:color w:val="auto"/>
              </w:rPr>
              <w:t>型号规格</w:t>
            </w:r>
          </w:p>
        </w:tc>
        <w:tc>
          <w:tcPr>
            <w:tcW w:w="612" w:type="pct"/>
            <w:tcBorders>
              <w:tl2br w:val="nil"/>
              <w:tr2bl w:val="nil"/>
            </w:tcBorders>
            <w:noWrap w:val="0"/>
            <w:vAlign w:val="center"/>
          </w:tcPr>
          <w:p w14:paraId="241F2BFE">
            <w:pPr>
              <w:pStyle w:val="12"/>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3F3D5B78">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09358753">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A5BED62">
            <w:pPr>
              <w:pStyle w:val="12"/>
              <w:pageBreakBefore w:val="0"/>
              <w:wordWrap/>
              <w:bidi w:val="0"/>
              <w:adjustRightInd/>
              <w:snapToGrid/>
              <w:rPr>
                <w:b/>
                <w:bCs/>
                <w:color w:val="auto"/>
              </w:rPr>
            </w:pPr>
            <w:r>
              <w:rPr>
                <w:b/>
                <w:bCs/>
                <w:color w:val="auto"/>
              </w:rPr>
              <w:t>备注</w:t>
            </w:r>
          </w:p>
        </w:tc>
      </w:tr>
      <w:tr w14:paraId="4FC188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9D6F2CB">
            <w:pPr>
              <w:pStyle w:val="12"/>
              <w:pageBreakBefore w:val="0"/>
              <w:wordWrap/>
              <w:bidi w:val="0"/>
              <w:adjustRightInd/>
              <w:snapToGrid/>
              <w:jc w:val="left"/>
              <w:rPr>
                <w:color w:val="auto"/>
              </w:rPr>
            </w:pPr>
            <w:r>
              <w:rPr>
                <w:b/>
                <w:bCs/>
                <w:color w:val="auto"/>
              </w:rPr>
              <w:t>成套絮凝沉淀设备</w:t>
            </w:r>
          </w:p>
        </w:tc>
      </w:tr>
      <w:tr w14:paraId="0077219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4C8321">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8F16927">
            <w:pPr>
              <w:pStyle w:val="12"/>
              <w:pageBreakBefore w:val="0"/>
              <w:wordWrap/>
              <w:bidi w:val="0"/>
              <w:adjustRightInd/>
              <w:snapToGrid/>
              <w:rPr>
                <w:color w:val="auto"/>
              </w:rPr>
            </w:pPr>
            <w:r>
              <w:rPr>
                <w:color w:val="auto"/>
              </w:rPr>
              <w:t>磁介质混凝反应器</w:t>
            </w:r>
          </w:p>
        </w:tc>
        <w:tc>
          <w:tcPr>
            <w:tcW w:w="1532" w:type="pct"/>
            <w:tcBorders>
              <w:tl2br w:val="nil"/>
              <w:tr2bl w:val="nil"/>
            </w:tcBorders>
            <w:noWrap w:val="0"/>
            <w:vAlign w:val="center"/>
          </w:tcPr>
          <w:p w14:paraId="5566B59F">
            <w:pPr>
              <w:pStyle w:val="12"/>
              <w:pageBreakBefore w:val="0"/>
              <w:wordWrap/>
              <w:bidi w:val="0"/>
              <w:adjustRightInd/>
              <w:snapToGrid/>
              <w:rPr>
                <w:color w:val="auto"/>
              </w:rPr>
            </w:pPr>
            <w:r>
              <w:rPr>
                <w:color w:val="auto"/>
              </w:rPr>
              <w:t>设计规模3000</w:t>
            </w:r>
            <w:r>
              <w:rPr>
                <w:rFonts w:hint="eastAsia"/>
                <w:color w:val="auto"/>
                <w:lang w:eastAsia="zh-CN"/>
              </w:rPr>
              <w:t>m³</w:t>
            </w:r>
            <w:r>
              <w:rPr>
                <w:color w:val="auto"/>
              </w:rPr>
              <w:t>/d</w:t>
            </w:r>
            <w:r>
              <w:rPr>
                <w:rFonts w:hint="eastAsia"/>
                <w:color w:val="auto"/>
                <w:lang w:eastAsia="zh-CN"/>
              </w:rPr>
              <w:t>，</w:t>
            </w:r>
            <w:r>
              <w:rPr>
                <w:color w:val="auto"/>
              </w:rPr>
              <w:t>总装机功</w:t>
            </w:r>
            <w:r>
              <w:rPr>
                <w:rFonts w:hint="eastAsia"/>
                <w:color w:val="auto"/>
                <w:lang w:eastAsia="zh-CN"/>
              </w:rPr>
              <w:t>率</w:t>
            </w:r>
            <w:r>
              <w:rPr>
                <w:color w:val="auto"/>
              </w:rPr>
              <w:t>10KW</w:t>
            </w:r>
          </w:p>
        </w:tc>
        <w:tc>
          <w:tcPr>
            <w:tcW w:w="612" w:type="pct"/>
            <w:tcBorders>
              <w:tl2br w:val="nil"/>
              <w:tr2bl w:val="nil"/>
            </w:tcBorders>
            <w:noWrap w:val="0"/>
            <w:vAlign w:val="center"/>
          </w:tcPr>
          <w:p w14:paraId="671FF50E">
            <w:pPr>
              <w:pStyle w:val="12"/>
              <w:pageBreakBefore w:val="0"/>
              <w:wordWrap/>
              <w:bidi w:val="0"/>
              <w:adjustRightInd/>
              <w:snapToGrid/>
              <w:rPr>
                <w:color w:val="auto"/>
              </w:rPr>
            </w:pPr>
          </w:p>
        </w:tc>
        <w:tc>
          <w:tcPr>
            <w:tcW w:w="279" w:type="pct"/>
            <w:tcBorders>
              <w:tl2br w:val="nil"/>
              <w:tr2bl w:val="nil"/>
            </w:tcBorders>
            <w:noWrap w:val="0"/>
            <w:vAlign w:val="center"/>
          </w:tcPr>
          <w:p w14:paraId="3A1AAF3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8089F0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E1BCEDD">
            <w:pPr>
              <w:pStyle w:val="12"/>
              <w:pageBreakBefore w:val="0"/>
              <w:wordWrap/>
              <w:bidi w:val="0"/>
              <w:adjustRightInd/>
              <w:snapToGrid/>
              <w:rPr>
                <w:color w:val="auto"/>
              </w:rPr>
            </w:pPr>
          </w:p>
        </w:tc>
      </w:tr>
      <w:tr w14:paraId="63967F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71DFA8CA">
            <w:pPr>
              <w:pStyle w:val="12"/>
              <w:pageBreakBefore w:val="0"/>
              <w:wordWrap/>
              <w:bidi w:val="0"/>
              <w:adjustRightInd/>
              <w:snapToGrid/>
              <w:rPr>
                <w:color w:val="auto"/>
              </w:rPr>
            </w:pPr>
            <w:r>
              <w:rPr>
                <w:color w:val="auto"/>
              </w:rPr>
              <w:t>附</w:t>
            </w:r>
          </w:p>
        </w:tc>
        <w:tc>
          <w:tcPr>
            <w:tcW w:w="843" w:type="pct"/>
            <w:gridSpan w:val="2"/>
            <w:tcBorders>
              <w:tl2br w:val="nil"/>
              <w:tr2bl w:val="nil"/>
            </w:tcBorders>
            <w:noWrap w:val="0"/>
            <w:vAlign w:val="center"/>
          </w:tcPr>
          <w:p w14:paraId="32CF7AC8">
            <w:pPr>
              <w:pStyle w:val="12"/>
              <w:pageBreakBefore w:val="0"/>
              <w:wordWrap/>
              <w:bidi w:val="0"/>
              <w:adjustRightInd/>
              <w:snapToGrid/>
              <w:rPr>
                <w:color w:val="auto"/>
              </w:rPr>
            </w:pPr>
            <w:r>
              <w:rPr>
                <w:color w:val="auto"/>
              </w:rPr>
              <w:t>磁介质混合搅拌机</w:t>
            </w:r>
          </w:p>
        </w:tc>
        <w:tc>
          <w:tcPr>
            <w:tcW w:w="1532" w:type="pct"/>
            <w:tcBorders>
              <w:tl2br w:val="nil"/>
              <w:tr2bl w:val="nil"/>
            </w:tcBorders>
            <w:noWrap w:val="0"/>
            <w:vAlign w:val="center"/>
          </w:tcPr>
          <w:p w14:paraId="6E5B8578">
            <w:pPr>
              <w:pStyle w:val="12"/>
              <w:pageBreakBefore w:val="0"/>
              <w:wordWrap/>
              <w:bidi w:val="0"/>
              <w:adjustRightInd/>
              <w:snapToGrid/>
              <w:rPr>
                <w:rFonts w:hint="eastAsia" w:eastAsia="宋体"/>
                <w:color w:val="auto"/>
                <w:lang w:eastAsia="zh-CN"/>
              </w:rPr>
            </w:pPr>
            <w:r>
              <w:rPr>
                <w:color w:val="auto"/>
              </w:rPr>
              <w:t>1200×1200×2600</w:t>
            </w:r>
            <w:r>
              <w:rPr>
                <w:rFonts w:hint="eastAsia"/>
                <w:color w:val="auto"/>
                <w:lang w:eastAsia="zh-CN"/>
              </w:rPr>
              <w:t>，</w:t>
            </w:r>
            <w:r>
              <w:rPr>
                <w:color w:val="auto"/>
              </w:rPr>
              <w:t>P=</w:t>
            </w:r>
            <w:r>
              <w:rPr>
                <w:rFonts w:hint="eastAsia"/>
                <w:color w:val="auto"/>
                <w:lang w:eastAsia="zh-CN"/>
              </w:rPr>
              <w:t>1</w:t>
            </w:r>
            <w:r>
              <w:rPr>
                <w:color w:val="auto"/>
              </w:rPr>
              <w:t>.5kW</w:t>
            </w:r>
            <w:r>
              <w:rPr>
                <w:rFonts w:hint="eastAsia"/>
                <w:color w:val="auto"/>
                <w:lang w:eastAsia="zh-CN"/>
              </w:rPr>
              <w:t>，</w:t>
            </w:r>
            <w:r>
              <w:rPr>
                <w:color w:val="auto"/>
              </w:rPr>
              <w:t>i=9.42</w:t>
            </w:r>
            <w:r>
              <w:rPr>
                <w:rFonts w:hint="eastAsia"/>
                <w:color w:val="auto"/>
                <w:lang w:eastAsia="zh-CN"/>
              </w:rPr>
              <w:t>，</w:t>
            </w:r>
            <w:r>
              <w:rPr>
                <w:color w:val="auto"/>
              </w:rPr>
              <w:t>防护等级</w:t>
            </w:r>
            <w:r>
              <w:rPr>
                <w:rFonts w:hint="eastAsia"/>
                <w:color w:val="auto"/>
                <w:lang w:eastAsia="zh-CN"/>
              </w:rPr>
              <w:t>：</w:t>
            </w:r>
            <w:r>
              <w:rPr>
                <w:color w:val="auto"/>
              </w:rPr>
              <w:t>IP55</w:t>
            </w:r>
            <w:r>
              <w:rPr>
                <w:rFonts w:hint="eastAsia"/>
                <w:color w:val="auto"/>
                <w:lang w:eastAsia="zh-CN"/>
              </w:rPr>
              <w:t>磁混凝沉淀</w:t>
            </w:r>
            <w:r>
              <w:rPr>
                <w:color w:val="auto"/>
              </w:rPr>
              <w:t>车间主要设备表</w:t>
            </w:r>
            <w:r>
              <w:rPr>
                <w:rFonts w:hint="eastAsia"/>
                <w:color w:val="auto"/>
                <w:lang w:eastAsia="zh-CN"/>
              </w:rPr>
              <w:t>（</w:t>
            </w:r>
            <w:r>
              <w:rPr>
                <w:color w:val="auto"/>
              </w:rPr>
              <w:t>设备成套采购</w:t>
            </w:r>
            <w:r>
              <w:rPr>
                <w:rFonts w:hint="eastAsia"/>
                <w:color w:val="auto"/>
                <w:lang w:eastAsia="zh-CN"/>
              </w:rPr>
              <w:t>）</w:t>
            </w:r>
          </w:p>
        </w:tc>
        <w:tc>
          <w:tcPr>
            <w:tcW w:w="612" w:type="pct"/>
            <w:tcBorders>
              <w:tl2br w:val="nil"/>
              <w:tr2bl w:val="nil"/>
            </w:tcBorders>
            <w:noWrap w:val="0"/>
            <w:vAlign w:val="center"/>
          </w:tcPr>
          <w:p w14:paraId="2335DD26">
            <w:pPr>
              <w:pStyle w:val="12"/>
              <w:pageBreakBefore w:val="0"/>
              <w:wordWrap/>
              <w:bidi w:val="0"/>
              <w:adjustRightInd/>
              <w:snapToGrid/>
              <w:rPr>
                <w:color w:val="auto"/>
              </w:rPr>
            </w:pPr>
            <w:r>
              <w:rPr>
                <w:color w:val="auto"/>
              </w:rPr>
              <w:t>搅拌304不锈钢材质</w:t>
            </w:r>
            <w:r>
              <w:rPr>
                <w:rFonts w:hint="eastAsia"/>
                <w:color w:val="auto"/>
                <w:lang w:eastAsia="zh-CN"/>
              </w:rPr>
              <w:t>，</w:t>
            </w:r>
            <w:r>
              <w:rPr>
                <w:color w:val="auto"/>
              </w:rPr>
              <w:t>带导流筒</w:t>
            </w:r>
          </w:p>
        </w:tc>
        <w:tc>
          <w:tcPr>
            <w:tcW w:w="279" w:type="pct"/>
            <w:tcBorders>
              <w:tl2br w:val="nil"/>
              <w:tr2bl w:val="nil"/>
            </w:tcBorders>
            <w:noWrap w:val="0"/>
            <w:vAlign w:val="center"/>
          </w:tcPr>
          <w:p w14:paraId="34E529C8">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23A954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9A04B34">
            <w:pPr>
              <w:pStyle w:val="12"/>
              <w:pageBreakBefore w:val="0"/>
              <w:wordWrap/>
              <w:bidi w:val="0"/>
              <w:adjustRightInd/>
              <w:snapToGrid/>
              <w:rPr>
                <w:color w:val="auto"/>
              </w:rPr>
            </w:pPr>
          </w:p>
        </w:tc>
      </w:tr>
      <w:tr w14:paraId="39B577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4AFCCF68">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38C3E61A">
            <w:pPr>
              <w:pStyle w:val="12"/>
              <w:pageBreakBefore w:val="0"/>
              <w:wordWrap/>
              <w:bidi w:val="0"/>
              <w:adjustRightInd/>
              <w:snapToGrid/>
              <w:rPr>
                <w:color w:val="auto"/>
              </w:rPr>
            </w:pPr>
            <w:r>
              <w:rPr>
                <w:color w:val="auto"/>
              </w:rPr>
              <w:t>絮凝反应搅拌机</w:t>
            </w:r>
          </w:p>
        </w:tc>
        <w:tc>
          <w:tcPr>
            <w:tcW w:w="1532" w:type="pct"/>
            <w:tcBorders>
              <w:tl2br w:val="nil"/>
              <w:tr2bl w:val="nil"/>
            </w:tcBorders>
            <w:noWrap w:val="0"/>
            <w:vAlign w:val="center"/>
          </w:tcPr>
          <w:p w14:paraId="543F8B84">
            <w:pPr>
              <w:pStyle w:val="12"/>
              <w:pageBreakBefore w:val="0"/>
              <w:wordWrap/>
              <w:bidi w:val="0"/>
              <w:adjustRightInd/>
              <w:snapToGrid/>
              <w:rPr>
                <w:color w:val="auto"/>
              </w:rPr>
            </w:pPr>
            <w:r>
              <w:rPr>
                <w:color w:val="auto"/>
              </w:rPr>
              <w:t>1700×1700×2600</w:t>
            </w:r>
            <w:r>
              <w:rPr>
                <w:rFonts w:hint="eastAsia"/>
                <w:color w:val="auto"/>
                <w:lang w:eastAsia="zh-CN"/>
              </w:rPr>
              <w:t>，</w:t>
            </w:r>
            <w:r>
              <w:rPr>
                <w:color w:val="auto"/>
              </w:rPr>
              <w:t>P=</w:t>
            </w:r>
            <w:r>
              <w:rPr>
                <w:rFonts w:hint="eastAsia"/>
                <w:color w:val="auto"/>
                <w:lang w:eastAsia="zh-CN"/>
              </w:rPr>
              <w:t>1</w:t>
            </w:r>
            <w:r>
              <w:rPr>
                <w:color w:val="auto"/>
              </w:rPr>
              <w:t>.1kW</w:t>
            </w:r>
            <w:r>
              <w:rPr>
                <w:rFonts w:hint="eastAsia"/>
                <w:color w:val="auto"/>
                <w:lang w:eastAsia="zh-CN"/>
              </w:rPr>
              <w:t>，</w:t>
            </w:r>
            <w:r>
              <w:rPr>
                <w:color w:val="auto"/>
              </w:rPr>
              <w:t>i=18.84</w:t>
            </w:r>
            <w:r>
              <w:rPr>
                <w:rFonts w:hint="eastAsia"/>
                <w:color w:val="auto"/>
                <w:lang w:eastAsia="zh-CN"/>
              </w:rPr>
              <w:t>，</w:t>
            </w:r>
            <w:r>
              <w:rPr>
                <w:color w:val="auto"/>
              </w:rPr>
              <w:t>防护等级</w:t>
            </w:r>
            <w:r>
              <w:rPr>
                <w:rFonts w:hint="eastAsia"/>
                <w:color w:val="auto"/>
                <w:lang w:eastAsia="zh-CN"/>
              </w:rPr>
              <w:t>：</w:t>
            </w:r>
            <w:r>
              <w:rPr>
                <w:color w:val="auto"/>
              </w:rPr>
              <w:t>IP55</w:t>
            </w:r>
          </w:p>
        </w:tc>
        <w:tc>
          <w:tcPr>
            <w:tcW w:w="612" w:type="pct"/>
            <w:tcBorders>
              <w:tl2br w:val="nil"/>
              <w:tr2bl w:val="nil"/>
            </w:tcBorders>
            <w:noWrap w:val="0"/>
            <w:vAlign w:val="center"/>
          </w:tcPr>
          <w:p w14:paraId="1C245051">
            <w:pPr>
              <w:pStyle w:val="12"/>
              <w:pageBreakBefore w:val="0"/>
              <w:wordWrap/>
              <w:bidi w:val="0"/>
              <w:adjustRightInd/>
              <w:snapToGrid/>
              <w:rPr>
                <w:color w:val="auto"/>
              </w:rPr>
            </w:pPr>
            <w:r>
              <w:rPr>
                <w:color w:val="auto"/>
              </w:rPr>
              <w:t>搅拌304不锈钢材质</w:t>
            </w:r>
            <w:r>
              <w:rPr>
                <w:rFonts w:hint="eastAsia"/>
                <w:color w:val="auto"/>
                <w:lang w:eastAsia="zh-CN"/>
              </w:rPr>
              <w:t>，</w:t>
            </w:r>
            <w:r>
              <w:rPr>
                <w:color w:val="auto"/>
              </w:rPr>
              <w:t>带导流筒</w:t>
            </w:r>
          </w:p>
        </w:tc>
        <w:tc>
          <w:tcPr>
            <w:tcW w:w="279" w:type="pct"/>
            <w:tcBorders>
              <w:tl2br w:val="nil"/>
              <w:tr2bl w:val="nil"/>
            </w:tcBorders>
            <w:noWrap w:val="0"/>
            <w:vAlign w:val="center"/>
          </w:tcPr>
          <w:p w14:paraId="661357B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A81E48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471403E">
            <w:pPr>
              <w:pStyle w:val="12"/>
              <w:pageBreakBefore w:val="0"/>
              <w:wordWrap/>
              <w:bidi w:val="0"/>
              <w:adjustRightInd/>
              <w:snapToGrid/>
              <w:rPr>
                <w:color w:val="auto"/>
              </w:rPr>
            </w:pPr>
          </w:p>
        </w:tc>
      </w:tr>
      <w:tr w14:paraId="6AE3A04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58C0C195">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7594C8DD">
            <w:pPr>
              <w:pStyle w:val="12"/>
              <w:pageBreakBefore w:val="0"/>
              <w:wordWrap/>
              <w:bidi w:val="0"/>
              <w:adjustRightInd/>
              <w:snapToGrid/>
              <w:rPr>
                <w:color w:val="auto"/>
              </w:rPr>
            </w:pPr>
            <w:r>
              <w:rPr>
                <w:color w:val="auto"/>
              </w:rPr>
              <w:t>磁介质沉淀池</w:t>
            </w:r>
          </w:p>
        </w:tc>
        <w:tc>
          <w:tcPr>
            <w:tcW w:w="1532" w:type="pct"/>
            <w:tcBorders>
              <w:tl2br w:val="nil"/>
              <w:tr2bl w:val="nil"/>
            </w:tcBorders>
            <w:noWrap w:val="0"/>
            <w:vAlign w:val="center"/>
          </w:tcPr>
          <w:p w14:paraId="5EB3359A">
            <w:pPr>
              <w:pStyle w:val="12"/>
              <w:pageBreakBefore w:val="0"/>
              <w:wordWrap/>
              <w:bidi w:val="0"/>
              <w:adjustRightInd/>
              <w:snapToGrid/>
              <w:rPr>
                <w:color w:val="auto"/>
              </w:rPr>
            </w:pPr>
            <w:r>
              <w:rPr>
                <w:color w:val="auto"/>
              </w:rPr>
              <w:t>3400×3400×3550</w:t>
            </w:r>
            <w:r>
              <w:rPr>
                <w:rFonts w:hint="eastAsia"/>
                <w:color w:val="auto"/>
                <w:lang w:eastAsia="zh-CN"/>
              </w:rPr>
              <w:t>，</w:t>
            </w:r>
            <w:r>
              <w:rPr>
                <w:color w:val="auto"/>
              </w:rPr>
              <w:t>内装斜管填料斜长</w:t>
            </w:r>
            <w:r>
              <w:rPr>
                <w:rFonts w:hint="eastAsia"/>
                <w:color w:val="auto"/>
                <w:lang w:eastAsia="zh-CN"/>
              </w:rPr>
              <w:t>1</w:t>
            </w:r>
            <w:r>
              <w:rPr>
                <w:color w:val="auto"/>
              </w:rPr>
              <w:t>000mm斜管沉淀和刮泥机</w:t>
            </w:r>
          </w:p>
        </w:tc>
        <w:tc>
          <w:tcPr>
            <w:tcW w:w="612" w:type="pct"/>
            <w:tcBorders>
              <w:tl2br w:val="nil"/>
              <w:tr2bl w:val="nil"/>
            </w:tcBorders>
            <w:noWrap w:val="0"/>
            <w:vAlign w:val="center"/>
          </w:tcPr>
          <w:p w14:paraId="092A7CB2">
            <w:pPr>
              <w:pStyle w:val="12"/>
              <w:pageBreakBefore w:val="0"/>
              <w:wordWrap/>
              <w:bidi w:val="0"/>
              <w:adjustRightInd/>
              <w:snapToGrid/>
              <w:rPr>
                <w:color w:val="auto"/>
              </w:rPr>
            </w:pPr>
            <w:r>
              <w:rPr>
                <w:color w:val="auto"/>
              </w:rPr>
              <w:t>碳钢防腐</w:t>
            </w:r>
            <w:r>
              <w:rPr>
                <w:rFonts w:hint="eastAsia"/>
                <w:color w:val="auto"/>
                <w:lang w:eastAsia="zh-CN"/>
              </w:rPr>
              <w:t>，</w:t>
            </w:r>
            <w:r>
              <w:rPr>
                <w:color w:val="auto"/>
              </w:rPr>
              <w:t>集装箱外</w:t>
            </w:r>
            <w:r>
              <w:rPr>
                <w:rFonts w:hint="eastAsia"/>
                <w:color w:val="auto"/>
                <w:lang w:eastAsia="zh-CN"/>
              </w:rPr>
              <w:t>，</w:t>
            </w:r>
            <w:r>
              <w:rPr>
                <w:color w:val="auto"/>
              </w:rPr>
              <w:t>需现场拼装</w:t>
            </w:r>
          </w:p>
        </w:tc>
        <w:tc>
          <w:tcPr>
            <w:tcW w:w="279" w:type="pct"/>
            <w:tcBorders>
              <w:tl2br w:val="nil"/>
              <w:tr2bl w:val="nil"/>
            </w:tcBorders>
            <w:noWrap w:val="0"/>
            <w:vAlign w:val="center"/>
          </w:tcPr>
          <w:p w14:paraId="6A6C34C1">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9DC082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5DA5EAB">
            <w:pPr>
              <w:pStyle w:val="12"/>
              <w:pageBreakBefore w:val="0"/>
              <w:wordWrap/>
              <w:bidi w:val="0"/>
              <w:adjustRightInd/>
              <w:snapToGrid/>
              <w:rPr>
                <w:color w:val="auto"/>
              </w:rPr>
            </w:pPr>
          </w:p>
        </w:tc>
      </w:tr>
      <w:tr w14:paraId="0EC463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A65ADF2">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261E3423">
            <w:pPr>
              <w:pStyle w:val="12"/>
              <w:pageBreakBefore w:val="0"/>
              <w:wordWrap/>
              <w:bidi w:val="0"/>
              <w:adjustRightInd/>
              <w:snapToGrid/>
              <w:rPr>
                <w:color w:val="auto"/>
              </w:rPr>
            </w:pPr>
            <w:r>
              <w:rPr>
                <w:color w:val="auto"/>
              </w:rPr>
              <w:t>CT</w:t>
            </w:r>
            <w:r>
              <w:rPr>
                <w:rFonts w:hint="eastAsia"/>
                <w:color w:val="auto"/>
                <w:lang w:eastAsia="zh-CN"/>
              </w:rPr>
              <w:t>，</w:t>
            </w:r>
            <w:r>
              <w:rPr>
                <w:color w:val="auto"/>
              </w:rPr>
              <w:t>中心传动刮泥机</w:t>
            </w:r>
          </w:p>
        </w:tc>
        <w:tc>
          <w:tcPr>
            <w:tcW w:w="1532" w:type="pct"/>
            <w:tcBorders>
              <w:tl2br w:val="nil"/>
              <w:tr2bl w:val="nil"/>
            </w:tcBorders>
            <w:noWrap w:val="0"/>
            <w:vAlign w:val="center"/>
          </w:tcPr>
          <w:p w14:paraId="56451998">
            <w:pPr>
              <w:pStyle w:val="12"/>
              <w:pageBreakBefore w:val="0"/>
              <w:wordWrap/>
              <w:bidi w:val="0"/>
              <w:adjustRightInd/>
              <w:snapToGrid/>
              <w:rPr>
                <w:color w:val="auto"/>
              </w:rPr>
            </w:pPr>
            <w:r>
              <w:rPr>
                <w:color w:val="auto"/>
              </w:rPr>
              <w:t>P=0.25kW</w:t>
            </w:r>
            <w:r>
              <w:rPr>
                <w:rFonts w:hint="eastAsia"/>
                <w:color w:val="auto"/>
                <w:lang w:eastAsia="zh-CN"/>
              </w:rPr>
              <w:t>，</w:t>
            </w:r>
            <w:r>
              <w:rPr>
                <w:color w:val="auto"/>
              </w:rPr>
              <w:t>外缘线速度</w:t>
            </w:r>
            <w:r>
              <w:rPr>
                <w:rFonts w:hint="eastAsia"/>
                <w:color w:val="auto"/>
                <w:lang w:eastAsia="zh-CN"/>
              </w:rPr>
              <w:t>1</w:t>
            </w:r>
            <w:r>
              <w:rPr>
                <w:color w:val="auto"/>
              </w:rPr>
              <w:t>.8m/min</w:t>
            </w:r>
          </w:p>
        </w:tc>
        <w:tc>
          <w:tcPr>
            <w:tcW w:w="612" w:type="pct"/>
            <w:tcBorders>
              <w:tl2br w:val="nil"/>
              <w:tr2bl w:val="nil"/>
            </w:tcBorders>
            <w:noWrap w:val="0"/>
            <w:vAlign w:val="center"/>
          </w:tcPr>
          <w:p w14:paraId="33B1C178">
            <w:pPr>
              <w:pStyle w:val="12"/>
              <w:pageBreakBefore w:val="0"/>
              <w:wordWrap/>
              <w:bidi w:val="0"/>
              <w:adjustRightInd/>
              <w:snapToGrid/>
              <w:rPr>
                <w:color w:val="auto"/>
              </w:rPr>
            </w:pPr>
            <w:r>
              <w:rPr>
                <w:color w:val="auto"/>
              </w:rPr>
              <w:t>刮泥机304不锈钢材质</w:t>
            </w:r>
          </w:p>
        </w:tc>
        <w:tc>
          <w:tcPr>
            <w:tcW w:w="279" w:type="pct"/>
            <w:tcBorders>
              <w:tl2br w:val="nil"/>
              <w:tr2bl w:val="nil"/>
            </w:tcBorders>
            <w:noWrap w:val="0"/>
            <w:vAlign w:val="center"/>
          </w:tcPr>
          <w:p w14:paraId="0DB6B659">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0B71FE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489D001">
            <w:pPr>
              <w:pStyle w:val="12"/>
              <w:pageBreakBefore w:val="0"/>
              <w:wordWrap/>
              <w:bidi w:val="0"/>
              <w:adjustRightInd/>
              <w:snapToGrid/>
              <w:rPr>
                <w:color w:val="auto"/>
              </w:rPr>
            </w:pPr>
          </w:p>
        </w:tc>
      </w:tr>
      <w:tr w14:paraId="4345E0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F6BF659">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65F5CBE4">
            <w:pPr>
              <w:pStyle w:val="12"/>
              <w:pageBreakBefore w:val="0"/>
              <w:wordWrap/>
              <w:bidi w:val="0"/>
              <w:adjustRightInd/>
              <w:snapToGrid/>
              <w:rPr>
                <w:color w:val="auto"/>
              </w:rPr>
            </w:pPr>
            <w:r>
              <w:rPr>
                <w:color w:val="auto"/>
              </w:rPr>
              <w:t>污泥回流泵</w:t>
            </w:r>
          </w:p>
        </w:tc>
        <w:tc>
          <w:tcPr>
            <w:tcW w:w="1532" w:type="pct"/>
            <w:tcBorders>
              <w:tl2br w:val="nil"/>
              <w:tr2bl w:val="nil"/>
            </w:tcBorders>
            <w:noWrap w:val="0"/>
            <w:vAlign w:val="center"/>
          </w:tcPr>
          <w:p w14:paraId="52E1DB97">
            <w:pPr>
              <w:pStyle w:val="12"/>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流量10</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w:t>
            </w:r>
            <w:r>
              <w:rPr>
                <w:rFonts w:hint="eastAsia"/>
                <w:color w:val="auto"/>
                <w:lang w:eastAsia="zh-CN"/>
              </w:rPr>
              <w:t>，</w:t>
            </w:r>
            <w:r>
              <w:rPr>
                <w:color w:val="auto"/>
              </w:rPr>
              <w:t>P=2.2kW</w:t>
            </w:r>
            <w:r>
              <w:rPr>
                <w:rFonts w:hint="eastAsia"/>
                <w:color w:val="auto"/>
                <w:lang w:eastAsia="zh-CN"/>
              </w:rPr>
              <w:t>，</w:t>
            </w:r>
            <w:r>
              <w:rPr>
                <w:color w:val="auto"/>
              </w:rPr>
              <w:t>进出口</w:t>
            </w:r>
            <w:r>
              <w:rPr>
                <w:rFonts w:hint="eastAsia"/>
                <w:color w:val="auto"/>
                <w:lang w:eastAsia="zh-CN"/>
              </w:rPr>
              <w:t>：</w:t>
            </w:r>
            <w:r>
              <w:rPr>
                <w:color w:val="auto"/>
              </w:rPr>
              <w:t>DN65</w:t>
            </w:r>
          </w:p>
        </w:tc>
        <w:tc>
          <w:tcPr>
            <w:tcW w:w="612" w:type="pct"/>
            <w:tcBorders>
              <w:tl2br w:val="nil"/>
              <w:tr2bl w:val="nil"/>
            </w:tcBorders>
            <w:noWrap w:val="0"/>
            <w:vAlign w:val="center"/>
          </w:tcPr>
          <w:p w14:paraId="0D0DD1FB">
            <w:pPr>
              <w:pStyle w:val="12"/>
              <w:pageBreakBefore w:val="0"/>
              <w:wordWrap/>
              <w:bidi w:val="0"/>
              <w:adjustRightInd/>
              <w:snapToGrid/>
              <w:rPr>
                <w:color w:val="auto"/>
              </w:rPr>
            </w:pPr>
            <w:r>
              <w:rPr>
                <w:color w:val="auto"/>
              </w:rPr>
              <w:t>变频调速</w:t>
            </w:r>
          </w:p>
        </w:tc>
        <w:tc>
          <w:tcPr>
            <w:tcW w:w="279" w:type="pct"/>
            <w:tcBorders>
              <w:tl2br w:val="nil"/>
              <w:tr2bl w:val="nil"/>
            </w:tcBorders>
            <w:noWrap w:val="0"/>
            <w:vAlign w:val="center"/>
          </w:tcPr>
          <w:p w14:paraId="04347279">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63584F3">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8A2ABA2">
            <w:pPr>
              <w:pStyle w:val="12"/>
              <w:pageBreakBefore w:val="0"/>
              <w:wordWrap/>
              <w:bidi w:val="0"/>
              <w:adjustRightInd/>
              <w:snapToGrid/>
              <w:rPr>
                <w:color w:val="auto"/>
              </w:rPr>
            </w:pPr>
          </w:p>
        </w:tc>
      </w:tr>
      <w:tr w14:paraId="5E1822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122CBA59">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3EBC2657">
            <w:pPr>
              <w:pStyle w:val="12"/>
              <w:pageBreakBefore w:val="0"/>
              <w:wordWrap/>
              <w:bidi w:val="0"/>
              <w:adjustRightInd/>
              <w:snapToGrid/>
              <w:rPr>
                <w:color w:val="auto"/>
              </w:rPr>
            </w:pPr>
            <w:r>
              <w:rPr>
                <w:color w:val="auto"/>
              </w:rPr>
              <w:t>剩余污泥泵</w:t>
            </w:r>
          </w:p>
        </w:tc>
        <w:tc>
          <w:tcPr>
            <w:tcW w:w="1532" w:type="pct"/>
            <w:tcBorders>
              <w:tl2br w:val="nil"/>
              <w:tr2bl w:val="nil"/>
            </w:tcBorders>
            <w:noWrap w:val="0"/>
            <w:vAlign w:val="center"/>
          </w:tcPr>
          <w:p w14:paraId="69D0E35F">
            <w:pPr>
              <w:pStyle w:val="12"/>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流量5</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5mP=</w:t>
            </w:r>
            <w:r>
              <w:rPr>
                <w:rFonts w:hint="eastAsia"/>
                <w:color w:val="auto"/>
                <w:lang w:eastAsia="zh-CN"/>
              </w:rPr>
              <w:t>1</w:t>
            </w:r>
            <w:r>
              <w:rPr>
                <w:color w:val="auto"/>
              </w:rPr>
              <w:t>.5kW</w:t>
            </w:r>
            <w:r>
              <w:rPr>
                <w:rFonts w:hint="eastAsia"/>
                <w:color w:val="auto"/>
                <w:lang w:eastAsia="zh-CN"/>
              </w:rPr>
              <w:t>，</w:t>
            </w:r>
            <w:r>
              <w:rPr>
                <w:color w:val="auto"/>
              </w:rPr>
              <w:t>进出口</w:t>
            </w:r>
            <w:r>
              <w:rPr>
                <w:rFonts w:hint="eastAsia"/>
                <w:color w:val="auto"/>
                <w:lang w:eastAsia="zh-CN"/>
              </w:rPr>
              <w:t>：</w:t>
            </w:r>
            <w:r>
              <w:rPr>
                <w:color w:val="auto"/>
              </w:rPr>
              <w:t>DN40</w:t>
            </w:r>
          </w:p>
        </w:tc>
        <w:tc>
          <w:tcPr>
            <w:tcW w:w="612" w:type="pct"/>
            <w:tcBorders>
              <w:tl2br w:val="nil"/>
              <w:tr2bl w:val="nil"/>
            </w:tcBorders>
            <w:noWrap w:val="0"/>
            <w:vAlign w:val="center"/>
          </w:tcPr>
          <w:p w14:paraId="2FD7C9B4">
            <w:pPr>
              <w:pStyle w:val="12"/>
              <w:pageBreakBefore w:val="0"/>
              <w:wordWrap/>
              <w:bidi w:val="0"/>
              <w:adjustRightInd/>
              <w:snapToGrid/>
              <w:rPr>
                <w:color w:val="auto"/>
              </w:rPr>
            </w:pPr>
            <w:r>
              <w:rPr>
                <w:color w:val="auto"/>
              </w:rPr>
              <w:t>变频调速</w:t>
            </w:r>
          </w:p>
        </w:tc>
        <w:tc>
          <w:tcPr>
            <w:tcW w:w="279" w:type="pct"/>
            <w:tcBorders>
              <w:tl2br w:val="nil"/>
              <w:tr2bl w:val="nil"/>
            </w:tcBorders>
            <w:noWrap w:val="0"/>
            <w:vAlign w:val="center"/>
          </w:tcPr>
          <w:p w14:paraId="3A37637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3FA1F1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B875ABB">
            <w:pPr>
              <w:pStyle w:val="12"/>
              <w:pageBreakBefore w:val="0"/>
              <w:wordWrap/>
              <w:bidi w:val="0"/>
              <w:adjustRightInd/>
              <w:snapToGrid/>
              <w:rPr>
                <w:color w:val="auto"/>
              </w:rPr>
            </w:pPr>
          </w:p>
        </w:tc>
      </w:tr>
      <w:tr w14:paraId="7BB7A1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4795656C">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14C44358">
            <w:pPr>
              <w:pStyle w:val="12"/>
              <w:pageBreakBefore w:val="0"/>
              <w:wordWrap/>
              <w:bidi w:val="0"/>
              <w:adjustRightInd/>
              <w:snapToGrid/>
              <w:rPr>
                <w:color w:val="auto"/>
              </w:rPr>
            </w:pPr>
            <w:r>
              <w:rPr>
                <w:color w:val="auto"/>
              </w:rPr>
              <w:t>磁回收机</w:t>
            </w:r>
          </w:p>
        </w:tc>
        <w:tc>
          <w:tcPr>
            <w:tcW w:w="1532" w:type="pct"/>
            <w:tcBorders>
              <w:tl2br w:val="nil"/>
              <w:tr2bl w:val="nil"/>
            </w:tcBorders>
            <w:noWrap w:val="0"/>
            <w:vAlign w:val="center"/>
          </w:tcPr>
          <w:p w14:paraId="5565D0EC">
            <w:pPr>
              <w:pStyle w:val="12"/>
              <w:pageBreakBefore w:val="0"/>
              <w:wordWrap/>
              <w:bidi w:val="0"/>
              <w:adjustRightInd/>
              <w:snapToGrid/>
              <w:rPr>
                <w:color w:val="auto"/>
              </w:rPr>
            </w:pPr>
            <w:r>
              <w:rPr>
                <w:color w:val="auto"/>
              </w:rPr>
              <w:t>处理量3</w:t>
            </w:r>
            <w:r>
              <w:rPr>
                <w:rFonts w:hint="eastAsia"/>
                <w:color w:val="auto"/>
                <w:lang w:eastAsia="zh-CN"/>
              </w:rPr>
              <w:t>m³</w:t>
            </w:r>
            <w:r>
              <w:rPr>
                <w:color w:val="auto"/>
              </w:rPr>
              <w:t>/h</w:t>
            </w:r>
            <w:r>
              <w:rPr>
                <w:rFonts w:hint="eastAsia"/>
                <w:color w:val="auto"/>
                <w:lang w:eastAsia="zh-CN"/>
              </w:rPr>
              <w:t>，</w:t>
            </w:r>
            <w:r>
              <w:rPr>
                <w:color w:val="auto"/>
              </w:rPr>
              <w:t>功率0.75kW</w:t>
            </w:r>
            <w:r>
              <w:rPr>
                <w:rFonts w:hint="eastAsia"/>
                <w:color w:val="auto"/>
                <w:lang w:eastAsia="zh-CN"/>
              </w:rPr>
              <w:t>，</w:t>
            </w:r>
            <w:r>
              <w:rPr>
                <w:color w:val="auto"/>
              </w:rPr>
              <w:t>外形尺寸930×962×900mm</w:t>
            </w:r>
          </w:p>
        </w:tc>
        <w:tc>
          <w:tcPr>
            <w:tcW w:w="612" w:type="pct"/>
            <w:tcBorders>
              <w:tl2br w:val="nil"/>
              <w:tr2bl w:val="nil"/>
            </w:tcBorders>
            <w:noWrap w:val="0"/>
            <w:vAlign w:val="center"/>
          </w:tcPr>
          <w:p w14:paraId="231096B5">
            <w:pPr>
              <w:pStyle w:val="12"/>
              <w:pageBreakBefore w:val="0"/>
              <w:wordWrap/>
              <w:bidi w:val="0"/>
              <w:adjustRightInd/>
              <w:snapToGrid/>
              <w:rPr>
                <w:color w:val="auto"/>
              </w:rPr>
            </w:pPr>
            <w:r>
              <w:rPr>
                <w:color w:val="auto"/>
              </w:rPr>
              <w:t>磁辊表面304材质</w:t>
            </w:r>
          </w:p>
        </w:tc>
        <w:tc>
          <w:tcPr>
            <w:tcW w:w="279" w:type="pct"/>
            <w:tcBorders>
              <w:tl2br w:val="nil"/>
              <w:tr2bl w:val="nil"/>
            </w:tcBorders>
            <w:noWrap w:val="0"/>
            <w:vAlign w:val="center"/>
          </w:tcPr>
          <w:p w14:paraId="2C5530D9">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A86A2F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D3D59DD">
            <w:pPr>
              <w:pStyle w:val="12"/>
              <w:pageBreakBefore w:val="0"/>
              <w:wordWrap/>
              <w:bidi w:val="0"/>
              <w:adjustRightInd/>
              <w:snapToGrid/>
              <w:rPr>
                <w:color w:val="auto"/>
              </w:rPr>
            </w:pPr>
          </w:p>
        </w:tc>
      </w:tr>
      <w:tr w14:paraId="13F71B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068079B">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75CF4742">
            <w:pPr>
              <w:pStyle w:val="12"/>
              <w:pageBreakBefore w:val="0"/>
              <w:wordWrap/>
              <w:bidi w:val="0"/>
              <w:adjustRightInd/>
              <w:snapToGrid/>
              <w:rPr>
                <w:color w:val="auto"/>
              </w:rPr>
            </w:pPr>
            <w:r>
              <w:rPr>
                <w:color w:val="auto"/>
              </w:rPr>
              <w:t>污泥中转池</w:t>
            </w:r>
          </w:p>
        </w:tc>
        <w:tc>
          <w:tcPr>
            <w:tcW w:w="1532" w:type="pct"/>
            <w:tcBorders>
              <w:tl2br w:val="nil"/>
              <w:tr2bl w:val="nil"/>
            </w:tcBorders>
            <w:noWrap w:val="0"/>
            <w:vAlign w:val="center"/>
          </w:tcPr>
          <w:p w14:paraId="51360728">
            <w:pPr>
              <w:pStyle w:val="12"/>
              <w:pageBreakBefore w:val="0"/>
              <w:wordWrap/>
              <w:bidi w:val="0"/>
              <w:adjustRightInd/>
              <w:snapToGrid/>
              <w:rPr>
                <w:color w:val="auto"/>
              </w:rPr>
            </w:pPr>
            <w:r>
              <w:rPr>
                <w:color w:val="auto"/>
              </w:rPr>
              <w:t>设备外形尺寸</w:t>
            </w:r>
            <w:r>
              <w:rPr>
                <w:rFonts w:hint="eastAsia"/>
                <w:color w:val="auto"/>
                <w:lang w:eastAsia="zh-CN"/>
              </w:rPr>
              <w:t>：</w:t>
            </w:r>
            <w:r>
              <w:rPr>
                <w:color w:val="auto"/>
              </w:rPr>
              <w:t>900×900×1700mm</w:t>
            </w:r>
            <w:r>
              <w:rPr>
                <w:rFonts w:hint="eastAsia"/>
                <w:color w:val="auto"/>
                <w:lang w:eastAsia="zh-CN"/>
              </w:rPr>
              <w:t>，</w:t>
            </w:r>
            <w:r>
              <w:rPr>
                <w:color w:val="auto"/>
              </w:rPr>
              <w:t>含液位控制</w:t>
            </w:r>
          </w:p>
        </w:tc>
        <w:tc>
          <w:tcPr>
            <w:tcW w:w="612" w:type="pct"/>
            <w:tcBorders>
              <w:tl2br w:val="nil"/>
              <w:tr2bl w:val="nil"/>
            </w:tcBorders>
            <w:noWrap w:val="0"/>
            <w:vAlign w:val="center"/>
          </w:tcPr>
          <w:p w14:paraId="41480CA0">
            <w:pPr>
              <w:pStyle w:val="12"/>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6104F49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DEF6EE3">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DB62E01">
            <w:pPr>
              <w:pStyle w:val="12"/>
              <w:pageBreakBefore w:val="0"/>
              <w:wordWrap/>
              <w:bidi w:val="0"/>
              <w:adjustRightInd/>
              <w:snapToGrid/>
              <w:rPr>
                <w:color w:val="auto"/>
              </w:rPr>
            </w:pPr>
          </w:p>
        </w:tc>
      </w:tr>
      <w:tr w14:paraId="6B4F374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651B6A6">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1D7B9931">
            <w:pPr>
              <w:pStyle w:val="12"/>
              <w:pageBreakBefore w:val="0"/>
              <w:wordWrap/>
              <w:bidi w:val="0"/>
              <w:adjustRightInd/>
              <w:snapToGrid/>
              <w:rPr>
                <w:color w:val="auto"/>
              </w:rPr>
            </w:pPr>
            <w:r>
              <w:rPr>
                <w:color w:val="auto"/>
              </w:rPr>
              <w:t>污泥泵</w:t>
            </w:r>
          </w:p>
        </w:tc>
        <w:tc>
          <w:tcPr>
            <w:tcW w:w="1532" w:type="pct"/>
            <w:tcBorders>
              <w:tl2br w:val="nil"/>
              <w:tr2bl w:val="nil"/>
            </w:tcBorders>
            <w:noWrap w:val="0"/>
            <w:vAlign w:val="center"/>
          </w:tcPr>
          <w:p w14:paraId="723B73DB">
            <w:pPr>
              <w:pStyle w:val="12"/>
              <w:pageBreakBefore w:val="0"/>
              <w:wordWrap/>
              <w:bidi w:val="0"/>
              <w:adjustRightInd/>
              <w:snapToGrid/>
              <w:rPr>
                <w:color w:val="auto"/>
              </w:rPr>
            </w:pPr>
            <w:r>
              <w:rPr>
                <w:color w:val="auto"/>
              </w:rPr>
              <w:t>设备外形尺寸</w:t>
            </w:r>
            <w:r>
              <w:rPr>
                <w:rFonts w:hint="eastAsia"/>
                <w:color w:val="auto"/>
                <w:lang w:eastAsia="zh-CN"/>
              </w:rPr>
              <w:t>：</w:t>
            </w:r>
            <w:r>
              <w:rPr>
                <w:color w:val="auto"/>
              </w:rPr>
              <w:t>900×900×1700mm</w:t>
            </w:r>
            <w:r>
              <w:rPr>
                <w:rFonts w:hint="eastAsia"/>
                <w:color w:val="auto"/>
                <w:lang w:eastAsia="zh-CN"/>
              </w:rPr>
              <w:t>，</w:t>
            </w:r>
            <w:r>
              <w:rPr>
                <w:color w:val="auto"/>
              </w:rPr>
              <w:t>含液位控制</w:t>
            </w:r>
          </w:p>
        </w:tc>
        <w:tc>
          <w:tcPr>
            <w:tcW w:w="612" w:type="pct"/>
            <w:tcBorders>
              <w:tl2br w:val="nil"/>
              <w:tr2bl w:val="nil"/>
            </w:tcBorders>
            <w:noWrap w:val="0"/>
            <w:vAlign w:val="center"/>
          </w:tcPr>
          <w:p w14:paraId="5E71C2A7">
            <w:pPr>
              <w:pStyle w:val="12"/>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5764E95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C75782D">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0C83B97">
            <w:pPr>
              <w:pStyle w:val="12"/>
              <w:pageBreakBefore w:val="0"/>
              <w:wordWrap/>
              <w:bidi w:val="0"/>
              <w:adjustRightInd/>
              <w:snapToGrid/>
              <w:rPr>
                <w:color w:val="auto"/>
              </w:rPr>
            </w:pPr>
          </w:p>
        </w:tc>
      </w:tr>
      <w:tr w14:paraId="5F93F0B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0DF395AD">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2923555B">
            <w:pPr>
              <w:pStyle w:val="12"/>
              <w:pageBreakBefore w:val="0"/>
              <w:wordWrap/>
              <w:bidi w:val="0"/>
              <w:adjustRightInd/>
              <w:snapToGrid/>
              <w:rPr>
                <w:color w:val="auto"/>
              </w:rPr>
            </w:pPr>
            <w:r>
              <w:rPr>
                <w:color w:val="auto"/>
              </w:rPr>
              <w:t>清水自吸泵</w:t>
            </w:r>
          </w:p>
        </w:tc>
        <w:tc>
          <w:tcPr>
            <w:tcW w:w="1532" w:type="pct"/>
            <w:tcBorders>
              <w:tl2br w:val="nil"/>
              <w:tr2bl w:val="nil"/>
            </w:tcBorders>
            <w:noWrap w:val="0"/>
            <w:vAlign w:val="center"/>
          </w:tcPr>
          <w:p w14:paraId="702C5FE9">
            <w:pPr>
              <w:pStyle w:val="12"/>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流量5</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5mP=</w:t>
            </w:r>
            <w:r>
              <w:rPr>
                <w:rFonts w:hint="eastAsia"/>
                <w:color w:val="auto"/>
                <w:lang w:eastAsia="zh-CN"/>
              </w:rPr>
              <w:t>1</w:t>
            </w:r>
            <w:r>
              <w:rPr>
                <w:color w:val="auto"/>
              </w:rPr>
              <w:t>.5kW</w:t>
            </w:r>
            <w:r>
              <w:rPr>
                <w:rFonts w:hint="eastAsia"/>
                <w:color w:val="auto"/>
                <w:lang w:eastAsia="zh-CN"/>
              </w:rPr>
              <w:t>，</w:t>
            </w:r>
            <w:r>
              <w:rPr>
                <w:color w:val="auto"/>
              </w:rPr>
              <w:t>进出口</w:t>
            </w:r>
            <w:r>
              <w:rPr>
                <w:rFonts w:hint="eastAsia"/>
                <w:color w:val="auto"/>
                <w:lang w:eastAsia="zh-CN"/>
              </w:rPr>
              <w:t>：</w:t>
            </w:r>
            <w:r>
              <w:rPr>
                <w:color w:val="auto"/>
              </w:rPr>
              <w:t>DN40</w:t>
            </w:r>
          </w:p>
        </w:tc>
        <w:tc>
          <w:tcPr>
            <w:tcW w:w="612" w:type="pct"/>
            <w:tcBorders>
              <w:tl2br w:val="nil"/>
              <w:tr2bl w:val="nil"/>
            </w:tcBorders>
            <w:noWrap w:val="0"/>
            <w:vAlign w:val="center"/>
          </w:tcPr>
          <w:p w14:paraId="2F78785B">
            <w:pPr>
              <w:pStyle w:val="12"/>
              <w:pageBreakBefore w:val="0"/>
              <w:wordWrap/>
              <w:bidi w:val="0"/>
              <w:adjustRightInd/>
              <w:snapToGrid/>
              <w:rPr>
                <w:color w:val="auto"/>
              </w:rPr>
            </w:pPr>
            <w:r>
              <w:rPr>
                <w:color w:val="auto"/>
              </w:rPr>
              <w:t>变频调速</w:t>
            </w:r>
            <w:r>
              <w:rPr>
                <w:rFonts w:hint="eastAsia"/>
                <w:color w:val="auto"/>
                <w:lang w:eastAsia="zh-CN"/>
              </w:rPr>
              <w:t>，</w:t>
            </w:r>
            <w:r>
              <w:rPr>
                <w:color w:val="auto"/>
              </w:rPr>
              <w:t>立式泵</w:t>
            </w:r>
          </w:p>
        </w:tc>
        <w:tc>
          <w:tcPr>
            <w:tcW w:w="279" w:type="pct"/>
            <w:tcBorders>
              <w:tl2br w:val="nil"/>
              <w:tr2bl w:val="nil"/>
            </w:tcBorders>
            <w:noWrap w:val="0"/>
            <w:vAlign w:val="center"/>
          </w:tcPr>
          <w:p w14:paraId="68531AE8">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6FC6A7A">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A6C97F9">
            <w:pPr>
              <w:pStyle w:val="12"/>
              <w:pageBreakBefore w:val="0"/>
              <w:wordWrap/>
              <w:bidi w:val="0"/>
              <w:adjustRightInd/>
              <w:snapToGrid/>
              <w:rPr>
                <w:color w:val="auto"/>
              </w:rPr>
            </w:pPr>
          </w:p>
        </w:tc>
      </w:tr>
      <w:tr w14:paraId="29DBA0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19B0D74">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68C67E03">
            <w:pPr>
              <w:pStyle w:val="12"/>
              <w:pageBreakBefore w:val="0"/>
              <w:wordWrap/>
              <w:bidi w:val="0"/>
              <w:adjustRightInd/>
              <w:snapToGrid/>
              <w:rPr>
                <w:color w:val="auto"/>
              </w:rPr>
            </w:pPr>
            <w:r>
              <w:rPr>
                <w:color w:val="auto"/>
              </w:rPr>
              <w:t>PAC溶液制备罐</w:t>
            </w:r>
          </w:p>
        </w:tc>
        <w:tc>
          <w:tcPr>
            <w:tcW w:w="1532" w:type="pct"/>
            <w:tcBorders>
              <w:tl2br w:val="nil"/>
              <w:tr2bl w:val="nil"/>
            </w:tcBorders>
            <w:noWrap w:val="0"/>
            <w:vAlign w:val="center"/>
          </w:tcPr>
          <w:p w14:paraId="1C60C4F8">
            <w:pPr>
              <w:pStyle w:val="12"/>
              <w:pageBreakBefore w:val="0"/>
              <w:wordWrap/>
              <w:bidi w:val="0"/>
              <w:adjustRightInd/>
              <w:snapToGrid/>
              <w:rPr>
                <w:rFonts w:hint="eastAsia"/>
                <w:color w:val="auto"/>
                <w:lang w:eastAsia="zh-CN"/>
              </w:rPr>
            </w:pPr>
            <w:r>
              <w:rPr>
                <w:color w:val="auto"/>
              </w:rPr>
              <w:t>罐体2200×1000×1900mm功</w:t>
            </w:r>
            <w:r>
              <w:rPr>
                <w:rFonts w:hint="eastAsia"/>
                <w:color w:val="auto"/>
                <w:lang w:eastAsia="zh-CN"/>
              </w:rPr>
              <w:t>率</w:t>
            </w:r>
            <w:r>
              <w:rPr>
                <w:color w:val="auto"/>
              </w:rPr>
              <w:t>0.75kW</w:t>
            </w:r>
            <w:r>
              <w:rPr>
                <w:rFonts w:hint="eastAsia"/>
                <w:color w:val="auto"/>
                <w:lang w:eastAsia="zh-CN"/>
              </w:rPr>
              <w:t>，</w:t>
            </w:r>
          </w:p>
        </w:tc>
        <w:tc>
          <w:tcPr>
            <w:tcW w:w="612" w:type="pct"/>
            <w:tcBorders>
              <w:tl2br w:val="nil"/>
              <w:tr2bl w:val="nil"/>
            </w:tcBorders>
            <w:noWrap w:val="0"/>
            <w:vAlign w:val="center"/>
          </w:tcPr>
          <w:p w14:paraId="087CBCCA">
            <w:pPr>
              <w:pStyle w:val="12"/>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2FA5682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DC74C8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36D42FC">
            <w:pPr>
              <w:pStyle w:val="12"/>
              <w:pageBreakBefore w:val="0"/>
              <w:wordWrap/>
              <w:bidi w:val="0"/>
              <w:adjustRightInd/>
              <w:snapToGrid/>
              <w:rPr>
                <w:color w:val="auto"/>
              </w:rPr>
            </w:pPr>
          </w:p>
        </w:tc>
      </w:tr>
      <w:tr w14:paraId="2696E0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7E2C9F1">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1E67736A">
            <w:pPr>
              <w:pStyle w:val="12"/>
              <w:pageBreakBefore w:val="0"/>
              <w:wordWrap/>
              <w:bidi w:val="0"/>
              <w:adjustRightInd/>
              <w:snapToGrid/>
              <w:rPr>
                <w:color w:val="auto"/>
              </w:rPr>
            </w:pPr>
            <w:r>
              <w:rPr>
                <w:color w:val="auto"/>
              </w:rPr>
              <w:t>PAC计量泵</w:t>
            </w:r>
          </w:p>
        </w:tc>
        <w:tc>
          <w:tcPr>
            <w:tcW w:w="1532" w:type="pct"/>
            <w:tcBorders>
              <w:tl2br w:val="nil"/>
              <w:tr2bl w:val="nil"/>
            </w:tcBorders>
            <w:noWrap w:val="0"/>
            <w:vAlign w:val="center"/>
          </w:tcPr>
          <w:p w14:paraId="57613879">
            <w:pPr>
              <w:pStyle w:val="12"/>
              <w:pageBreakBefore w:val="0"/>
              <w:wordWrap/>
              <w:bidi w:val="0"/>
              <w:adjustRightInd/>
              <w:snapToGrid/>
              <w:rPr>
                <w:color w:val="auto"/>
              </w:rPr>
            </w:pPr>
            <w:r>
              <w:rPr>
                <w:color w:val="auto"/>
              </w:rPr>
              <w:t>型式</w:t>
            </w:r>
            <w:r>
              <w:rPr>
                <w:rFonts w:hint="eastAsia"/>
                <w:color w:val="auto"/>
                <w:lang w:eastAsia="zh-CN"/>
              </w:rPr>
              <w:t>：</w:t>
            </w:r>
            <w:r>
              <w:rPr>
                <w:color w:val="auto"/>
              </w:rPr>
              <w:t>机械隔膜泵</w:t>
            </w:r>
            <w:r>
              <w:rPr>
                <w:rFonts w:hint="eastAsia"/>
                <w:color w:val="auto"/>
                <w:lang w:eastAsia="zh-CN"/>
              </w:rPr>
              <w:t>，</w:t>
            </w:r>
            <w:r>
              <w:rPr>
                <w:color w:val="auto"/>
              </w:rPr>
              <w:t>流量</w:t>
            </w:r>
            <w:r>
              <w:rPr>
                <w:rFonts w:hint="eastAsia"/>
                <w:color w:val="auto"/>
                <w:lang w:eastAsia="zh-CN"/>
              </w:rPr>
              <w:t>：</w:t>
            </w:r>
            <w:r>
              <w:rPr>
                <w:color w:val="auto"/>
              </w:rPr>
              <w:t>237L/h</w:t>
            </w:r>
            <w:r>
              <w:rPr>
                <w:rFonts w:hint="eastAsia"/>
                <w:color w:val="auto"/>
                <w:lang w:eastAsia="zh-CN"/>
              </w:rPr>
              <w:t>，</w:t>
            </w:r>
            <w:r>
              <w:rPr>
                <w:color w:val="auto"/>
              </w:rPr>
              <w:t>压力</w:t>
            </w:r>
            <w:r>
              <w:rPr>
                <w:rFonts w:hint="eastAsia"/>
                <w:color w:val="auto"/>
                <w:lang w:eastAsia="zh-CN"/>
              </w:rPr>
              <w:t>：</w:t>
            </w:r>
            <w:r>
              <w:rPr>
                <w:color w:val="auto"/>
              </w:rPr>
              <w:t>0.7MPa</w:t>
            </w:r>
            <w:r>
              <w:rPr>
                <w:rFonts w:hint="eastAsia"/>
                <w:color w:val="auto"/>
                <w:lang w:eastAsia="zh-CN"/>
              </w:rPr>
              <w:t>，</w:t>
            </w:r>
            <w:r>
              <w:rPr>
                <w:color w:val="auto"/>
              </w:rPr>
              <w:t>功</w:t>
            </w:r>
            <w:r>
              <w:rPr>
                <w:rFonts w:hint="eastAsia"/>
                <w:color w:val="auto"/>
                <w:lang w:eastAsia="zh-CN"/>
              </w:rPr>
              <w:t>率</w:t>
            </w:r>
            <w:r>
              <w:rPr>
                <w:color w:val="auto"/>
              </w:rPr>
              <w:t>0.25kW</w:t>
            </w:r>
          </w:p>
        </w:tc>
        <w:tc>
          <w:tcPr>
            <w:tcW w:w="612" w:type="pct"/>
            <w:tcBorders>
              <w:tl2br w:val="nil"/>
              <w:tr2bl w:val="nil"/>
            </w:tcBorders>
            <w:noWrap w:val="0"/>
            <w:vAlign w:val="center"/>
          </w:tcPr>
          <w:p w14:paraId="5AF53D13">
            <w:pPr>
              <w:pStyle w:val="12"/>
              <w:pageBreakBefore w:val="0"/>
              <w:wordWrap/>
              <w:bidi w:val="0"/>
              <w:adjustRightInd/>
              <w:snapToGrid/>
              <w:rPr>
                <w:color w:val="auto"/>
              </w:rPr>
            </w:pPr>
          </w:p>
        </w:tc>
        <w:tc>
          <w:tcPr>
            <w:tcW w:w="279" w:type="pct"/>
            <w:tcBorders>
              <w:tl2br w:val="nil"/>
              <w:tr2bl w:val="nil"/>
            </w:tcBorders>
            <w:noWrap w:val="0"/>
            <w:vAlign w:val="center"/>
          </w:tcPr>
          <w:p w14:paraId="6F7E1EB1">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D243AA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C058CB0">
            <w:pPr>
              <w:pStyle w:val="12"/>
              <w:pageBreakBefore w:val="0"/>
              <w:wordWrap/>
              <w:bidi w:val="0"/>
              <w:adjustRightInd/>
              <w:snapToGrid/>
              <w:rPr>
                <w:color w:val="auto"/>
              </w:rPr>
            </w:pPr>
            <w:r>
              <w:rPr>
                <w:color w:val="auto"/>
              </w:rPr>
              <w:t>一用一备</w:t>
            </w:r>
          </w:p>
        </w:tc>
      </w:tr>
      <w:tr w14:paraId="1CA352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D81DD99">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26E28FF">
            <w:pPr>
              <w:pStyle w:val="12"/>
              <w:pageBreakBefore w:val="0"/>
              <w:wordWrap/>
              <w:bidi w:val="0"/>
              <w:adjustRightInd/>
              <w:snapToGrid/>
              <w:rPr>
                <w:color w:val="auto"/>
              </w:rPr>
            </w:pPr>
            <w:r>
              <w:rPr>
                <w:color w:val="auto"/>
              </w:rPr>
              <w:t>PAM溶液自动投加装置</w:t>
            </w:r>
          </w:p>
        </w:tc>
        <w:tc>
          <w:tcPr>
            <w:tcW w:w="1532" w:type="pct"/>
            <w:tcBorders>
              <w:tl2br w:val="nil"/>
              <w:tr2bl w:val="nil"/>
            </w:tcBorders>
            <w:noWrap w:val="0"/>
            <w:vAlign w:val="center"/>
          </w:tcPr>
          <w:p w14:paraId="17711DAC">
            <w:pPr>
              <w:pStyle w:val="12"/>
              <w:pageBreakBefore w:val="0"/>
              <w:wordWrap/>
              <w:bidi w:val="0"/>
              <w:adjustRightInd/>
              <w:snapToGrid/>
              <w:rPr>
                <w:color w:val="auto"/>
              </w:rPr>
            </w:pPr>
            <w:r>
              <w:rPr>
                <w:color w:val="auto"/>
              </w:rPr>
              <w:t>设备制备能力</w:t>
            </w:r>
            <w:r>
              <w:rPr>
                <w:rFonts w:hint="eastAsia"/>
                <w:color w:val="auto"/>
                <w:lang w:eastAsia="zh-CN"/>
              </w:rPr>
              <w:t>：</w:t>
            </w:r>
            <w:r>
              <w:rPr>
                <w:color w:val="auto"/>
              </w:rPr>
              <w:t>500L/h</w:t>
            </w:r>
            <w:r>
              <w:rPr>
                <w:rFonts w:hint="eastAsia"/>
                <w:color w:val="auto"/>
                <w:lang w:eastAsia="zh-CN"/>
              </w:rPr>
              <w:t>，</w:t>
            </w:r>
            <w:r>
              <w:rPr>
                <w:color w:val="auto"/>
              </w:rPr>
              <w:t>功</w:t>
            </w:r>
            <w:r>
              <w:rPr>
                <w:rFonts w:hint="eastAsia"/>
                <w:color w:val="auto"/>
                <w:lang w:eastAsia="zh-CN"/>
              </w:rPr>
              <w:t>率1</w:t>
            </w:r>
            <w:r>
              <w:rPr>
                <w:color w:val="auto"/>
              </w:rPr>
              <w:t>.38kW</w:t>
            </w:r>
            <w:r>
              <w:rPr>
                <w:rFonts w:hint="eastAsia"/>
                <w:color w:val="auto"/>
                <w:lang w:eastAsia="zh-CN"/>
              </w:rPr>
              <w:t>，</w:t>
            </w:r>
            <w:r>
              <w:rPr>
                <w:color w:val="auto"/>
              </w:rPr>
              <w:t>自带电控</w:t>
            </w:r>
          </w:p>
        </w:tc>
        <w:tc>
          <w:tcPr>
            <w:tcW w:w="612" w:type="pct"/>
            <w:tcBorders>
              <w:tl2br w:val="nil"/>
              <w:tr2bl w:val="nil"/>
            </w:tcBorders>
            <w:noWrap w:val="0"/>
            <w:vAlign w:val="center"/>
          </w:tcPr>
          <w:p w14:paraId="5F05929E">
            <w:pPr>
              <w:pStyle w:val="12"/>
              <w:pageBreakBefore w:val="0"/>
              <w:wordWrap/>
              <w:bidi w:val="0"/>
              <w:adjustRightInd/>
              <w:snapToGrid/>
              <w:rPr>
                <w:color w:val="auto"/>
              </w:rPr>
            </w:pPr>
            <w:r>
              <w:rPr>
                <w:color w:val="auto"/>
              </w:rPr>
              <w:t>箱体不锈钢</w:t>
            </w:r>
          </w:p>
        </w:tc>
        <w:tc>
          <w:tcPr>
            <w:tcW w:w="279" w:type="pct"/>
            <w:tcBorders>
              <w:tl2br w:val="nil"/>
              <w:tr2bl w:val="nil"/>
            </w:tcBorders>
            <w:noWrap w:val="0"/>
            <w:vAlign w:val="center"/>
          </w:tcPr>
          <w:p w14:paraId="744540A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389160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73EFEF7">
            <w:pPr>
              <w:pStyle w:val="12"/>
              <w:pageBreakBefore w:val="0"/>
              <w:wordWrap/>
              <w:bidi w:val="0"/>
              <w:adjustRightInd/>
              <w:snapToGrid/>
              <w:rPr>
                <w:color w:val="auto"/>
              </w:rPr>
            </w:pPr>
          </w:p>
        </w:tc>
      </w:tr>
      <w:tr w14:paraId="4AA3783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728C2BF">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22E2D111">
            <w:pPr>
              <w:pStyle w:val="12"/>
              <w:pageBreakBefore w:val="0"/>
              <w:wordWrap/>
              <w:bidi w:val="0"/>
              <w:adjustRightInd/>
              <w:snapToGrid/>
              <w:rPr>
                <w:color w:val="auto"/>
              </w:rPr>
            </w:pPr>
            <w:r>
              <w:rPr>
                <w:color w:val="auto"/>
              </w:rPr>
              <w:t>PAM计量泵</w:t>
            </w:r>
          </w:p>
        </w:tc>
        <w:tc>
          <w:tcPr>
            <w:tcW w:w="1532" w:type="pct"/>
            <w:tcBorders>
              <w:tl2br w:val="nil"/>
              <w:tr2bl w:val="nil"/>
            </w:tcBorders>
            <w:noWrap w:val="0"/>
            <w:vAlign w:val="center"/>
          </w:tcPr>
          <w:p w14:paraId="7FE1EDD2">
            <w:pPr>
              <w:pStyle w:val="12"/>
              <w:pageBreakBefore w:val="0"/>
              <w:wordWrap/>
              <w:bidi w:val="0"/>
              <w:adjustRightInd/>
              <w:snapToGrid/>
              <w:rPr>
                <w:color w:val="auto"/>
              </w:rPr>
            </w:pPr>
            <w:r>
              <w:rPr>
                <w:color w:val="auto"/>
              </w:rPr>
              <w:t>型式</w:t>
            </w:r>
            <w:r>
              <w:rPr>
                <w:rFonts w:hint="eastAsia"/>
                <w:color w:val="auto"/>
                <w:lang w:eastAsia="zh-CN"/>
              </w:rPr>
              <w:t>：</w:t>
            </w:r>
            <w:r>
              <w:rPr>
                <w:color w:val="auto"/>
              </w:rPr>
              <w:t>机械隔膜泵</w:t>
            </w:r>
            <w:r>
              <w:rPr>
                <w:rFonts w:hint="eastAsia"/>
                <w:color w:val="auto"/>
                <w:lang w:eastAsia="zh-CN"/>
              </w:rPr>
              <w:t>，</w:t>
            </w:r>
            <w:r>
              <w:rPr>
                <w:color w:val="auto"/>
              </w:rPr>
              <w:t>流量</w:t>
            </w:r>
            <w:r>
              <w:rPr>
                <w:rFonts w:hint="eastAsia"/>
                <w:color w:val="auto"/>
                <w:lang w:eastAsia="zh-CN"/>
              </w:rPr>
              <w:t>：</w:t>
            </w:r>
            <w:r>
              <w:rPr>
                <w:color w:val="auto"/>
              </w:rPr>
              <w:t>464l/h</w:t>
            </w:r>
            <w:r>
              <w:rPr>
                <w:rFonts w:hint="eastAsia"/>
                <w:color w:val="auto"/>
                <w:lang w:eastAsia="zh-CN"/>
              </w:rPr>
              <w:t>，</w:t>
            </w:r>
            <w:r>
              <w:rPr>
                <w:color w:val="auto"/>
              </w:rPr>
              <w:t>压力0.7MPa</w:t>
            </w:r>
            <w:r>
              <w:rPr>
                <w:rFonts w:hint="eastAsia"/>
                <w:color w:val="auto"/>
                <w:lang w:eastAsia="zh-CN"/>
              </w:rPr>
              <w:t>，</w:t>
            </w:r>
            <w:r>
              <w:rPr>
                <w:color w:val="auto"/>
              </w:rPr>
              <w:t>功</w:t>
            </w:r>
            <w:r>
              <w:rPr>
                <w:rFonts w:hint="eastAsia"/>
                <w:color w:val="auto"/>
                <w:lang w:eastAsia="zh-CN"/>
              </w:rPr>
              <w:t>率</w:t>
            </w:r>
            <w:r>
              <w:rPr>
                <w:color w:val="auto"/>
              </w:rPr>
              <w:t>0.55Kw</w:t>
            </w:r>
          </w:p>
        </w:tc>
        <w:tc>
          <w:tcPr>
            <w:tcW w:w="612" w:type="pct"/>
            <w:tcBorders>
              <w:tl2br w:val="nil"/>
              <w:tr2bl w:val="nil"/>
            </w:tcBorders>
            <w:noWrap w:val="0"/>
            <w:vAlign w:val="center"/>
          </w:tcPr>
          <w:p w14:paraId="7220B43B">
            <w:pPr>
              <w:pStyle w:val="12"/>
              <w:pageBreakBefore w:val="0"/>
              <w:wordWrap/>
              <w:bidi w:val="0"/>
              <w:adjustRightInd/>
              <w:snapToGrid/>
              <w:rPr>
                <w:color w:val="auto"/>
              </w:rPr>
            </w:pPr>
          </w:p>
        </w:tc>
        <w:tc>
          <w:tcPr>
            <w:tcW w:w="279" w:type="pct"/>
            <w:tcBorders>
              <w:tl2br w:val="nil"/>
              <w:tr2bl w:val="nil"/>
            </w:tcBorders>
            <w:noWrap w:val="0"/>
            <w:vAlign w:val="center"/>
          </w:tcPr>
          <w:p w14:paraId="68E28E4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EC52905">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6BEAB7E">
            <w:pPr>
              <w:pStyle w:val="12"/>
              <w:pageBreakBefore w:val="0"/>
              <w:wordWrap/>
              <w:bidi w:val="0"/>
              <w:adjustRightInd/>
              <w:snapToGrid/>
              <w:rPr>
                <w:color w:val="auto"/>
              </w:rPr>
            </w:pPr>
            <w:r>
              <w:rPr>
                <w:color w:val="auto"/>
              </w:rPr>
              <w:t>一用一备</w:t>
            </w:r>
          </w:p>
        </w:tc>
      </w:tr>
      <w:tr w14:paraId="2F23214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60AC45">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18ADBB00">
            <w:pPr>
              <w:pStyle w:val="12"/>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4888857E">
            <w:pPr>
              <w:pStyle w:val="12"/>
              <w:pageBreakBefore w:val="0"/>
              <w:wordWrap/>
              <w:bidi w:val="0"/>
              <w:adjustRightInd/>
              <w:snapToGrid/>
              <w:rPr>
                <w:color w:val="auto"/>
              </w:rPr>
            </w:pPr>
            <w:r>
              <w:rPr>
                <w:color w:val="auto"/>
              </w:rPr>
              <w:t>L×型</w:t>
            </w:r>
            <w:r>
              <w:rPr>
                <w:rFonts w:hint="eastAsia"/>
                <w:color w:val="auto"/>
                <w:lang w:eastAsia="zh-CN"/>
              </w:rPr>
              <w:t>，</w:t>
            </w:r>
            <w:r>
              <w:rPr>
                <w:color w:val="auto"/>
              </w:rPr>
              <w:t>G=2t</w:t>
            </w:r>
            <w:r>
              <w:rPr>
                <w:rFonts w:hint="eastAsia"/>
                <w:color w:val="auto"/>
                <w:lang w:eastAsia="zh-CN"/>
              </w:rPr>
              <w:t>，</w:t>
            </w:r>
            <w:r>
              <w:rPr>
                <w:color w:val="auto"/>
              </w:rPr>
              <w:t>H=6.0m</w:t>
            </w:r>
            <w:r>
              <w:rPr>
                <w:rFonts w:hint="eastAsia"/>
                <w:color w:val="auto"/>
                <w:lang w:eastAsia="zh-CN"/>
              </w:rPr>
              <w:t>，</w:t>
            </w:r>
            <w:r>
              <w:rPr>
                <w:color w:val="auto"/>
              </w:rPr>
              <w:t>=15.05m</w:t>
            </w:r>
            <w:r>
              <w:rPr>
                <w:rFonts w:hint="eastAsia"/>
                <w:color w:val="auto"/>
                <w:lang w:eastAsia="zh-CN"/>
              </w:rPr>
              <w:t>，</w:t>
            </w:r>
            <w:r>
              <w:rPr>
                <w:color w:val="auto"/>
              </w:rPr>
              <w:t>N=2×0.8+7.5+0.8kW</w:t>
            </w:r>
          </w:p>
        </w:tc>
        <w:tc>
          <w:tcPr>
            <w:tcW w:w="612" w:type="pct"/>
            <w:tcBorders>
              <w:tl2br w:val="nil"/>
              <w:tr2bl w:val="nil"/>
            </w:tcBorders>
            <w:noWrap w:val="0"/>
            <w:vAlign w:val="center"/>
          </w:tcPr>
          <w:p w14:paraId="69D60857">
            <w:pPr>
              <w:pStyle w:val="12"/>
              <w:pageBreakBefore w:val="0"/>
              <w:wordWrap/>
              <w:bidi w:val="0"/>
              <w:adjustRightInd/>
              <w:snapToGrid/>
              <w:rPr>
                <w:color w:val="auto"/>
              </w:rPr>
            </w:pPr>
          </w:p>
        </w:tc>
        <w:tc>
          <w:tcPr>
            <w:tcW w:w="279" w:type="pct"/>
            <w:tcBorders>
              <w:tl2br w:val="nil"/>
              <w:tr2bl w:val="nil"/>
            </w:tcBorders>
            <w:noWrap w:val="0"/>
            <w:vAlign w:val="center"/>
          </w:tcPr>
          <w:p w14:paraId="29FDFF4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ED64CF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11BBE60">
            <w:pPr>
              <w:pStyle w:val="12"/>
              <w:pageBreakBefore w:val="0"/>
              <w:wordWrap/>
              <w:bidi w:val="0"/>
              <w:adjustRightInd/>
              <w:snapToGrid/>
              <w:rPr>
                <w:color w:val="auto"/>
              </w:rPr>
            </w:pPr>
            <w:r>
              <w:rPr>
                <w:color w:val="auto"/>
              </w:rPr>
              <w:t>配MD15-9D型电动葫芦</w:t>
            </w:r>
          </w:p>
        </w:tc>
      </w:tr>
      <w:tr w14:paraId="1A8661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F8FCE98">
            <w:pPr>
              <w:pStyle w:val="12"/>
              <w:pageBreakBefore w:val="0"/>
              <w:wordWrap/>
              <w:bidi w:val="0"/>
              <w:adjustRightInd/>
              <w:snapToGrid/>
              <w:jc w:val="left"/>
              <w:rPr>
                <w:color w:val="auto"/>
              </w:rPr>
            </w:pPr>
            <w:r>
              <w:rPr>
                <w:b/>
                <w:bCs/>
                <w:color w:val="auto"/>
              </w:rPr>
              <w:t>成套污泥脱水设备</w:t>
            </w:r>
          </w:p>
        </w:tc>
      </w:tr>
      <w:tr w14:paraId="24D9FD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D53608">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528FBFFF">
            <w:pPr>
              <w:pStyle w:val="12"/>
              <w:pageBreakBefore w:val="0"/>
              <w:wordWrap/>
              <w:bidi w:val="0"/>
              <w:adjustRightInd/>
              <w:snapToGrid/>
              <w:rPr>
                <w:color w:val="auto"/>
              </w:rPr>
            </w:pPr>
            <w:r>
              <w:rPr>
                <w:color w:val="auto"/>
              </w:rPr>
              <w:t>污泥进料螺杆泵</w:t>
            </w:r>
          </w:p>
        </w:tc>
        <w:tc>
          <w:tcPr>
            <w:tcW w:w="1532" w:type="pct"/>
            <w:tcBorders>
              <w:tl2br w:val="nil"/>
              <w:tr2bl w:val="nil"/>
            </w:tcBorders>
            <w:noWrap w:val="0"/>
            <w:vAlign w:val="center"/>
          </w:tcPr>
          <w:p w14:paraId="14A4DA9B">
            <w:pPr>
              <w:pStyle w:val="12"/>
              <w:pageBreakBefore w:val="0"/>
              <w:wordWrap/>
              <w:bidi w:val="0"/>
              <w:adjustRightInd/>
              <w:snapToGrid/>
              <w:rPr>
                <w:color w:val="auto"/>
              </w:rPr>
            </w:pPr>
            <w:r>
              <w:rPr>
                <w:color w:val="auto"/>
              </w:rPr>
              <w:t>Q=70</w:t>
            </w:r>
            <w:r>
              <w:rPr>
                <w:rFonts w:hint="eastAsia"/>
                <w:color w:val="auto"/>
                <w:lang w:eastAsia="zh-CN"/>
              </w:rPr>
              <w:t>m³</w:t>
            </w:r>
            <w:r>
              <w:rPr>
                <w:color w:val="auto"/>
              </w:rPr>
              <w:t>/h</w:t>
            </w:r>
            <w:r>
              <w:rPr>
                <w:rFonts w:hint="eastAsia"/>
                <w:color w:val="auto"/>
                <w:lang w:eastAsia="zh-CN"/>
              </w:rPr>
              <w:t>，</w:t>
            </w:r>
            <w:r>
              <w:rPr>
                <w:color w:val="auto"/>
              </w:rPr>
              <w:t>扬程H=15m</w:t>
            </w:r>
            <w:r>
              <w:rPr>
                <w:rFonts w:hint="eastAsia"/>
                <w:color w:val="auto"/>
                <w:lang w:eastAsia="zh-CN"/>
              </w:rPr>
              <w:t>，</w:t>
            </w:r>
            <w:r>
              <w:rPr>
                <w:color w:val="auto"/>
              </w:rPr>
              <w:t>N=18.5kW</w:t>
            </w:r>
          </w:p>
        </w:tc>
        <w:tc>
          <w:tcPr>
            <w:tcW w:w="612" w:type="pct"/>
            <w:tcBorders>
              <w:tl2br w:val="nil"/>
              <w:tr2bl w:val="nil"/>
            </w:tcBorders>
            <w:noWrap w:val="0"/>
            <w:vAlign w:val="center"/>
          </w:tcPr>
          <w:p w14:paraId="064D5B7A">
            <w:pPr>
              <w:pStyle w:val="12"/>
              <w:pageBreakBefore w:val="0"/>
              <w:wordWrap/>
              <w:bidi w:val="0"/>
              <w:adjustRightInd/>
              <w:snapToGrid/>
              <w:rPr>
                <w:color w:val="auto"/>
              </w:rPr>
            </w:pPr>
          </w:p>
        </w:tc>
        <w:tc>
          <w:tcPr>
            <w:tcW w:w="279" w:type="pct"/>
            <w:tcBorders>
              <w:tl2br w:val="nil"/>
              <w:tr2bl w:val="nil"/>
            </w:tcBorders>
            <w:noWrap w:val="0"/>
            <w:vAlign w:val="center"/>
          </w:tcPr>
          <w:p w14:paraId="4CF072B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DD721B3">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E28974A">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77F1F7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48DE082">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1C2FC7F">
            <w:pPr>
              <w:pStyle w:val="12"/>
              <w:pageBreakBefore w:val="0"/>
              <w:wordWrap/>
              <w:bidi w:val="0"/>
              <w:adjustRightInd/>
              <w:snapToGrid/>
              <w:rPr>
                <w:color w:val="auto"/>
              </w:rPr>
            </w:pPr>
            <w:r>
              <w:rPr>
                <w:color w:val="auto"/>
              </w:rPr>
              <w:t>转鼓浓缩机</w:t>
            </w:r>
          </w:p>
        </w:tc>
        <w:tc>
          <w:tcPr>
            <w:tcW w:w="1532" w:type="pct"/>
            <w:tcBorders>
              <w:tl2br w:val="nil"/>
              <w:tr2bl w:val="nil"/>
            </w:tcBorders>
            <w:noWrap w:val="0"/>
            <w:vAlign w:val="center"/>
          </w:tcPr>
          <w:p w14:paraId="7B6B4245">
            <w:pPr>
              <w:pStyle w:val="12"/>
              <w:pageBreakBefore w:val="0"/>
              <w:wordWrap/>
              <w:bidi w:val="0"/>
              <w:adjustRightInd/>
              <w:snapToGrid/>
              <w:rPr>
                <w:color w:val="auto"/>
              </w:rPr>
            </w:pPr>
            <w:r>
              <w:rPr>
                <w:color w:val="auto"/>
              </w:rPr>
              <w:t>与隔膜式板框压滤机配套</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04831526">
            <w:pPr>
              <w:pStyle w:val="12"/>
              <w:pageBreakBefore w:val="0"/>
              <w:wordWrap/>
              <w:bidi w:val="0"/>
              <w:adjustRightInd/>
              <w:snapToGrid/>
              <w:rPr>
                <w:color w:val="auto"/>
              </w:rPr>
            </w:pPr>
          </w:p>
        </w:tc>
        <w:tc>
          <w:tcPr>
            <w:tcW w:w="279" w:type="pct"/>
            <w:tcBorders>
              <w:tl2br w:val="nil"/>
              <w:tr2bl w:val="nil"/>
            </w:tcBorders>
            <w:noWrap w:val="0"/>
            <w:vAlign w:val="center"/>
          </w:tcPr>
          <w:p w14:paraId="4210F96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93A7FD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5C89730">
            <w:pPr>
              <w:pStyle w:val="12"/>
              <w:pageBreakBefore w:val="0"/>
              <w:wordWrap/>
              <w:bidi w:val="0"/>
              <w:adjustRightInd/>
              <w:snapToGrid/>
              <w:rPr>
                <w:color w:val="auto"/>
              </w:rPr>
            </w:pPr>
            <w:r>
              <w:rPr>
                <w:color w:val="auto"/>
              </w:rPr>
              <w:t>与隔膜式板框压滤机成套供货</w:t>
            </w:r>
          </w:p>
        </w:tc>
      </w:tr>
      <w:tr w14:paraId="70AFD7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17C53A0">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6C5240B">
            <w:pPr>
              <w:pStyle w:val="12"/>
              <w:pageBreakBefore w:val="0"/>
              <w:wordWrap/>
              <w:bidi w:val="0"/>
              <w:adjustRightInd/>
              <w:snapToGrid/>
              <w:rPr>
                <w:color w:val="auto"/>
              </w:rPr>
            </w:pPr>
            <w:r>
              <w:rPr>
                <w:color w:val="auto"/>
              </w:rPr>
              <w:t>高压进料泵</w:t>
            </w:r>
          </w:p>
        </w:tc>
        <w:tc>
          <w:tcPr>
            <w:tcW w:w="1532" w:type="pct"/>
            <w:tcBorders>
              <w:tl2br w:val="nil"/>
              <w:tr2bl w:val="nil"/>
            </w:tcBorders>
            <w:noWrap w:val="0"/>
            <w:vAlign w:val="center"/>
          </w:tcPr>
          <w:p w14:paraId="5C135E12">
            <w:pPr>
              <w:pStyle w:val="12"/>
              <w:pageBreakBefore w:val="0"/>
              <w:wordWrap/>
              <w:bidi w:val="0"/>
              <w:adjustRightInd/>
              <w:snapToGrid/>
              <w:rPr>
                <w:color w:val="auto"/>
              </w:rPr>
            </w:pPr>
            <w:r>
              <w:rPr>
                <w:color w:val="auto"/>
              </w:rPr>
              <w:t>Q=45</w:t>
            </w:r>
            <w:r>
              <w:rPr>
                <w:rFonts w:hint="eastAsia"/>
                <w:color w:val="auto"/>
                <w:lang w:eastAsia="zh-CN"/>
              </w:rPr>
              <w:t>m³</w:t>
            </w:r>
            <w:r>
              <w:rPr>
                <w:color w:val="auto"/>
              </w:rPr>
              <w:t>/h</w:t>
            </w:r>
            <w:r>
              <w:rPr>
                <w:rFonts w:hint="eastAsia"/>
                <w:color w:val="auto"/>
                <w:lang w:eastAsia="zh-CN"/>
              </w:rPr>
              <w:t>，</w:t>
            </w:r>
            <w:r>
              <w:rPr>
                <w:color w:val="auto"/>
              </w:rPr>
              <w:t>扬程H=60</w:t>
            </w:r>
            <w:r>
              <w:rPr>
                <w:rFonts w:hint="eastAsia"/>
                <w:color w:val="auto"/>
                <w:lang w:eastAsia="zh-CN"/>
              </w:rPr>
              <w:t>～</w:t>
            </w:r>
            <w:r>
              <w:rPr>
                <w:color w:val="auto"/>
              </w:rPr>
              <w:t>80m</w:t>
            </w:r>
            <w:r>
              <w:rPr>
                <w:rFonts w:hint="eastAsia"/>
                <w:color w:val="auto"/>
                <w:lang w:eastAsia="zh-CN"/>
              </w:rPr>
              <w:t>，</w:t>
            </w:r>
            <w:r>
              <w:rPr>
                <w:color w:val="auto"/>
              </w:rPr>
              <w:t>N=30kW</w:t>
            </w:r>
          </w:p>
        </w:tc>
        <w:tc>
          <w:tcPr>
            <w:tcW w:w="612" w:type="pct"/>
            <w:tcBorders>
              <w:tl2br w:val="nil"/>
              <w:tr2bl w:val="nil"/>
            </w:tcBorders>
            <w:noWrap w:val="0"/>
            <w:vAlign w:val="center"/>
          </w:tcPr>
          <w:p w14:paraId="649B0C11">
            <w:pPr>
              <w:pStyle w:val="12"/>
              <w:pageBreakBefore w:val="0"/>
              <w:wordWrap/>
              <w:bidi w:val="0"/>
              <w:adjustRightInd/>
              <w:snapToGrid/>
              <w:rPr>
                <w:color w:val="auto"/>
              </w:rPr>
            </w:pPr>
          </w:p>
        </w:tc>
        <w:tc>
          <w:tcPr>
            <w:tcW w:w="279" w:type="pct"/>
            <w:tcBorders>
              <w:tl2br w:val="nil"/>
              <w:tr2bl w:val="nil"/>
            </w:tcBorders>
            <w:noWrap w:val="0"/>
            <w:vAlign w:val="center"/>
          </w:tcPr>
          <w:p w14:paraId="526A372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60A01FE">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BF8AC17">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与隔膜式板框压滤机成套供货</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15CC33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2FA0488">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5D1E9621">
            <w:pPr>
              <w:pStyle w:val="12"/>
              <w:pageBreakBefore w:val="0"/>
              <w:wordWrap/>
              <w:bidi w:val="0"/>
              <w:adjustRightInd/>
              <w:snapToGrid/>
              <w:rPr>
                <w:color w:val="auto"/>
              </w:rPr>
            </w:pPr>
            <w:r>
              <w:rPr>
                <w:color w:val="auto"/>
              </w:rPr>
              <w:t>隔膜式板框压滤机</w:t>
            </w:r>
          </w:p>
        </w:tc>
        <w:tc>
          <w:tcPr>
            <w:tcW w:w="1532" w:type="pct"/>
            <w:tcBorders>
              <w:tl2br w:val="nil"/>
              <w:tr2bl w:val="nil"/>
            </w:tcBorders>
            <w:noWrap w:val="0"/>
            <w:vAlign w:val="center"/>
          </w:tcPr>
          <w:p w14:paraId="1F091E63">
            <w:pPr>
              <w:pStyle w:val="12"/>
              <w:pageBreakBefore w:val="0"/>
              <w:wordWrap/>
              <w:bidi w:val="0"/>
              <w:adjustRightInd/>
              <w:snapToGrid/>
              <w:rPr>
                <w:color w:val="auto"/>
              </w:rPr>
            </w:pPr>
            <w:r>
              <w:rPr>
                <w:color w:val="auto"/>
              </w:rPr>
              <w:t>板框式</w:t>
            </w:r>
            <w:r>
              <w:rPr>
                <w:rFonts w:hint="eastAsia"/>
                <w:color w:val="auto"/>
                <w:lang w:eastAsia="zh-CN"/>
              </w:rPr>
              <w:t>，</w:t>
            </w:r>
            <w:r>
              <w:rPr>
                <w:color w:val="auto"/>
              </w:rPr>
              <w:t>处理能力0.2t/h</w:t>
            </w:r>
            <w:r>
              <w:rPr>
                <w:rFonts w:hint="eastAsia"/>
                <w:color w:val="auto"/>
                <w:lang w:eastAsia="zh-CN"/>
              </w:rPr>
              <w:t>，</w:t>
            </w:r>
            <w:r>
              <w:rPr>
                <w:color w:val="auto"/>
              </w:rPr>
              <w:t>过滤面积≥150</w:t>
            </w:r>
            <w:r>
              <w:rPr>
                <w:rFonts w:hint="eastAsia"/>
                <w:color w:val="auto"/>
                <w:lang w:eastAsia="zh-CN"/>
              </w:rPr>
              <w:t>m²，</w:t>
            </w:r>
            <w:r>
              <w:rPr>
                <w:color w:val="auto"/>
              </w:rPr>
              <w:t>N=5KW</w:t>
            </w:r>
          </w:p>
        </w:tc>
        <w:tc>
          <w:tcPr>
            <w:tcW w:w="612" w:type="pct"/>
            <w:tcBorders>
              <w:tl2br w:val="nil"/>
              <w:tr2bl w:val="nil"/>
            </w:tcBorders>
            <w:noWrap w:val="0"/>
            <w:vAlign w:val="center"/>
          </w:tcPr>
          <w:p w14:paraId="29855C49">
            <w:pPr>
              <w:pStyle w:val="12"/>
              <w:pageBreakBefore w:val="0"/>
              <w:wordWrap/>
              <w:bidi w:val="0"/>
              <w:adjustRightInd/>
              <w:snapToGrid/>
              <w:rPr>
                <w:color w:val="auto"/>
              </w:rPr>
            </w:pPr>
          </w:p>
        </w:tc>
        <w:tc>
          <w:tcPr>
            <w:tcW w:w="279" w:type="pct"/>
            <w:tcBorders>
              <w:tl2br w:val="nil"/>
              <w:tr2bl w:val="nil"/>
            </w:tcBorders>
            <w:noWrap w:val="0"/>
            <w:vAlign w:val="center"/>
          </w:tcPr>
          <w:p w14:paraId="548A5FC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855A78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6051361">
            <w:pPr>
              <w:pStyle w:val="12"/>
              <w:pageBreakBefore w:val="0"/>
              <w:wordWrap/>
              <w:bidi w:val="0"/>
              <w:adjustRightInd/>
              <w:snapToGrid/>
              <w:rPr>
                <w:color w:val="auto"/>
              </w:rPr>
            </w:pPr>
            <w:r>
              <w:rPr>
                <w:color w:val="auto"/>
              </w:rPr>
              <w:t>脱水后含水率不大于60%</w:t>
            </w:r>
            <w:r>
              <w:rPr>
                <w:rFonts w:hint="eastAsia"/>
                <w:color w:val="auto"/>
                <w:lang w:eastAsia="zh-CN"/>
              </w:rPr>
              <w:t>，</w:t>
            </w:r>
            <w:r>
              <w:rPr>
                <w:color w:val="auto"/>
              </w:rPr>
              <w:t>B×L×H≤2.7×12.3×4.8m</w:t>
            </w:r>
          </w:p>
        </w:tc>
      </w:tr>
      <w:tr w14:paraId="790682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57CE3BE">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CCE340B">
            <w:pPr>
              <w:pStyle w:val="12"/>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2FBB6741">
            <w:pPr>
              <w:pStyle w:val="12"/>
              <w:pageBreakBefore w:val="0"/>
              <w:wordWrap/>
              <w:bidi w:val="0"/>
              <w:adjustRightInd/>
              <w:snapToGrid/>
              <w:rPr>
                <w:color w:val="auto"/>
              </w:rPr>
            </w:pPr>
            <w:r>
              <w:rPr>
                <w:color w:val="auto"/>
              </w:rPr>
              <w:t>L×型</w:t>
            </w:r>
            <w:r>
              <w:rPr>
                <w:rFonts w:hint="eastAsia"/>
                <w:color w:val="auto"/>
                <w:lang w:eastAsia="zh-CN"/>
              </w:rPr>
              <w:t>，</w:t>
            </w:r>
            <w:r>
              <w:rPr>
                <w:color w:val="auto"/>
              </w:rPr>
              <w:t>G=5t</w:t>
            </w:r>
            <w:r>
              <w:rPr>
                <w:rFonts w:hint="eastAsia"/>
                <w:color w:val="auto"/>
                <w:lang w:eastAsia="zh-CN"/>
              </w:rPr>
              <w:t>，</w:t>
            </w:r>
            <w:r>
              <w:rPr>
                <w:color w:val="auto"/>
              </w:rPr>
              <w:t>H=12.0m</w:t>
            </w:r>
            <w:r>
              <w:rPr>
                <w:rFonts w:hint="eastAsia"/>
                <w:color w:val="auto"/>
                <w:lang w:eastAsia="zh-CN"/>
              </w:rPr>
              <w:t>，</w:t>
            </w:r>
            <w:r>
              <w:rPr>
                <w:color w:val="auto"/>
              </w:rPr>
              <w:t>=9.9m</w:t>
            </w:r>
            <w:r>
              <w:rPr>
                <w:rFonts w:hint="eastAsia"/>
                <w:color w:val="auto"/>
                <w:lang w:eastAsia="zh-CN"/>
              </w:rPr>
              <w:t>，</w:t>
            </w:r>
            <w:r>
              <w:rPr>
                <w:color w:val="auto"/>
              </w:rPr>
              <w:t>N=2×0.8+7.5+0.8kW</w:t>
            </w:r>
          </w:p>
        </w:tc>
        <w:tc>
          <w:tcPr>
            <w:tcW w:w="612" w:type="pct"/>
            <w:tcBorders>
              <w:tl2br w:val="nil"/>
              <w:tr2bl w:val="nil"/>
            </w:tcBorders>
            <w:noWrap w:val="0"/>
            <w:vAlign w:val="center"/>
          </w:tcPr>
          <w:p w14:paraId="3D18779C">
            <w:pPr>
              <w:pStyle w:val="12"/>
              <w:pageBreakBefore w:val="0"/>
              <w:wordWrap/>
              <w:bidi w:val="0"/>
              <w:adjustRightInd/>
              <w:snapToGrid/>
              <w:rPr>
                <w:color w:val="auto"/>
              </w:rPr>
            </w:pPr>
          </w:p>
        </w:tc>
        <w:tc>
          <w:tcPr>
            <w:tcW w:w="279" w:type="pct"/>
            <w:tcBorders>
              <w:tl2br w:val="nil"/>
              <w:tr2bl w:val="nil"/>
            </w:tcBorders>
            <w:noWrap w:val="0"/>
            <w:vAlign w:val="center"/>
          </w:tcPr>
          <w:p w14:paraId="2BB3A6C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0D6161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1FEB697">
            <w:pPr>
              <w:pStyle w:val="12"/>
              <w:pageBreakBefore w:val="0"/>
              <w:wordWrap/>
              <w:bidi w:val="0"/>
              <w:adjustRightInd/>
              <w:snapToGrid/>
              <w:rPr>
                <w:color w:val="auto"/>
              </w:rPr>
            </w:pPr>
            <w:r>
              <w:rPr>
                <w:color w:val="auto"/>
              </w:rPr>
              <w:t>配MD15-9D型电动葫芦</w:t>
            </w:r>
          </w:p>
        </w:tc>
      </w:tr>
      <w:tr w14:paraId="655F68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A5E9D98">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14FABAE6">
            <w:pPr>
              <w:pStyle w:val="12"/>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5104CCB2">
            <w:pPr>
              <w:pStyle w:val="12"/>
              <w:pageBreakBefore w:val="0"/>
              <w:wordWrap/>
              <w:bidi w:val="0"/>
              <w:adjustRightInd/>
              <w:snapToGrid/>
              <w:rPr>
                <w:color w:val="auto"/>
              </w:rPr>
            </w:pPr>
            <w:r>
              <w:rPr>
                <w:color w:val="auto"/>
              </w:rPr>
              <w:t>MD12-9型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34B5BDD0">
            <w:pPr>
              <w:pStyle w:val="12"/>
              <w:pageBreakBefore w:val="0"/>
              <w:wordWrap/>
              <w:bidi w:val="0"/>
              <w:adjustRightInd/>
              <w:snapToGrid/>
              <w:rPr>
                <w:color w:val="auto"/>
              </w:rPr>
            </w:pPr>
          </w:p>
        </w:tc>
        <w:tc>
          <w:tcPr>
            <w:tcW w:w="279" w:type="pct"/>
            <w:tcBorders>
              <w:tl2br w:val="nil"/>
              <w:tr2bl w:val="nil"/>
            </w:tcBorders>
            <w:noWrap w:val="0"/>
            <w:vAlign w:val="center"/>
          </w:tcPr>
          <w:p w14:paraId="5AEC9C9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68BE42A">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0A28D62">
            <w:pPr>
              <w:pStyle w:val="12"/>
              <w:pageBreakBefore w:val="0"/>
              <w:wordWrap/>
              <w:bidi w:val="0"/>
              <w:adjustRightInd/>
              <w:snapToGrid/>
              <w:rPr>
                <w:color w:val="auto"/>
              </w:rPr>
            </w:pPr>
            <w:r>
              <w:rPr>
                <w:color w:val="auto"/>
              </w:rPr>
              <w:t>配MD12-9D型电动葫芦</w:t>
            </w:r>
          </w:p>
        </w:tc>
      </w:tr>
      <w:tr w14:paraId="4B021F8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EE7C66">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25228FFD">
            <w:pPr>
              <w:pStyle w:val="12"/>
              <w:pageBreakBefore w:val="0"/>
              <w:wordWrap/>
              <w:bidi w:val="0"/>
              <w:adjustRightInd/>
              <w:snapToGrid/>
              <w:rPr>
                <w:color w:val="auto"/>
              </w:rPr>
            </w:pPr>
            <w:r>
              <w:rPr>
                <w:color w:val="auto"/>
              </w:rPr>
              <w:t>压榨水箱</w:t>
            </w:r>
          </w:p>
        </w:tc>
        <w:tc>
          <w:tcPr>
            <w:tcW w:w="1532" w:type="pct"/>
            <w:tcBorders>
              <w:tl2br w:val="nil"/>
              <w:tr2bl w:val="nil"/>
            </w:tcBorders>
            <w:noWrap w:val="0"/>
            <w:vAlign w:val="center"/>
          </w:tcPr>
          <w:p w14:paraId="2303FFA9">
            <w:pPr>
              <w:pStyle w:val="12"/>
              <w:pageBreakBefore w:val="0"/>
              <w:wordWrap/>
              <w:bidi w:val="0"/>
              <w:adjustRightInd/>
              <w:snapToGrid/>
              <w:rPr>
                <w:rFonts w:hint="eastAsia" w:eastAsia="宋体"/>
                <w:color w:val="auto"/>
                <w:lang w:eastAsia="zh-CN"/>
              </w:rPr>
            </w:pPr>
            <w:r>
              <w:rPr>
                <w:color w:val="auto"/>
              </w:rPr>
              <w:t>V=10</w:t>
            </w:r>
            <w:r>
              <w:rPr>
                <w:rFonts w:hint="eastAsia"/>
                <w:color w:val="auto"/>
                <w:lang w:eastAsia="zh-CN"/>
              </w:rPr>
              <w:t>m³</w:t>
            </w:r>
          </w:p>
        </w:tc>
        <w:tc>
          <w:tcPr>
            <w:tcW w:w="612" w:type="pct"/>
            <w:tcBorders>
              <w:tl2br w:val="nil"/>
              <w:tr2bl w:val="nil"/>
            </w:tcBorders>
            <w:noWrap w:val="0"/>
            <w:vAlign w:val="center"/>
          </w:tcPr>
          <w:p w14:paraId="461FE77E">
            <w:pPr>
              <w:pStyle w:val="12"/>
              <w:pageBreakBefore w:val="0"/>
              <w:wordWrap/>
              <w:bidi w:val="0"/>
              <w:adjustRightInd/>
              <w:snapToGrid/>
              <w:rPr>
                <w:color w:val="auto"/>
              </w:rPr>
            </w:pPr>
            <w:r>
              <w:rPr>
                <w:color w:val="auto"/>
              </w:rPr>
              <w:t>PE</w:t>
            </w:r>
          </w:p>
        </w:tc>
        <w:tc>
          <w:tcPr>
            <w:tcW w:w="279" w:type="pct"/>
            <w:tcBorders>
              <w:tl2br w:val="nil"/>
              <w:tr2bl w:val="nil"/>
            </w:tcBorders>
            <w:noWrap w:val="0"/>
            <w:vAlign w:val="center"/>
          </w:tcPr>
          <w:p w14:paraId="789D39A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693828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41284DC">
            <w:pPr>
              <w:pStyle w:val="12"/>
              <w:pageBreakBefore w:val="0"/>
              <w:wordWrap/>
              <w:bidi w:val="0"/>
              <w:adjustRightInd/>
              <w:snapToGrid/>
              <w:rPr>
                <w:color w:val="auto"/>
              </w:rPr>
            </w:pPr>
          </w:p>
        </w:tc>
      </w:tr>
      <w:tr w14:paraId="6FA96E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2DB408B">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467292E5">
            <w:pPr>
              <w:pStyle w:val="12"/>
              <w:pageBreakBefore w:val="0"/>
              <w:wordWrap/>
              <w:bidi w:val="0"/>
              <w:adjustRightInd/>
              <w:snapToGrid/>
              <w:rPr>
                <w:color w:val="auto"/>
              </w:rPr>
            </w:pPr>
            <w:r>
              <w:rPr>
                <w:color w:val="auto"/>
              </w:rPr>
              <w:t>挤压水泵</w:t>
            </w:r>
          </w:p>
        </w:tc>
        <w:tc>
          <w:tcPr>
            <w:tcW w:w="1532" w:type="pct"/>
            <w:tcBorders>
              <w:tl2br w:val="nil"/>
              <w:tr2bl w:val="nil"/>
            </w:tcBorders>
            <w:noWrap w:val="0"/>
            <w:vAlign w:val="center"/>
          </w:tcPr>
          <w:p w14:paraId="769EDDE4">
            <w:pPr>
              <w:pStyle w:val="12"/>
              <w:pageBreakBefore w:val="0"/>
              <w:wordWrap/>
              <w:bidi w:val="0"/>
              <w:adjustRightInd/>
              <w:snapToGrid/>
              <w:rPr>
                <w:color w:val="auto"/>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扬程H=120m</w:t>
            </w:r>
            <w:r>
              <w:rPr>
                <w:rFonts w:hint="eastAsia"/>
                <w:color w:val="auto"/>
                <w:lang w:eastAsia="zh-CN"/>
              </w:rPr>
              <w:t>，</w:t>
            </w:r>
            <w:r>
              <w:rPr>
                <w:color w:val="auto"/>
              </w:rPr>
              <w:t>N=15kW</w:t>
            </w:r>
          </w:p>
        </w:tc>
        <w:tc>
          <w:tcPr>
            <w:tcW w:w="612" w:type="pct"/>
            <w:tcBorders>
              <w:tl2br w:val="nil"/>
              <w:tr2bl w:val="nil"/>
            </w:tcBorders>
            <w:noWrap w:val="0"/>
            <w:vAlign w:val="center"/>
          </w:tcPr>
          <w:p w14:paraId="3199A250">
            <w:pPr>
              <w:pStyle w:val="12"/>
              <w:pageBreakBefore w:val="0"/>
              <w:wordWrap/>
              <w:bidi w:val="0"/>
              <w:adjustRightInd/>
              <w:snapToGrid/>
              <w:rPr>
                <w:color w:val="auto"/>
              </w:rPr>
            </w:pPr>
          </w:p>
        </w:tc>
        <w:tc>
          <w:tcPr>
            <w:tcW w:w="279" w:type="pct"/>
            <w:tcBorders>
              <w:tl2br w:val="nil"/>
              <w:tr2bl w:val="nil"/>
            </w:tcBorders>
            <w:noWrap w:val="0"/>
            <w:vAlign w:val="center"/>
          </w:tcPr>
          <w:p w14:paraId="60096C3A">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9254BF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4FA9323">
            <w:pPr>
              <w:pStyle w:val="12"/>
              <w:pageBreakBefore w:val="0"/>
              <w:wordWrap/>
              <w:bidi w:val="0"/>
              <w:adjustRightInd/>
              <w:snapToGrid/>
              <w:rPr>
                <w:color w:val="auto"/>
              </w:rPr>
            </w:pPr>
            <w:r>
              <w:rPr>
                <w:color w:val="auto"/>
              </w:rPr>
              <w:t>与隔膜式板框压滤机成套供货</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511216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95D05A">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7874EBA4">
            <w:pPr>
              <w:pStyle w:val="12"/>
              <w:pageBreakBefore w:val="0"/>
              <w:wordWrap/>
              <w:bidi w:val="0"/>
              <w:adjustRightInd/>
              <w:snapToGrid/>
              <w:rPr>
                <w:color w:val="auto"/>
              </w:rPr>
            </w:pPr>
            <w:r>
              <w:rPr>
                <w:color w:val="auto"/>
              </w:rPr>
              <w:t>水洗高压柱塞泵</w:t>
            </w:r>
          </w:p>
        </w:tc>
        <w:tc>
          <w:tcPr>
            <w:tcW w:w="1532" w:type="pct"/>
            <w:tcBorders>
              <w:tl2br w:val="nil"/>
              <w:tr2bl w:val="nil"/>
            </w:tcBorders>
            <w:noWrap w:val="0"/>
            <w:vAlign w:val="center"/>
          </w:tcPr>
          <w:p w14:paraId="66ED5101">
            <w:pPr>
              <w:pStyle w:val="12"/>
              <w:pageBreakBefore w:val="0"/>
              <w:wordWrap/>
              <w:bidi w:val="0"/>
              <w:adjustRightInd/>
              <w:snapToGrid/>
              <w:rPr>
                <w:color w:val="auto"/>
              </w:rPr>
            </w:pPr>
            <w:r>
              <w:rPr>
                <w:color w:val="auto"/>
              </w:rPr>
              <w:t>Q=16</w:t>
            </w:r>
            <w:r>
              <w:rPr>
                <w:rFonts w:hint="eastAsia"/>
                <w:color w:val="auto"/>
                <w:lang w:eastAsia="zh-CN"/>
              </w:rPr>
              <w:t>m³</w:t>
            </w:r>
            <w:r>
              <w:rPr>
                <w:color w:val="auto"/>
              </w:rPr>
              <w:t>/h</w:t>
            </w:r>
            <w:r>
              <w:rPr>
                <w:rFonts w:hint="eastAsia"/>
                <w:color w:val="auto"/>
                <w:lang w:eastAsia="zh-CN"/>
              </w:rPr>
              <w:t>，</w:t>
            </w:r>
            <w:r>
              <w:rPr>
                <w:color w:val="auto"/>
              </w:rPr>
              <w:t>H=380m</w:t>
            </w:r>
            <w:r>
              <w:rPr>
                <w:rFonts w:hint="eastAsia"/>
                <w:color w:val="auto"/>
                <w:lang w:eastAsia="zh-CN"/>
              </w:rPr>
              <w:t>，</w:t>
            </w:r>
            <w:r>
              <w:rPr>
                <w:color w:val="auto"/>
              </w:rPr>
              <w:t>N=30kW</w:t>
            </w:r>
          </w:p>
        </w:tc>
        <w:tc>
          <w:tcPr>
            <w:tcW w:w="612" w:type="pct"/>
            <w:tcBorders>
              <w:tl2br w:val="nil"/>
              <w:tr2bl w:val="nil"/>
            </w:tcBorders>
            <w:noWrap w:val="0"/>
            <w:vAlign w:val="center"/>
          </w:tcPr>
          <w:p w14:paraId="7AE5648F">
            <w:pPr>
              <w:pStyle w:val="12"/>
              <w:pageBreakBefore w:val="0"/>
              <w:wordWrap/>
              <w:bidi w:val="0"/>
              <w:adjustRightInd/>
              <w:snapToGrid/>
              <w:rPr>
                <w:color w:val="auto"/>
              </w:rPr>
            </w:pPr>
          </w:p>
        </w:tc>
        <w:tc>
          <w:tcPr>
            <w:tcW w:w="279" w:type="pct"/>
            <w:tcBorders>
              <w:tl2br w:val="nil"/>
              <w:tr2bl w:val="nil"/>
            </w:tcBorders>
            <w:noWrap w:val="0"/>
            <w:vAlign w:val="center"/>
          </w:tcPr>
          <w:p w14:paraId="10CBE828">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BFEDBF8">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AD10BB4">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649E44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0B8E22">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1C763993">
            <w:pPr>
              <w:pStyle w:val="12"/>
              <w:pageBreakBefore w:val="0"/>
              <w:wordWrap/>
              <w:bidi w:val="0"/>
              <w:adjustRightInd/>
              <w:snapToGrid/>
              <w:rPr>
                <w:color w:val="auto"/>
              </w:rPr>
            </w:pPr>
            <w:r>
              <w:rPr>
                <w:color w:val="auto"/>
              </w:rPr>
              <w:t>水洗水箱</w:t>
            </w:r>
          </w:p>
        </w:tc>
        <w:tc>
          <w:tcPr>
            <w:tcW w:w="1532" w:type="pct"/>
            <w:tcBorders>
              <w:tl2br w:val="nil"/>
              <w:tr2bl w:val="nil"/>
            </w:tcBorders>
            <w:noWrap w:val="0"/>
            <w:vAlign w:val="center"/>
          </w:tcPr>
          <w:p w14:paraId="6FCACEA3">
            <w:pPr>
              <w:pStyle w:val="12"/>
              <w:pageBreakBefore w:val="0"/>
              <w:wordWrap/>
              <w:bidi w:val="0"/>
              <w:adjustRightInd/>
              <w:snapToGrid/>
              <w:rPr>
                <w:rFonts w:hint="eastAsia" w:eastAsia="宋体"/>
                <w:color w:val="auto"/>
                <w:lang w:eastAsia="zh-CN"/>
              </w:rPr>
            </w:pPr>
            <w:r>
              <w:rPr>
                <w:color w:val="auto"/>
              </w:rPr>
              <w:t>V=6</w:t>
            </w:r>
            <w:r>
              <w:rPr>
                <w:rFonts w:hint="eastAsia"/>
                <w:color w:val="auto"/>
                <w:lang w:eastAsia="zh-CN"/>
              </w:rPr>
              <w:t>m³</w:t>
            </w:r>
          </w:p>
        </w:tc>
        <w:tc>
          <w:tcPr>
            <w:tcW w:w="612" w:type="pct"/>
            <w:tcBorders>
              <w:tl2br w:val="nil"/>
              <w:tr2bl w:val="nil"/>
            </w:tcBorders>
            <w:noWrap w:val="0"/>
            <w:vAlign w:val="center"/>
          </w:tcPr>
          <w:p w14:paraId="1E5AD099">
            <w:pPr>
              <w:pStyle w:val="12"/>
              <w:pageBreakBefore w:val="0"/>
              <w:wordWrap/>
              <w:bidi w:val="0"/>
              <w:adjustRightInd/>
              <w:snapToGrid/>
              <w:rPr>
                <w:color w:val="auto"/>
              </w:rPr>
            </w:pPr>
            <w:r>
              <w:rPr>
                <w:color w:val="auto"/>
              </w:rPr>
              <w:t>PE</w:t>
            </w:r>
          </w:p>
        </w:tc>
        <w:tc>
          <w:tcPr>
            <w:tcW w:w="279" w:type="pct"/>
            <w:tcBorders>
              <w:tl2br w:val="nil"/>
              <w:tr2bl w:val="nil"/>
            </w:tcBorders>
            <w:noWrap w:val="0"/>
            <w:vAlign w:val="center"/>
          </w:tcPr>
          <w:p w14:paraId="67F018B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EC25EA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7F362A9">
            <w:pPr>
              <w:pStyle w:val="12"/>
              <w:pageBreakBefore w:val="0"/>
              <w:wordWrap/>
              <w:bidi w:val="0"/>
              <w:adjustRightInd/>
              <w:snapToGrid/>
              <w:rPr>
                <w:color w:val="auto"/>
              </w:rPr>
            </w:pPr>
          </w:p>
        </w:tc>
      </w:tr>
      <w:tr w14:paraId="76ABC81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AF057DC">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39589520">
            <w:pPr>
              <w:pStyle w:val="12"/>
              <w:pageBreakBefore w:val="0"/>
              <w:wordWrap/>
              <w:bidi w:val="0"/>
              <w:adjustRightInd/>
              <w:snapToGrid/>
              <w:rPr>
                <w:color w:val="auto"/>
              </w:rPr>
            </w:pPr>
            <w:r>
              <w:rPr>
                <w:color w:val="auto"/>
              </w:rPr>
              <w:t>冲洗水泵</w:t>
            </w:r>
          </w:p>
        </w:tc>
        <w:tc>
          <w:tcPr>
            <w:tcW w:w="1532" w:type="pct"/>
            <w:tcBorders>
              <w:tl2br w:val="nil"/>
              <w:tr2bl w:val="nil"/>
            </w:tcBorders>
            <w:noWrap w:val="0"/>
            <w:vAlign w:val="center"/>
          </w:tcPr>
          <w:p w14:paraId="5E915019">
            <w:pPr>
              <w:pStyle w:val="12"/>
              <w:pageBreakBefore w:val="0"/>
              <w:wordWrap/>
              <w:bidi w:val="0"/>
              <w:adjustRightInd/>
              <w:snapToGrid/>
              <w:rPr>
                <w:color w:val="auto"/>
              </w:rPr>
            </w:pPr>
            <w:r>
              <w:rPr>
                <w:color w:val="auto"/>
              </w:rPr>
              <w:t>Q=8</w:t>
            </w:r>
            <w:r>
              <w:rPr>
                <w:rFonts w:hint="eastAsia"/>
                <w:color w:val="auto"/>
                <w:lang w:eastAsia="zh-CN"/>
              </w:rPr>
              <w:t>m³</w:t>
            </w:r>
            <w:r>
              <w:rPr>
                <w:color w:val="auto"/>
              </w:rPr>
              <w:t>/h</w:t>
            </w:r>
            <w:r>
              <w:rPr>
                <w:rFonts w:hint="eastAsia"/>
                <w:color w:val="auto"/>
                <w:lang w:eastAsia="zh-CN"/>
              </w:rPr>
              <w:t>，</w:t>
            </w:r>
            <w:r>
              <w:rPr>
                <w:color w:val="auto"/>
              </w:rPr>
              <w:t>H=4bar</w:t>
            </w:r>
            <w:r>
              <w:rPr>
                <w:rFonts w:hint="eastAsia"/>
                <w:color w:val="auto"/>
                <w:lang w:eastAsia="zh-CN"/>
              </w:rPr>
              <w:t>，</w:t>
            </w:r>
            <w:r>
              <w:rPr>
                <w:color w:val="auto"/>
              </w:rPr>
              <w:t>N=3.0kW</w:t>
            </w:r>
          </w:p>
        </w:tc>
        <w:tc>
          <w:tcPr>
            <w:tcW w:w="612" w:type="pct"/>
            <w:tcBorders>
              <w:tl2br w:val="nil"/>
              <w:tr2bl w:val="nil"/>
            </w:tcBorders>
            <w:noWrap w:val="0"/>
            <w:vAlign w:val="center"/>
          </w:tcPr>
          <w:p w14:paraId="37B46D07">
            <w:pPr>
              <w:pStyle w:val="12"/>
              <w:pageBreakBefore w:val="0"/>
              <w:wordWrap/>
              <w:bidi w:val="0"/>
              <w:adjustRightInd/>
              <w:snapToGrid/>
              <w:rPr>
                <w:color w:val="auto"/>
              </w:rPr>
            </w:pPr>
          </w:p>
        </w:tc>
        <w:tc>
          <w:tcPr>
            <w:tcW w:w="279" w:type="pct"/>
            <w:tcBorders>
              <w:tl2br w:val="nil"/>
              <w:tr2bl w:val="nil"/>
            </w:tcBorders>
            <w:noWrap w:val="0"/>
            <w:vAlign w:val="center"/>
          </w:tcPr>
          <w:p w14:paraId="4B135FDB">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6794C3C">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36FDB43">
            <w:pPr>
              <w:pStyle w:val="12"/>
              <w:pageBreakBefore w:val="0"/>
              <w:wordWrap/>
              <w:bidi w:val="0"/>
              <w:adjustRightInd/>
              <w:snapToGrid/>
              <w:rPr>
                <w:color w:val="auto"/>
              </w:rPr>
            </w:pP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4C7E32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A67069D">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48374EEC">
            <w:pPr>
              <w:pStyle w:val="12"/>
              <w:pageBreakBefore w:val="0"/>
              <w:wordWrap/>
              <w:bidi w:val="0"/>
              <w:adjustRightInd/>
              <w:snapToGrid/>
              <w:rPr>
                <w:color w:val="auto"/>
              </w:rPr>
            </w:pPr>
            <w:r>
              <w:rPr>
                <w:color w:val="auto"/>
              </w:rPr>
              <w:t>絮凝剂制备系统</w:t>
            </w:r>
          </w:p>
        </w:tc>
        <w:tc>
          <w:tcPr>
            <w:tcW w:w="1532" w:type="pct"/>
            <w:tcBorders>
              <w:tl2br w:val="nil"/>
              <w:tr2bl w:val="nil"/>
            </w:tcBorders>
            <w:noWrap w:val="0"/>
            <w:vAlign w:val="center"/>
          </w:tcPr>
          <w:p w14:paraId="5ADFDD81">
            <w:pPr>
              <w:pStyle w:val="12"/>
              <w:pageBreakBefore w:val="0"/>
              <w:wordWrap/>
              <w:bidi w:val="0"/>
              <w:adjustRightInd/>
              <w:snapToGrid/>
              <w:rPr>
                <w:color w:val="auto"/>
              </w:rPr>
            </w:pPr>
            <w:r>
              <w:rPr>
                <w:color w:val="auto"/>
              </w:rPr>
              <w:t>Q=2000L/h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1DA2DC1B">
            <w:pPr>
              <w:pStyle w:val="12"/>
              <w:pageBreakBefore w:val="0"/>
              <w:wordWrap/>
              <w:bidi w:val="0"/>
              <w:adjustRightInd/>
              <w:snapToGrid/>
              <w:rPr>
                <w:color w:val="auto"/>
              </w:rPr>
            </w:pPr>
          </w:p>
        </w:tc>
        <w:tc>
          <w:tcPr>
            <w:tcW w:w="279" w:type="pct"/>
            <w:tcBorders>
              <w:tl2br w:val="nil"/>
              <w:tr2bl w:val="nil"/>
            </w:tcBorders>
            <w:noWrap w:val="0"/>
            <w:vAlign w:val="center"/>
          </w:tcPr>
          <w:p w14:paraId="432E77A6">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73300B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22438BB">
            <w:pPr>
              <w:pStyle w:val="12"/>
              <w:pageBreakBefore w:val="0"/>
              <w:wordWrap/>
              <w:bidi w:val="0"/>
              <w:adjustRightInd/>
              <w:snapToGrid/>
              <w:rPr>
                <w:color w:val="auto"/>
              </w:rPr>
            </w:pPr>
            <w:r>
              <w:rPr>
                <w:color w:val="auto"/>
              </w:rPr>
              <w:t>配套阀门</w:t>
            </w:r>
            <w:r>
              <w:rPr>
                <w:rFonts w:hint="eastAsia"/>
                <w:color w:val="auto"/>
                <w:lang w:eastAsia="zh-CN"/>
              </w:rPr>
              <w:t>、</w:t>
            </w:r>
            <w:r>
              <w:rPr>
                <w:color w:val="auto"/>
              </w:rPr>
              <w:t>阀件和管道</w:t>
            </w:r>
          </w:p>
        </w:tc>
      </w:tr>
      <w:tr w14:paraId="5CB4A28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7887861">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541029B5">
            <w:pPr>
              <w:pStyle w:val="12"/>
              <w:pageBreakBefore w:val="0"/>
              <w:wordWrap/>
              <w:bidi w:val="0"/>
              <w:adjustRightInd/>
              <w:snapToGrid/>
              <w:rPr>
                <w:color w:val="auto"/>
              </w:rPr>
            </w:pPr>
            <w:r>
              <w:rPr>
                <w:color w:val="auto"/>
              </w:rPr>
              <w:t>絮凝剂投加泵</w:t>
            </w:r>
          </w:p>
        </w:tc>
        <w:tc>
          <w:tcPr>
            <w:tcW w:w="1532" w:type="pct"/>
            <w:tcBorders>
              <w:tl2br w:val="nil"/>
              <w:tr2bl w:val="nil"/>
            </w:tcBorders>
            <w:noWrap w:val="0"/>
            <w:vAlign w:val="center"/>
          </w:tcPr>
          <w:p w14:paraId="3219384E">
            <w:pPr>
              <w:pStyle w:val="12"/>
              <w:pageBreakBefore w:val="0"/>
              <w:wordWrap/>
              <w:bidi w:val="0"/>
              <w:adjustRightInd/>
              <w:snapToGrid/>
              <w:rPr>
                <w:color w:val="auto"/>
              </w:rPr>
            </w:pPr>
            <w:r>
              <w:rPr>
                <w:color w:val="auto"/>
              </w:rPr>
              <w:t>Q=0.2</w:t>
            </w:r>
            <w:r>
              <w:rPr>
                <w:rFonts w:hint="eastAsia"/>
                <w:color w:val="auto"/>
                <w:lang w:eastAsia="zh-CN"/>
              </w:rPr>
              <w:t>～</w:t>
            </w:r>
            <w:r>
              <w:rPr>
                <w:color w:val="auto"/>
              </w:rPr>
              <w:t>3</w:t>
            </w:r>
            <w:r>
              <w:rPr>
                <w:rFonts w:hint="eastAsia"/>
                <w:color w:val="auto"/>
                <w:lang w:eastAsia="zh-CN"/>
              </w:rPr>
              <w:t>m³</w:t>
            </w:r>
            <w:r>
              <w:rPr>
                <w:color w:val="auto"/>
              </w:rPr>
              <w:t>/h</w:t>
            </w:r>
            <w:r>
              <w:rPr>
                <w:rFonts w:hint="eastAsia"/>
                <w:color w:val="auto"/>
                <w:lang w:eastAsia="zh-CN"/>
              </w:rPr>
              <w:t>，</w:t>
            </w:r>
            <w:r>
              <w:rPr>
                <w:color w:val="auto"/>
              </w:rPr>
              <w:t>扬程H=20m</w:t>
            </w:r>
            <w:r>
              <w:rPr>
                <w:rFonts w:hint="eastAsia"/>
                <w:color w:val="auto"/>
                <w:lang w:eastAsia="zh-CN"/>
              </w:rPr>
              <w:t>，</w:t>
            </w:r>
            <w:r>
              <w:rPr>
                <w:color w:val="auto"/>
              </w:rPr>
              <w:t>N=</w:t>
            </w:r>
            <w:r>
              <w:rPr>
                <w:rFonts w:hint="eastAsia"/>
                <w:color w:val="auto"/>
                <w:lang w:eastAsia="zh-CN"/>
              </w:rPr>
              <w:t>1</w:t>
            </w:r>
            <w:r>
              <w:rPr>
                <w:color w:val="auto"/>
              </w:rPr>
              <w:t>.5kW配套在线稀释装置</w:t>
            </w:r>
          </w:p>
        </w:tc>
        <w:tc>
          <w:tcPr>
            <w:tcW w:w="612" w:type="pct"/>
            <w:tcBorders>
              <w:tl2br w:val="nil"/>
              <w:tr2bl w:val="nil"/>
            </w:tcBorders>
            <w:noWrap w:val="0"/>
            <w:vAlign w:val="center"/>
          </w:tcPr>
          <w:p w14:paraId="0BFC2A4E">
            <w:pPr>
              <w:pStyle w:val="12"/>
              <w:pageBreakBefore w:val="0"/>
              <w:wordWrap/>
              <w:bidi w:val="0"/>
              <w:adjustRightInd/>
              <w:snapToGrid/>
              <w:rPr>
                <w:color w:val="auto"/>
              </w:rPr>
            </w:pPr>
          </w:p>
        </w:tc>
        <w:tc>
          <w:tcPr>
            <w:tcW w:w="279" w:type="pct"/>
            <w:tcBorders>
              <w:tl2br w:val="nil"/>
              <w:tr2bl w:val="nil"/>
            </w:tcBorders>
            <w:noWrap w:val="0"/>
            <w:vAlign w:val="center"/>
          </w:tcPr>
          <w:p w14:paraId="057EA46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68D488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5C149EE">
            <w:pPr>
              <w:pStyle w:val="12"/>
              <w:pageBreakBefore w:val="0"/>
              <w:wordWrap/>
              <w:bidi w:val="0"/>
              <w:adjustRightInd/>
              <w:snapToGrid/>
              <w:rPr>
                <w:color w:val="auto"/>
              </w:rPr>
            </w:pP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42DEE1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EF1D328">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70B1FE3B">
            <w:pPr>
              <w:pStyle w:val="12"/>
              <w:pageBreakBefore w:val="0"/>
              <w:wordWrap/>
              <w:bidi w:val="0"/>
              <w:adjustRightInd/>
              <w:snapToGrid/>
              <w:rPr>
                <w:color w:val="auto"/>
              </w:rPr>
            </w:pPr>
            <w:r>
              <w:rPr>
                <w:color w:val="auto"/>
              </w:rPr>
              <w:t>石灰料仓</w:t>
            </w:r>
          </w:p>
        </w:tc>
        <w:tc>
          <w:tcPr>
            <w:tcW w:w="1532" w:type="pct"/>
            <w:tcBorders>
              <w:tl2br w:val="nil"/>
              <w:tr2bl w:val="nil"/>
            </w:tcBorders>
            <w:noWrap w:val="0"/>
            <w:vAlign w:val="center"/>
          </w:tcPr>
          <w:p w14:paraId="3983C1C4">
            <w:pPr>
              <w:pStyle w:val="12"/>
              <w:pageBreakBefore w:val="0"/>
              <w:wordWrap/>
              <w:bidi w:val="0"/>
              <w:adjustRightInd/>
              <w:snapToGrid/>
              <w:rPr>
                <w:rFonts w:hint="eastAsia" w:eastAsia="宋体"/>
                <w:color w:val="auto"/>
                <w:lang w:eastAsia="zh-CN"/>
              </w:rPr>
            </w:pPr>
            <w:r>
              <w:rPr>
                <w:color w:val="auto"/>
              </w:rPr>
              <w:t>10</w:t>
            </w:r>
            <w:r>
              <w:rPr>
                <w:rFonts w:hint="eastAsia"/>
                <w:color w:val="auto"/>
                <w:lang w:eastAsia="zh-CN"/>
              </w:rPr>
              <w:t>m³</w:t>
            </w:r>
          </w:p>
        </w:tc>
        <w:tc>
          <w:tcPr>
            <w:tcW w:w="612" w:type="pct"/>
            <w:tcBorders>
              <w:tl2br w:val="nil"/>
              <w:tr2bl w:val="nil"/>
            </w:tcBorders>
            <w:noWrap w:val="0"/>
            <w:vAlign w:val="center"/>
          </w:tcPr>
          <w:p w14:paraId="3FC9EC92">
            <w:pPr>
              <w:pStyle w:val="12"/>
              <w:pageBreakBefore w:val="0"/>
              <w:wordWrap/>
              <w:bidi w:val="0"/>
              <w:adjustRightInd/>
              <w:snapToGrid/>
              <w:rPr>
                <w:color w:val="auto"/>
              </w:rPr>
            </w:pPr>
          </w:p>
        </w:tc>
        <w:tc>
          <w:tcPr>
            <w:tcW w:w="279" w:type="pct"/>
            <w:tcBorders>
              <w:tl2br w:val="nil"/>
              <w:tr2bl w:val="nil"/>
            </w:tcBorders>
            <w:noWrap w:val="0"/>
            <w:vAlign w:val="center"/>
          </w:tcPr>
          <w:p w14:paraId="08FAA36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A75983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64BB1CA">
            <w:pPr>
              <w:pStyle w:val="12"/>
              <w:pageBreakBefore w:val="0"/>
              <w:wordWrap/>
              <w:bidi w:val="0"/>
              <w:adjustRightInd/>
              <w:snapToGrid/>
              <w:rPr>
                <w:color w:val="auto"/>
              </w:rPr>
            </w:pPr>
          </w:p>
        </w:tc>
      </w:tr>
      <w:tr w14:paraId="14BD21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21E6229">
            <w:pPr>
              <w:pStyle w:val="12"/>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4410AF42">
            <w:pPr>
              <w:pStyle w:val="12"/>
              <w:pageBreakBefore w:val="0"/>
              <w:wordWrap/>
              <w:bidi w:val="0"/>
              <w:adjustRightInd/>
              <w:snapToGrid/>
              <w:rPr>
                <w:color w:val="auto"/>
              </w:rPr>
            </w:pPr>
            <w:r>
              <w:rPr>
                <w:color w:val="auto"/>
              </w:rPr>
              <w:t>倾斜螺旋输送机</w:t>
            </w:r>
          </w:p>
        </w:tc>
        <w:tc>
          <w:tcPr>
            <w:tcW w:w="1532" w:type="pct"/>
            <w:tcBorders>
              <w:tl2br w:val="nil"/>
              <w:tr2bl w:val="nil"/>
            </w:tcBorders>
            <w:noWrap w:val="0"/>
            <w:vAlign w:val="center"/>
          </w:tcPr>
          <w:p w14:paraId="01904A5B">
            <w:pPr>
              <w:pStyle w:val="12"/>
              <w:pageBreakBefore w:val="0"/>
              <w:wordWrap/>
              <w:bidi w:val="0"/>
              <w:adjustRightInd/>
              <w:snapToGrid/>
              <w:rPr>
                <w:color w:val="auto"/>
              </w:rPr>
            </w:pPr>
            <w:r>
              <w:rPr>
                <w:color w:val="auto"/>
              </w:rPr>
              <w:t>B=350mm</w:t>
            </w:r>
            <w:r>
              <w:rPr>
                <w:rFonts w:hint="eastAsia"/>
                <w:color w:val="auto"/>
                <w:lang w:eastAsia="zh-CN"/>
              </w:rPr>
              <w:t>，</w:t>
            </w:r>
            <w:r>
              <w:rPr>
                <w:color w:val="auto"/>
              </w:rPr>
              <w:t>L=8.0m</w:t>
            </w:r>
            <w:r>
              <w:rPr>
                <w:rFonts w:hint="eastAsia"/>
                <w:color w:val="auto"/>
                <w:lang w:eastAsia="zh-CN"/>
              </w:rPr>
              <w:t>，</w:t>
            </w:r>
            <w:r>
              <w:rPr>
                <w:color w:val="auto"/>
              </w:rPr>
              <w:t>N=5.5kW倾斜角</w:t>
            </w:r>
            <w:r>
              <w:rPr>
                <w:rFonts w:hint="eastAsia"/>
                <w:color w:val="auto"/>
                <w:lang w:eastAsia="zh-CN"/>
              </w:rPr>
              <w:t>度</w:t>
            </w:r>
            <w:r>
              <w:rPr>
                <w:color w:val="auto"/>
              </w:rPr>
              <w:t>25°</w:t>
            </w:r>
          </w:p>
        </w:tc>
        <w:tc>
          <w:tcPr>
            <w:tcW w:w="612" w:type="pct"/>
            <w:tcBorders>
              <w:tl2br w:val="nil"/>
              <w:tr2bl w:val="nil"/>
            </w:tcBorders>
            <w:noWrap w:val="0"/>
            <w:vAlign w:val="center"/>
          </w:tcPr>
          <w:p w14:paraId="2651B3C7">
            <w:pPr>
              <w:pStyle w:val="12"/>
              <w:pageBreakBefore w:val="0"/>
              <w:wordWrap/>
              <w:bidi w:val="0"/>
              <w:adjustRightInd/>
              <w:snapToGrid/>
              <w:rPr>
                <w:color w:val="auto"/>
              </w:rPr>
            </w:pPr>
          </w:p>
        </w:tc>
        <w:tc>
          <w:tcPr>
            <w:tcW w:w="279" w:type="pct"/>
            <w:tcBorders>
              <w:tl2br w:val="nil"/>
              <w:tr2bl w:val="nil"/>
            </w:tcBorders>
            <w:noWrap w:val="0"/>
            <w:vAlign w:val="center"/>
          </w:tcPr>
          <w:p w14:paraId="28F015E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CBA9EE8">
            <w:pPr>
              <w:pStyle w:val="12"/>
              <w:pageBreakBefore w:val="0"/>
              <w:wordWrap/>
              <w:bidi w:val="0"/>
              <w:adjustRightInd/>
              <w:snapToGrid/>
              <w:rPr>
                <w:color w:val="auto"/>
              </w:rPr>
            </w:pPr>
          </w:p>
        </w:tc>
        <w:tc>
          <w:tcPr>
            <w:tcW w:w="1132" w:type="pct"/>
            <w:tcBorders>
              <w:tl2br w:val="nil"/>
              <w:tr2bl w:val="nil"/>
            </w:tcBorders>
            <w:noWrap w:val="0"/>
            <w:vAlign w:val="center"/>
          </w:tcPr>
          <w:p w14:paraId="17634F17">
            <w:pPr>
              <w:pStyle w:val="12"/>
              <w:pageBreakBefore w:val="0"/>
              <w:wordWrap/>
              <w:bidi w:val="0"/>
              <w:adjustRightInd/>
              <w:snapToGrid/>
              <w:rPr>
                <w:color w:val="auto"/>
              </w:rPr>
            </w:pPr>
            <w:r>
              <w:rPr>
                <w:color w:val="auto"/>
              </w:rPr>
              <w:t>用于投加石灰至搅拌罐</w:t>
            </w:r>
          </w:p>
        </w:tc>
      </w:tr>
      <w:tr w14:paraId="527FE33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02D0E5">
            <w:pPr>
              <w:pStyle w:val="12"/>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41E9508F">
            <w:pPr>
              <w:pStyle w:val="12"/>
              <w:pageBreakBefore w:val="0"/>
              <w:wordWrap/>
              <w:bidi w:val="0"/>
              <w:adjustRightInd/>
              <w:snapToGrid/>
              <w:rPr>
                <w:color w:val="auto"/>
              </w:rPr>
            </w:pPr>
            <w:r>
              <w:rPr>
                <w:color w:val="auto"/>
              </w:rPr>
              <w:t>石灰浆搅拌罐</w:t>
            </w:r>
          </w:p>
        </w:tc>
        <w:tc>
          <w:tcPr>
            <w:tcW w:w="1532" w:type="pct"/>
            <w:tcBorders>
              <w:tl2br w:val="nil"/>
              <w:tr2bl w:val="nil"/>
            </w:tcBorders>
            <w:noWrap w:val="0"/>
            <w:vAlign w:val="center"/>
          </w:tcPr>
          <w:p w14:paraId="6BC08A94">
            <w:pPr>
              <w:pStyle w:val="12"/>
              <w:pageBreakBefore w:val="0"/>
              <w:wordWrap/>
              <w:bidi w:val="0"/>
              <w:adjustRightInd/>
              <w:snapToGrid/>
              <w:rPr>
                <w:color w:val="auto"/>
              </w:rPr>
            </w:pPr>
            <w:r>
              <w:rPr>
                <w:color w:val="auto"/>
              </w:rPr>
              <w:t>5</w:t>
            </w:r>
            <w:r>
              <w:rPr>
                <w:rFonts w:hint="eastAsia"/>
                <w:color w:val="auto"/>
                <w:lang w:eastAsia="zh-CN"/>
              </w:rPr>
              <w:t>m³，</w:t>
            </w:r>
            <w:r>
              <w:rPr>
                <w:color w:val="auto"/>
              </w:rPr>
              <w:t>N=</w:t>
            </w:r>
            <w:r>
              <w:rPr>
                <w:rFonts w:hint="eastAsia"/>
                <w:color w:val="auto"/>
                <w:lang w:eastAsia="zh-CN"/>
              </w:rPr>
              <w:t>1</w:t>
            </w:r>
            <w:r>
              <w:rPr>
                <w:color w:val="auto"/>
              </w:rPr>
              <w:t>.5kw</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59AE24DF">
            <w:pPr>
              <w:pStyle w:val="12"/>
              <w:pageBreakBefore w:val="0"/>
              <w:wordWrap/>
              <w:bidi w:val="0"/>
              <w:adjustRightInd/>
              <w:snapToGrid/>
              <w:rPr>
                <w:color w:val="auto"/>
              </w:rPr>
            </w:pPr>
          </w:p>
        </w:tc>
        <w:tc>
          <w:tcPr>
            <w:tcW w:w="279" w:type="pct"/>
            <w:tcBorders>
              <w:tl2br w:val="nil"/>
              <w:tr2bl w:val="nil"/>
            </w:tcBorders>
            <w:noWrap w:val="0"/>
            <w:vAlign w:val="center"/>
          </w:tcPr>
          <w:p w14:paraId="6478249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B6FCA6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2A229C1">
            <w:pPr>
              <w:pStyle w:val="12"/>
              <w:pageBreakBefore w:val="0"/>
              <w:wordWrap/>
              <w:bidi w:val="0"/>
              <w:adjustRightInd/>
              <w:snapToGrid/>
              <w:rPr>
                <w:color w:val="auto"/>
              </w:rPr>
            </w:pPr>
          </w:p>
        </w:tc>
      </w:tr>
      <w:tr w14:paraId="355A806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DA166C">
            <w:pPr>
              <w:pStyle w:val="12"/>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5B4DCC0E">
            <w:pPr>
              <w:pStyle w:val="12"/>
              <w:pageBreakBefore w:val="0"/>
              <w:wordWrap/>
              <w:bidi w:val="0"/>
              <w:adjustRightInd/>
              <w:snapToGrid/>
              <w:rPr>
                <w:color w:val="auto"/>
              </w:rPr>
            </w:pPr>
            <w:r>
              <w:rPr>
                <w:color w:val="auto"/>
              </w:rPr>
              <w:t>石灰乳泵</w:t>
            </w:r>
          </w:p>
        </w:tc>
        <w:tc>
          <w:tcPr>
            <w:tcW w:w="1532" w:type="pct"/>
            <w:tcBorders>
              <w:tl2br w:val="nil"/>
              <w:tr2bl w:val="nil"/>
            </w:tcBorders>
            <w:noWrap w:val="0"/>
            <w:vAlign w:val="center"/>
          </w:tcPr>
          <w:p w14:paraId="1A731FFA">
            <w:pPr>
              <w:pStyle w:val="12"/>
              <w:pageBreakBefore w:val="0"/>
              <w:wordWrap/>
              <w:bidi w:val="0"/>
              <w:adjustRightInd/>
              <w:snapToGrid/>
              <w:rPr>
                <w:color w:val="auto"/>
              </w:rPr>
            </w:pPr>
            <w:r>
              <w:rPr>
                <w:color w:val="auto"/>
              </w:rPr>
              <w:t>输送量3</w:t>
            </w:r>
            <w:r>
              <w:rPr>
                <w:rFonts w:hint="eastAsia"/>
                <w:color w:val="auto"/>
                <w:lang w:eastAsia="zh-CN"/>
              </w:rPr>
              <w:t>m³</w:t>
            </w:r>
            <w:r>
              <w:rPr>
                <w:color w:val="auto"/>
              </w:rPr>
              <w:t>/h</w:t>
            </w:r>
            <w:r>
              <w:rPr>
                <w:rFonts w:hint="eastAsia"/>
                <w:color w:val="auto"/>
                <w:lang w:eastAsia="zh-CN"/>
              </w:rPr>
              <w:t>，</w:t>
            </w:r>
            <w:r>
              <w:rPr>
                <w:color w:val="auto"/>
              </w:rPr>
              <w:t>N=</w:t>
            </w:r>
            <w:r>
              <w:rPr>
                <w:rFonts w:hint="eastAsia"/>
                <w:color w:val="auto"/>
                <w:lang w:eastAsia="zh-CN"/>
              </w:rPr>
              <w:t>1</w:t>
            </w:r>
            <w:r>
              <w:rPr>
                <w:color w:val="auto"/>
              </w:rPr>
              <w:t>.5kw</w:t>
            </w:r>
            <w:r>
              <w:rPr>
                <w:rFonts w:hint="eastAsia"/>
                <w:color w:val="auto"/>
                <w:lang w:eastAsia="zh-CN"/>
              </w:rPr>
              <w:t>，</w:t>
            </w:r>
            <w:r>
              <w:rPr>
                <w:color w:val="auto"/>
              </w:rPr>
              <w:t>含变频器</w:t>
            </w:r>
          </w:p>
        </w:tc>
        <w:tc>
          <w:tcPr>
            <w:tcW w:w="612" w:type="pct"/>
            <w:tcBorders>
              <w:tl2br w:val="nil"/>
              <w:tr2bl w:val="nil"/>
            </w:tcBorders>
            <w:noWrap w:val="0"/>
            <w:vAlign w:val="center"/>
          </w:tcPr>
          <w:p w14:paraId="707F9ADD">
            <w:pPr>
              <w:pStyle w:val="12"/>
              <w:pageBreakBefore w:val="0"/>
              <w:wordWrap/>
              <w:bidi w:val="0"/>
              <w:adjustRightInd/>
              <w:snapToGrid/>
              <w:rPr>
                <w:color w:val="auto"/>
              </w:rPr>
            </w:pPr>
          </w:p>
        </w:tc>
        <w:tc>
          <w:tcPr>
            <w:tcW w:w="279" w:type="pct"/>
            <w:tcBorders>
              <w:tl2br w:val="nil"/>
              <w:tr2bl w:val="nil"/>
            </w:tcBorders>
            <w:noWrap w:val="0"/>
            <w:vAlign w:val="center"/>
          </w:tcPr>
          <w:p w14:paraId="10F5941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8DB5921">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6AE4414">
            <w:pPr>
              <w:pStyle w:val="12"/>
              <w:pageBreakBefore w:val="0"/>
              <w:wordWrap/>
              <w:bidi w:val="0"/>
              <w:adjustRightInd/>
              <w:snapToGrid/>
              <w:rPr>
                <w:color w:val="auto"/>
              </w:rPr>
            </w:pPr>
            <w:r>
              <w:rPr>
                <w:color w:val="auto"/>
              </w:rPr>
              <w:t>配套阀门</w:t>
            </w:r>
            <w:r>
              <w:rPr>
                <w:rFonts w:hint="eastAsia"/>
                <w:color w:val="auto"/>
                <w:lang w:eastAsia="zh-CN"/>
              </w:rPr>
              <w:t>、</w:t>
            </w:r>
            <w:r>
              <w:rPr>
                <w:color w:val="auto"/>
              </w:rPr>
              <w:t>阀件和管道</w:t>
            </w:r>
          </w:p>
        </w:tc>
      </w:tr>
      <w:tr w14:paraId="791137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F2EAF42">
            <w:pPr>
              <w:pStyle w:val="12"/>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730DD6C5">
            <w:pPr>
              <w:pStyle w:val="12"/>
              <w:pageBreakBefore w:val="0"/>
              <w:wordWrap/>
              <w:bidi w:val="0"/>
              <w:adjustRightInd/>
              <w:snapToGrid/>
              <w:rPr>
                <w:color w:val="auto"/>
              </w:rPr>
            </w:pPr>
            <w:r>
              <w:rPr>
                <w:color w:val="auto"/>
              </w:rPr>
              <w:t>铁盐储存罐</w:t>
            </w:r>
          </w:p>
        </w:tc>
        <w:tc>
          <w:tcPr>
            <w:tcW w:w="1532" w:type="pct"/>
            <w:tcBorders>
              <w:tl2br w:val="nil"/>
              <w:tr2bl w:val="nil"/>
            </w:tcBorders>
            <w:noWrap w:val="0"/>
            <w:vAlign w:val="center"/>
          </w:tcPr>
          <w:p w14:paraId="02B05B74">
            <w:pPr>
              <w:pStyle w:val="12"/>
              <w:pageBreakBefore w:val="0"/>
              <w:wordWrap/>
              <w:bidi w:val="0"/>
              <w:adjustRightInd/>
              <w:snapToGrid/>
              <w:rPr>
                <w:rFonts w:hint="eastAsia" w:eastAsia="宋体"/>
                <w:color w:val="auto"/>
                <w:lang w:eastAsia="zh-CN"/>
              </w:rPr>
            </w:pPr>
            <w:r>
              <w:rPr>
                <w:color w:val="auto"/>
              </w:rPr>
              <w:t>储存罐</w:t>
            </w:r>
            <w:r>
              <w:rPr>
                <w:rFonts w:hint="eastAsia"/>
                <w:color w:val="auto"/>
                <w:lang w:eastAsia="zh-CN"/>
              </w:rPr>
              <w:t>：</w:t>
            </w:r>
            <w:r>
              <w:rPr>
                <w:color w:val="auto"/>
              </w:rPr>
              <w:t>20</w:t>
            </w:r>
            <w:r>
              <w:rPr>
                <w:rFonts w:hint="eastAsia"/>
                <w:color w:val="auto"/>
                <w:lang w:eastAsia="zh-CN"/>
              </w:rPr>
              <w:t>m³</w:t>
            </w:r>
          </w:p>
        </w:tc>
        <w:tc>
          <w:tcPr>
            <w:tcW w:w="612" w:type="pct"/>
            <w:tcBorders>
              <w:tl2br w:val="nil"/>
              <w:tr2bl w:val="nil"/>
            </w:tcBorders>
            <w:noWrap w:val="0"/>
            <w:vAlign w:val="center"/>
          </w:tcPr>
          <w:p w14:paraId="50BD87E4">
            <w:pPr>
              <w:pStyle w:val="12"/>
              <w:pageBreakBefore w:val="0"/>
              <w:wordWrap/>
              <w:bidi w:val="0"/>
              <w:adjustRightInd/>
              <w:snapToGrid/>
              <w:rPr>
                <w:color w:val="auto"/>
              </w:rPr>
            </w:pPr>
          </w:p>
        </w:tc>
        <w:tc>
          <w:tcPr>
            <w:tcW w:w="279" w:type="pct"/>
            <w:tcBorders>
              <w:tl2br w:val="nil"/>
              <w:tr2bl w:val="nil"/>
            </w:tcBorders>
            <w:noWrap w:val="0"/>
            <w:vAlign w:val="center"/>
          </w:tcPr>
          <w:p w14:paraId="4D5408EB">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B1C6E6E">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39A36A0">
            <w:pPr>
              <w:pStyle w:val="12"/>
              <w:pageBreakBefore w:val="0"/>
              <w:wordWrap/>
              <w:bidi w:val="0"/>
              <w:adjustRightInd/>
              <w:snapToGrid/>
              <w:rPr>
                <w:color w:val="auto"/>
              </w:rPr>
            </w:pPr>
          </w:p>
        </w:tc>
      </w:tr>
      <w:tr w14:paraId="5AF2A7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D606BE3">
            <w:pPr>
              <w:pStyle w:val="12"/>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32BFACCD">
            <w:pPr>
              <w:pStyle w:val="12"/>
              <w:pageBreakBefore w:val="0"/>
              <w:wordWrap/>
              <w:bidi w:val="0"/>
              <w:adjustRightInd/>
              <w:snapToGrid/>
              <w:rPr>
                <w:color w:val="auto"/>
              </w:rPr>
            </w:pPr>
            <w:r>
              <w:rPr>
                <w:color w:val="auto"/>
              </w:rPr>
              <w:t>铁盐计量泵</w:t>
            </w:r>
          </w:p>
        </w:tc>
        <w:tc>
          <w:tcPr>
            <w:tcW w:w="1532" w:type="pct"/>
            <w:tcBorders>
              <w:tl2br w:val="nil"/>
              <w:tr2bl w:val="nil"/>
            </w:tcBorders>
            <w:noWrap w:val="0"/>
            <w:vAlign w:val="center"/>
          </w:tcPr>
          <w:p w14:paraId="7958A2A9">
            <w:pPr>
              <w:pStyle w:val="12"/>
              <w:pageBreakBefore w:val="0"/>
              <w:wordWrap/>
              <w:bidi w:val="0"/>
              <w:adjustRightInd/>
              <w:snapToGrid/>
              <w:rPr>
                <w:color w:val="auto"/>
              </w:rPr>
            </w:pPr>
            <w:r>
              <w:rPr>
                <w:color w:val="auto"/>
              </w:rPr>
              <w:t>330L/h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0F491082">
            <w:pPr>
              <w:pStyle w:val="12"/>
              <w:pageBreakBefore w:val="0"/>
              <w:wordWrap/>
              <w:bidi w:val="0"/>
              <w:adjustRightInd/>
              <w:snapToGrid/>
              <w:rPr>
                <w:color w:val="auto"/>
              </w:rPr>
            </w:pPr>
          </w:p>
        </w:tc>
        <w:tc>
          <w:tcPr>
            <w:tcW w:w="279" w:type="pct"/>
            <w:tcBorders>
              <w:tl2br w:val="nil"/>
              <w:tr2bl w:val="nil"/>
            </w:tcBorders>
            <w:noWrap w:val="0"/>
            <w:vAlign w:val="center"/>
          </w:tcPr>
          <w:p w14:paraId="0CCFCF5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68FE9E0">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E2B94CA">
            <w:pPr>
              <w:pStyle w:val="12"/>
              <w:pageBreakBefore w:val="0"/>
              <w:wordWrap/>
              <w:bidi w:val="0"/>
              <w:adjustRightInd/>
              <w:snapToGrid/>
              <w:rPr>
                <w:color w:val="auto"/>
              </w:rPr>
            </w:pPr>
          </w:p>
        </w:tc>
      </w:tr>
      <w:tr w14:paraId="4BD3B6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B6FE912">
            <w:pPr>
              <w:pStyle w:val="12"/>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531C4B41">
            <w:pPr>
              <w:pStyle w:val="12"/>
              <w:pageBreakBefore w:val="0"/>
              <w:wordWrap/>
              <w:bidi w:val="0"/>
              <w:adjustRightInd/>
              <w:snapToGrid/>
              <w:rPr>
                <w:color w:val="auto"/>
              </w:rPr>
            </w:pPr>
            <w:r>
              <w:rPr>
                <w:color w:val="auto"/>
              </w:rPr>
              <w:t>铁盐卸药泵</w:t>
            </w:r>
          </w:p>
        </w:tc>
        <w:tc>
          <w:tcPr>
            <w:tcW w:w="1532" w:type="pct"/>
            <w:tcBorders>
              <w:tl2br w:val="nil"/>
              <w:tr2bl w:val="nil"/>
            </w:tcBorders>
            <w:noWrap w:val="0"/>
            <w:vAlign w:val="center"/>
          </w:tcPr>
          <w:p w14:paraId="3D2F4627">
            <w:pPr>
              <w:pStyle w:val="12"/>
              <w:pageBreakBefore w:val="0"/>
              <w:wordWrap/>
              <w:bidi w:val="0"/>
              <w:adjustRightInd/>
              <w:snapToGrid/>
              <w:rPr>
                <w:color w:val="auto"/>
              </w:rPr>
            </w:pPr>
            <w:r>
              <w:rPr>
                <w:color w:val="auto"/>
              </w:rPr>
              <w:t>330L/h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22AD34C1">
            <w:pPr>
              <w:pStyle w:val="12"/>
              <w:pageBreakBefore w:val="0"/>
              <w:wordWrap/>
              <w:bidi w:val="0"/>
              <w:adjustRightInd/>
              <w:snapToGrid/>
              <w:rPr>
                <w:color w:val="auto"/>
              </w:rPr>
            </w:pPr>
          </w:p>
        </w:tc>
        <w:tc>
          <w:tcPr>
            <w:tcW w:w="279" w:type="pct"/>
            <w:tcBorders>
              <w:tl2br w:val="nil"/>
              <w:tr2bl w:val="nil"/>
            </w:tcBorders>
            <w:noWrap w:val="0"/>
            <w:vAlign w:val="center"/>
          </w:tcPr>
          <w:p w14:paraId="528EA1A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3E3AD16">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C8EFE2C">
            <w:pPr>
              <w:pStyle w:val="12"/>
              <w:pageBreakBefore w:val="0"/>
              <w:wordWrap/>
              <w:bidi w:val="0"/>
              <w:adjustRightInd/>
              <w:snapToGrid/>
              <w:rPr>
                <w:color w:val="auto"/>
              </w:rPr>
            </w:pPr>
          </w:p>
        </w:tc>
      </w:tr>
      <w:tr w14:paraId="4E827A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E60363E">
            <w:pPr>
              <w:pStyle w:val="12"/>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7E04E01C">
            <w:pPr>
              <w:pStyle w:val="12"/>
              <w:pageBreakBefore w:val="0"/>
              <w:wordWrap/>
              <w:bidi w:val="0"/>
              <w:adjustRightInd/>
              <w:snapToGrid/>
              <w:rPr>
                <w:color w:val="auto"/>
              </w:rPr>
            </w:pPr>
            <w:r>
              <w:rPr>
                <w:color w:val="auto"/>
              </w:rPr>
              <w:t>反吹储气罐</w:t>
            </w:r>
          </w:p>
        </w:tc>
        <w:tc>
          <w:tcPr>
            <w:tcW w:w="1532" w:type="pct"/>
            <w:tcBorders>
              <w:tl2br w:val="nil"/>
              <w:tr2bl w:val="nil"/>
            </w:tcBorders>
            <w:noWrap w:val="0"/>
            <w:vAlign w:val="center"/>
          </w:tcPr>
          <w:p w14:paraId="6CD74AE9">
            <w:pPr>
              <w:pStyle w:val="12"/>
              <w:pageBreakBefore w:val="0"/>
              <w:wordWrap/>
              <w:bidi w:val="0"/>
              <w:adjustRightInd/>
              <w:snapToGrid/>
              <w:rPr>
                <w:color w:val="auto"/>
              </w:rPr>
            </w:pPr>
            <w:r>
              <w:rPr>
                <w:color w:val="auto"/>
              </w:rPr>
              <w:t>V=5</w:t>
            </w:r>
            <w:r>
              <w:rPr>
                <w:rFonts w:hint="eastAsia"/>
                <w:color w:val="auto"/>
                <w:lang w:eastAsia="zh-CN"/>
              </w:rPr>
              <w:t>m³，</w:t>
            </w:r>
            <w:r>
              <w:rPr>
                <w:color w:val="auto"/>
              </w:rPr>
              <w:t>工作压力0.8MPa</w:t>
            </w:r>
            <w:r>
              <w:rPr>
                <w:rFonts w:hint="eastAsia"/>
                <w:color w:val="auto"/>
                <w:lang w:eastAsia="zh-CN"/>
              </w:rPr>
              <w:t>，</w:t>
            </w:r>
            <w:r>
              <w:rPr>
                <w:color w:val="auto"/>
              </w:rPr>
              <w:t>最高温</w:t>
            </w:r>
            <w:r>
              <w:rPr>
                <w:rFonts w:hint="eastAsia"/>
                <w:color w:val="auto"/>
                <w:lang w:eastAsia="zh-CN"/>
              </w:rPr>
              <w:t>度</w:t>
            </w:r>
            <w:r>
              <w:rPr>
                <w:color w:val="auto"/>
              </w:rPr>
              <w:t>110℃</w:t>
            </w:r>
          </w:p>
        </w:tc>
        <w:tc>
          <w:tcPr>
            <w:tcW w:w="612" w:type="pct"/>
            <w:tcBorders>
              <w:tl2br w:val="nil"/>
              <w:tr2bl w:val="nil"/>
            </w:tcBorders>
            <w:noWrap w:val="0"/>
            <w:vAlign w:val="center"/>
          </w:tcPr>
          <w:p w14:paraId="064555D3">
            <w:pPr>
              <w:pStyle w:val="12"/>
              <w:pageBreakBefore w:val="0"/>
              <w:wordWrap/>
              <w:bidi w:val="0"/>
              <w:adjustRightInd/>
              <w:snapToGrid/>
              <w:rPr>
                <w:color w:val="auto"/>
              </w:rPr>
            </w:pPr>
          </w:p>
        </w:tc>
        <w:tc>
          <w:tcPr>
            <w:tcW w:w="279" w:type="pct"/>
            <w:tcBorders>
              <w:tl2br w:val="nil"/>
              <w:tr2bl w:val="nil"/>
            </w:tcBorders>
            <w:noWrap w:val="0"/>
            <w:vAlign w:val="center"/>
          </w:tcPr>
          <w:p w14:paraId="6EDE1D6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B573D3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4713E86">
            <w:pPr>
              <w:pStyle w:val="12"/>
              <w:pageBreakBefore w:val="0"/>
              <w:wordWrap/>
              <w:bidi w:val="0"/>
              <w:adjustRightInd/>
              <w:snapToGrid/>
              <w:rPr>
                <w:color w:val="auto"/>
              </w:rPr>
            </w:pPr>
          </w:p>
        </w:tc>
      </w:tr>
      <w:tr w14:paraId="2BAF348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3879466">
            <w:pPr>
              <w:pStyle w:val="12"/>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0620CD4E">
            <w:pPr>
              <w:pStyle w:val="12"/>
              <w:pageBreakBefore w:val="0"/>
              <w:wordWrap/>
              <w:bidi w:val="0"/>
              <w:adjustRightInd/>
              <w:snapToGrid/>
              <w:rPr>
                <w:color w:val="auto"/>
              </w:rPr>
            </w:pPr>
            <w:r>
              <w:rPr>
                <w:color w:val="auto"/>
              </w:rPr>
              <w:t>仪器仪表储气罐</w:t>
            </w:r>
          </w:p>
        </w:tc>
        <w:tc>
          <w:tcPr>
            <w:tcW w:w="1532" w:type="pct"/>
            <w:tcBorders>
              <w:tl2br w:val="nil"/>
              <w:tr2bl w:val="nil"/>
            </w:tcBorders>
            <w:noWrap w:val="0"/>
            <w:vAlign w:val="center"/>
          </w:tcPr>
          <w:p w14:paraId="3FFF86D2">
            <w:pPr>
              <w:pStyle w:val="12"/>
              <w:pageBreakBefore w:val="0"/>
              <w:wordWrap/>
              <w:bidi w:val="0"/>
              <w:adjustRightInd/>
              <w:snapToGrid/>
              <w:rPr>
                <w:color w:val="auto"/>
              </w:rPr>
            </w:pPr>
            <w:r>
              <w:rPr>
                <w:color w:val="auto"/>
              </w:rPr>
              <w:t>V=</w:t>
            </w:r>
            <w:r>
              <w:rPr>
                <w:rFonts w:hint="eastAsia"/>
                <w:color w:val="auto"/>
                <w:lang w:eastAsia="zh-CN"/>
              </w:rPr>
              <w:t>1m³，</w:t>
            </w:r>
            <w:r>
              <w:rPr>
                <w:color w:val="auto"/>
              </w:rPr>
              <w:t>工作压力0.8MPa</w:t>
            </w:r>
            <w:r>
              <w:rPr>
                <w:rFonts w:hint="eastAsia"/>
                <w:color w:val="auto"/>
                <w:lang w:eastAsia="zh-CN"/>
              </w:rPr>
              <w:t>，</w:t>
            </w:r>
            <w:r>
              <w:rPr>
                <w:color w:val="auto"/>
              </w:rPr>
              <w:t>最高温</w:t>
            </w:r>
            <w:r>
              <w:rPr>
                <w:rFonts w:hint="eastAsia"/>
                <w:color w:val="auto"/>
                <w:lang w:eastAsia="zh-CN"/>
              </w:rPr>
              <w:t>度</w:t>
            </w:r>
            <w:r>
              <w:rPr>
                <w:color w:val="auto"/>
              </w:rPr>
              <w:t>110℃</w:t>
            </w:r>
          </w:p>
        </w:tc>
        <w:tc>
          <w:tcPr>
            <w:tcW w:w="612" w:type="pct"/>
            <w:tcBorders>
              <w:tl2br w:val="nil"/>
              <w:tr2bl w:val="nil"/>
            </w:tcBorders>
            <w:noWrap w:val="0"/>
            <w:vAlign w:val="center"/>
          </w:tcPr>
          <w:p w14:paraId="07F5E2DF">
            <w:pPr>
              <w:pStyle w:val="12"/>
              <w:pageBreakBefore w:val="0"/>
              <w:wordWrap/>
              <w:bidi w:val="0"/>
              <w:adjustRightInd/>
              <w:snapToGrid/>
              <w:rPr>
                <w:color w:val="auto"/>
              </w:rPr>
            </w:pPr>
          </w:p>
        </w:tc>
        <w:tc>
          <w:tcPr>
            <w:tcW w:w="279" w:type="pct"/>
            <w:tcBorders>
              <w:tl2br w:val="nil"/>
              <w:tr2bl w:val="nil"/>
            </w:tcBorders>
            <w:noWrap w:val="0"/>
            <w:vAlign w:val="center"/>
          </w:tcPr>
          <w:p w14:paraId="254C143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85F2C79">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D35C113">
            <w:pPr>
              <w:pStyle w:val="12"/>
              <w:pageBreakBefore w:val="0"/>
              <w:wordWrap/>
              <w:bidi w:val="0"/>
              <w:adjustRightInd/>
              <w:snapToGrid/>
              <w:rPr>
                <w:color w:val="auto"/>
              </w:rPr>
            </w:pPr>
          </w:p>
        </w:tc>
      </w:tr>
      <w:tr w14:paraId="76D7A3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B3366ED">
            <w:pPr>
              <w:pStyle w:val="12"/>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323FB315">
            <w:pPr>
              <w:pStyle w:val="12"/>
              <w:pageBreakBefore w:val="0"/>
              <w:wordWrap/>
              <w:bidi w:val="0"/>
              <w:adjustRightInd/>
              <w:snapToGrid/>
              <w:rPr>
                <w:color w:val="auto"/>
              </w:rPr>
            </w:pPr>
            <w:r>
              <w:rPr>
                <w:color w:val="auto"/>
              </w:rPr>
              <w:t>空气压缩机</w:t>
            </w:r>
          </w:p>
        </w:tc>
        <w:tc>
          <w:tcPr>
            <w:tcW w:w="1532" w:type="pct"/>
            <w:tcBorders>
              <w:tl2br w:val="nil"/>
              <w:tr2bl w:val="nil"/>
            </w:tcBorders>
            <w:noWrap w:val="0"/>
            <w:vAlign w:val="center"/>
          </w:tcPr>
          <w:p w14:paraId="4C6CAFDC">
            <w:pPr>
              <w:pStyle w:val="12"/>
              <w:pageBreakBefore w:val="0"/>
              <w:wordWrap/>
              <w:bidi w:val="0"/>
              <w:adjustRightInd/>
              <w:snapToGrid/>
              <w:rPr>
                <w:color w:val="auto"/>
              </w:rPr>
            </w:pPr>
            <w:r>
              <w:rPr>
                <w:color w:val="auto"/>
              </w:rPr>
              <w:t>Q=3.2</w:t>
            </w:r>
            <w:r>
              <w:rPr>
                <w:rFonts w:hint="eastAsia"/>
                <w:color w:val="auto"/>
                <w:lang w:eastAsia="zh-CN"/>
              </w:rPr>
              <w:t>m³</w:t>
            </w:r>
            <w:r>
              <w:rPr>
                <w:color w:val="auto"/>
              </w:rPr>
              <w:t>/min</w:t>
            </w:r>
            <w:r>
              <w:rPr>
                <w:rFonts w:hint="eastAsia"/>
                <w:color w:val="auto"/>
                <w:lang w:eastAsia="zh-CN"/>
              </w:rPr>
              <w:t>，</w:t>
            </w:r>
            <w:r>
              <w:rPr>
                <w:color w:val="auto"/>
              </w:rPr>
              <w:t>H=0.8MPa</w:t>
            </w:r>
            <w:r>
              <w:rPr>
                <w:rFonts w:hint="eastAsia"/>
                <w:color w:val="auto"/>
                <w:lang w:eastAsia="zh-CN"/>
              </w:rPr>
              <w:t>，</w:t>
            </w:r>
            <w:r>
              <w:rPr>
                <w:color w:val="auto"/>
              </w:rPr>
              <w:t>N=22kW</w:t>
            </w:r>
          </w:p>
        </w:tc>
        <w:tc>
          <w:tcPr>
            <w:tcW w:w="612" w:type="pct"/>
            <w:tcBorders>
              <w:tl2br w:val="nil"/>
              <w:tr2bl w:val="nil"/>
            </w:tcBorders>
            <w:noWrap w:val="0"/>
            <w:vAlign w:val="center"/>
          </w:tcPr>
          <w:p w14:paraId="2E5FE12C">
            <w:pPr>
              <w:pStyle w:val="12"/>
              <w:pageBreakBefore w:val="0"/>
              <w:wordWrap/>
              <w:bidi w:val="0"/>
              <w:adjustRightInd/>
              <w:snapToGrid/>
              <w:rPr>
                <w:color w:val="auto"/>
              </w:rPr>
            </w:pPr>
          </w:p>
        </w:tc>
        <w:tc>
          <w:tcPr>
            <w:tcW w:w="279" w:type="pct"/>
            <w:tcBorders>
              <w:tl2br w:val="nil"/>
              <w:tr2bl w:val="nil"/>
            </w:tcBorders>
            <w:noWrap w:val="0"/>
            <w:vAlign w:val="center"/>
          </w:tcPr>
          <w:p w14:paraId="092827CF">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DA54CE8">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45637B5">
            <w:pPr>
              <w:pStyle w:val="12"/>
              <w:pageBreakBefore w:val="0"/>
              <w:wordWrap/>
              <w:bidi w:val="0"/>
              <w:adjustRightInd/>
              <w:snapToGrid/>
              <w:rPr>
                <w:color w:val="auto"/>
              </w:rPr>
            </w:pPr>
          </w:p>
        </w:tc>
      </w:tr>
      <w:tr w14:paraId="26560C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806ECCF">
            <w:pPr>
              <w:pStyle w:val="12"/>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3FD6D197">
            <w:pPr>
              <w:pStyle w:val="12"/>
              <w:pageBreakBefore w:val="0"/>
              <w:wordWrap/>
              <w:bidi w:val="0"/>
              <w:adjustRightInd/>
              <w:snapToGrid/>
              <w:rPr>
                <w:color w:val="auto"/>
              </w:rPr>
            </w:pPr>
            <w:r>
              <w:rPr>
                <w:color w:val="auto"/>
              </w:rPr>
              <w:t>冷干机</w:t>
            </w:r>
          </w:p>
        </w:tc>
        <w:tc>
          <w:tcPr>
            <w:tcW w:w="1532" w:type="pct"/>
            <w:tcBorders>
              <w:tl2br w:val="nil"/>
              <w:tr2bl w:val="nil"/>
            </w:tcBorders>
            <w:noWrap w:val="0"/>
            <w:vAlign w:val="center"/>
          </w:tcPr>
          <w:p w14:paraId="3FED6755">
            <w:pPr>
              <w:pStyle w:val="12"/>
              <w:pageBreakBefore w:val="0"/>
              <w:wordWrap/>
              <w:bidi w:val="0"/>
              <w:adjustRightInd/>
              <w:snapToGrid/>
              <w:rPr>
                <w:color w:val="auto"/>
              </w:rPr>
            </w:pPr>
            <w:r>
              <w:rPr>
                <w:color w:val="auto"/>
              </w:rPr>
              <w:t>Q=</w:t>
            </w:r>
            <w:r>
              <w:rPr>
                <w:rFonts w:hint="eastAsia"/>
                <w:color w:val="auto"/>
                <w:lang w:eastAsia="zh-CN"/>
              </w:rPr>
              <w:t>1</w:t>
            </w:r>
            <w:r>
              <w:rPr>
                <w:color w:val="auto"/>
              </w:rPr>
              <w:t>.0</w:t>
            </w:r>
            <w:r>
              <w:rPr>
                <w:rFonts w:hint="eastAsia"/>
                <w:color w:val="auto"/>
                <w:lang w:eastAsia="zh-CN"/>
              </w:rPr>
              <w:t>m³</w:t>
            </w:r>
            <w:r>
              <w:rPr>
                <w:color w:val="auto"/>
              </w:rPr>
              <w:t>/min</w:t>
            </w:r>
            <w:r>
              <w:rPr>
                <w:rFonts w:hint="eastAsia"/>
                <w:color w:val="auto"/>
                <w:lang w:eastAsia="zh-CN"/>
              </w:rPr>
              <w:t>，</w:t>
            </w:r>
            <w:r>
              <w:rPr>
                <w:color w:val="auto"/>
              </w:rPr>
              <w:t>H=0.8MPa</w:t>
            </w:r>
            <w:r>
              <w:rPr>
                <w:rFonts w:hint="eastAsia"/>
                <w:color w:val="auto"/>
                <w:lang w:eastAsia="zh-CN"/>
              </w:rPr>
              <w:t>，</w:t>
            </w:r>
            <w:r>
              <w:rPr>
                <w:color w:val="auto"/>
              </w:rPr>
              <w:t>N=</w:t>
            </w:r>
            <w:r>
              <w:rPr>
                <w:rFonts w:hint="eastAsia"/>
                <w:color w:val="auto"/>
                <w:lang w:eastAsia="zh-CN"/>
              </w:rPr>
              <w:t>1</w:t>
            </w:r>
            <w:r>
              <w:rPr>
                <w:color w:val="auto"/>
              </w:rPr>
              <w:t>.1kW</w:t>
            </w:r>
          </w:p>
        </w:tc>
        <w:tc>
          <w:tcPr>
            <w:tcW w:w="612" w:type="pct"/>
            <w:tcBorders>
              <w:tl2br w:val="nil"/>
              <w:tr2bl w:val="nil"/>
            </w:tcBorders>
            <w:noWrap w:val="0"/>
            <w:vAlign w:val="center"/>
          </w:tcPr>
          <w:p w14:paraId="5EE4831B">
            <w:pPr>
              <w:pStyle w:val="12"/>
              <w:pageBreakBefore w:val="0"/>
              <w:wordWrap/>
              <w:bidi w:val="0"/>
              <w:adjustRightInd/>
              <w:snapToGrid/>
              <w:rPr>
                <w:color w:val="auto"/>
              </w:rPr>
            </w:pPr>
          </w:p>
        </w:tc>
        <w:tc>
          <w:tcPr>
            <w:tcW w:w="279" w:type="pct"/>
            <w:tcBorders>
              <w:tl2br w:val="nil"/>
              <w:tr2bl w:val="nil"/>
            </w:tcBorders>
            <w:noWrap w:val="0"/>
            <w:vAlign w:val="center"/>
          </w:tcPr>
          <w:p w14:paraId="0F25CAD6">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EE33C3D">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22C58A8">
            <w:pPr>
              <w:pStyle w:val="12"/>
              <w:pageBreakBefore w:val="0"/>
              <w:wordWrap/>
              <w:bidi w:val="0"/>
              <w:adjustRightInd/>
              <w:snapToGrid/>
              <w:rPr>
                <w:color w:val="auto"/>
              </w:rPr>
            </w:pPr>
          </w:p>
        </w:tc>
      </w:tr>
      <w:tr w14:paraId="7685724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5B8ED0C">
            <w:pPr>
              <w:pStyle w:val="12"/>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41978A3C">
            <w:pPr>
              <w:pStyle w:val="12"/>
              <w:pageBreakBefore w:val="0"/>
              <w:wordWrap/>
              <w:bidi w:val="0"/>
              <w:adjustRightInd/>
              <w:snapToGrid/>
              <w:rPr>
                <w:color w:val="auto"/>
              </w:rPr>
            </w:pPr>
            <w:r>
              <w:rPr>
                <w:color w:val="auto"/>
              </w:rPr>
              <w:t>调理池搅拌机</w:t>
            </w:r>
          </w:p>
        </w:tc>
        <w:tc>
          <w:tcPr>
            <w:tcW w:w="1532" w:type="pct"/>
            <w:tcBorders>
              <w:tl2br w:val="nil"/>
              <w:tr2bl w:val="nil"/>
            </w:tcBorders>
            <w:noWrap w:val="0"/>
            <w:vAlign w:val="center"/>
          </w:tcPr>
          <w:p w14:paraId="4CA2239C">
            <w:pPr>
              <w:pStyle w:val="12"/>
              <w:pageBreakBefore w:val="0"/>
              <w:wordWrap/>
              <w:bidi w:val="0"/>
              <w:adjustRightInd/>
              <w:snapToGrid/>
              <w:rPr>
                <w:color w:val="auto"/>
              </w:rPr>
            </w:pPr>
            <w:r>
              <w:rPr>
                <w:color w:val="auto"/>
              </w:rPr>
              <w:t>N=11kW</w:t>
            </w:r>
          </w:p>
        </w:tc>
        <w:tc>
          <w:tcPr>
            <w:tcW w:w="612" w:type="pct"/>
            <w:tcBorders>
              <w:tl2br w:val="nil"/>
              <w:tr2bl w:val="nil"/>
            </w:tcBorders>
            <w:noWrap w:val="0"/>
            <w:vAlign w:val="center"/>
          </w:tcPr>
          <w:p w14:paraId="75B1E7CC">
            <w:pPr>
              <w:pStyle w:val="12"/>
              <w:pageBreakBefore w:val="0"/>
              <w:wordWrap/>
              <w:bidi w:val="0"/>
              <w:adjustRightInd/>
              <w:snapToGrid/>
              <w:rPr>
                <w:color w:val="auto"/>
              </w:rPr>
            </w:pPr>
          </w:p>
        </w:tc>
        <w:tc>
          <w:tcPr>
            <w:tcW w:w="279" w:type="pct"/>
            <w:tcBorders>
              <w:tl2br w:val="nil"/>
              <w:tr2bl w:val="nil"/>
            </w:tcBorders>
            <w:noWrap w:val="0"/>
            <w:vAlign w:val="center"/>
          </w:tcPr>
          <w:p w14:paraId="275369C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CA8357B">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89EDC65">
            <w:pPr>
              <w:pStyle w:val="12"/>
              <w:pageBreakBefore w:val="0"/>
              <w:wordWrap/>
              <w:bidi w:val="0"/>
              <w:adjustRightInd/>
              <w:snapToGrid/>
              <w:rPr>
                <w:color w:val="auto"/>
              </w:rPr>
            </w:pPr>
            <w:r>
              <w:rPr>
                <w:color w:val="auto"/>
              </w:rPr>
              <w:t>污泥调理池</w:t>
            </w:r>
            <w:r>
              <w:rPr>
                <w:rFonts w:hint="eastAsia"/>
                <w:color w:val="auto"/>
                <w:lang w:eastAsia="zh-CN"/>
              </w:rPr>
              <w:t>，</w:t>
            </w:r>
            <w:r>
              <w:rPr>
                <w:color w:val="auto"/>
              </w:rPr>
              <w:t>变频调速</w:t>
            </w:r>
          </w:p>
        </w:tc>
      </w:tr>
      <w:tr w14:paraId="0ADE9B6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0FBA03C">
            <w:pPr>
              <w:pStyle w:val="12"/>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5BA12AB7">
            <w:pPr>
              <w:pStyle w:val="12"/>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7BC0891F">
            <w:pPr>
              <w:pStyle w:val="12"/>
              <w:pageBreakBefore w:val="0"/>
              <w:wordWrap/>
              <w:bidi w:val="0"/>
              <w:adjustRightInd/>
              <w:snapToGrid/>
              <w:rPr>
                <w:color w:val="auto"/>
              </w:rPr>
            </w:pPr>
            <w:r>
              <w:rPr>
                <w:color w:val="auto"/>
              </w:rPr>
              <w:t>L×型</w:t>
            </w:r>
            <w:r>
              <w:rPr>
                <w:rFonts w:hint="eastAsia"/>
                <w:color w:val="auto"/>
                <w:lang w:eastAsia="zh-CN"/>
              </w:rPr>
              <w:t>，</w:t>
            </w:r>
            <w:r>
              <w:rPr>
                <w:color w:val="auto"/>
              </w:rPr>
              <w:t>G=5t</w:t>
            </w:r>
            <w:r>
              <w:rPr>
                <w:rFonts w:hint="eastAsia"/>
                <w:color w:val="auto"/>
                <w:lang w:eastAsia="zh-CN"/>
              </w:rPr>
              <w:t>，</w:t>
            </w:r>
            <w:r>
              <w:rPr>
                <w:color w:val="auto"/>
              </w:rPr>
              <w:t>H=12.0m</w:t>
            </w:r>
            <w:r>
              <w:rPr>
                <w:rFonts w:hint="eastAsia"/>
                <w:color w:val="auto"/>
                <w:lang w:eastAsia="zh-CN"/>
              </w:rPr>
              <w:t>，</w:t>
            </w:r>
            <w:r>
              <w:rPr>
                <w:color w:val="auto"/>
              </w:rPr>
              <w:t>=1</w:t>
            </w:r>
            <w:r>
              <w:rPr>
                <w:rFonts w:hint="eastAsia"/>
                <w:color w:val="auto"/>
                <w:lang w:eastAsia="zh-CN"/>
              </w:rPr>
              <w:t>1</w:t>
            </w:r>
            <w:r>
              <w:rPr>
                <w:color w:val="auto"/>
              </w:rPr>
              <w:t>.2m</w:t>
            </w:r>
            <w:r>
              <w:rPr>
                <w:rFonts w:hint="eastAsia"/>
                <w:color w:val="auto"/>
                <w:lang w:eastAsia="zh-CN"/>
              </w:rPr>
              <w:t>，</w:t>
            </w:r>
            <w:r>
              <w:rPr>
                <w:color w:val="auto"/>
              </w:rPr>
              <w:t>N=2×0.8+7.5+0.8kW</w:t>
            </w:r>
          </w:p>
        </w:tc>
        <w:tc>
          <w:tcPr>
            <w:tcW w:w="612" w:type="pct"/>
            <w:tcBorders>
              <w:tl2br w:val="nil"/>
              <w:tr2bl w:val="nil"/>
            </w:tcBorders>
            <w:noWrap w:val="0"/>
            <w:vAlign w:val="center"/>
          </w:tcPr>
          <w:p w14:paraId="73C19C0C">
            <w:pPr>
              <w:pStyle w:val="12"/>
              <w:pageBreakBefore w:val="0"/>
              <w:wordWrap/>
              <w:bidi w:val="0"/>
              <w:adjustRightInd/>
              <w:snapToGrid/>
              <w:rPr>
                <w:color w:val="auto"/>
              </w:rPr>
            </w:pPr>
          </w:p>
        </w:tc>
        <w:tc>
          <w:tcPr>
            <w:tcW w:w="279" w:type="pct"/>
            <w:tcBorders>
              <w:tl2br w:val="nil"/>
              <w:tr2bl w:val="nil"/>
            </w:tcBorders>
            <w:noWrap w:val="0"/>
            <w:vAlign w:val="center"/>
          </w:tcPr>
          <w:p w14:paraId="1357980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B6F046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11648FE">
            <w:pPr>
              <w:pStyle w:val="12"/>
              <w:pageBreakBefore w:val="0"/>
              <w:wordWrap/>
              <w:bidi w:val="0"/>
              <w:adjustRightInd/>
              <w:snapToGrid/>
              <w:rPr>
                <w:color w:val="auto"/>
              </w:rPr>
            </w:pPr>
            <w:r>
              <w:rPr>
                <w:color w:val="auto"/>
              </w:rPr>
              <w:t>配MD15-9D型电动葫芦</w:t>
            </w:r>
          </w:p>
        </w:tc>
      </w:tr>
      <w:tr w14:paraId="35D5A2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E741ED">
            <w:pPr>
              <w:pStyle w:val="12"/>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567381F3">
            <w:pPr>
              <w:pStyle w:val="12"/>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297302FC">
            <w:pPr>
              <w:pStyle w:val="12"/>
              <w:pageBreakBefore w:val="0"/>
              <w:wordWrap/>
              <w:bidi w:val="0"/>
              <w:adjustRightInd/>
              <w:snapToGrid/>
              <w:rPr>
                <w:color w:val="auto"/>
              </w:rPr>
            </w:pPr>
            <w:r>
              <w:rPr>
                <w:color w:val="auto"/>
              </w:rPr>
              <w:t>MD12-9型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20919ECD">
            <w:pPr>
              <w:pStyle w:val="12"/>
              <w:pageBreakBefore w:val="0"/>
              <w:wordWrap/>
              <w:bidi w:val="0"/>
              <w:adjustRightInd/>
              <w:snapToGrid/>
              <w:rPr>
                <w:color w:val="auto"/>
              </w:rPr>
            </w:pPr>
          </w:p>
        </w:tc>
        <w:tc>
          <w:tcPr>
            <w:tcW w:w="279" w:type="pct"/>
            <w:tcBorders>
              <w:tl2br w:val="nil"/>
              <w:tr2bl w:val="nil"/>
            </w:tcBorders>
            <w:noWrap w:val="0"/>
            <w:vAlign w:val="center"/>
          </w:tcPr>
          <w:p w14:paraId="7553C12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167E23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A44EA44">
            <w:pPr>
              <w:pStyle w:val="12"/>
              <w:pageBreakBefore w:val="0"/>
              <w:wordWrap/>
              <w:bidi w:val="0"/>
              <w:adjustRightInd/>
              <w:snapToGrid/>
              <w:rPr>
                <w:color w:val="auto"/>
              </w:rPr>
            </w:pPr>
            <w:r>
              <w:rPr>
                <w:color w:val="auto"/>
              </w:rPr>
              <w:t>配MD12-9D型电动葫芦</w:t>
            </w:r>
          </w:p>
        </w:tc>
      </w:tr>
      <w:tr w14:paraId="73B1E4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9A6D29A">
            <w:pPr>
              <w:pStyle w:val="12"/>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3C1664EE">
            <w:pPr>
              <w:pStyle w:val="12"/>
              <w:pageBreakBefore w:val="0"/>
              <w:wordWrap/>
              <w:bidi w:val="0"/>
              <w:adjustRightInd/>
              <w:snapToGrid/>
              <w:rPr>
                <w:color w:val="auto"/>
              </w:rPr>
            </w:pPr>
            <w:r>
              <w:rPr>
                <w:color w:val="auto"/>
              </w:rPr>
              <w:t>污泥电磁流量计</w:t>
            </w:r>
          </w:p>
        </w:tc>
        <w:tc>
          <w:tcPr>
            <w:tcW w:w="1532" w:type="pct"/>
            <w:tcBorders>
              <w:tl2br w:val="nil"/>
              <w:tr2bl w:val="nil"/>
            </w:tcBorders>
            <w:noWrap w:val="0"/>
            <w:vAlign w:val="center"/>
          </w:tcPr>
          <w:p w14:paraId="5EFFC8DB">
            <w:pPr>
              <w:pStyle w:val="12"/>
              <w:pageBreakBefore w:val="0"/>
              <w:wordWrap/>
              <w:bidi w:val="0"/>
              <w:adjustRightInd/>
              <w:snapToGrid/>
              <w:rPr>
                <w:color w:val="auto"/>
              </w:rPr>
            </w:pPr>
            <w:r>
              <w:rPr>
                <w:color w:val="auto"/>
              </w:rPr>
              <w:t>DN65</w:t>
            </w:r>
            <w:r>
              <w:rPr>
                <w:rFonts w:hint="eastAsia"/>
                <w:color w:val="auto"/>
                <w:lang w:eastAsia="zh-CN"/>
              </w:rPr>
              <w:t>，</w:t>
            </w:r>
            <w:r>
              <w:rPr>
                <w:color w:val="auto"/>
              </w:rPr>
              <w:t>测量范围0~100m/h/h</w:t>
            </w:r>
          </w:p>
        </w:tc>
        <w:tc>
          <w:tcPr>
            <w:tcW w:w="612" w:type="pct"/>
            <w:tcBorders>
              <w:tl2br w:val="nil"/>
              <w:tr2bl w:val="nil"/>
            </w:tcBorders>
            <w:noWrap w:val="0"/>
            <w:vAlign w:val="center"/>
          </w:tcPr>
          <w:p w14:paraId="1BF71D58">
            <w:pPr>
              <w:pStyle w:val="12"/>
              <w:pageBreakBefore w:val="0"/>
              <w:wordWrap/>
              <w:bidi w:val="0"/>
              <w:adjustRightInd/>
              <w:snapToGrid/>
              <w:rPr>
                <w:color w:val="auto"/>
              </w:rPr>
            </w:pPr>
          </w:p>
        </w:tc>
        <w:tc>
          <w:tcPr>
            <w:tcW w:w="279" w:type="pct"/>
            <w:tcBorders>
              <w:tl2br w:val="nil"/>
              <w:tr2bl w:val="nil"/>
            </w:tcBorders>
            <w:noWrap w:val="0"/>
            <w:vAlign w:val="center"/>
          </w:tcPr>
          <w:p w14:paraId="04965E2A">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0A6AB38">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EE60898">
            <w:pPr>
              <w:pStyle w:val="12"/>
              <w:pageBreakBefore w:val="0"/>
              <w:wordWrap/>
              <w:bidi w:val="0"/>
              <w:adjustRightInd/>
              <w:snapToGrid/>
              <w:rPr>
                <w:color w:val="auto"/>
              </w:rPr>
            </w:pPr>
          </w:p>
        </w:tc>
      </w:tr>
      <w:tr w14:paraId="082B66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29E0C5">
            <w:pPr>
              <w:pStyle w:val="12"/>
              <w:pageBreakBefore w:val="0"/>
              <w:wordWrap/>
              <w:bidi w:val="0"/>
              <w:adjustRightInd/>
              <w:snapToGrid/>
              <w:rPr>
                <w:color w:val="auto"/>
              </w:rPr>
            </w:pPr>
            <w:r>
              <w:rPr>
                <w:color w:val="auto"/>
              </w:rPr>
              <w:t>29</w:t>
            </w:r>
          </w:p>
        </w:tc>
        <w:tc>
          <w:tcPr>
            <w:tcW w:w="843" w:type="pct"/>
            <w:gridSpan w:val="2"/>
            <w:tcBorders>
              <w:tl2br w:val="nil"/>
              <w:tr2bl w:val="nil"/>
            </w:tcBorders>
            <w:noWrap w:val="0"/>
            <w:vAlign w:val="center"/>
          </w:tcPr>
          <w:p w14:paraId="419A6890">
            <w:pPr>
              <w:pStyle w:val="12"/>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409E0ED9">
            <w:pPr>
              <w:pStyle w:val="12"/>
              <w:pageBreakBefore w:val="0"/>
              <w:wordWrap/>
              <w:bidi w:val="0"/>
              <w:adjustRightInd/>
              <w:snapToGrid/>
              <w:rPr>
                <w:color w:val="auto"/>
              </w:rPr>
            </w:pPr>
            <w:r>
              <w:rPr>
                <w:color w:val="auto"/>
              </w:rPr>
              <w:t>G=10739</w:t>
            </w:r>
            <w:r>
              <w:rPr>
                <w:rFonts w:hint="eastAsia"/>
                <w:color w:val="auto"/>
                <w:lang w:eastAsia="zh-CN"/>
              </w:rPr>
              <w:t>m³</w:t>
            </w:r>
            <w:r>
              <w:rPr>
                <w:color w:val="auto"/>
              </w:rPr>
              <w:t>/h</w:t>
            </w:r>
            <w:r>
              <w:rPr>
                <w:rFonts w:hint="eastAsia"/>
                <w:color w:val="auto"/>
                <w:lang w:eastAsia="zh-CN"/>
              </w:rPr>
              <w:t>，</w:t>
            </w:r>
            <w:r>
              <w:rPr>
                <w:color w:val="auto"/>
              </w:rPr>
              <w:t>H=173Pa</w:t>
            </w:r>
            <w:r>
              <w:rPr>
                <w:rFonts w:hint="eastAsia"/>
                <w:color w:val="auto"/>
                <w:lang w:eastAsia="zh-CN"/>
              </w:rPr>
              <w:t>，</w:t>
            </w:r>
            <w:r>
              <w:rPr>
                <w:color w:val="auto"/>
              </w:rPr>
              <w:t>n=1450rpm</w:t>
            </w:r>
            <w:r>
              <w:rPr>
                <w:rFonts w:hint="eastAsia"/>
                <w:color w:val="auto"/>
                <w:lang w:eastAsia="zh-CN"/>
              </w:rPr>
              <w:t>，</w:t>
            </w:r>
            <w:r>
              <w:rPr>
                <w:color w:val="auto"/>
              </w:rPr>
              <w:t>N=0.75kW</w:t>
            </w:r>
          </w:p>
        </w:tc>
        <w:tc>
          <w:tcPr>
            <w:tcW w:w="612" w:type="pct"/>
            <w:tcBorders>
              <w:tl2br w:val="nil"/>
              <w:tr2bl w:val="nil"/>
            </w:tcBorders>
            <w:noWrap w:val="0"/>
            <w:vAlign w:val="center"/>
          </w:tcPr>
          <w:p w14:paraId="7477C20C">
            <w:pPr>
              <w:pStyle w:val="12"/>
              <w:pageBreakBefore w:val="0"/>
              <w:wordWrap/>
              <w:bidi w:val="0"/>
              <w:adjustRightInd/>
              <w:snapToGrid/>
              <w:rPr>
                <w:color w:val="auto"/>
              </w:rPr>
            </w:pPr>
          </w:p>
        </w:tc>
        <w:tc>
          <w:tcPr>
            <w:tcW w:w="279" w:type="pct"/>
            <w:tcBorders>
              <w:tl2br w:val="nil"/>
              <w:tr2bl w:val="nil"/>
            </w:tcBorders>
            <w:noWrap w:val="0"/>
            <w:vAlign w:val="center"/>
          </w:tcPr>
          <w:p w14:paraId="610C6CCF">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137BD93">
            <w:pPr>
              <w:pStyle w:val="12"/>
              <w:pageBreakBefore w:val="0"/>
              <w:wordWrap/>
              <w:bidi w:val="0"/>
              <w:adjustRightInd/>
              <w:snapToGrid/>
              <w:rPr>
                <w:color w:val="auto"/>
              </w:rPr>
            </w:pPr>
            <w:r>
              <w:rPr>
                <w:color w:val="auto"/>
              </w:rPr>
              <w:t>12</w:t>
            </w:r>
          </w:p>
        </w:tc>
        <w:tc>
          <w:tcPr>
            <w:tcW w:w="1132" w:type="pct"/>
            <w:tcBorders>
              <w:tl2br w:val="nil"/>
              <w:tr2bl w:val="nil"/>
            </w:tcBorders>
            <w:noWrap w:val="0"/>
            <w:vAlign w:val="center"/>
          </w:tcPr>
          <w:p w14:paraId="674C1767">
            <w:pPr>
              <w:pStyle w:val="12"/>
              <w:pageBreakBefore w:val="0"/>
              <w:wordWrap/>
              <w:bidi w:val="0"/>
              <w:adjustRightInd/>
              <w:snapToGrid/>
              <w:rPr>
                <w:color w:val="auto"/>
              </w:rPr>
            </w:pPr>
          </w:p>
        </w:tc>
      </w:tr>
      <w:tr w14:paraId="2EA446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1D1CDF">
            <w:pPr>
              <w:pStyle w:val="12"/>
              <w:pageBreakBefore w:val="0"/>
              <w:wordWrap/>
              <w:bidi w:val="0"/>
              <w:adjustRightInd/>
              <w:snapToGrid/>
              <w:rPr>
                <w:color w:val="auto"/>
              </w:rPr>
            </w:pPr>
            <w:r>
              <w:rPr>
                <w:color w:val="auto"/>
              </w:rPr>
              <w:t>30</w:t>
            </w:r>
          </w:p>
        </w:tc>
        <w:tc>
          <w:tcPr>
            <w:tcW w:w="843" w:type="pct"/>
            <w:gridSpan w:val="2"/>
            <w:tcBorders>
              <w:tl2br w:val="nil"/>
              <w:tr2bl w:val="nil"/>
            </w:tcBorders>
            <w:noWrap w:val="0"/>
            <w:vAlign w:val="center"/>
          </w:tcPr>
          <w:p w14:paraId="6C37DD96">
            <w:pPr>
              <w:pStyle w:val="12"/>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733C0B17">
            <w:pPr>
              <w:pStyle w:val="12"/>
              <w:pageBreakBefore w:val="0"/>
              <w:wordWrap/>
              <w:bidi w:val="0"/>
              <w:adjustRightInd/>
              <w:snapToGrid/>
              <w:rPr>
                <w:color w:val="auto"/>
              </w:rPr>
            </w:pPr>
            <w:r>
              <w:rPr>
                <w:color w:val="auto"/>
              </w:rPr>
              <w:t>MF/ABC3</w:t>
            </w:r>
          </w:p>
        </w:tc>
        <w:tc>
          <w:tcPr>
            <w:tcW w:w="612" w:type="pct"/>
            <w:tcBorders>
              <w:tl2br w:val="nil"/>
              <w:tr2bl w:val="nil"/>
            </w:tcBorders>
            <w:noWrap w:val="0"/>
            <w:vAlign w:val="center"/>
          </w:tcPr>
          <w:p w14:paraId="688BEFEF">
            <w:pPr>
              <w:pStyle w:val="12"/>
              <w:pageBreakBefore w:val="0"/>
              <w:wordWrap/>
              <w:bidi w:val="0"/>
              <w:adjustRightInd/>
              <w:snapToGrid/>
              <w:rPr>
                <w:color w:val="auto"/>
              </w:rPr>
            </w:pPr>
            <w:r>
              <w:rPr>
                <w:color w:val="auto"/>
              </w:rPr>
              <w:t>成品</w:t>
            </w:r>
          </w:p>
        </w:tc>
        <w:tc>
          <w:tcPr>
            <w:tcW w:w="279" w:type="pct"/>
            <w:tcBorders>
              <w:tl2br w:val="nil"/>
              <w:tr2bl w:val="nil"/>
            </w:tcBorders>
            <w:noWrap w:val="0"/>
            <w:vAlign w:val="center"/>
          </w:tcPr>
          <w:p w14:paraId="14F1FB4F">
            <w:pPr>
              <w:pStyle w:val="12"/>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5E4FC4C5">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05BBCA30">
            <w:pPr>
              <w:pStyle w:val="12"/>
              <w:pageBreakBefore w:val="0"/>
              <w:wordWrap/>
              <w:bidi w:val="0"/>
              <w:adjustRightInd/>
              <w:snapToGrid/>
              <w:rPr>
                <w:color w:val="auto"/>
              </w:rPr>
            </w:pPr>
          </w:p>
        </w:tc>
      </w:tr>
      <w:tr w14:paraId="4707D2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7AD5515">
            <w:pPr>
              <w:pStyle w:val="12"/>
              <w:pageBreakBefore w:val="0"/>
              <w:wordWrap/>
              <w:bidi w:val="0"/>
              <w:adjustRightInd/>
              <w:snapToGrid/>
              <w:jc w:val="left"/>
              <w:rPr>
                <w:color w:val="auto"/>
              </w:rPr>
            </w:pPr>
            <w:r>
              <w:rPr>
                <w:b/>
                <w:bCs/>
                <w:color w:val="auto"/>
              </w:rPr>
              <w:t>反硝化滤池主要设备表</w:t>
            </w:r>
          </w:p>
        </w:tc>
      </w:tr>
      <w:tr w14:paraId="6439815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09546CE">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372CA385">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0811E380">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10E98DBA">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5CE5D885">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523B5FB0">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763F5E4F">
            <w:pPr>
              <w:pStyle w:val="12"/>
              <w:pageBreakBefore w:val="0"/>
              <w:wordWrap/>
              <w:bidi w:val="0"/>
              <w:adjustRightInd/>
              <w:snapToGrid/>
              <w:rPr>
                <w:b/>
                <w:bCs/>
                <w:color w:val="auto"/>
              </w:rPr>
            </w:pPr>
            <w:r>
              <w:rPr>
                <w:b/>
                <w:bCs/>
                <w:color w:val="auto"/>
              </w:rPr>
              <w:t>备注</w:t>
            </w:r>
          </w:p>
        </w:tc>
      </w:tr>
      <w:tr w14:paraId="7BFBFDC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E5D3F8">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0A716E6A">
            <w:pPr>
              <w:pStyle w:val="12"/>
              <w:pageBreakBefore w:val="0"/>
              <w:wordWrap/>
              <w:bidi w:val="0"/>
              <w:adjustRightInd/>
              <w:snapToGrid/>
              <w:rPr>
                <w:color w:val="auto"/>
              </w:rPr>
            </w:pPr>
            <w:r>
              <w:rPr>
                <w:color w:val="auto"/>
              </w:rPr>
              <w:t>快速搅拌机</w:t>
            </w:r>
          </w:p>
        </w:tc>
        <w:tc>
          <w:tcPr>
            <w:tcW w:w="1532" w:type="pct"/>
            <w:tcBorders>
              <w:tl2br w:val="nil"/>
              <w:tr2bl w:val="nil"/>
            </w:tcBorders>
            <w:noWrap w:val="0"/>
            <w:vAlign w:val="center"/>
          </w:tcPr>
          <w:p w14:paraId="7063FAD5">
            <w:pPr>
              <w:pStyle w:val="12"/>
              <w:pageBreakBefore w:val="0"/>
              <w:wordWrap/>
              <w:bidi w:val="0"/>
              <w:adjustRightInd/>
              <w:snapToGrid/>
              <w:rPr>
                <w:color w:val="auto"/>
              </w:rPr>
            </w:pPr>
            <w:r>
              <w:rPr>
                <w:color w:val="auto"/>
              </w:rPr>
              <w:t>电机功率</w:t>
            </w:r>
            <w:r>
              <w:rPr>
                <w:rFonts w:hint="eastAsia"/>
                <w:color w:val="auto"/>
                <w:lang w:eastAsia="zh-CN"/>
              </w:rPr>
              <w:t>：</w:t>
            </w:r>
            <w:r>
              <w:rPr>
                <w:color w:val="auto"/>
              </w:rPr>
              <w:t>3.5kW</w:t>
            </w:r>
          </w:p>
        </w:tc>
        <w:tc>
          <w:tcPr>
            <w:tcW w:w="612" w:type="pct"/>
            <w:tcBorders>
              <w:tl2br w:val="nil"/>
              <w:tr2bl w:val="nil"/>
            </w:tcBorders>
            <w:noWrap w:val="0"/>
            <w:vAlign w:val="center"/>
          </w:tcPr>
          <w:p w14:paraId="6813374B">
            <w:pPr>
              <w:pStyle w:val="12"/>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40EA4C2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46589EA">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3D69DC3">
            <w:pPr>
              <w:pStyle w:val="12"/>
              <w:pageBreakBefore w:val="0"/>
              <w:wordWrap/>
              <w:bidi w:val="0"/>
              <w:adjustRightInd/>
              <w:snapToGrid/>
              <w:rPr>
                <w:color w:val="auto"/>
              </w:rPr>
            </w:pPr>
            <w:r>
              <w:rPr>
                <w:color w:val="auto"/>
              </w:rPr>
              <w:t>用在混合池</w:t>
            </w:r>
          </w:p>
        </w:tc>
      </w:tr>
      <w:tr w14:paraId="74CA979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962511E">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59F360D">
            <w:pPr>
              <w:pStyle w:val="12"/>
              <w:pageBreakBefore w:val="0"/>
              <w:wordWrap/>
              <w:bidi w:val="0"/>
              <w:adjustRightInd/>
              <w:snapToGrid/>
              <w:rPr>
                <w:color w:val="auto"/>
              </w:rPr>
            </w:pPr>
            <w:r>
              <w:rPr>
                <w:color w:val="auto"/>
              </w:rPr>
              <w:t>反冲洗罗茨鼓风机</w:t>
            </w:r>
          </w:p>
        </w:tc>
        <w:tc>
          <w:tcPr>
            <w:tcW w:w="1532" w:type="pct"/>
            <w:tcBorders>
              <w:tl2br w:val="nil"/>
              <w:tr2bl w:val="nil"/>
            </w:tcBorders>
            <w:noWrap w:val="0"/>
            <w:vAlign w:val="center"/>
          </w:tcPr>
          <w:p w14:paraId="033031B6">
            <w:pPr>
              <w:pStyle w:val="12"/>
              <w:pageBreakBefore w:val="0"/>
              <w:wordWrap/>
              <w:bidi w:val="0"/>
              <w:adjustRightInd/>
              <w:snapToGrid/>
              <w:rPr>
                <w:color w:val="auto"/>
              </w:rPr>
            </w:pPr>
            <w:r>
              <w:rPr>
                <w:color w:val="auto"/>
              </w:rPr>
              <w:t>Q=40</w:t>
            </w:r>
            <w:r>
              <w:rPr>
                <w:rFonts w:hint="eastAsia"/>
                <w:color w:val="auto"/>
                <w:lang w:eastAsia="zh-CN"/>
              </w:rPr>
              <w:t>m³</w:t>
            </w:r>
            <w:r>
              <w:rPr>
                <w:color w:val="auto"/>
              </w:rPr>
              <w:t>/min</w:t>
            </w:r>
            <w:r>
              <w:rPr>
                <w:rFonts w:hint="eastAsia"/>
                <w:color w:val="auto"/>
                <w:lang w:eastAsia="zh-CN"/>
              </w:rPr>
              <w:t>，</w:t>
            </w:r>
            <w:r>
              <w:rPr>
                <w:color w:val="auto"/>
              </w:rPr>
              <w:t>H=70kPa</w:t>
            </w:r>
            <w:r>
              <w:rPr>
                <w:rFonts w:hint="eastAsia"/>
                <w:color w:val="auto"/>
                <w:lang w:eastAsia="zh-CN"/>
              </w:rPr>
              <w:t>，</w:t>
            </w:r>
            <w:r>
              <w:rPr>
                <w:color w:val="auto"/>
              </w:rPr>
              <w:t>N=75kW</w:t>
            </w:r>
            <w:r>
              <w:rPr>
                <w:rFonts w:hint="eastAsia"/>
                <w:color w:val="auto"/>
                <w:lang w:eastAsia="zh-CN"/>
              </w:rPr>
              <w:t>；</w:t>
            </w:r>
            <w:r>
              <w:rPr>
                <w:color w:val="auto"/>
              </w:rPr>
              <w:t>配空气过滤器</w:t>
            </w:r>
            <w:r>
              <w:rPr>
                <w:rFonts w:hint="eastAsia"/>
                <w:color w:val="auto"/>
                <w:lang w:eastAsia="zh-CN"/>
              </w:rPr>
              <w:t>，</w:t>
            </w:r>
            <w:r>
              <w:rPr>
                <w:color w:val="auto"/>
              </w:rPr>
              <w:t>减震器</w:t>
            </w:r>
            <w:r>
              <w:rPr>
                <w:rFonts w:hint="eastAsia"/>
                <w:color w:val="auto"/>
                <w:lang w:eastAsia="zh-CN"/>
              </w:rPr>
              <w:t>，</w:t>
            </w:r>
            <w:r>
              <w:rPr>
                <w:color w:val="auto"/>
              </w:rPr>
              <w:t>进口消音器</w:t>
            </w:r>
            <w:r>
              <w:rPr>
                <w:rFonts w:hint="eastAsia"/>
                <w:color w:val="auto"/>
                <w:lang w:eastAsia="zh-CN"/>
              </w:rPr>
              <w:t>，</w:t>
            </w:r>
            <w:r>
              <w:rPr>
                <w:color w:val="auto"/>
              </w:rPr>
              <w:t>出口消音器</w:t>
            </w:r>
            <w:r>
              <w:rPr>
                <w:rFonts w:hint="eastAsia"/>
                <w:color w:val="auto"/>
                <w:lang w:eastAsia="zh-CN"/>
              </w:rPr>
              <w:t>，</w:t>
            </w:r>
            <w:r>
              <w:rPr>
                <w:color w:val="auto"/>
              </w:rPr>
              <w:t>安全阀</w:t>
            </w:r>
            <w:r>
              <w:rPr>
                <w:rFonts w:hint="eastAsia"/>
                <w:color w:val="auto"/>
                <w:lang w:eastAsia="zh-CN"/>
              </w:rPr>
              <w:t>，</w:t>
            </w:r>
            <w:r>
              <w:rPr>
                <w:color w:val="auto"/>
              </w:rPr>
              <w:t>止回阀</w:t>
            </w:r>
            <w:r>
              <w:rPr>
                <w:rFonts w:hint="eastAsia"/>
                <w:color w:val="auto"/>
                <w:lang w:eastAsia="zh-CN"/>
              </w:rPr>
              <w:t>，</w:t>
            </w:r>
            <w:r>
              <w:rPr>
                <w:color w:val="auto"/>
              </w:rPr>
              <w:t>压力表</w:t>
            </w:r>
            <w:r>
              <w:rPr>
                <w:rFonts w:hint="eastAsia"/>
                <w:color w:val="auto"/>
                <w:lang w:eastAsia="zh-CN"/>
              </w:rPr>
              <w:t>，</w:t>
            </w:r>
            <w:r>
              <w:rPr>
                <w:color w:val="auto"/>
              </w:rPr>
              <w:t>压力表开关</w:t>
            </w:r>
            <w:r>
              <w:rPr>
                <w:rFonts w:hint="eastAsia"/>
                <w:color w:val="auto"/>
                <w:lang w:eastAsia="zh-CN"/>
              </w:rPr>
              <w:t>，</w:t>
            </w:r>
            <w:r>
              <w:rPr>
                <w:color w:val="auto"/>
              </w:rPr>
              <w:t>排气嘴</w:t>
            </w:r>
            <w:r>
              <w:rPr>
                <w:rFonts w:hint="eastAsia"/>
                <w:color w:val="auto"/>
                <w:lang w:eastAsia="zh-CN"/>
              </w:rPr>
              <w:t>，</w:t>
            </w:r>
            <w:r>
              <w:rPr>
                <w:color w:val="auto"/>
              </w:rPr>
              <w:t>柔性接头</w:t>
            </w:r>
            <w:r>
              <w:rPr>
                <w:rFonts w:hint="eastAsia"/>
                <w:color w:val="auto"/>
                <w:lang w:eastAsia="zh-CN"/>
              </w:rPr>
              <w:t>，</w:t>
            </w:r>
            <w:r>
              <w:rPr>
                <w:color w:val="auto"/>
              </w:rPr>
              <w:t>隔音罩等</w:t>
            </w:r>
          </w:p>
        </w:tc>
        <w:tc>
          <w:tcPr>
            <w:tcW w:w="612" w:type="pct"/>
            <w:tcBorders>
              <w:tl2br w:val="nil"/>
              <w:tr2bl w:val="nil"/>
            </w:tcBorders>
            <w:noWrap w:val="0"/>
            <w:vAlign w:val="center"/>
          </w:tcPr>
          <w:p w14:paraId="61852D95">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1F41535F">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77B49A7">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FF16F9B">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65091F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07D61D7">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42B145FC">
            <w:pPr>
              <w:pStyle w:val="12"/>
              <w:pageBreakBefore w:val="0"/>
              <w:wordWrap/>
              <w:bidi w:val="0"/>
              <w:adjustRightInd/>
              <w:snapToGrid/>
              <w:rPr>
                <w:color w:val="auto"/>
              </w:rPr>
            </w:pPr>
            <w:r>
              <w:rPr>
                <w:color w:val="auto"/>
              </w:rPr>
              <w:t>反冲洗水泵</w:t>
            </w:r>
          </w:p>
        </w:tc>
        <w:tc>
          <w:tcPr>
            <w:tcW w:w="1532" w:type="pct"/>
            <w:tcBorders>
              <w:tl2br w:val="nil"/>
              <w:tr2bl w:val="nil"/>
            </w:tcBorders>
            <w:noWrap w:val="0"/>
            <w:vAlign w:val="center"/>
          </w:tcPr>
          <w:p w14:paraId="25152140">
            <w:pPr>
              <w:pStyle w:val="12"/>
              <w:pageBreakBefore w:val="0"/>
              <w:wordWrap/>
              <w:bidi w:val="0"/>
              <w:adjustRightInd/>
              <w:snapToGrid/>
              <w:rPr>
                <w:rFonts w:hint="eastAsia" w:eastAsia="宋体"/>
                <w:color w:val="auto"/>
                <w:lang w:eastAsia="zh-CN"/>
              </w:rPr>
            </w:pPr>
            <w:r>
              <w:rPr>
                <w:color w:val="auto"/>
              </w:rPr>
              <w:t>Q=577</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N=18.5kW</w:t>
            </w:r>
            <w:r>
              <w:rPr>
                <w:rFonts w:hint="eastAsia"/>
                <w:color w:val="auto"/>
                <w:lang w:eastAsia="zh-CN"/>
              </w:rPr>
              <w:t>；</w:t>
            </w:r>
          </w:p>
        </w:tc>
        <w:tc>
          <w:tcPr>
            <w:tcW w:w="612" w:type="pct"/>
            <w:tcBorders>
              <w:tl2br w:val="nil"/>
              <w:tr2bl w:val="nil"/>
            </w:tcBorders>
            <w:noWrap w:val="0"/>
            <w:vAlign w:val="center"/>
          </w:tcPr>
          <w:p w14:paraId="033F3B20">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5692416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BA39CB3">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9F8CD32">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5BB893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58262C">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0413779">
            <w:pPr>
              <w:pStyle w:val="12"/>
              <w:pageBreakBefore w:val="0"/>
              <w:wordWrap/>
              <w:bidi w:val="0"/>
              <w:adjustRightInd/>
              <w:snapToGrid/>
              <w:rPr>
                <w:color w:val="auto"/>
              </w:rPr>
            </w:pPr>
            <w:r>
              <w:rPr>
                <w:color w:val="auto"/>
              </w:rPr>
              <w:t>反冲洗废水泵</w:t>
            </w:r>
          </w:p>
        </w:tc>
        <w:tc>
          <w:tcPr>
            <w:tcW w:w="1532" w:type="pct"/>
            <w:tcBorders>
              <w:tl2br w:val="nil"/>
              <w:tr2bl w:val="nil"/>
            </w:tcBorders>
            <w:noWrap w:val="0"/>
            <w:vAlign w:val="center"/>
          </w:tcPr>
          <w:p w14:paraId="62A613DD">
            <w:pPr>
              <w:pStyle w:val="12"/>
              <w:pageBreakBefore w:val="0"/>
              <w:wordWrap/>
              <w:bidi w:val="0"/>
              <w:adjustRightInd/>
              <w:snapToGrid/>
              <w:rPr>
                <w:rFonts w:hint="eastAsia" w:eastAsia="宋体"/>
                <w:color w:val="auto"/>
                <w:lang w:eastAsia="zh-CN"/>
              </w:rPr>
            </w:pPr>
            <w:r>
              <w:rPr>
                <w:color w:val="auto"/>
              </w:rPr>
              <w:t>Q=97</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N=4.7kW</w:t>
            </w:r>
            <w:r>
              <w:rPr>
                <w:rFonts w:hint="eastAsia"/>
                <w:color w:val="auto"/>
                <w:lang w:eastAsia="zh-CN"/>
              </w:rPr>
              <w:t>；</w:t>
            </w:r>
          </w:p>
        </w:tc>
        <w:tc>
          <w:tcPr>
            <w:tcW w:w="612" w:type="pct"/>
            <w:tcBorders>
              <w:tl2br w:val="nil"/>
              <w:tr2bl w:val="nil"/>
            </w:tcBorders>
            <w:noWrap w:val="0"/>
            <w:vAlign w:val="center"/>
          </w:tcPr>
          <w:p w14:paraId="5A442335">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5E42842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1A081D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FCCC919">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自带电控箱</w:t>
            </w:r>
          </w:p>
        </w:tc>
      </w:tr>
      <w:tr w14:paraId="2A0BCB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AE2FD74">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41663CE">
            <w:pPr>
              <w:pStyle w:val="12"/>
              <w:pageBreakBefore w:val="0"/>
              <w:wordWrap/>
              <w:bidi w:val="0"/>
              <w:adjustRightInd/>
              <w:snapToGrid/>
              <w:rPr>
                <w:color w:val="auto"/>
              </w:rPr>
            </w:pPr>
            <w:r>
              <w:rPr>
                <w:color w:val="auto"/>
              </w:rPr>
              <w:t>管廊底坑排水泵</w:t>
            </w:r>
          </w:p>
        </w:tc>
        <w:tc>
          <w:tcPr>
            <w:tcW w:w="1532" w:type="pct"/>
            <w:tcBorders>
              <w:tl2br w:val="nil"/>
              <w:tr2bl w:val="nil"/>
            </w:tcBorders>
            <w:noWrap w:val="0"/>
            <w:vAlign w:val="center"/>
          </w:tcPr>
          <w:p w14:paraId="718EA541">
            <w:pPr>
              <w:pStyle w:val="12"/>
              <w:pageBreakBefore w:val="0"/>
              <w:wordWrap/>
              <w:bidi w:val="0"/>
              <w:adjustRightInd/>
              <w:snapToGrid/>
              <w:rPr>
                <w:rFonts w:hint="eastAsia" w:eastAsia="宋体"/>
                <w:color w:val="auto"/>
                <w:lang w:eastAsia="zh-CN"/>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w:t>
            </w:r>
            <w:r>
              <w:rPr>
                <w:rFonts w:hint="eastAsia"/>
                <w:color w:val="auto"/>
                <w:lang w:eastAsia="zh-CN"/>
              </w:rPr>
              <w:t>1</w:t>
            </w:r>
            <w:r>
              <w:rPr>
                <w:color w:val="auto"/>
              </w:rPr>
              <w:t>.2kW</w:t>
            </w:r>
            <w:r>
              <w:rPr>
                <w:rFonts w:hint="eastAsia"/>
                <w:color w:val="auto"/>
                <w:lang w:eastAsia="zh-CN"/>
              </w:rPr>
              <w:t>；</w:t>
            </w:r>
          </w:p>
        </w:tc>
        <w:tc>
          <w:tcPr>
            <w:tcW w:w="612" w:type="pct"/>
            <w:tcBorders>
              <w:tl2br w:val="nil"/>
              <w:tr2bl w:val="nil"/>
            </w:tcBorders>
            <w:noWrap w:val="0"/>
            <w:vAlign w:val="center"/>
          </w:tcPr>
          <w:p w14:paraId="1997ADA2">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5E24E751">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4F0BF9A">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369DA34">
            <w:pPr>
              <w:pStyle w:val="12"/>
              <w:pageBreakBefore w:val="0"/>
              <w:wordWrap/>
              <w:bidi w:val="0"/>
              <w:adjustRightInd/>
              <w:snapToGrid/>
              <w:rPr>
                <w:color w:val="auto"/>
              </w:rPr>
            </w:pPr>
          </w:p>
        </w:tc>
      </w:tr>
      <w:tr w14:paraId="060E8E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60B980">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0B5606C6">
            <w:pPr>
              <w:pStyle w:val="12"/>
              <w:pageBreakBefore w:val="0"/>
              <w:wordWrap/>
              <w:bidi w:val="0"/>
              <w:adjustRightInd/>
              <w:snapToGrid/>
              <w:rPr>
                <w:color w:val="auto"/>
              </w:rPr>
            </w:pPr>
            <w:r>
              <w:rPr>
                <w:color w:val="auto"/>
              </w:rPr>
              <w:t>空压机</w:t>
            </w:r>
          </w:p>
        </w:tc>
        <w:tc>
          <w:tcPr>
            <w:tcW w:w="1532" w:type="pct"/>
            <w:tcBorders>
              <w:tl2br w:val="nil"/>
              <w:tr2bl w:val="nil"/>
            </w:tcBorders>
            <w:noWrap w:val="0"/>
            <w:vAlign w:val="center"/>
          </w:tcPr>
          <w:p w14:paraId="439E0CA7">
            <w:pPr>
              <w:pStyle w:val="12"/>
              <w:pageBreakBefore w:val="0"/>
              <w:wordWrap/>
              <w:bidi w:val="0"/>
              <w:adjustRightInd/>
              <w:snapToGrid/>
              <w:rPr>
                <w:rFonts w:hint="eastAsia" w:eastAsia="宋体"/>
                <w:color w:val="auto"/>
                <w:lang w:eastAsia="zh-CN"/>
              </w:rPr>
            </w:pPr>
            <w:r>
              <w:rPr>
                <w:color w:val="auto"/>
              </w:rPr>
              <w:t>Q=</w:t>
            </w:r>
            <w:r>
              <w:rPr>
                <w:rFonts w:hint="eastAsia"/>
                <w:color w:val="auto"/>
                <w:lang w:eastAsia="zh-CN"/>
              </w:rPr>
              <w:t>1</w:t>
            </w:r>
            <w:r>
              <w:rPr>
                <w:color w:val="auto"/>
              </w:rPr>
              <w:t>.0</w:t>
            </w:r>
            <w:r>
              <w:rPr>
                <w:rFonts w:hint="eastAsia"/>
                <w:color w:val="auto"/>
                <w:lang w:eastAsia="zh-CN"/>
              </w:rPr>
              <w:t>m³</w:t>
            </w:r>
            <w:r>
              <w:rPr>
                <w:color w:val="auto"/>
              </w:rPr>
              <w:t>/min</w:t>
            </w:r>
            <w:r>
              <w:rPr>
                <w:rFonts w:hint="eastAsia"/>
                <w:color w:val="auto"/>
                <w:lang w:eastAsia="zh-CN"/>
              </w:rPr>
              <w:t>，</w:t>
            </w:r>
            <w:r>
              <w:rPr>
                <w:color w:val="auto"/>
              </w:rPr>
              <w:t>P=0.8Mpa</w:t>
            </w:r>
            <w:r>
              <w:rPr>
                <w:rFonts w:hint="eastAsia"/>
                <w:color w:val="auto"/>
                <w:lang w:eastAsia="zh-CN"/>
              </w:rPr>
              <w:t>，</w:t>
            </w:r>
            <w:r>
              <w:rPr>
                <w:color w:val="auto"/>
              </w:rPr>
              <w:t>N=4kW</w:t>
            </w:r>
            <w:r>
              <w:rPr>
                <w:rFonts w:hint="eastAsia"/>
                <w:color w:val="auto"/>
                <w:lang w:eastAsia="zh-CN"/>
              </w:rPr>
              <w:t>；</w:t>
            </w:r>
            <w:r>
              <w:rPr>
                <w:color w:val="auto"/>
              </w:rPr>
              <w:t>配套冷干机</w:t>
            </w:r>
            <w:r>
              <w:rPr>
                <w:rFonts w:hint="eastAsia"/>
                <w:color w:val="auto"/>
                <w:lang w:eastAsia="zh-CN"/>
              </w:rPr>
              <w:t>、</w:t>
            </w:r>
            <w:r>
              <w:rPr>
                <w:color w:val="auto"/>
              </w:rPr>
              <w:t>管道前后过滤器</w:t>
            </w:r>
            <w:r>
              <w:rPr>
                <w:rFonts w:hint="eastAsia"/>
                <w:color w:val="auto"/>
                <w:lang w:eastAsia="zh-CN"/>
              </w:rPr>
              <w:t>，</w:t>
            </w:r>
            <w:r>
              <w:rPr>
                <w:color w:val="auto"/>
              </w:rPr>
              <w:t>压力传感器</w:t>
            </w:r>
            <w:r>
              <w:rPr>
                <w:rFonts w:hint="eastAsia"/>
                <w:color w:val="auto"/>
                <w:lang w:eastAsia="zh-CN"/>
              </w:rPr>
              <w:t>，</w:t>
            </w:r>
            <w:r>
              <w:rPr>
                <w:color w:val="auto"/>
              </w:rPr>
              <w:t>空压机至各滤池气源分配器的所有干管、弯头等采用不锈钢</w:t>
            </w:r>
            <w:r>
              <w:rPr>
                <w:rFonts w:hint="eastAsia"/>
                <w:color w:val="auto"/>
                <w:lang w:eastAsia="zh-CN"/>
              </w:rPr>
              <w:t>。</w:t>
            </w:r>
          </w:p>
        </w:tc>
        <w:tc>
          <w:tcPr>
            <w:tcW w:w="612" w:type="pct"/>
            <w:tcBorders>
              <w:tl2br w:val="nil"/>
              <w:tr2bl w:val="nil"/>
            </w:tcBorders>
            <w:noWrap w:val="0"/>
            <w:vAlign w:val="center"/>
          </w:tcPr>
          <w:p w14:paraId="7C46B1A1">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F4F481B">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E09C461">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0AB3388">
            <w:pPr>
              <w:pStyle w:val="12"/>
              <w:pageBreakBefore w:val="0"/>
              <w:wordWrap/>
              <w:bidi w:val="0"/>
              <w:adjustRightInd/>
              <w:snapToGrid/>
              <w:rPr>
                <w:color w:val="auto"/>
              </w:rPr>
            </w:pPr>
            <w:r>
              <w:rPr>
                <w:color w:val="auto"/>
              </w:rPr>
              <w:t>螺杆式</w:t>
            </w:r>
            <w:r>
              <w:rPr>
                <w:rFonts w:hint="eastAsia"/>
                <w:color w:val="auto"/>
                <w:lang w:eastAsia="zh-CN"/>
              </w:rPr>
              <w:t>，1</w:t>
            </w:r>
            <w:r>
              <w:rPr>
                <w:color w:val="auto"/>
              </w:rPr>
              <w:t>用</w:t>
            </w:r>
            <w:r>
              <w:rPr>
                <w:rFonts w:hint="eastAsia"/>
                <w:color w:val="auto"/>
                <w:lang w:eastAsia="zh-CN"/>
              </w:rPr>
              <w:t>1</w:t>
            </w:r>
            <w:r>
              <w:rPr>
                <w:color w:val="auto"/>
              </w:rPr>
              <w:t>备</w:t>
            </w:r>
          </w:p>
        </w:tc>
      </w:tr>
      <w:tr w14:paraId="6BA328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6BAA03">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7958639A">
            <w:pPr>
              <w:pStyle w:val="12"/>
              <w:pageBreakBefore w:val="0"/>
              <w:wordWrap/>
              <w:bidi w:val="0"/>
              <w:adjustRightInd/>
              <w:snapToGrid/>
              <w:rPr>
                <w:color w:val="auto"/>
              </w:rPr>
            </w:pPr>
            <w:r>
              <w:rPr>
                <w:color w:val="auto"/>
              </w:rPr>
              <w:t>压缩空气储罐</w:t>
            </w:r>
          </w:p>
        </w:tc>
        <w:tc>
          <w:tcPr>
            <w:tcW w:w="1532" w:type="pct"/>
            <w:tcBorders>
              <w:tl2br w:val="nil"/>
              <w:tr2bl w:val="nil"/>
            </w:tcBorders>
            <w:noWrap w:val="0"/>
            <w:vAlign w:val="center"/>
          </w:tcPr>
          <w:p w14:paraId="54C37049">
            <w:pPr>
              <w:pStyle w:val="12"/>
              <w:pageBreakBefore w:val="0"/>
              <w:wordWrap/>
              <w:bidi w:val="0"/>
              <w:adjustRightInd/>
              <w:snapToGrid/>
              <w:rPr>
                <w:color w:val="auto"/>
              </w:rPr>
            </w:pPr>
            <w:r>
              <w:rPr>
                <w:color w:val="auto"/>
              </w:rPr>
              <w:t>V=</w:t>
            </w:r>
            <w:r>
              <w:rPr>
                <w:rFonts w:hint="eastAsia"/>
                <w:color w:val="auto"/>
                <w:lang w:eastAsia="zh-CN"/>
              </w:rPr>
              <w:t>1</w:t>
            </w:r>
            <w:r>
              <w:rPr>
                <w:color w:val="auto"/>
              </w:rPr>
              <w:t>.0</w:t>
            </w:r>
            <w:r>
              <w:rPr>
                <w:rFonts w:hint="eastAsia"/>
                <w:color w:val="auto"/>
                <w:lang w:eastAsia="zh-CN"/>
              </w:rPr>
              <w:t>m³，</w:t>
            </w:r>
            <w:r>
              <w:rPr>
                <w:color w:val="auto"/>
              </w:rPr>
              <w:t>P=0.8Mpa</w:t>
            </w:r>
            <w:r>
              <w:rPr>
                <w:rFonts w:hint="eastAsia"/>
                <w:color w:val="auto"/>
                <w:lang w:eastAsia="zh-CN"/>
              </w:rPr>
              <w:t>；</w:t>
            </w:r>
            <w:r>
              <w:rPr>
                <w:color w:val="auto"/>
              </w:rPr>
              <w:t>配套安全阀、自动排水阀等</w:t>
            </w:r>
            <w:r>
              <w:rPr>
                <w:rFonts w:hint="eastAsia"/>
                <w:color w:val="auto"/>
                <w:lang w:eastAsia="zh-CN"/>
              </w:rPr>
              <w:t>。</w:t>
            </w:r>
          </w:p>
        </w:tc>
        <w:tc>
          <w:tcPr>
            <w:tcW w:w="612" w:type="pct"/>
            <w:tcBorders>
              <w:tl2br w:val="nil"/>
              <w:tr2bl w:val="nil"/>
            </w:tcBorders>
            <w:noWrap w:val="0"/>
            <w:vAlign w:val="center"/>
          </w:tcPr>
          <w:p w14:paraId="6E8EABC5">
            <w:pPr>
              <w:pStyle w:val="12"/>
              <w:pageBreakBefore w:val="0"/>
              <w:wordWrap/>
              <w:bidi w:val="0"/>
              <w:adjustRightInd/>
              <w:snapToGrid/>
              <w:rPr>
                <w:color w:val="auto"/>
              </w:rPr>
            </w:pPr>
          </w:p>
        </w:tc>
        <w:tc>
          <w:tcPr>
            <w:tcW w:w="279" w:type="pct"/>
            <w:tcBorders>
              <w:tl2br w:val="nil"/>
              <w:tr2bl w:val="nil"/>
            </w:tcBorders>
            <w:noWrap w:val="0"/>
            <w:vAlign w:val="center"/>
          </w:tcPr>
          <w:p w14:paraId="5178DA88">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01AEE4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B77F450">
            <w:pPr>
              <w:pStyle w:val="12"/>
              <w:pageBreakBefore w:val="0"/>
              <w:wordWrap/>
              <w:bidi w:val="0"/>
              <w:adjustRightInd/>
              <w:snapToGrid/>
              <w:rPr>
                <w:color w:val="auto"/>
              </w:rPr>
            </w:pPr>
          </w:p>
        </w:tc>
      </w:tr>
      <w:tr w14:paraId="1F98C88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703B909">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54991796">
            <w:pPr>
              <w:pStyle w:val="12"/>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2826A563">
            <w:pPr>
              <w:pStyle w:val="12"/>
              <w:pageBreakBefore w:val="0"/>
              <w:wordWrap/>
              <w:bidi w:val="0"/>
              <w:adjustRightInd/>
              <w:snapToGrid/>
              <w:rPr>
                <w:color w:val="auto"/>
              </w:rPr>
            </w:pPr>
            <w:r>
              <w:rPr>
                <w:color w:val="auto"/>
              </w:rPr>
              <w:t>DN450P=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配2位5同电磁阀</w:t>
            </w:r>
            <w:r>
              <w:rPr>
                <w:rFonts w:hint="eastAsia"/>
                <w:color w:val="auto"/>
                <w:lang w:eastAsia="zh-CN"/>
              </w:rPr>
              <w:t>，</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2712042F">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38FA018B">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BB4316C">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7631898">
            <w:pPr>
              <w:pStyle w:val="12"/>
              <w:pageBreakBefore w:val="0"/>
              <w:wordWrap/>
              <w:bidi w:val="0"/>
              <w:adjustRightInd/>
              <w:snapToGrid/>
              <w:rPr>
                <w:color w:val="auto"/>
              </w:rPr>
            </w:pPr>
            <w:r>
              <w:rPr>
                <w:color w:val="auto"/>
              </w:rPr>
              <w:t>废水管</w:t>
            </w:r>
          </w:p>
        </w:tc>
      </w:tr>
      <w:tr w14:paraId="55B704A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F356DC2">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17F33236">
            <w:pPr>
              <w:pStyle w:val="12"/>
              <w:pageBreakBefore w:val="0"/>
              <w:wordWrap/>
              <w:bidi w:val="0"/>
              <w:adjustRightInd/>
              <w:snapToGrid/>
              <w:rPr>
                <w:color w:val="auto"/>
              </w:rPr>
            </w:pPr>
            <w:r>
              <w:rPr>
                <w:color w:val="auto"/>
              </w:rPr>
              <w:t>调节型气动蝶阀</w:t>
            </w:r>
          </w:p>
        </w:tc>
        <w:tc>
          <w:tcPr>
            <w:tcW w:w="1532" w:type="pct"/>
            <w:tcBorders>
              <w:tl2br w:val="nil"/>
              <w:tr2bl w:val="nil"/>
            </w:tcBorders>
            <w:noWrap w:val="0"/>
            <w:vAlign w:val="center"/>
          </w:tcPr>
          <w:p w14:paraId="609F99D5">
            <w:pPr>
              <w:pStyle w:val="12"/>
              <w:pageBreakBefore w:val="0"/>
              <w:wordWrap/>
              <w:bidi w:val="0"/>
              <w:adjustRightInd/>
              <w:snapToGrid/>
              <w:rPr>
                <w:color w:val="auto"/>
              </w:rPr>
            </w:pPr>
            <w:r>
              <w:rPr>
                <w:color w:val="auto"/>
              </w:rPr>
              <w:t>DN300P=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配2位5同电磁阀</w:t>
            </w:r>
            <w:r>
              <w:rPr>
                <w:rFonts w:hint="eastAsia"/>
                <w:color w:val="auto"/>
                <w:lang w:eastAsia="zh-CN"/>
              </w:rPr>
              <w:t>，</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4AC34DC5">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57D71188">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4B9AAD4">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47C042E">
            <w:pPr>
              <w:pStyle w:val="12"/>
              <w:pageBreakBefore w:val="0"/>
              <w:wordWrap/>
              <w:bidi w:val="0"/>
              <w:adjustRightInd/>
              <w:snapToGrid/>
              <w:rPr>
                <w:color w:val="auto"/>
              </w:rPr>
            </w:pPr>
            <w:r>
              <w:rPr>
                <w:color w:val="auto"/>
              </w:rPr>
              <w:t>出水管、反洗泵出水管</w:t>
            </w:r>
          </w:p>
        </w:tc>
      </w:tr>
      <w:tr w14:paraId="35B66E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391DB38">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2AE74905">
            <w:pPr>
              <w:pStyle w:val="12"/>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7037D0D6">
            <w:pPr>
              <w:pStyle w:val="12"/>
              <w:pageBreakBefore w:val="0"/>
              <w:wordWrap/>
              <w:bidi w:val="0"/>
              <w:adjustRightInd/>
              <w:snapToGrid/>
              <w:rPr>
                <w:color w:val="auto"/>
              </w:rPr>
            </w:pPr>
            <w:r>
              <w:rPr>
                <w:color w:val="auto"/>
              </w:rPr>
              <w:t>DN300P=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配2位5同电磁阀</w:t>
            </w:r>
            <w:r>
              <w:rPr>
                <w:rFonts w:hint="eastAsia"/>
                <w:color w:val="auto"/>
                <w:lang w:eastAsia="zh-CN"/>
              </w:rPr>
              <w:t>，</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4FD72B9C">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53E876CA">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6B451BB3">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CC84911">
            <w:pPr>
              <w:pStyle w:val="12"/>
              <w:pageBreakBefore w:val="0"/>
              <w:wordWrap/>
              <w:bidi w:val="0"/>
              <w:adjustRightInd/>
              <w:snapToGrid/>
              <w:rPr>
                <w:color w:val="auto"/>
              </w:rPr>
            </w:pPr>
            <w:r>
              <w:rPr>
                <w:color w:val="auto"/>
              </w:rPr>
              <w:t>反冲洗清水管</w:t>
            </w:r>
          </w:p>
        </w:tc>
      </w:tr>
      <w:tr w14:paraId="1891E4D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A3A01B1">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340F6F6A">
            <w:pPr>
              <w:pStyle w:val="12"/>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4A6199D8">
            <w:pPr>
              <w:pStyle w:val="12"/>
              <w:pageBreakBefore w:val="0"/>
              <w:wordWrap/>
              <w:bidi w:val="0"/>
              <w:adjustRightInd/>
              <w:snapToGrid/>
              <w:rPr>
                <w:color w:val="auto"/>
              </w:rPr>
            </w:pPr>
            <w:r>
              <w:rPr>
                <w:color w:val="auto"/>
              </w:rPr>
              <w:t>DN250P=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配2位5同电磁阀</w:t>
            </w:r>
            <w:r>
              <w:rPr>
                <w:rFonts w:hint="eastAsia"/>
                <w:color w:val="auto"/>
                <w:lang w:eastAsia="zh-CN"/>
              </w:rPr>
              <w:t>，</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392C47AA">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7B54AB63">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FF48D88">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43F2DC2">
            <w:pPr>
              <w:pStyle w:val="12"/>
              <w:pageBreakBefore w:val="0"/>
              <w:wordWrap/>
              <w:bidi w:val="0"/>
              <w:adjustRightInd/>
              <w:snapToGrid/>
              <w:rPr>
                <w:color w:val="auto"/>
              </w:rPr>
            </w:pPr>
            <w:r>
              <w:rPr>
                <w:color w:val="auto"/>
              </w:rPr>
              <w:t>反冲洗气管</w:t>
            </w:r>
          </w:p>
        </w:tc>
      </w:tr>
      <w:tr w14:paraId="222378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C0A060C">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70BBCCB8">
            <w:pPr>
              <w:pStyle w:val="12"/>
              <w:pageBreakBefore w:val="0"/>
              <w:wordWrap/>
              <w:bidi w:val="0"/>
              <w:adjustRightInd/>
              <w:snapToGrid/>
              <w:rPr>
                <w:color w:val="auto"/>
              </w:rPr>
            </w:pPr>
            <w:r>
              <w:rPr>
                <w:color w:val="auto"/>
              </w:rPr>
              <w:t>气动靠壁闸门</w:t>
            </w:r>
          </w:p>
        </w:tc>
        <w:tc>
          <w:tcPr>
            <w:tcW w:w="1532" w:type="pct"/>
            <w:tcBorders>
              <w:tl2br w:val="nil"/>
              <w:tr2bl w:val="nil"/>
            </w:tcBorders>
            <w:noWrap w:val="0"/>
            <w:vAlign w:val="center"/>
          </w:tcPr>
          <w:p w14:paraId="0AFC05C4">
            <w:pPr>
              <w:pStyle w:val="12"/>
              <w:pageBreakBefore w:val="0"/>
              <w:wordWrap/>
              <w:bidi w:val="0"/>
              <w:adjustRightInd/>
              <w:snapToGrid/>
              <w:rPr>
                <w:color w:val="auto"/>
              </w:rPr>
            </w:pPr>
            <w:r>
              <w:rPr>
                <w:color w:val="auto"/>
              </w:rPr>
              <w:t>300×300</w:t>
            </w:r>
            <w:r>
              <w:rPr>
                <w:rFonts w:hint="eastAsia"/>
                <w:color w:val="auto"/>
                <w:lang w:eastAsia="zh-CN"/>
              </w:rPr>
              <w:t>，</w:t>
            </w:r>
            <w:r>
              <w:rPr>
                <w:color w:val="auto"/>
              </w:rPr>
              <w:t>配2位5同电磁阀</w:t>
            </w:r>
            <w:r>
              <w:rPr>
                <w:rFonts w:hint="eastAsia"/>
                <w:color w:val="auto"/>
                <w:lang w:eastAsia="zh-CN"/>
              </w:rPr>
              <w:t>，</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730CBE59">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270A24CC">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09E6D07">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6B34A4A">
            <w:pPr>
              <w:pStyle w:val="12"/>
              <w:pageBreakBefore w:val="0"/>
              <w:wordWrap/>
              <w:bidi w:val="0"/>
              <w:adjustRightInd/>
              <w:snapToGrid/>
              <w:rPr>
                <w:color w:val="auto"/>
              </w:rPr>
            </w:pPr>
            <w:r>
              <w:rPr>
                <w:color w:val="auto"/>
              </w:rPr>
              <w:t>进水</w:t>
            </w:r>
          </w:p>
        </w:tc>
      </w:tr>
      <w:tr w14:paraId="63CB69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90C47AF">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10CAA1FD">
            <w:pPr>
              <w:pStyle w:val="12"/>
              <w:pageBreakBefore w:val="0"/>
              <w:wordWrap/>
              <w:bidi w:val="0"/>
              <w:adjustRightInd/>
              <w:snapToGrid/>
              <w:rPr>
                <w:color w:val="auto"/>
              </w:rPr>
            </w:pPr>
            <w:r>
              <w:rPr>
                <w:color w:val="auto"/>
              </w:rPr>
              <w:t>单法兰传力接头</w:t>
            </w:r>
          </w:p>
        </w:tc>
        <w:tc>
          <w:tcPr>
            <w:tcW w:w="1532" w:type="pct"/>
            <w:tcBorders>
              <w:tl2br w:val="nil"/>
              <w:tr2bl w:val="nil"/>
            </w:tcBorders>
            <w:noWrap w:val="0"/>
            <w:vAlign w:val="center"/>
          </w:tcPr>
          <w:p w14:paraId="265B8113">
            <w:pPr>
              <w:pStyle w:val="12"/>
              <w:pageBreakBefore w:val="0"/>
              <w:wordWrap/>
              <w:bidi w:val="0"/>
              <w:adjustRightInd/>
              <w:snapToGrid/>
              <w:rPr>
                <w:color w:val="auto"/>
              </w:rPr>
            </w:pPr>
            <w:r>
              <w:rPr>
                <w:color w:val="auto"/>
              </w:rPr>
              <w:t>DN450P=</w:t>
            </w:r>
            <w:r>
              <w:rPr>
                <w:rFonts w:hint="eastAsia"/>
                <w:color w:val="auto"/>
                <w:lang w:eastAsia="zh-CN"/>
              </w:rPr>
              <w:t>1</w:t>
            </w:r>
            <w:r>
              <w:rPr>
                <w:color w:val="auto"/>
              </w:rPr>
              <w:t>.0Mpa</w:t>
            </w:r>
          </w:p>
        </w:tc>
        <w:tc>
          <w:tcPr>
            <w:tcW w:w="612" w:type="pct"/>
            <w:tcBorders>
              <w:tl2br w:val="nil"/>
              <w:tr2bl w:val="nil"/>
            </w:tcBorders>
            <w:noWrap w:val="0"/>
            <w:vAlign w:val="center"/>
          </w:tcPr>
          <w:p w14:paraId="0168CA49">
            <w:pPr>
              <w:pStyle w:val="12"/>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726D3C69">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72957C1C">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7DC5DC9">
            <w:pPr>
              <w:pStyle w:val="12"/>
              <w:pageBreakBefore w:val="0"/>
              <w:wordWrap/>
              <w:bidi w:val="0"/>
              <w:adjustRightInd/>
              <w:snapToGrid/>
              <w:rPr>
                <w:color w:val="auto"/>
              </w:rPr>
            </w:pPr>
            <w:r>
              <w:rPr>
                <w:color w:val="auto"/>
              </w:rPr>
              <w:t>废水管</w:t>
            </w:r>
          </w:p>
        </w:tc>
      </w:tr>
      <w:tr w14:paraId="03DCD05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3321A86">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095614C6">
            <w:pPr>
              <w:pStyle w:val="12"/>
              <w:pageBreakBefore w:val="0"/>
              <w:wordWrap/>
              <w:bidi w:val="0"/>
              <w:adjustRightInd/>
              <w:snapToGrid/>
              <w:rPr>
                <w:color w:val="auto"/>
              </w:rPr>
            </w:pPr>
            <w:r>
              <w:rPr>
                <w:color w:val="auto"/>
              </w:rPr>
              <w:t>单法兰传力接头</w:t>
            </w:r>
          </w:p>
        </w:tc>
        <w:tc>
          <w:tcPr>
            <w:tcW w:w="1532" w:type="pct"/>
            <w:tcBorders>
              <w:tl2br w:val="nil"/>
              <w:tr2bl w:val="nil"/>
            </w:tcBorders>
            <w:noWrap w:val="0"/>
            <w:vAlign w:val="center"/>
          </w:tcPr>
          <w:p w14:paraId="053489D7">
            <w:pPr>
              <w:pStyle w:val="12"/>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6104E7F0">
            <w:pPr>
              <w:pStyle w:val="12"/>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274805EE">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0F7F02BD">
            <w:pPr>
              <w:pStyle w:val="12"/>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2A3B285E">
            <w:pPr>
              <w:pStyle w:val="12"/>
              <w:pageBreakBefore w:val="0"/>
              <w:wordWrap/>
              <w:bidi w:val="0"/>
              <w:adjustRightInd/>
              <w:snapToGrid/>
              <w:rPr>
                <w:color w:val="auto"/>
              </w:rPr>
            </w:pPr>
            <w:r>
              <w:rPr>
                <w:color w:val="auto"/>
              </w:rPr>
              <w:t>出水管、反冲洗清水管</w:t>
            </w:r>
          </w:p>
        </w:tc>
      </w:tr>
      <w:tr w14:paraId="2E8A48C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A41576">
            <w:pPr>
              <w:pStyle w:val="12"/>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4E70DCDD">
            <w:pPr>
              <w:pStyle w:val="12"/>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4BF91105">
            <w:pPr>
              <w:pStyle w:val="12"/>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3A05B6F1">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478851FB">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B37F90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0625358">
            <w:pPr>
              <w:pStyle w:val="12"/>
              <w:pageBreakBefore w:val="0"/>
              <w:wordWrap/>
              <w:bidi w:val="0"/>
              <w:adjustRightInd/>
              <w:snapToGrid/>
              <w:rPr>
                <w:color w:val="auto"/>
              </w:rPr>
            </w:pPr>
            <w:r>
              <w:rPr>
                <w:color w:val="auto"/>
              </w:rPr>
              <w:t>反冲洗水泵出口</w:t>
            </w:r>
          </w:p>
        </w:tc>
      </w:tr>
      <w:tr w14:paraId="33A6E9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70CE05A">
            <w:pPr>
              <w:pStyle w:val="12"/>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1471748A">
            <w:pPr>
              <w:pStyle w:val="12"/>
              <w:pageBreakBefore w:val="0"/>
              <w:wordWrap/>
              <w:bidi w:val="0"/>
              <w:adjustRightInd/>
              <w:snapToGrid/>
              <w:rPr>
                <w:color w:val="auto"/>
              </w:rPr>
            </w:pPr>
            <w:r>
              <w:rPr>
                <w:color w:val="auto"/>
              </w:rPr>
              <w:t>微阻缓闭止回阀</w:t>
            </w:r>
          </w:p>
        </w:tc>
        <w:tc>
          <w:tcPr>
            <w:tcW w:w="1532" w:type="pct"/>
            <w:tcBorders>
              <w:tl2br w:val="nil"/>
              <w:tr2bl w:val="nil"/>
            </w:tcBorders>
            <w:noWrap w:val="0"/>
            <w:vAlign w:val="center"/>
          </w:tcPr>
          <w:p w14:paraId="013D3E04">
            <w:pPr>
              <w:pStyle w:val="12"/>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017BE11F">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0EC2770">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1F9DEF4">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ED01B70">
            <w:pPr>
              <w:pStyle w:val="12"/>
              <w:pageBreakBefore w:val="0"/>
              <w:wordWrap/>
              <w:bidi w:val="0"/>
              <w:adjustRightInd/>
              <w:snapToGrid/>
              <w:rPr>
                <w:color w:val="auto"/>
              </w:rPr>
            </w:pPr>
            <w:r>
              <w:rPr>
                <w:color w:val="auto"/>
              </w:rPr>
              <w:t>反冲洗水泵出口</w:t>
            </w:r>
          </w:p>
        </w:tc>
      </w:tr>
      <w:tr w14:paraId="1BD372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8A0216C">
            <w:pPr>
              <w:pStyle w:val="12"/>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1E7E82B2">
            <w:pPr>
              <w:pStyle w:val="12"/>
              <w:pageBreakBefore w:val="0"/>
              <w:wordWrap/>
              <w:bidi w:val="0"/>
              <w:adjustRightInd/>
              <w:snapToGrid/>
              <w:rPr>
                <w:color w:val="auto"/>
              </w:rPr>
            </w:pPr>
            <w:r>
              <w:rPr>
                <w:color w:val="auto"/>
              </w:rPr>
              <w:t>气水分布块滤砖</w:t>
            </w:r>
          </w:p>
        </w:tc>
        <w:tc>
          <w:tcPr>
            <w:tcW w:w="1532" w:type="pct"/>
            <w:tcBorders>
              <w:tl2br w:val="nil"/>
              <w:tr2bl w:val="nil"/>
            </w:tcBorders>
            <w:noWrap w:val="0"/>
            <w:vAlign w:val="center"/>
          </w:tcPr>
          <w:p w14:paraId="0E375E65">
            <w:pPr>
              <w:pStyle w:val="12"/>
              <w:pageBreakBefore w:val="0"/>
              <w:wordWrap/>
              <w:bidi w:val="0"/>
              <w:adjustRightInd/>
              <w:snapToGrid/>
              <w:rPr>
                <w:color w:val="auto"/>
              </w:rPr>
            </w:pPr>
          </w:p>
        </w:tc>
        <w:tc>
          <w:tcPr>
            <w:tcW w:w="612" w:type="pct"/>
            <w:tcBorders>
              <w:tl2br w:val="nil"/>
              <w:tr2bl w:val="nil"/>
            </w:tcBorders>
            <w:noWrap w:val="0"/>
            <w:vAlign w:val="center"/>
          </w:tcPr>
          <w:p w14:paraId="4EC77B8D">
            <w:pPr>
              <w:pStyle w:val="12"/>
              <w:pageBreakBefore w:val="0"/>
              <w:wordWrap/>
              <w:bidi w:val="0"/>
              <w:adjustRightInd/>
              <w:snapToGrid/>
              <w:rPr>
                <w:color w:val="auto"/>
              </w:rPr>
            </w:pPr>
            <w:r>
              <w:rPr>
                <w:color w:val="auto"/>
              </w:rPr>
              <w:t>HDPE</w:t>
            </w:r>
          </w:p>
        </w:tc>
        <w:tc>
          <w:tcPr>
            <w:tcW w:w="279" w:type="pct"/>
            <w:tcBorders>
              <w:tl2br w:val="nil"/>
              <w:tr2bl w:val="nil"/>
            </w:tcBorders>
            <w:noWrap w:val="0"/>
            <w:vAlign w:val="center"/>
          </w:tcPr>
          <w:p w14:paraId="08C01AB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74E1A1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27596E9">
            <w:pPr>
              <w:pStyle w:val="12"/>
              <w:pageBreakBefore w:val="0"/>
              <w:wordWrap/>
              <w:bidi w:val="0"/>
              <w:adjustRightInd/>
              <w:snapToGrid/>
              <w:rPr>
                <w:color w:val="auto"/>
              </w:rPr>
            </w:pPr>
          </w:p>
        </w:tc>
      </w:tr>
      <w:tr w14:paraId="6D2602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82A0C9">
            <w:pPr>
              <w:pStyle w:val="12"/>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3B7EEEB4">
            <w:pPr>
              <w:pStyle w:val="12"/>
              <w:pageBreakBefore w:val="0"/>
              <w:wordWrap/>
              <w:bidi w:val="0"/>
              <w:adjustRightInd/>
              <w:snapToGrid/>
              <w:rPr>
                <w:color w:val="auto"/>
              </w:rPr>
            </w:pPr>
            <w:r>
              <w:rPr>
                <w:color w:val="auto"/>
              </w:rPr>
              <w:t>进水渠弧形堰板</w:t>
            </w:r>
          </w:p>
        </w:tc>
        <w:tc>
          <w:tcPr>
            <w:tcW w:w="1532" w:type="pct"/>
            <w:tcBorders>
              <w:tl2br w:val="nil"/>
              <w:tr2bl w:val="nil"/>
            </w:tcBorders>
            <w:noWrap w:val="0"/>
            <w:vAlign w:val="center"/>
          </w:tcPr>
          <w:p w14:paraId="16A1E377">
            <w:pPr>
              <w:pStyle w:val="12"/>
              <w:pageBreakBefore w:val="0"/>
              <w:wordWrap/>
              <w:bidi w:val="0"/>
              <w:adjustRightInd/>
              <w:snapToGrid/>
              <w:rPr>
                <w:color w:val="auto"/>
              </w:rPr>
            </w:pPr>
            <w:r>
              <w:rPr>
                <w:color w:val="auto"/>
              </w:rPr>
              <w:t>9200mm</w:t>
            </w:r>
            <w:r>
              <w:rPr>
                <w:rFonts w:hint="eastAsia"/>
                <w:color w:val="auto"/>
                <w:lang w:eastAsia="zh-CN"/>
              </w:rPr>
              <w:t>，</w:t>
            </w:r>
            <w:r>
              <w:rPr>
                <w:color w:val="auto"/>
              </w:rPr>
              <w:t>3mm厚</w:t>
            </w:r>
          </w:p>
        </w:tc>
        <w:tc>
          <w:tcPr>
            <w:tcW w:w="612" w:type="pct"/>
            <w:tcBorders>
              <w:tl2br w:val="nil"/>
              <w:tr2bl w:val="nil"/>
            </w:tcBorders>
            <w:noWrap w:val="0"/>
            <w:vAlign w:val="center"/>
          </w:tcPr>
          <w:p w14:paraId="2DEA72A1">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2EF89B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45217F9">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488560B8">
            <w:pPr>
              <w:pStyle w:val="12"/>
              <w:pageBreakBefore w:val="0"/>
              <w:wordWrap/>
              <w:bidi w:val="0"/>
              <w:adjustRightInd/>
              <w:snapToGrid/>
              <w:rPr>
                <w:color w:val="auto"/>
              </w:rPr>
            </w:pPr>
            <w:r>
              <w:rPr>
                <w:color w:val="auto"/>
              </w:rPr>
              <w:t>滤池进水渠</w:t>
            </w:r>
          </w:p>
        </w:tc>
      </w:tr>
      <w:tr w14:paraId="578ABA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D1CBC62">
            <w:pPr>
              <w:pStyle w:val="12"/>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74688F98">
            <w:pPr>
              <w:pStyle w:val="12"/>
              <w:pageBreakBefore w:val="0"/>
              <w:wordWrap/>
              <w:bidi w:val="0"/>
              <w:adjustRightInd/>
              <w:snapToGrid/>
              <w:rPr>
                <w:color w:val="auto"/>
              </w:rPr>
            </w:pPr>
            <w:r>
              <w:rPr>
                <w:color w:val="auto"/>
              </w:rPr>
              <w:t>超声波液位仪</w:t>
            </w:r>
          </w:p>
        </w:tc>
        <w:tc>
          <w:tcPr>
            <w:tcW w:w="1532" w:type="pct"/>
            <w:tcBorders>
              <w:tl2br w:val="nil"/>
              <w:tr2bl w:val="nil"/>
            </w:tcBorders>
            <w:noWrap w:val="0"/>
            <w:vAlign w:val="center"/>
          </w:tcPr>
          <w:p w14:paraId="035E74A6">
            <w:pPr>
              <w:pStyle w:val="12"/>
              <w:pageBreakBefore w:val="0"/>
              <w:wordWrap/>
              <w:bidi w:val="0"/>
              <w:adjustRightInd/>
              <w:snapToGrid/>
              <w:rPr>
                <w:color w:val="auto"/>
              </w:rPr>
            </w:pPr>
            <w:r>
              <w:rPr>
                <w:color w:val="auto"/>
              </w:rPr>
              <w:t>0-5m</w:t>
            </w:r>
          </w:p>
        </w:tc>
        <w:tc>
          <w:tcPr>
            <w:tcW w:w="612" w:type="pct"/>
            <w:tcBorders>
              <w:tl2br w:val="nil"/>
              <w:tr2bl w:val="nil"/>
            </w:tcBorders>
            <w:noWrap w:val="0"/>
            <w:vAlign w:val="center"/>
          </w:tcPr>
          <w:p w14:paraId="13892061">
            <w:pPr>
              <w:pStyle w:val="12"/>
              <w:pageBreakBefore w:val="0"/>
              <w:wordWrap/>
              <w:bidi w:val="0"/>
              <w:adjustRightInd/>
              <w:snapToGrid/>
              <w:rPr>
                <w:color w:val="auto"/>
              </w:rPr>
            </w:pPr>
          </w:p>
        </w:tc>
        <w:tc>
          <w:tcPr>
            <w:tcW w:w="279" w:type="pct"/>
            <w:tcBorders>
              <w:tl2br w:val="nil"/>
              <w:tr2bl w:val="nil"/>
            </w:tcBorders>
            <w:noWrap w:val="0"/>
            <w:vAlign w:val="center"/>
          </w:tcPr>
          <w:p w14:paraId="23C437E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F9499C6">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B86D0C6">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每格滤池</w:t>
            </w:r>
          </w:p>
        </w:tc>
      </w:tr>
      <w:tr w14:paraId="7A6DF1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2807E57">
            <w:pPr>
              <w:pStyle w:val="12"/>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26A06E5B">
            <w:pPr>
              <w:pStyle w:val="12"/>
              <w:pageBreakBefore w:val="0"/>
              <w:wordWrap/>
              <w:bidi w:val="0"/>
              <w:adjustRightInd/>
              <w:snapToGrid/>
              <w:rPr>
                <w:color w:val="auto"/>
              </w:rPr>
            </w:pPr>
            <w:r>
              <w:rPr>
                <w:color w:val="auto"/>
              </w:rPr>
              <w:t>超声波液位仪</w:t>
            </w:r>
          </w:p>
        </w:tc>
        <w:tc>
          <w:tcPr>
            <w:tcW w:w="1532" w:type="pct"/>
            <w:tcBorders>
              <w:tl2br w:val="nil"/>
              <w:tr2bl w:val="nil"/>
            </w:tcBorders>
            <w:noWrap w:val="0"/>
            <w:vAlign w:val="center"/>
          </w:tcPr>
          <w:p w14:paraId="15189C07">
            <w:pPr>
              <w:pStyle w:val="12"/>
              <w:pageBreakBefore w:val="0"/>
              <w:wordWrap/>
              <w:bidi w:val="0"/>
              <w:adjustRightInd/>
              <w:snapToGrid/>
              <w:rPr>
                <w:color w:val="auto"/>
              </w:rPr>
            </w:pPr>
            <w:r>
              <w:rPr>
                <w:color w:val="auto"/>
              </w:rPr>
              <w:t>0-8m</w:t>
            </w:r>
          </w:p>
        </w:tc>
        <w:tc>
          <w:tcPr>
            <w:tcW w:w="612" w:type="pct"/>
            <w:tcBorders>
              <w:tl2br w:val="nil"/>
              <w:tr2bl w:val="nil"/>
            </w:tcBorders>
            <w:noWrap w:val="0"/>
            <w:vAlign w:val="center"/>
          </w:tcPr>
          <w:p w14:paraId="70D14B55">
            <w:pPr>
              <w:pStyle w:val="12"/>
              <w:pageBreakBefore w:val="0"/>
              <w:wordWrap/>
              <w:bidi w:val="0"/>
              <w:adjustRightInd/>
              <w:snapToGrid/>
              <w:rPr>
                <w:color w:val="auto"/>
              </w:rPr>
            </w:pPr>
          </w:p>
        </w:tc>
        <w:tc>
          <w:tcPr>
            <w:tcW w:w="279" w:type="pct"/>
            <w:tcBorders>
              <w:tl2br w:val="nil"/>
              <w:tr2bl w:val="nil"/>
            </w:tcBorders>
            <w:noWrap w:val="0"/>
            <w:vAlign w:val="center"/>
          </w:tcPr>
          <w:p w14:paraId="63661DD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621D7B4">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99924DD">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清水池、废水池</w:t>
            </w:r>
          </w:p>
        </w:tc>
      </w:tr>
      <w:tr w14:paraId="30BEDC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172886D">
            <w:pPr>
              <w:pStyle w:val="12"/>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1959ECCA">
            <w:pPr>
              <w:pStyle w:val="12"/>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2D85E852">
            <w:pPr>
              <w:pStyle w:val="12"/>
              <w:pageBreakBefore w:val="0"/>
              <w:wordWrap/>
              <w:bidi w:val="0"/>
              <w:adjustRightInd/>
              <w:snapToGrid/>
              <w:rPr>
                <w:color w:val="auto"/>
              </w:rPr>
            </w:pPr>
            <w:r>
              <w:rPr>
                <w:color w:val="auto"/>
              </w:rPr>
              <w:t>FT35-11-2.8Q=2167</w:t>
            </w:r>
            <w:r>
              <w:rPr>
                <w:rFonts w:hint="eastAsia"/>
                <w:color w:val="auto"/>
                <w:lang w:eastAsia="zh-CN"/>
              </w:rPr>
              <w:t>m³</w:t>
            </w:r>
            <w:r>
              <w:rPr>
                <w:color w:val="auto"/>
              </w:rPr>
              <w:t>/hn=2900r.p.m叶片角度20°全压</w:t>
            </w:r>
            <w:r>
              <w:rPr>
                <w:rFonts w:hint="eastAsia"/>
                <w:color w:val="auto"/>
                <w:lang w:eastAsia="zh-CN"/>
              </w:rPr>
              <w:t>1</w:t>
            </w:r>
            <w:r>
              <w:rPr>
                <w:color w:val="auto"/>
              </w:rPr>
              <w:t>7.2Pa单台功率N=0.18kW</w:t>
            </w:r>
          </w:p>
        </w:tc>
        <w:tc>
          <w:tcPr>
            <w:tcW w:w="612" w:type="pct"/>
            <w:tcBorders>
              <w:tl2br w:val="nil"/>
              <w:tr2bl w:val="nil"/>
            </w:tcBorders>
            <w:noWrap w:val="0"/>
            <w:vAlign w:val="center"/>
          </w:tcPr>
          <w:p w14:paraId="5D3F07F8">
            <w:pPr>
              <w:pStyle w:val="12"/>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0B8C3B9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9E21574">
            <w:pPr>
              <w:pStyle w:val="12"/>
              <w:pageBreakBefore w:val="0"/>
              <w:wordWrap/>
              <w:bidi w:val="0"/>
              <w:adjustRightInd/>
              <w:snapToGrid/>
              <w:rPr>
                <w:color w:val="auto"/>
              </w:rPr>
            </w:pPr>
            <w:r>
              <w:rPr>
                <w:color w:val="auto"/>
              </w:rPr>
              <w:t>7</w:t>
            </w:r>
          </w:p>
        </w:tc>
        <w:tc>
          <w:tcPr>
            <w:tcW w:w="1132" w:type="pct"/>
            <w:tcBorders>
              <w:tl2br w:val="nil"/>
              <w:tr2bl w:val="nil"/>
            </w:tcBorders>
            <w:noWrap w:val="0"/>
            <w:vAlign w:val="center"/>
          </w:tcPr>
          <w:p w14:paraId="21215134">
            <w:pPr>
              <w:pStyle w:val="12"/>
              <w:pageBreakBefore w:val="0"/>
              <w:wordWrap/>
              <w:bidi w:val="0"/>
              <w:adjustRightInd/>
              <w:snapToGrid/>
              <w:rPr>
                <w:color w:val="auto"/>
              </w:rPr>
            </w:pPr>
            <w:r>
              <w:rPr>
                <w:color w:val="auto"/>
              </w:rPr>
              <w:t>带钢丝网防护罩</w:t>
            </w:r>
          </w:p>
        </w:tc>
      </w:tr>
      <w:tr w14:paraId="623DF1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5996B1">
            <w:pPr>
              <w:pStyle w:val="12"/>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2E5B9C74">
            <w:pPr>
              <w:pStyle w:val="12"/>
              <w:pageBreakBefore w:val="0"/>
              <w:wordWrap/>
              <w:bidi w:val="0"/>
              <w:adjustRightInd/>
              <w:snapToGrid/>
              <w:rPr>
                <w:color w:val="auto"/>
              </w:rPr>
            </w:pPr>
            <w:r>
              <w:rPr>
                <w:color w:val="auto"/>
              </w:rPr>
              <w:t>电动单梁悬挂式起重机</w:t>
            </w:r>
          </w:p>
        </w:tc>
        <w:tc>
          <w:tcPr>
            <w:tcW w:w="1532" w:type="pct"/>
            <w:tcBorders>
              <w:tl2br w:val="nil"/>
              <w:tr2bl w:val="nil"/>
            </w:tcBorders>
            <w:noWrap w:val="0"/>
            <w:vAlign w:val="center"/>
          </w:tcPr>
          <w:p w14:paraId="042D8CFA">
            <w:pPr>
              <w:pStyle w:val="12"/>
              <w:pageBreakBefore w:val="0"/>
              <w:wordWrap/>
              <w:bidi w:val="0"/>
              <w:adjustRightInd/>
              <w:snapToGrid/>
              <w:rPr>
                <w:color w:val="auto"/>
              </w:rPr>
            </w:pPr>
            <w:r>
              <w:rPr>
                <w:color w:val="auto"/>
              </w:rPr>
              <w:t>G=3.0T</w:t>
            </w:r>
            <w:r>
              <w:rPr>
                <w:rFonts w:hint="eastAsia"/>
                <w:color w:val="auto"/>
                <w:lang w:eastAsia="zh-CN"/>
              </w:rPr>
              <w:t>，</w:t>
            </w:r>
            <w:r>
              <w:rPr>
                <w:color w:val="auto"/>
              </w:rPr>
              <w:t>H=6m</w:t>
            </w:r>
            <w:r>
              <w:rPr>
                <w:rFonts w:hint="eastAsia"/>
                <w:color w:val="auto"/>
                <w:lang w:eastAsia="zh-CN"/>
              </w:rPr>
              <w:t>，</w:t>
            </w:r>
            <w:r>
              <w:rPr>
                <w:color w:val="auto"/>
              </w:rPr>
              <w:t>功</w:t>
            </w:r>
            <w:r>
              <w:rPr>
                <w:rFonts w:hint="eastAsia"/>
                <w:color w:val="auto"/>
                <w:lang w:eastAsia="zh-CN"/>
              </w:rPr>
              <w:t>率</w:t>
            </w:r>
            <w:r>
              <w:rPr>
                <w:color w:val="auto"/>
              </w:rPr>
              <w:t>P=6.5KW</w:t>
            </w:r>
          </w:p>
        </w:tc>
        <w:tc>
          <w:tcPr>
            <w:tcW w:w="612" w:type="pct"/>
            <w:tcBorders>
              <w:tl2br w:val="nil"/>
              <w:tr2bl w:val="nil"/>
            </w:tcBorders>
            <w:noWrap w:val="0"/>
            <w:vAlign w:val="center"/>
          </w:tcPr>
          <w:p w14:paraId="4D555BF3">
            <w:pPr>
              <w:pStyle w:val="12"/>
              <w:pageBreakBefore w:val="0"/>
              <w:wordWrap/>
              <w:bidi w:val="0"/>
              <w:adjustRightInd/>
              <w:snapToGrid/>
              <w:rPr>
                <w:color w:val="auto"/>
              </w:rPr>
            </w:pPr>
            <w:r>
              <w:rPr>
                <w:color w:val="auto"/>
              </w:rPr>
              <w:t>组合</w:t>
            </w:r>
          </w:p>
        </w:tc>
        <w:tc>
          <w:tcPr>
            <w:tcW w:w="279" w:type="pct"/>
            <w:tcBorders>
              <w:tl2br w:val="nil"/>
              <w:tr2bl w:val="nil"/>
            </w:tcBorders>
            <w:noWrap w:val="0"/>
            <w:vAlign w:val="center"/>
          </w:tcPr>
          <w:p w14:paraId="33F2532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B3BFC1D">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E33FE81">
            <w:pPr>
              <w:pStyle w:val="12"/>
              <w:pageBreakBefore w:val="0"/>
              <w:wordWrap/>
              <w:bidi w:val="0"/>
              <w:adjustRightInd/>
              <w:snapToGrid/>
              <w:rPr>
                <w:color w:val="auto"/>
              </w:rPr>
            </w:pPr>
          </w:p>
        </w:tc>
      </w:tr>
      <w:tr w14:paraId="3CFA27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DAF38C1">
            <w:pPr>
              <w:pStyle w:val="12"/>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6C42FADF">
            <w:pPr>
              <w:pStyle w:val="12"/>
              <w:pageBreakBefore w:val="0"/>
              <w:wordWrap/>
              <w:bidi w:val="0"/>
              <w:adjustRightInd/>
              <w:snapToGrid/>
              <w:rPr>
                <w:color w:val="auto"/>
              </w:rPr>
            </w:pPr>
            <w:r>
              <w:rPr>
                <w:color w:val="auto"/>
              </w:rPr>
              <w:t>在线硝酸氮原位监测仪</w:t>
            </w:r>
          </w:p>
        </w:tc>
        <w:tc>
          <w:tcPr>
            <w:tcW w:w="1532" w:type="pct"/>
            <w:tcBorders>
              <w:tl2br w:val="nil"/>
              <w:tr2bl w:val="nil"/>
            </w:tcBorders>
            <w:noWrap w:val="0"/>
            <w:vAlign w:val="center"/>
          </w:tcPr>
          <w:p w14:paraId="5088CA77">
            <w:pPr>
              <w:pStyle w:val="12"/>
              <w:pageBreakBefore w:val="0"/>
              <w:wordWrap/>
              <w:bidi w:val="0"/>
              <w:adjustRightInd/>
              <w:snapToGrid/>
              <w:rPr>
                <w:color w:val="auto"/>
              </w:rPr>
            </w:pPr>
            <w:r>
              <w:rPr>
                <w:color w:val="auto"/>
              </w:rPr>
              <w:t>0.1</w:t>
            </w:r>
            <w:r>
              <w:rPr>
                <w:rFonts w:hint="eastAsia"/>
                <w:color w:val="auto"/>
                <w:lang w:eastAsia="zh-CN"/>
              </w:rPr>
              <w:t>～</w:t>
            </w:r>
            <w:r>
              <w:rPr>
                <w:color w:val="auto"/>
              </w:rPr>
              <w:t>25mg/L</w:t>
            </w:r>
            <w:r>
              <w:rPr>
                <w:rFonts w:hint="eastAsia"/>
                <w:color w:val="auto"/>
                <w:lang w:eastAsia="zh-CN"/>
              </w:rPr>
              <w:t>，</w:t>
            </w:r>
            <w:r>
              <w:rPr>
                <w:color w:val="auto"/>
              </w:rPr>
              <w:t>分别安装在进出口</w:t>
            </w:r>
          </w:p>
        </w:tc>
        <w:tc>
          <w:tcPr>
            <w:tcW w:w="612" w:type="pct"/>
            <w:tcBorders>
              <w:tl2br w:val="nil"/>
              <w:tr2bl w:val="nil"/>
            </w:tcBorders>
            <w:noWrap w:val="0"/>
            <w:vAlign w:val="center"/>
          </w:tcPr>
          <w:p w14:paraId="7430E44F">
            <w:pPr>
              <w:pStyle w:val="12"/>
              <w:pageBreakBefore w:val="0"/>
              <w:wordWrap/>
              <w:bidi w:val="0"/>
              <w:adjustRightInd/>
              <w:snapToGrid/>
              <w:rPr>
                <w:color w:val="auto"/>
              </w:rPr>
            </w:pPr>
          </w:p>
        </w:tc>
        <w:tc>
          <w:tcPr>
            <w:tcW w:w="279" w:type="pct"/>
            <w:tcBorders>
              <w:tl2br w:val="nil"/>
              <w:tr2bl w:val="nil"/>
            </w:tcBorders>
            <w:noWrap w:val="0"/>
            <w:vAlign w:val="center"/>
          </w:tcPr>
          <w:p w14:paraId="79A6EB1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989C1E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68F1B99">
            <w:pPr>
              <w:pStyle w:val="12"/>
              <w:pageBreakBefore w:val="0"/>
              <w:wordWrap/>
              <w:bidi w:val="0"/>
              <w:adjustRightInd/>
              <w:snapToGrid/>
              <w:rPr>
                <w:color w:val="auto"/>
              </w:rPr>
            </w:pPr>
            <w:r>
              <w:rPr>
                <w:color w:val="auto"/>
              </w:rPr>
              <w:t>跟智能碳源投加系统成套采购</w:t>
            </w:r>
          </w:p>
        </w:tc>
      </w:tr>
      <w:tr w14:paraId="1162216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56FE6BE">
            <w:pPr>
              <w:pStyle w:val="12"/>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45BD0885">
            <w:pPr>
              <w:pStyle w:val="12"/>
              <w:pageBreakBefore w:val="0"/>
              <w:wordWrap/>
              <w:bidi w:val="0"/>
              <w:adjustRightInd/>
              <w:snapToGrid/>
              <w:rPr>
                <w:color w:val="auto"/>
              </w:rPr>
            </w:pPr>
            <w:r>
              <w:rPr>
                <w:color w:val="auto"/>
              </w:rPr>
              <w:t>溶解氧分</w:t>
            </w:r>
          </w:p>
        </w:tc>
        <w:tc>
          <w:tcPr>
            <w:tcW w:w="1532" w:type="pct"/>
            <w:tcBorders>
              <w:tl2br w:val="nil"/>
              <w:tr2bl w:val="nil"/>
            </w:tcBorders>
            <w:noWrap w:val="0"/>
            <w:vAlign w:val="center"/>
          </w:tcPr>
          <w:p w14:paraId="52BCD2BF">
            <w:pPr>
              <w:pStyle w:val="12"/>
              <w:pageBreakBefore w:val="0"/>
              <w:wordWrap/>
              <w:bidi w:val="0"/>
              <w:adjustRightInd/>
              <w:snapToGrid/>
              <w:rPr>
                <w:color w:val="auto"/>
              </w:rPr>
            </w:pPr>
            <w:r>
              <w:rPr>
                <w:color w:val="auto"/>
              </w:rPr>
              <w:t>0~20mg/L</w:t>
            </w:r>
          </w:p>
        </w:tc>
        <w:tc>
          <w:tcPr>
            <w:tcW w:w="612" w:type="pct"/>
            <w:tcBorders>
              <w:tl2br w:val="nil"/>
              <w:tr2bl w:val="nil"/>
            </w:tcBorders>
            <w:noWrap w:val="0"/>
            <w:vAlign w:val="center"/>
          </w:tcPr>
          <w:p w14:paraId="3098BCC6">
            <w:pPr>
              <w:pStyle w:val="12"/>
              <w:pageBreakBefore w:val="0"/>
              <w:wordWrap/>
              <w:bidi w:val="0"/>
              <w:adjustRightInd/>
              <w:snapToGrid/>
              <w:rPr>
                <w:color w:val="auto"/>
              </w:rPr>
            </w:pPr>
          </w:p>
        </w:tc>
        <w:tc>
          <w:tcPr>
            <w:tcW w:w="279" w:type="pct"/>
            <w:tcBorders>
              <w:tl2br w:val="nil"/>
              <w:tr2bl w:val="nil"/>
            </w:tcBorders>
            <w:noWrap w:val="0"/>
            <w:vAlign w:val="center"/>
          </w:tcPr>
          <w:p w14:paraId="2D537A1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CD9C1C8">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6E03749">
            <w:pPr>
              <w:pStyle w:val="12"/>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5B4789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91364AD">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43141145">
            <w:pPr>
              <w:pStyle w:val="12"/>
              <w:pageBreakBefore w:val="0"/>
              <w:wordWrap/>
              <w:bidi w:val="0"/>
              <w:adjustRightInd/>
              <w:snapToGrid/>
              <w:rPr>
                <w:color w:val="auto"/>
              </w:rPr>
            </w:pPr>
            <w:r>
              <w:rPr>
                <w:color w:val="auto"/>
              </w:rPr>
              <w:t>析仪</w:t>
            </w:r>
          </w:p>
        </w:tc>
        <w:tc>
          <w:tcPr>
            <w:tcW w:w="1532" w:type="pct"/>
            <w:tcBorders>
              <w:tl2br w:val="nil"/>
              <w:tr2bl w:val="nil"/>
            </w:tcBorders>
            <w:noWrap w:val="0"/>
            <w:vAlign w:val="center"/>
          </w:tcPr>
          <w:p w14:paraId="607CDFA3">
            <w:pPr>
              <w:pStyle w:val="12"/>
              <w:pageBreakBefore w:val="0"/>
              <w:wordWrap/>
              <w:bidi w:val="0"/>
              <w:adjustRightInd/>
              <w:snapToGrid/>
              <w:rPr>
                <w:color w:val="auto"/>
              </w:rPr>
            </w:pPr>
          </w:p>
        </w:tc>
        <w:tc>
          <w:tcPr>
            <w:tcW w:w="612" w:type="pct"/>
            <w:tcBorders>
              <w:tl2br w:val="nil"/>
              <w:tr2bl w:val="nil"/>
            </w:tcBorders>
            <w:noWrap w:val="0"/>
            <w:vAlign w:val="center"/>
          </w:tcPr>
          <w:p w14:paraId="1ECD7366">
            <w:pPr>
              <w:pStyle w:val="12"/>
              <w:pageBreakBefore w:val="0"/>
              <w:wordWrap/>
              <w:bidi w:val="0"/>
              <w:adjustRightInd/>
              <w:snapToGrid/>
              <w:rPr>
                <w:color w:val="auto"/>
              </w:rPr>
            </w:pPr>
          </w:p>
        </w:tc>
        <w:tc>
          <w:tcPr>
            <w:tcW w:w="279" w:type="pct"/>
            <w:tcBorders>
              <w:tl2br w:val="nil"/>
              <w:tr2bl w:val="nil"/>
            </w:tcBorders>
            <w:noWrap w:val="0"/>
            <w:vAlign w:val="center"/>
          </w:tcPr>
          <w:p w14:paraId="58F0B5E3">
            <w:pPr>
              <w:pStyle w:val="12"/>
              <w:pageBreakBefore w:val="0"/>
              <w:wordWrap/>
              <w:bidi w:val="0"/>
              <w:adjustRightInd/>
              <w:snapToGrid/>
              <w:rPr>
                <w:color w:val="auto"/>
              </w:rPr>
            </w:pPr>
          </w:p>
        </w:tc>
        <w:tc>
          <w:tcPr>
            <w:tcW w:w="244" w:type="pct"/>
            <w:tcBorders>
              <w:tl2br w:val="nil"/>
              <w:tr2bl w:val="nil"/>
            </w:tcBorders>
            <w:noWrap w:val="0"/>
            <w:vAlign w:val="center"/>
          </w:tcPr>
          <w:p w14:paraId="4C1C47B1">
            <w:pPr>
              <w:pStyle w:val="12"/>
              <w:pageBreakBefore w:val="0"/>
              <w:wordWrap/>
              <w:bidi w:val="0"/>
              <w:adjustRightInd/>
              <w:snapToGrid/>
              <w:rPr>
                <w:color w:val="auto"/>
              </w:rPr>
            </w:pPr>
          </w:p>
        </w:tc>
        <w:tc>
          <w:tcPr>
            <w:tcW w:w="1132" w:type="pct"/>
            <w:tcBorders>
              <w:tl2br w:val="nil"/>
              <w:tr2bl w:val="nil"/>
            </w:tcBorders>
            <w:noWrap w:val="0"/>
            <w:vAlign w:val="center"/>
          </w:tcPr>
          <w:p w14:paraId="483AEBBA">
            <w:pPr>
              <w:pStyle w:val="12"/>
              <w:pageBreakBefore w:val="0"/>
              <w:wordWrap/>
              <w:bidi w:val="0"/>
              <w:adjustRightInd/>
              <w:snapToGrid/>
              <w:rPr>
                <w:color w:val="auto"/>
              </w:rPr>
            </w:pPr>
            <w:r>
              <w:rPr>
                <w:color w:val="auto"/>
              </w:rPr>
              <w:t>设置于进水</w:t>
            </w:r>
          </w:p>
        </w:tc>
      </w:tr>
      <w:tr w14:paraId="558EF3A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A914B62">
            <w:pPr>
              <w:pStyle w:val="12"/>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67BA32EB">
            <w:pPr>
              <w:pStyle w:val="12"/>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31F5B5AC">
            <w:pPr>
              <w:pStyle w:val="12"/>
              <w:pageBreakBefore w:val="0"/>
              <w:wordWrap/>
              <w:bidi w:val="0"/>
              <w:adjustRightInd/>
              <w:snapToGrid/>
              <w:rPr>
                <w:color w:val="auto"/>
              </w:rPr>
            </w:pPr>
            <w:r>
              <w:rPr>
                <w:color w:val="auto"/>
              </w:rPr>
              <w:t>N=2.2kW</w:t>
            </w:r>
          </w:p>
        </w:tc>
        <w:tc>
          <w:tcPr>
            <w:tcW w:w="612" w:type="pct"/>
            <w:tcBorders>
              <w:tl2br w:val="nil"/>
              <w:tr2bl w:val="nil"/>
            </w:tcBorders>
            <w:noWrap w:val="0"/>
            <w:vAlign w:val="center"/>
          </w:tcPr>
          <w:p w14:paraId="29AFD796">
            <w:pPr>
              <w:pStyle w:val="12"/>
              <w:pageBreakBefore w:val="0"/>
              <w:wordWrap/>
              <w:bidi w:val="0"/>
              <w:adjustRightInd/>
              <w:snapToGrid/>
              <w:rPr>
                <w:color w:val="auto"/>
              </w:rPr>
            </w:pPr>
          </w:p>
        </w:tc>
        <w:tc>
          <w:tcPr>
            <w:tcW w:w="279" w:type="pct"/>
            <w:tcBorders>
              <w:tl2br w:val="nil"/>
              <w:tr2bl w:val="nil"/>
            </w:tcBorders>
            <w:noWrap w:val="0"/>
            <w:vAlign w:val="center"/>
          </w:tcPr>
          <w:p w14:paraId="6DD9F01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B99F92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A7D90DB">
            <w:pPr>
              <w:pStyle w:val="12"/>
              <w:pageBreakBefore w:val="0"/>
              <w:wordWrap/>
              <w:bidi w:val="0"/>
              <w:adjustRightInd/>
              <w:snapToGrid/>
              <w:rPr>
                <w:color w:val="auto"/>
              </w:rPr>
            </w:pPr>
          </w:p>
        </w:tc>
      </w:tr>
      <w:tr w14:paraId="7D1DE3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BEA736E">
            <w:pPr>
              <w:pStyle w:val="12"/>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7D716C55">
            <w:pPr>
              <w:pStyle w:val="12"/>
              <w:pageBreakBefore w:val="0"/>
              <w:wordWrap/>
              <w:bidi w:val="0"/>
              <w:adjustRightInd/>
              <w:snapToGrid/>
              <w:rPr>
                <w:color w:val="auto"/>
              </w:rPr>
            </w:pPr>
            <w:r>
              <w:rPr>
                <w:color w:val="auto"/>
              </w:rPr>
              <w:t>浮球液位开关</w:t>
            </w:r>
          </w:p>
        </w:tc>
        <w:tc>
          <w:tcPr>
            <w:tcW w:w="1532" w:type="pct"/>
            <w:tcBorders>
              <w:tl2br w:val="nil"/>
              <w:tr2bl w:val="nil"/>
            </w:tcBorders>
            <w:noWrap w:val="0"/>
            <w:vAlign w:val="center"/>
          </w:tcPr>
          <w:p w14:paraId="5FC5E985">
            <w:pPr>
              <w:pStyle w:val="12"/>
              <w:pageBreakBefore w:val="0"/>
              <w:wordWrap/>
              <w:bidi w:val="0"/>
              <w:adjustRightInd/>
              <w:snapToGrid/>
              <w:rPr>
                <w:color w:val="auto"/>
              </w:rPr>
            </w:pPr>
          </w:p>
        </w:tc>
        <w:tc>
          <w:tcPr>
            <w:tcW w:w="612" w:type="pct"/>
            <w:tcBorders>
              <w:tl2br w:val="nil"/>
              <w:tr2bl w:val="nil"/>
            </w:tcBorders>
            <w:noWrap w:val="0"/>
            <w:vAlign w:val="center"/>
          </w:tcPr>
          <w:p w14:paraId="4D43F27B">
            <w:pPr>
              <w:pStyle w:val="12"/>
              <w:pageBreakBefore w:val="0"/>
              <w:wordWrap/>
              <w:bidi w:val="0"/>
              <w:adjustRightInd/>
              <w:snapToGrid/>
              <w:rPr>
                <w:color w:val="auto"/>
              </w:rPr>
            </w:pPr>
          </w:p>
        </w:tc>
        <w:tc>
          <w:tcPr>
            <w:tcW w:w="279" w:type="pct"/>
            <w:tcBorders>
              <w:tl2br w:val="nil"/>
              <w:tr2bl w:val="nil"/>
            </w:tcBorders>
            <w:noWrap w:val="0"/>
            <w:vAlign w:val="center"/>
          </w:tcPr>
          <w:p w14:paraId="3505314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854CF1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B87300D">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管廊间</w:t>
            </w:r>
          </w:p>
        </w:tc>
      </w:tr>
      <w:tr w14:paraId="5696CB5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9DF7D79">
            <w:pPr>
              <w:pStyle w:val="12"/>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3AD7DD94">
            <w:pPr>
              <w:pStyle w:val="12"/>
              <w:pageBreakBefore w:val="0"/>
              <w:wordWrap/>
              <w:bidi w:val="0"/>
              <w:adjustRightInd/>
              <w:snapToGrid/>
              <w:rPr>
                <w:color w:val="auto"/>
              </w:rPr>
            </w:pPr>
            <w:r>
              <w:rPr>
                <w:color w:val="auto"/>
              </w:rPr>
              <w:t>流量计</w:t>
            </w:r>
          </w:p>
        </w:tc>
        <w:tc>
          <w:tcPr>
            <w:tcW w:w="1532" w:type="pct"/>
            <w:tcBorders>
              <w:tl2br w:val="nil"/>
              <w:tr2bl w:val="nil"/>
            </w:tcBorders>
            <w:noWrap w:val="0"/>
            <w:vAlign w:val="center"/>
          </w:tcPr>
          <w:p w14:paraId="507D942B">
            <w:pPr>
              <w:pStyle w:val="12"/>
              <w:pageBreakBefore w:val="0"/>
              <w:wordWrap/>
              <w:bidi w:val="0"/>
              <w:adjustRightInd/>
              <w:snapToGrid/>
              <w:rPr>
                <w:color w:val="auto"/>
              </w:rPr>
            </w:pPr>
          </w:p>
        </w:tc>
        <w:tc>
          <w:tcPr>
            <w:tcW w:w="612" w:type="pct"/>
            <w:tcBorders>
              <w:tl2br w:val="nil"/>
              <w:tr2bl w:val="nil"/>
            </w:tcBorders>
            <w:noWrap w:val="0"/>
            <w:vAlign w:val="center"/>
          </w:tcPr>
          <w:p w14:paraId="50ED7733">
            <w:pPr>
              <w:pStyle w:val="12"/>
              <w:pageBreakBefore w:val="0"/>
              <w:wordWrap/>
              <w:bidi w:val="0"/>
              <w:adjustRightInd/>
              <w:snapToGrid/>
              <w:rPr>
                <w:color w:val="auto"/>
              </w:rPr>
            </w:pPr>
          </w:p>
        </w:tc>
        <w:tc>
          <w:tcPr>
            <w:tcW w:w="279" w:type="pct"/>
            <w:tcBorders>
              <w:tl2br w:val="nil"/>
              <w:tr2bl w:val="nil"/>
            </w:tcBorders>
            <w:noWrap w:val="0"/>
            <w:vAlign w:val="center"/>
          </w:tcPr>
          <w:p w14:paraId="31AFC29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FE659F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BFF5AFE">
            <w:pPr>
              <w:pStyle w:val="12"/>
              <w:pageBreakBefore w:val="0"/>
              <w:wordWrap/>
              <w:bidi w:val="0"/>
              <w:adjustRightInd/>
              <w:snapToGrid/>
              <w:rPr>
                <w:color w:val="auto"/>
              </w:rPr>
            </w:pPr>
            <w:r>
              <w:rPr>
                <w:color w:val="auto"/>
              </w:rPr>
              <w:t>计入自控</w:t>
            </w:r>
            <w:r>
              <w:rPr>
                <w:rFonts w:hint="eastAsia"/>
                <w:color w:val="auto"/>
                <w:lang w:eastAsia="zh-CN"/>
              </w:rPr>
              <w:t>，</w:t>
            </w:r>
            <w:r>
              <w:rPr>
                <w:color w:val="auto"/>
              </w:rPr>
              <w:t>反洗泵出水管</w:t>
            </w:r>
          </w:p>
        </w:tc>
      </w:tr>
      <w:tr w14:paraId="3F0B43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594E508">
            <w:pPr>
              <w:pStyle w:val="12"/>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0349E5B9">
            <w:pPr>
              <w:pStyle w:val="12"/>
              <w:pageBreakBefore w:val="0"/>
              <w:wordWrap/>
              <w:bidi w:val="0"/>
              <w:adjustRightInd/>
              <w:snapToGrid/>
              <w:rPr>
                <w:color w:val="auto"/>
              </w:rPr>
            </w:pPr>
            <w:r>
              <w:rPr>
                <w:color w:val="auto"/>
              </w:rPr>
              <w:t>提升泵</w:t>
            </w:r>
          </w:p>
        </w:tc>
        <w:tc>
          <w:tcPr>
            <w:tcW w:w="1532" w:type="pct"/>
            <w:tcBorders>
              <w:tl2br w:val="nil"/>
              <w:tr2bl w:val="nil"/>
            </w:tcBorders>
            <w:noWrap w:val="0"/>
            <w:vAlign w:val="center"/>
          </w:tcPr>
          <w:p w14:paraId="17E26D91">
            <w:pPr>
              <w:pStyle w:val="12"/>
              <w:pageBreakBefore w:val="0"/>
              <w:wordWrap/>
              <w:bidi w:val="0"/>
              <w:adjustRightInd/>
              <w:snapToGrid/>
              <w:rPr>
                <w:color w:val="auto"/>
              </w:rPr>
            </w:pPr>
            <w:r>
              <w:rPr>
                <w:color w:val="auto"/>
              </w:rPr>
              <w:t>Q=130</w:t>
            </w:r>
            <w:r>
              <w:rPr>
                <w:rFonts w:hint="eastAsia"/>
                <w:color w:val="auto"/>
                <w:lang w:eastAsia="zh-CN"/>
              </w:rPr>
              <w:t>m³</w:t>
            </w:r>
            <w:r>
              <w:rPr>
                <w:color w:val="auto"/>
              </w:rPr>
              <w:t>/h</w:t>
            </w:r>
            <w:r>
              <w:rPr>
                <w:rFonts w:hint="eastAsia"/>
                <w:color w:val="auto"/>
                <w:lang w:eastAsia="zh-CN"/>
              </w:rPr>
              <w:t>，</w:t>
            </w:r>
            <w:r>
              <w:rPr>
                <w:color w:val="auto"/>
              </w:rPr>
              <w:t>H=15m</w:t>
            </w:r>
            <w:r>
              <w:rPr>
                <w:rFonts w:hint="eastAsia"/>
                <w:color w:val="auto"/>
                <w:lang w:eastAsia="zh-CN"/>
              </w:rPr>
              <w:t>，</w:t>
            </w:r>
            <w:r>
              <w:rPr>
                <w:color w:val="auto"/>
              </w:rPr>
              <w:t>N=7.5kW</w:t>
            </w:r>
            <w:r>
              <w:rPr>
                <w:rFonts w:hint="eastAsia"/>
                <w:color w:val="auto"/>
                <w:lang w:eastAsia="zh-CN"/>
              </w:rPr>
              <w:t>；</w:t>
            </w:r>
            <w:r>
              <w:rPr>
                <w:color w:val="auto"/>
              </w:rPr>
              <w:t>变频控制</w:t>
            </w:r>
          </w:p>
        </w:tc>
        <w:tc>
          <w:tcPr>
            <w:tcW w:w="612" w:type="pct"/>
            <w:tcBorders>
              <w:tl2br w:val="nil"/>
              <w:tr2bl w:val="nil"/>
            </w:tcBorders>
            <w:noWrap w:val="0"/>
            <w:vAlign w:val="center"/>
          </w:tcPr>
          <w:p w14:paraId="5B211C56">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1CE3206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A89F9CB">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9B56188">
            <w:pPr>
              <w:pStyle w:val="12"/>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5C1BF9A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06A84491">
            <w:pPr>
              <w:pStyle w:val="12"/>
              <w:pageBreakBefore w:val="0"/>
              <w:wordWrap/>
              <w:bidi w:val="0"/>
              <w:adjustRightInd/>
              <w:snapToGrid/>
              <w:jc w:val="left"/>
              <w:rPr>
                <w:color w:val="auto"/>
              </w:rPr>
            </w:pPr>
            <w:r>
              <w:rPr>
                <w:b/>
                <w:bCs/>
                <w:color w:val="auto"/>
              </w:rPr>
              <w:t>紫外线消毒及计量渠主要设备一览表</w:t>
            </w:r>
          </w:p>
        </w:tc>
      </w:tr>
      <w:tr w14:paraId="1C471C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BEE12AC">
            <w:pPr>
              <w:pStyle w:val="12"/>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5AD210C5">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4549B49C">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4745CF19">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3153FA6E">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4F79434D">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BC4E775">
            <w:pPr>
              <w:pStyle w:val="12"/>
              <w:pageBreakBefore w:val="0"/>
              <w:wordWrap/>
              <w:bidi w:val="0"/>
              <w:adjustRightInd/>
              <w:snapToGrid/>
              <w:rPr>
                <w:b/>
                <w:bCs/>
                <w:color w:val="auto"/>
              </w:rPr>
            </w:pPr>
            <w:r>
              <w:rPr>
                <w:b/>
                <w:bCs/>
                <w:color w:val="auto"/>
              </w:rPr>
              <w:t>备注</w:t>
            </w:r>
          </w:p>
        </w:tc>
      </w:tr>
      <w:tr w14:paraId="019DD8B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1C53E82">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56B6E425">
            <w:pPr>
              <w:pStyle w:val="12"/>
              <w:pageBreakBefore w:val="0"/>
              <w:wordWrap/>
              <w:bidi w:val="0"/>
              <w:adjustRightInd/>
              <w:snapToGrid/>
              <w:rPr>
                <w:color w:val="auto"/>
              </w:rPr>
            </w:pPr>
            <w:r>
              <w:rPr>
                <w:color w:val="auto"/>
              </w:rPr>
              <w:t>紫外消毒模块</w:t>
            </w:r>
          </w:p>
        </w:tc>
        <w:tc>
          <w:tcPr>
            <w:tcW w:w="1532" w:type="pct"/>
            <w:tcBorders>
              <w:tl2br w:val="nil"/>
              <w:tr2bl w:val="nil"/>
            </w:tcBorders>
            <w:noWrap w:val="0"/>
            <w:vAlign w:val="center"/>
          </w:tcPr>
          <w:p w14:paraId="7F931C8E">
            <w:pPr>
              <w:pStyle w:val="12"/>
              <w:pageBreakBefore w:val="0"/>
              <w:wordWrap/>
              <w:bidi w:val="0"/>
              <w:adjustRightInd/>
              <w:snapToGrid/>
              <w:rPr>
                <w:color w:val="auto"/>
              </w:rPr>
            </w:pPr>
            <w:r>
              <w:rPr>
                <w:color w:val="auto"/>
              </w:rPr>
              <w:t>Q=0.6万吨/天</w:t>
            </w:r>
            <w:r>
              <w:rPr>
                <w:rFonts w:hint="eastAsia"/>
                <w:color w:val="auto"/>
                <w:lang w:eastAsia="zh-CN"/>
              </w:rPr>
              <w:t>，</w:t>
            </w:r>
            <w:r>
              <w:rPr>
                <w:color w:val="auto"/>
              </w:rPr>
              <w:t>K=2.0</w:t>
            </w:r>
            <w:r>
              <w:rPr>
                <w:rFonts w:hint="eastAsia"/>
                <w:color w:val="auto"/>
                <w:lang w:eastAsia="zh-CN"/>
              </w:rPr>
              <w:t>，</w:t>
            </w:r>
            <w:r>
              <w:rPr>
                <w:color w:val="auto"/>
              </w:rPr>
              <w:t>6个排架</w:t>
            </w:r>
            <w:r>
              <w:rPr>
                <w:rFonts w:hint="eastAsia"/>
                <w:color w:val="auto"/>
                <w:lang w:eastAsia="zh-CN"/>
              </w:rPr>
              <w:t>，</w:t>
            </w:r>
            <w:r>
              <w:rPr>
                <w:color w:val="auto"/>
              </w:rPr>
              <w:t>8支灯/模块</w:t>
            </w:r>
            <w:r>
              <w:rPr>
                <w:rFonts w:hint="eastAsia"/>
                <w:color w:val="auto"/>
                <w:lang w:eastAsia="zh-CN"/>
              </w:rPr>
              <w:t>，</w:t>
            </w:r>
            <w:r>
              <w:rPr>
                <w:color w:val="auto"/>
              </w:rPr>
              <w:t>48支管</w:t>
            </w:r>
            <w:r>
              <w:rPr>
                <w:rFonts w:hint="eastAsia"/>
                <w:color w:val="auto"/>
                <w:lang w:eastAsia="zh-CN"/>
              </w:rPr>
              <w:t>，</w:t>
            </w:r>
            <w:r>
              <w:rPr>
                <w:color w:val="auto"/>
              </w:rPr>
              <w:t>N=16kw</w:t>
            </w:r>
          </w:p>
        </w:tc>
        <w:tc>
          <w:tcPr>
            <w:tcW w:w="612" w:type="pct"/>
            <w:tcBorders>
              <w:tl2br w:val="nil"/>
              <w:tr2bl w:val="nil"/>
            </w:tcBorders>
            <w:noWrap w:val="0"/>
            <w:vAlign w:val="center"/>
          </w:tcPr>
          <w:p w14:paraId="21BA43EB">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28E2ED47">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0820A0E">
            <w:pPr>
              <w:pStyle w:val="12"/>
              <w:pageBreakBefore w:val="0"/>
              <w:wordWrap/>
              <w:bidi w:val="0"/>
              <w:adjustRightInd/>
              <w:snapToGrid/>
              <w:rPr>
                <w:color w:val="auto"/>
              </w:rPr>
            </w:pPr>
            <w:r>
              <w:rPr>
                <w:color w:val="auto"/>
              </w:rPr>
              <w:t>1</w:t>
            </w:r>
          </w:p>
        </w:tc>
        <w:tc>
          <w:tcPr>
            <w:tcW w:w="1132" w:type="pct"/>
            <w:vMerge w:val="restart"/>
            <w:tcBorders>
              <w:tl2br w:val="nil"/>
              <w:tr2bl w:val="nil"/>
            </w:tcBorders>
            <w:noWrap w:val="0"/>
            <w:vAlign w:val="center"/>
          </w:tcPr>
          <w:p w14:paraId="5CBC049C">
            <w:pPr>
              <w:pStyle w:val="12"/>
              <w:pageBreakBefore w:val="0"/>
              <w:wordWrap/>
              <w:bidi w:val="0"/>
              <w:adjustRightInd/>
              <w:snapToGrid/>
              <w:rPr>
                <w:color w:val="auto"/>
              </w:rPr>
            </w:pPr>
            <w:r>
              <w:rPr>
                <w:color w:val="auto"/>
              </w:rPr>
              <w:t>设备成套供货模块为进口</w:t>
            </w:r>
          </w:p>
        </w:tc>
      </w:tr>
      <w:tr w14:paraId="679BE2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B82DC65">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A6D3208">
            <w:pPr>
              <w:pStyle w:val="12"/>
              <w:pageBreakBefore w:val="0"/>
              <w:wordWrap/>
              <w:bidi w:val="0"/>
              <w:adjustRightInd/>
              <w:snapToGrid/>
              <w:rPr>
                <w:color w:val="auto"/>
              </w:rPr>
            </w:pPr>
            <w:r>
              <w:rPr>
                <w:color w:val="auto"/>
              </w:rPr>
              <w:t>整流器柜</w:t>
            </w:r>
          </w:p>
        </w:tc>
        <w:tc>
          <w:tcPr>
            <w:tcW w:w="1532" w:type="pct"/>
            <w:tcBorders>
              <w:tl2br w:val="nil"/>
              <w:tr2bl w:val="nil"/>
            </w:tcBorders>
            <w:noWrap w:val="0"/>
            <w:vAlign w:val="center"/>
          </w:tcPr>
          <w:p w14:paraId="6C8C417F">
            <w:pPr>
              <w:pStyle w:val="12"/>
              <w:pageBreakBefore w:val="0"/>
              <w:wordWrap/>
              <w:bidi w:val="0"/>
              <w:adjustRightInd/>
              <w:snapToGrid/>
              <w:rPr>
                <w:color w:val="auto"/>
              </w:rPr>
            </w:pPr>
            <w:r>
              <w:rPr>
                <w:color w:val="auto"/>
              </w:rPr>
              <w:t>380v</w:t>
            </w:r>
            <w:r>
              <w:rPr>
                <w:rFonts w:hint="eastAsia"/>
                <w:color w:val="auto"/>
                <w:lang w:eastAsia="zh-CN"/>
              </w:rPr>
              <w:t>，</w:t>
            </w:r>
            <w:r>
              <w:rPr>
                <w:color w:val="auto"/>
              </w:rPr>
              <w:t>3kw</w:t>
            </w:r>
          </w:p>
        </w:tc>
        <w:tc>
          <w:tcPr>
            <w:tcW w:w="612" w:type="pct"/>
            <w:tcBorders>
              <w:tl2br w:val="nil"/>
              <w:tr2bl w:val="nil"/>
            </w:tcBorders>
            <w:noWrap w:val="0"/>
            <w:vAlign w:val="center"/>
          </w:tcPr>
          <w:p w14:paraId="73FDE9B2">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DA2ABE9">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0894AFA8">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7DFA5C54">
            <w:pPr>
              <w:pStyle w:val="12"/>
              <w:pageBreakBefore w:val="0"/>
              <w:wordWrap/>
              <w:bidi w:val="0"/>
              <w:adjustRightInd/>
              <w:snapToGrid/>
              <w:rPr>
                <w:color w:val="auto"/>
              </w:rPr>
            </w:pPr>
          </w:p>
        </w:tc>
      </w:tr>
      <w:tr w14:paraId="543BC0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2C9859">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6DE19103">
            <w:pPr>
              <w:pStyle w:val="12"/>
              <w:pageBreakBefore w:val="0"/>
              <w:wordWrap/>
              <w:bidi w:val="0"/>
              <w:adjustRightInd/>
              <w:snapToGrid/>
              <w:rPr>
                <w:color w:val="auto"/>
              </w:rPr>
            </w:pPr>
            <w:r>
              <w:rPr>
                <w:color w:val="auto"/>
              </w:rPr>
              <w:t>水位传感器</w:t>
            </w:r>
          </w:p>
        </w:tc>
        <w:tc>
          <w:tcPr>
            <w:tcW w:w="1532" w:type="pct"/>
            <w:tcBorders>
              <w:tl2br w:val="nil"/>
              <w:tr2bl w:val="nil"/>
            </w:tcBorders>
            <w:noWrap w:val="0"/>
            <w:vAlign w:val="center"/>
          </w:tcPr>
          <w:p w14:paraId="33973FE0">
            <w:pPr>
              <w:pStyle w:val="12"/>
              <w:pageBreakBefore w:val="0"/>
              <w:wordWrap/>
              <w:bidi w:val="0"/>
              <w:adjustRightInd/>
              <w:snapToGrid/>
              <w:rPr>
                <w:color w:val="auto"/>
              </w:rPr>
            </w:pPr>
          </w:p>
        </w:tc>
        <w:tc>
          <w:tcPr>
            <w:tcW w:w="612" w:type="pct"/>
            <w:tcBorders>
              <w:tl2br w:val="nil"/>
              <w:tr2bl w:val="nil"/>
            </w:tcBorders>
            <w:noWrap w:val="0"/>
            <w:vAlign w:val="center"/>
          </w:tcPr>
          <w:p w14:paraId="7D772234">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18BAD11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2AF4F04">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45049027">
            <w:pPr>
              <w:pStyle w:val="12"/>
              <w:pageBreakBefore w:val="0"/>
              <w:wordWrap/>
              <w:bidi w:val="0"/>
              <w:adjustRightInd/>
              <w:snapToGrid/>
              <w:rPr>
                <w:color w:val="auto"/>
              </w:rPr>
            </w:pPr>
          </w:p>
        </w:tc>
      </w:tr>
      <w:tr w14:paraId="6A7045F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D7182F">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6D0D08E6">
            <w:pPr>
              <w:pStyle w:val="12"/>
              <w:pageBreakBefore w:val="0"/>
              <w:wordWrap/>
              <w:bidi w:val="0"/>
              <w:adjustRightInd/>
              <w:snapToGrid/>
              <w:rPr>
                <w:color w:val="auto"/>
              </w:rPr>
            </w:pPr>
            <w:r>
              <w:rPr>
                <w:color w:val="auto"/>
              </w:rPr>
              <w:t>水位控制溢流堰</w:t>
            </w:r>
          </w:p>
        </w:tc>
        <w:tc>
          <w:tcPr>
            <w:tcW w:w="1532" w:type="pct"/>
            <w:tcBorders>
              <w:tl2br w:val="nil"/>
              <w:tr2bl w:val="nil"/>
            </w:tcBorders>
            <w:noWrap w:val="0"/>
            <w:vAlign w:val="center"/>
          </w:tcPr>
          <w:p w14:paraId="3157AF12">
            <w:pPr>
              <w:pStyle w:val="12"/>
              <w:pageBreakBefore w:val="0"/>
              <w:wordWrap/>
              <w:bidi w:val="0"/>
              <w:adjustRightInd/>
              <w:snapToGrid/>
              <w:rPr>
                <w:color w:val="auto"/>
              </w:rPr>
            </w:pPr>
          </w:p>
        </w:tc>
        <w:tc>
          <w:tcPr>
            <w:tcW w:w="612" w:type="pct"/>
            <w:tcBorders>
              <w:tl2br w:val="nil"/>
              <w:tr2bl w:val="nil"/>
            </w:tcBorders>
            <w:noWrap w:val="0"/>
            <w:vAlign w:val="center"/>
          </w:tcPr>
          <w:p w14:paraId="1040510A">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4BD5E8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D19FD67">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2CF05D1D">
            <w:pPr>
              <w:pStyle w:val="12"/>
              <w:pageBreakBefore w:val="0"/>
              <w:wordWrap/>
              <w:bidi w:val="0"/>
              <w:adjustRightInd/>
              <w:snapToGrid/>
              <w:rPr>
                <w:color w:val="auto"/>
              </w:rPr>
            </w:pPr>
          </w:p>
        </w:tc>
      </w:tr>
      <w:tr w14:paraId="200046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F66411C">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AD1D479">
            <w:pPr>
              <w:pStyle w:val="12"/>
              <w:pageBreakBefore w:val="0"/>
              <w:wordWrap/>
              <w:bidi w:val="0"/>
              <w:adjustRightInd/>
              <w:snapToGrid/>
              <w:rPr>
                <w:color w:val="auto"/>
              </w:rPr>
            </w:pPr>
            <w:r>
              <w:rPr>
                <w:color w:val="auto"/>
              </w:rPr>
              <w:t>空压机</w:t>
            </w:r>
          </w:p>
        </w:tc>
        <w:tc>
          <w:tcPr>
            <w:tcW w:w="1532" w:type="pct"/>
            <w:tcBorders>
              <w:tl2br w:val="nil"/>
              <w:tr2bl w:val="nil"/>
            </w:tcBorders>
            <w:noWrap w:val="0"/>
            <w:vAlign w:val="center"/>
          </w:tcPr>
          <w:p w14:paraId="0C969686">
            <w:pPr>
              <w:pStyle w:val="12"/>
              <w:pageBreakBefore w:val="0"/>
              <w:wordWrap/>
              <w:bidi w:val="0"/>
              <w:adjustRightInd/>
              <w:snapToGrid/>
              <w:rPr>
                <w:color w:val="auto"/>
              </w:rPr>
            </w:pPr>
            <w:r>
              <w:rPr>
                <w:color w:val="auto"/>
              </w:rPr>
              <w:t>220v</w:t>
            </w:r>
            <w:r>
              <w:rPr>
                <w:rFonts w:hint="eastAsia"/>
                <w:color w:val="auto"/>
                <w:lang w:eastAsia="zh-CN"/>
              </w:rPr>
              <w:t>，1</w:t>
            </w:r>
            <w:r>
              <w:rPr>
                <w:color w:val="auto"/>
              </w:rPr>
              <w:t>.5kw</w:t>
            </w:r>
          </w:p>
        </w:tc>
        <w:tc>
          <w:tcPr>
            <w:tcW w:w="612" w:type="pct"/>
            <w:tcBorders>
              <w:tl2br w:val="nil"/>
              <w:tr2bl w:val="nil"/>
            </w:tcBorders>
            <w:noWrap w:val="0"/>
            <w:vAlign w:val="center"/>
          </w:tcPr>
          <w:p w14:paraId="64E63142">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06095F1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42733DE">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0721BDC2">
            <w:pPr>
              <w:pStyle w:val="12"/>
              <w:pageBreakBefore w:val="0"/>
              <w:wordWrap/>
              <w:bidi w:val="0"/>
              <w:adjustRightInd/>
              <w:snapToGrid/>
              <w:rPr>
                <w:color w:val="auto"/>
              </w:rPr>
            </w:pPr>
          </w:p>
        </w:tc>
      </w:tr>
      <w:tr w14:paraId="7D0F81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FD6624F">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30A5515C">
            <w:pPr>
              <w:pStyle w:val="12"/>
              <w:pageBreakBefore w:val="0"/>
              <w:wordWrap/>
              <w:bidi w:val="0"/>
              <w:adjustRightInd/>
              <w:snapToGrid/>
              <w:rPr>
                <w:color w:val="auto"/>
              </w:rPr>
            </w:pPr>
            <w:r>
              <w:rPr>
                <w:color w:val="auto"/>
              </w:rPr>
              <w:t>整流格栅板</w:t>
            </w:r>
          </w:p>
        </w:tc>
        <w:tc>
          <w:tcPr>
            <w:tcW w:w="1532" w:type="pct"/>
            <w:tcBorders>
              <w:tl2br w:val="nil"/>
              <w:tr2bl w:val="nil"/>
            </w:tcBorders>
            <w:noWrap w:val="0"/>
            <w:vAlign w:val="center"/>
          </w:tcPr>
          <w:p w14:paraId="42AEBFEF">
            <w:pPr>
              <w:pStyle w:val="12"/>
              <w:pageBreakBefore w:val="0"/>
              <w:wordWrap/>
              <w:bidi w:val="0"/>
              <w:adjustRightInd/>
              <w:snapToGrid/>
              <w:rPr>
                <w:color w:val="auto"/>
              </w:rPr>
            </w:pPr>
          </w:p>
        </w:tc>
        <w:tc>
          <w:tcPr>
            <w:tcW w:w="612" w:type="pct"/>
            <w:tcBorders>
              <w:tl2br w:val="nil"/>
              <w:tr2bl w:val="nil"/>
            </w:tcBorders>
            <w:noWrap w:val="0"/>
            <w:vAlign w:val="center"/>
          </w:tcPr>
          <w:p w14:paraId="21C11F1F">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95B8D3E">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AB6D695">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5C13A47">
            <w:pPr>
              <w:pStyle w:val="12"/>
              <w:pageBreakBefore w:val="0"/>
              <w:wordWrap/>
              <w:bidi w:val="0"/>
              <w:adjustRightInd/>
              <w:snapToGrid/>
              <w:rPr>
                <w:color w:val="auto"/>
              </w:rPr>
            </w:pPr>
          </w:p>
        </w:tc>
      </w:tr>
      <w:tr w14:paraId="3BD1E8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39F08F5">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18A33E13">
            <w:pPr>
              <w:pStyle w:val="12"/>
              <w:pageBreakBefore w:val="0"/>
              <w:wordWrap/>
              <w:bidi w:val="0"/>
              <w:adjustRightInd/>
              <w:snapToGrid/>
              <w:rPr>
                <w:color w:val="auto"/>
              </w:rPr>
            </w:pPr>
            <w:r>
              <w:rPr>
                <w:color w:val="auto"/>
              </w:rPr>
              <w:t>进水闸门</w:t>
            </w:r>
          </w:p>
        </w:tc>
        <w:tc>
          <w:tcPr>
            <w:tcW w:w="1532" w:type="pct"/>
            <w:tcBorders>
              <w:tl2br w:val="nil"/>
              <w:tr2bl w:val="nil"/>
            </w:tcBorders>
            <w:noWrap w:val="0"/>
            <w:vAlign w:val="center"/>
          </w:tcPr>
          <w:p w14:paraId="03CE85D3">
            <w:pPr>
              <w:pStyle w:val="12"/>
              <w:pageBreakBefore w:val="0"/>
              <w:wordWrap/>
              <w:bidi w:val="0"/>
              <w:adjustRightInd/>
              <w:snapToGrid/>
              <w:rPr>
                <w:color w:val="auto"/>
              </w:rPr>
            </w:pPr>
            <w:r>
              <w:rPr>
                <w:color w:val="auto"/>
              </w:rPr>
              <w:t>CBZ-1000×1500</w:t>
            </w:r>
          </w:p>
        </w:tc>
        <w:tc>
          <w:tcPr>
            <w:tcW w:w="612" w:type="pct"/>
            <w:tcBorders>
              <w:tl2br w:val="nil"/>
              <w:tr2bl w:val="nil"/>
            </w:tcBorders>
            <w:noWrap w:val="0"/>
            <w:vAlign w:val="center"/>
          </w:tcPr>
          <w:p w14:paraId="0A695CFC">
            <w:pPr>
              <w:pStyle w:val="12"/>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6F1788E8">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1BC5C86">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08DC5DE">
            <w:pPr>
              <w:pStyle w:val="12"/>
              <w:pageBreakBefore w:val="0"/>
              <w:wordWrap/>
              <w:bidi w:val="0"/>
              <w:adjustRightInd/>
              <w:snapToGrid/>
              <w:rPr>
                <w:color w:val="auto"/>
              </w:rPr>
            </w:pPr>
            <w:r>
              <w:rPr>
                <w:color w:val="auto"/>
              </w:rPr>
              <w:t>配套手动启闭机</w:t>
            </w:r>
            <w:r>
              <w:rPr>
                <w:rFonts w:hint="eastAsia"/>
                <w:color w:val="auto"/>
                <w:lang w:eastAsia="zh-CN"/>
              </w:rPr>
              <w:t>，</w:t>
            </w:r>
            <w:r>
              <w:rPr>
                <w:color w:val="auto"/>
              </w:rPr>
              <w:t>启闭机高出池顶</w:t>
            </w:r>
            <w:r>
              <w:rPr>
                <w:rFonts w:hint="eastAsia"/>
                <w:color w:val="auto"/>
                <w:lang w:eastAsia="zh-CN"/>
              </w:rPr>
              <w:t>1</w:t>
            </w:r>
            <w:r>
              <w:rPr>
                <w:color w:val="auto"/>
              </w:rPr>
              <w:t>.3m</w:t>
            </w:r>
          </w:p>
        </w:tc>
      </w:tr>
      <w:tr w14:paraId="5C1D97A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7227A6F">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22DA83E1">
            <w:pPr>
              <w:pStyle w:val="12"/>
              <w:pageBreakBefore w:val="0"/>
              <w:wordWrap/>
              <w:bidi w:val="0"/>
              <w:adjustRightInd/>
              <w:snapToGrid/>
              <w:rPr>
                <w:color w:val="auto"/>
              </w:rPr>
            </w:pPr>
            <w:r>
              <w:rPr>
                <w:color w:val="auto"/>
              </w:rPr>
              <w:t>巴歇尔流量槽</w:t>
            </w:r>
          </w:p>
        </w:tc>
        <w:tc>
          <w:tcPr>
            <w:tcW w:w="1532" w:type="pct"/>
            <w:tcBorders>
              <w:tl2br w:val="nil"/>
              <w:tr2bl w:val="nil"/>
            </w:tcBorders>
            <w:noWrap w:val="0"/>
            <w:vAlign w:val="center"/>
          </w:tcPr>
          <w:p w14:paraId="0992155E">
            <w:pPr>
              <w:pStyle w:val="12"/>
              <w:pageBreakBefore w:val="0"/>
              <w:wordWrap/>
              <w:bidi w:val="0"/>
              <w:adjustRightInd/>
              <w:snapToGrid/>
              <w:rPr>
                <w:color w:val="auto"/>
              </w:rPr>
            </w:pPr>
            <w:r>
              <w:rPr>
                <w:color w:val="auto"/>
              </w:rPr>
              <w:t>7#标准型</w:t>
            </w:r>
            <w:r>
              <w:rPr>
                <w:rFonts w:hint="eastAsia"/>
                <w:color w:val="auto"/>
                <w:lang w:eastAsia="zh-CN"/>
              </w:rPr>
              <w:t>，</w:t>
            </w:r>
            <w:r>
              <w:rPr>
                <w:color w:val="auto"/>
              </w:rPr>
              <w:t>12.6≤Q≤1440</w:t>
            </w:r>
            <w:r>
              <w:rPr>
                <w:rFonts w:hint="eastAsia"/>
                <w:color w:val="auto"/>
                <w:lang w:eastAsia="zh-CN"/>
              </w:rPr>
              <w:t>m³</w:t>
            </w:r>
            <w:r>
              <w:rPr>
                <w:color w:val="auto"/>
              </w:rPr>
              <w:t>/h</w:t>
            </w:r>
          </w:p>
        </w:tc>
        <w:tc>
          <w:tcPr>
            <w:tcW w:w="612" w:type="pct"/>
            <w:tcBorders>
              <w:tl2br w:val="nil"/>
              <w:tr2bl w:val="nil"/>
            </w:tcBorders>
            <w:noWrap w:val="0"/>
            <w:vAlign w:val="center"/>
          </w:tcPr>
          <w:p w14:paraId="6FF78B55">
            <w:pPr>
              <w:pStyle w:val="12"/>
              <w:pageBreakBefore w:val="0"/>
              <w:wordWrap/>
              <w:bidi w:val="0"/>
              <w:adjustRightInd/>
              <w:snapToGrid/>
              <w:rPr>
                <w:color w:val="auto"/>
              </w:rPr>
            </w:pPr>
            <w:r>
              <w:rPr>
                <w:color w:val="auto"/>
              </w:rPr>
              <w:t>槽体玻璃钢</w:t>
            </w:r>
          </w:p>
        </w:tc>
        <w:tc>
          <w:tcPr>
            <w:tcW w:w="279" w:type="pct"/>
            <w:tcBorders>
              <w:tl2br w:val="nil"/>
              <w:tr2bl w:val="nil"/>
            </w:tcBorders>
            <w:noWrap w:val="0"/>
            <w:vAlign w:val="center"/>
          </w:tcPr>
          <w:p w14:paraId="2395982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26F9AA6">
            <w:pPr>
              <w:pStyle w:val="12"/>
              <w:pageBreakBefore w:val="0"/>
              <w:wordWrap/>
              <w:bidi w:val="0"/>
              <w:adjustRightInd/>
              <w:snapToGrid/>
              <w:rPr>
                <w:color w:val="auto"/>
              </w:rPr>
            </w:pPr>
            <w:r>
              <w:rPr>
                <w:color w:val="auto"/>
              </w:rPr>
              <w:t>1</w:t>
            </w:r>
          </w:p>
        </w:tc>
        <w:tc>
          <w:tcPr>
            <w:tcW w:w="1132" w:type="pct"/>
            <w:vMerge w:val="restart"/>
            <w:tcBorders>
              <w:tl2br w:val="nil"/>
              <w:tr2bl w:val="nil"/>
            </w:tcBorders>
            <w:noWrap w:val="0"/>
            <w:vAlign w:val="center"/>
          </w:tcPr>
          <w:p w14:paraId="2761B480">
            <w:pPr>
              <w:pStyle w:val="12"/>
              <w:pageBreakBefore w:val="0"/>
              <w:wordWrap/>
              <w:bidi w:val="0"/>
              <w:adjustRightInd/>
              <w:snapToGrid/>
              <w:rPr>
                <w:color w:val="auto"/>
              </w:rPr>
            </w:pPr>
            <w:r>
              <w:rPr>
                <w:color w:val="auto"/>
              </w:rPr>
              <w:t>设备成套供货</w:t>
            </w:r>
          </w:p>
        </w:tc>
      </w:tr>
      <w:tr w14:paraId="4CFE299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AC3553E">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0A87777D">
            <w:pPr>
              <w:pStyle w:val="12"/>
              <w:pageBreakBefore w:val="0"/>
              <w:wordWrap/>
              <w:bidi w:val="0"/>
              <w:adjustRightInd/>
              <w:snapToGrid/>
              <w:rPr>
                <w:color w:val="auto"/>
              </w:rPr>
            </w:pPr>
            <w:r>
              <w:rPr>
                <w:color w:val="auto"/>
              </w:rPr>
              <w:t>明渠流量计</w:t>
            </w:r>
          </w:p>
        </w:tc>
        <w:tc>
          <w:tcPr>
            <w:tcW w:w="1532" w:type="pct"/>
            <w:tcBorders>
              <w:tl2br w:val="nil"/>
              <w:tr2bl w:val="nil"/>
            </w:tcBorders>
            <w:noWrap w:val="0"/>
            <w:vAlign w:val="center"/>
          </w:tcPr>
          <w:p w14:paraId="614AAC55">
            <w:pPr>
              <w:pStyle w:val="12"/>
              <w:pageBreakBefore w:val="0"/>
              <w:wordWrap/>
              <w:bidi w:val="0"/>
              <w:adjustRightInd/>
              <w:snapToGrid/>
              <w:rPr>
                <w:color w:val="auto"/>
              </w:rPr>
            </w:pPr>
          </w:p>
        </w:tc>
        <w:tc>
          <w:tcPr>
            <w:tcW w:w="612" w:type="pct"/>
            <w:tcBorders>
              <w:tl2br w:val="nil"/>
              <w:tr2bl w:val="nil"/>
            </w:tcBorders>
            <w:noWrap w:val="0"/>
            <w:vAlign w:val="center"/>
          </w:tcPr>
          <w:p w14:paraId="456E66DB">
            <w:pPr>
              <w:pStyle w:val="12"/>
              <w:pageBreakBefore w:val="0"/>
              <w:wordWrap/>
              <w:bidi w:val="0"/>
              <w:adjustRightInd/>
              <w:snapToGrid/>
              <w:rPr>
                <w:color w:val="auto"/>
              </w:rPr>
            </w:pPr>
          </w:p>
        </w:tc>
        <w:tc>
          <w:tcPr>
            <w:tcW w:w="279" w:type="pct"/>
            <w:tcBorders>
              <w:tl2br w:val="nil"/>
              <w:tr2bl w:val="nil"/>
            </w:tcBorders>
            <w:noWrap w:val="0"/>
            <w:vAlign w:val="center"/>
          </w:tcPr>
          <w:p w14:paraId="10A3AF4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4F731D6">
            <w:pPr>
              <w:pStyle w:val="12"/>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5DF0D4A8">
            <w:pPr>
              <w:pStyle w:val="12"/>
              <w:pageBreakBefore w:val="0"/>
              <w:wordWrap/>
              <w:bidi w:val="0"/>
              <w:adjustRightInd/>
              <w:snapToGrid/>
              <w:rPr>
                <w:color w:val="auto"/>
              </w:rPr>
            </w:pPr>
          </w:p>
        </w:tc>
      </w:tr>
      <w:tr w14:paraId="72AD72C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3901F4FD">
            <w:pPr>
              <w:pStyle w:val="12"/>
              <w:pageBreakBefore w:val="0"/>
              <w:wordWrap/>
              <w:bidi w:val="0"/>
              <w:adjustRightInd/>
              <w:snapToGrid/>
              <w:jc w:val="left"/>
              <w:rPr>
                <w:color w:val="auto"/>
              </w:rPr>
            </w:pPr>
            <w:r>
              <w:rPr>
                <w:b/>
                <w:bCs/>
                <w:color w:val="auto"/>
              </w:rPr>
              <w:t>回用水池-回用泵房主要设备表</w:t>
            </w:r>
          </w:p>
        </w:tc>
      </w:tr>
      <w:tr w14:paraId="149B06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EE642E">
            <w:pPr>
              <w:pStyle w:val="12"/>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4A11B5D4">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334EAFA0">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6A2BDD57">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34EFDA81">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7C732CC4">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02958FFE">
            <w:pPr>
              <w:pStyle w:val="12"/>
              <w:pageBreakBefore w:val="0"/>
              <w:wordWrap/>
              <w:bidi w:val="0"/>
              <w:adjustRightInd/>
              <w:snapToGrid/>
              <w:rPr>
                <w:b/>
                <w:bCs/>
                <w:color w:val="auto"/>
              </w:rPr>
            </w:pPr>
            <w:r>
              <w:rPr>
                <w:b/>
                <w:bCs/>
                <w:color w:val="auto"/>
              </w:rPr>
              <w:t>备注</w:t>
            </w:r>
          </w:p>
        </w:tc>
      </w:tr>
      <w:tr w14:paraId="4BB5AF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9591A5F">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E2F2C77">
            <w:pPr>
              <w:pStyle w:val="12"/>
              <w:pageBreakBefore w:val="0"/>
              <w:wordWrap/>
              <w:bidi w:val="0"/>
              <w:adjustRightInd/>
              <w:snapToGrid/>
              <w:rPr>
                <w:color w:val="auto"/>
              </w:rPr>
            </w:pPr>
            <w:r>
              <w:rPr>
                <w:color w:val="auto"/>
              </w:rPr>
              <w:t>单级单吸立式离心泵</w:t>
            </w:r>
          </w:p>
        </w:tc>
        <w:tc>
          <w:tcPr>
            <w:tcW w:w="1532" w:type="pct"/>
            <w:tcBorders>
              <w:tl2br w:val="nil"/>
              <w:tr2bl w:val="nil"/>
            </w:tcBorders>
            <w:noWrap w:val="0"/>
            <w:vAlign w:val="center"/>
          </w:tcPr>
          <w:p w14:paraId="14DF7361">
            <w:pPr>
              <w:pStyle w:val="12"/>
              <w:pageBreakBefore w:val="0"/>
              <w:wordWrap/>
              <w:bidi w:val="0"/>
              <w:adjustRightInd/>
              <w:snapToGrid/>
              <w:rPr>
                <w:color w:val="auto"/>
              </w:rPr>
            </w:pPr>
            <w:r>
              <w:rPr>
                <w:color w:val="auto"/>
              </w:rPr>
              <w:t>Q=30</w:t>
            </w:r>
            <w:r>
              <w:rPr>
                <w:rFonts w:hint="eastAsia"/>
                <w:color w:val="auto"/>
                <w:lang w:eastAsia="zh-CN"/>
              </w:rPr>
              <w:t>m³</w:t>
            </w:r>
            <w:r>
              <w:rPr>
                <w:color w:val="auto"/>
              </w:rPr>
              <w:t>/h</w:t>
            </w:r>
            <w:r>
              <w:rPr>
                <w:rFonts w:hint="eastAsia"/>
                <w:color w:val="auto"/>
                <w:lang w:eastAsia="zh-CN"/>
              </w:rPr>
              <w:t>，</w:t>
            </w:r>
            <w:r>
              <w:rPr>
                <w:color w:val="auto"/>
              </w:rPr>
              <w:t>H=20m</w:t>
            </w:r>
            <w:r>
              <w:rPr>
                <w:rFonts w:hint="eastAsia"/>
                <w:color w:val="auto"/>
                <w:lang w:eastAsia="zh-CN"/>
              </w:rPr>
              <w:t>，</w:t>
            </w:r>
            <w:r>
              <w:rPr>
                <w:color w:val="auto"/>
              </w:rPr>
              <w:t>N=4.0kW</w:t>
            </w:r>
            <w:r>
              <w:rPr>
                <w:rFonts w:hint="eastAsia"/>
                <w:color w:val="auto"/>
                <w:lang w:eastAsia="zh-CN"/>
              </w:rPr>
              <w:t>，</w:t>
            </w:r>
            <w:r>
              <w:rPr>
                <w:color w:val="auto"/>
              </w:rPr>
              <w:t>变频控制</w:t>
            </w:r>
          </w:p>
        </w:tc>
        <w:tc>
          <w:tcPr>
            <w:tcW w:w="612" w:type="pct"/>
            <w:tcBorders>
              <w:tl2br w:val="nil"/>
              <w:tr2bl w:val="nil"/>
            </w:tcBorders>
            <w:noWrap w:val="0"/>
            <w:vAlign w:val="center"/>
          </w:tcPr>
          <w:p w14:paraId="16F1BB29">
            <w:pPr>
              <w:pStyle w:val="12"/>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315D048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E1701A4">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1440AE6">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国产一线品牌</w:t>
            </w:r>
          </w:p>
        </w:tc>
      </w:tr>
      <w:tr w14:paraId="05DE47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D22680F">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3334B8E6">
            <w:pPr>
              <w:pStyle w:val="12"/>
              <w:pageBreakBefore w:val="0"/>
              <w:wordWrap/>
              <w:bidi w:val="0"/>
              <w:adjustRightInd/>
              <w:snapToGrid/>
              <w:rPr>
                <w:color w:val="auto"/>
              </w:rPr>
            </w:pPr>
            <w:r>
              <w:rPr>
                <w:color w:val="auto"/>
              </w:rPr>
              <w:t>回用水消毒罐</w:t>
            </w:r>
          </w:p>
        </w:tc>
        <w:tc>
          <w:tcPr>
            <w:tcW w:w="1532" w:type="pct"/>
            <w:tcBorders>
              <w:tl2br w:val="nil"/>
              <w:tr2bl w:val="nil"/>
            </w:tcBorders>
            <w:noWrap w:val="0"/>
            <w:vAlign w:val="center"/>
          </w:tcPr>
          <w:p w14:paraId="28584A87">
            <w:pPr>
              <w:pStyle w:val="12"/>
              <w:pageBreakBefore w:val="0"/>
              <w:wordWrap/>
              <w:bidi w:val="0"/>
              <w:adjustRightInd/>
              <w:snapToGrid/>
              <w:rPr>
                <w:color w:val="auto"/>
              </w:rPr>
            </w:pPr>
            <w:r>
              <w:rPr>
                <w:color w:val="auto"/>
              </w:rPr>
              <w:t>消毒剂</w:t>
            </w:r>
            <w:r>
              <w:rPr>
                <w:rFonts w:hint="eastAsia"/>
                <w:color w:val="auto"/>
                <w:lang w:eastAsia="zh-CN"/>
              </w:rPr>
              <w:t>：</w:t>
            </w:r>
            <w:r>
              <w:rPr>
                <w:color w:val="auto"/>
              </w:rPr>
              <w:t>成品次氯酸钠</w:t>
            </w:r>
            <w:r>
              <w:rPr>
                <w:rFonts w:hint="eastAsia"/>
                <w:color w:val="auto"/>
                <w:lang w:eastAsia="zh-CN"/>
              </w:rPr>
              <w:t>，</w:t>
            </w:r>
            <w:r>
              <w:rPr>
                <w:color w:val="auto"/>
              </w:rPr>
              <w:t>有效容积</w:t>
            </w:r>
            <w:r>
              <w:rPr>
                <w:rFonts w:hint="eastAsia"/>
                <w:color w:val="auto"/>
                <w:lang w:eastAsia="zh-CN"/>
              </w:rPr>
              <w:t>：</w:t>
            </w:r>
            <w:r>
              <w:rPr>
                <w:color w:val="auto"/>
              </w:rPr>
              <w:t>1000L</w:t>
            </w:r>
            <w:r>
              <w:rPr>
                <w:rFonts w:hint="eastAsia"/>
                <w:color w:val="auto"/>
                <w:lang w:eastAsia="zh-CN"/>
              </w:rPr>
              <w:t>，</w:t>
            </w:r>
            <w:r>
              <w:rPr>
                <w:color w:val="auto"/>
              </w:rPr>
              <w:t>外形尺寸</w:t>
            </w:r>
            <w:r>
              <w:rPr>
                <w:rFonts w:hint="eastAsia"/>
                <w:color w:val="auto"/>
                <w:lang w:eastAsia="zh-CN"/>
              </w:rPr>
              <w:t>：</w:t>
            </w:r>
            <w:r>
              <w:rPr>
                <w:color w:val="auto"/>
              </w:rPr>
              <w:t>D×H=φ</w:t>
            </w:r>
            <w:r>
              <w:rPr>
                <w:rFonts w:hint="eastAsia"/>
                <w:color w:val="auto"/>
                <w:lang w:eastAsia="zh-CN"/>
              </w:rPr>
              <w:t>1</w:t>
            </w:r>
            <w:r>
              <w:rPr>
                <w:color w:val="auto"/>
              </w:rPr>
              <w:t>.0×</w:t>
            </w:r>
            <w:r>
              <w:rPr>
                <w:rFonts w:hint="eastAsia"/>
                <w:color w:val="auto"/>
                <w:lang w:eastAsia="zh-CN"/>
              </w:rPr>
              <w:t>1</w:t>
            </w:r>
            <w:r>
              <w:rPr>
                <w:color w:val="auto"/>
              </w:rPr>
              <w:t>.65m</w:t>
            </w:r>
            <w:r>
              <w:rPr>
                <w:rFonts w:hint="eastAsia"/>
                <w:color w:val="auto"/>
                <w:lang w:eastAsia="zh-CN"/>
              </w:rPr>
              <w:t>，</w:t>
            </w:r>
            <w:r>
              <w:rPr>
                <w:color w:val="auto"/>
              </w:rPr>
              <w:t>搅拌功率</w:t>
            </w:r>
            <w:r>
              <w:rPr>
                <w:rFonts w:hint="eastAsia"/>
                <w:color w:val="auto"/>
                <w:lang w:eastAsia="zh-CN"/>
              </w:rPr>
              <w:t>：</w:t>
            </w:r>
            <w:r>
              <w:rPr>
                <w:color w:val="auto"/>
              </w:rPr>
              <w:t>0.55kW</w:t>
            </w:r>
          </w:p>
        </w:tc>
        <w:tc>
          <w:tcPr>
            <w:tcW w:w="612" w:type="pct"/>
            <w:tcBorders>
              <w:tl2br w:val="nil"/>
              <w:tr2bl w:val="nil"/>
            </w:tcBorders>
            <w:noWrap w:val="0"/>
            <w:vAlign w:val="center"/>
          </w:tcPr>
          <w:p w14:paraId="2357C261">
            <w:pPr>
              <w:pStyle w:val="12"/>
              <w:pageBreakBefore w:val="0"/>
              <w:wordWrap/>
              <w:bidi w:val="0"/>
              <w:adjustRightInd/>
              <w:snapToGrid/>
              <w:rPr>
                <w:color w:val="auto"/>
              </w:rPr>
            </w:pPr>
            <w:r>
              <w:rPr>
                <w:color w:val="auto"/>
              </w:rPr>
              <w:t>主体材质PE</w:t>
            </w:r>
          </w:p>
        </w:tc>
        <w:tc>
          <w:tcPr>
            <w:tcW w:w="279" w:type="pct"/>
            <w:tcBorders>
              <w:tl2br w:val="nil"/>
              <w:tr2bl w:val="nil"/>
            </w:tcBorders>
            <w:noWrap w:val="0"/>
            <w:vAlign w:val="center"/>
          </w:tcPr>
          <w:p w14:paraId="7F6C4CC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8A1A13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820FFD9">
            <w:pPr>
              <w:pStyle w:val="12"/>
              <w:pageBreakBefore w:val="0"/>
              <w:wordWrap/>
              <w:bidi w:val="0"/>
              <w:adjustRightInd/>
              <w:snapToGrid/>
              <w:rPr>
                <w:color w:val="auto"/>
              </w:rPr>
            </w:pPr>
          </w:p>
        </w:tc>
      </w:tr>
      <w:tr w14:paraId="69690D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0266273">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C3797FD">
            <w:pPr>
              <w:pStyle w:val="12"/>
              <w:pageBreakBefore w:val="0"/>
              <w:wordWrap/>
              <w:bidi w:val="0"/>
              <w:adjustRightInd/>
              <w:snapToGrid/>
              <w:rPr>
                <w:color w:val="auto"/>
              </w:rPr>
            </w:pPr>
            <w:r>
              <w:rPr>
                <w:color w:val="auto"/>
              </w:rPr>
              <w:t>加药计量泵</w:t>
            </w:r>
          </w:p>
        </w:tc>
        <w:tc>
          <w:tcPr>
            <w:tcW w:w="1532" w:type="pct"/>
            <w:tcBorders>
              <w:tl2br w:val="nil"/>
              <w:tr2bl w:val="nil"/>
            </w:tcBorders>
            <w:noWrap w:val="0"/>
            <w:vAlign w:val="center"/>
          </w:tcPr>
          <w:p w14:paraId="48179028">
            <w:pPr>
              <w:pStyle w:val="12"/>
              <w:pageBreakBefore w:val="0"/>
              <w:wordWrap/>
              <w:bidi w:val="0"/>
              <w:adjustRightInd/>
              <w:snapToGrid/>
              <w:rPr>
                <w:color w:val="auto"/>
              </w:rPr>
            </w:pPr>
            <w:r>
              <w:rPr>
                <w:color w:val="auto"/>
              </w:rPr>
              <w:t>型式</w:t>
            </w:r>
            <w:r>
              <w:rPr>
                <w:rFonts w:hint="eastAsia"/>
                <w:color w:val="auto"/>
                <w:lang w:eastAsia="zh-CN"/>
              </w:rPr>
              <w:t>：</w:t>
            </w:r>
            <w:r>
              <w:rPr>
                <w:color w:val="auto"/>
              </w:rPr>
              <w:t>隔膜计量泵</w:t>
            </w:r>
            <w:r>
              <w:rPr>
                <w:rFonts w:hint="eastAsia"/>
                <w:color w:val="auto"/>
                <w:lang w:eastAsia="zh-CN"/>
              </w:rPr>
              <w:t>，</w:t>
            </w:r>
            <w:r>
              <w:rPr>
                <w:color w:val="auto"/>
              </w:rPr>
              <w:t>Q=10L/h</w:t>
            </w:r>
            <w:r>
              <w:rPr>
                <w:rFonts w:hint="eastAsia"/>
                <w:color w:val="auto"/>
                <w:lang w:eastAsia="zh-CN"/>
              </w:rPr>
              <w:t>，</w:t>
            </w:r>
            <w:r>
              <w:rPr>
                <w:color w:val="auto"/>
              </w:rPr>
              <w:t>0.7MPa</w:t>
            </w:r>
            <w:r>
              <w:rPr>
                <w:rFonts w:hint="eastAsia"/>
                <w:color w:val="auto"/>
                <w:lang w:eastAsia="zh-CN"/>
              </w:rPr>
              <w:t>，</w:t>
            </w:r>
            <w:r>
              <w:rPr>
                <w:color w:val="auto"/>
              </w:rPr>
              <w:t>N=0.1kW</w:t>
            </w:r>
          </w:p>
        </w:tc>
        <w:tc>
          <w:tcPr>
            <w:tcW w:w="612" w:type="pct"/>
            <w:tcBorders>
              <w:tl2br w:val="nil"/>
              <w:tr2bl w:val="nil"/>
            </w:tcBorders>
            <w:noWrap w:val="0"/>
            <w:vAlign w:val="center"/>
          </w:tcPr>
          <w:p w14:paraId="1EEC7AB8">
            <w:pPr>
              <w:pStyle w:val="12"/>
              <w:pageBreakBefore w:val="0"/>
              <w:wordWrap/>
              <w:bidi w:val="0"/>
              <w:adjustRightInd/>
              <w:snapToGrid/>
              <w:rPr>
                <w:color w:val="auto"/>
              </w:rPr>
            </w:pPr>
            <w:r>
              <w:rPr>
                <w:color w:val="auto"/>
              </w:rPr>
              <w:t>隔膜材质PTFE</w:t>
            </w:r>
          </w:p>
        </w:tc>
        <w:tc>
          <w:tcPr>
            <w:tcW w:w="279" w:type="pct"/>
            <w:tcBorders>
              <w:tl2br w:val="nil"/>
              <w:tr2bl w:val="nil"/>
            </w:tcBorders>
            <w:noWrap w:val="0"/>
            <w:vAlign w:val="center"/>
          </w:tcPr>
          <w:p w14:paraId="4F229BF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4917E7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B2F950A">
            <w:pPr>
              <w:pStyle w:val="12"/>
              <w:pageBreakBefore w:val="0"/>
              <w:wordWrap/>
              <w:bidi w:val="0"/>
              <w:adjustRightInd/>
              <w:snapToGrid/>
              <w:rPr>
                <w:color w:val="auto"/>
              </w:rPr>
            </w:pPr>
            <w:r>
              <w:rPr>
                <w:color w:val="auto"/>
              </w:rPr>
              <w:t>配套阀门附件</w:t>
            </w:r>
            <w:r>
              <w:rPr>
                <w:rFonts w:hint="eastAsia"/>
                <w:color w:val="auto"/>
                <w:lang w:eastAsia="zh-CN"/>
              </w:rPr>
              <w:t>，1</w:t>
            </w:r>
            <w:r>
              <w:rPr>
                <w:color w:val="auto"/>
              </w:rPr>
              <w:t>用</w:t>
            </w:r>
            <w:r>
              <w:rPr>
                <w:rFonts w:hint="eastAsia"/>
                <w:color w:val="auto"/>
                <w:lang w:eastAsia="zh-CN"/>
              </w:rPr>
              <w:t>1</w:t>
            </w:r>
            <w:r>
              <w:rPr>
                <w:color w:val="auto"/>
              </w:rPr>
              <w:t>备</w:t>
            </w:r>
          </w:p>
        </w:tc>
      </w:tr>
      <w:tr w14:paraId="1B34C49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D3E2CB6">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66B82E9">
            <w:pPr>
              <w:pStyle w:val="12"/>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4B1CCEC0">
            <w:pPr>
              <w:pStyle w:val="12"/>
              <w:pageBreakBefore w:val="0"/>
              <w:wordWrap/>
              <w:bidi w:val="0"/>
              <w:adjustRightInd/>
              <w:snapToGrid/>
              <w:rPr>
                <w:color w:val="auto"/>
              </w:rPr>
            </w:pPr>
            <w:r>
              <w:rPr>
                <w:color w:val="auto"/>
              </w:rPr>
              <w:t>Q=1000</w:t>
            </w:r>
            <w:r>
              <w:rPr>
                <w:rFonts w:hint="eastAsia"/>
                <w:color w:val="auto"/>
                <w:lang w:eastAsia="zh-CN"/>
              </w:rPr>
              <w:t>m³</w:t>
            </w:r>
            <w:r>
              <w:rPr>
                <w:color w:val="auto"/>
              </w:rPr>
              <w:t>/h</w:t>
            </w:r>
            <w:r>
              <w:rPr>
                <w:rFonts w:hint="eastAsia"/>
                <w:color w:val="auto"/>
                <w:lang w:eastAsia="zh-CN"/>
              </w:rPr>
              <w:t>，</w:t>
            </w:r>
            <w:r>
              <w:rPr>
                <w:color w:val="auto"/>
              </w:rPr>
              <w:t>N=0.12kW</w:t>
            </w:r>
          </w:p>
        </w:tc>
        <w:tc>
          <w:tcPr>
            <w:tcW w:w="612" w:type="pct"/>
            <w:tcBorders>
              <w:tl2br w:val="nil"/>
              <w:tr2bl w:val="nil"/>
            </w:tcBorders>
            <w:noWrap w:val="0"/>
            <w:vAlign w:val="center"/>
          </w:tcPr>
          <w:p w14:paraId="162AA5C4">
            <w:pPr>
              <w:pStyle w:val="12"/>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12966F1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193400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14ED9CE">
            <w:pPr>
              <w:pStyle w:val="12"/>
              <w:pageBreakBefore w:val="0"/>
              <w:wordWrap/>
              <w:bidi w:val="0"/>
              <w:adjustRightInd/>
              <w:snapToGrid/>
              <w:rPr>
                <w:color w:val="auto"/>
              </w:rPr>
            </w:pPr>
          </w:p>
        </w:tc>
      </w:tr>
      <w:tr w14:paraId="3E4D83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0A2F1B6">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6A35C0BA">
            <w:pPr>
              <w:pStyle w:val="12"/>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1EF58FEF">
            <w:pPr>
              <w:pStyle w:val="12"/>
              <w:pageBreakBefore w:val="0"/>
              <w:wordWrap/>
              <w:bidi w:val="0"/>
              <w:adjustRightInd/>
              <w:snapToGrid/>
              <w:rPr>
                <w:color w:val="auto"/>
              </w:rPr>
            </w:pPr>
            <w:r>
              <w:rPr>
                <w:color w:val="auto"/>
              </w:rPr>
              <w:t>MF/ABC3</w:t>
            </w:r>
          </w:p>
        </w:tc>
        <w:tc>
          <w:tcPr>
            <w:tcW w:w="612" w:type="pct"/>
            <w:tcBorders>
              <w:tl2br w:val="nil"/>
              <w:tr2bl w:val="nil"/>
            </w:tcBorders>
            <w:noWrap w:val="0"/>
            <w:vAlign w:val="center"/>
          </w:tcPr>
          <w:p w14:paraId="7C5E9FD8">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37CD4815">
            <w:pPr>
              <w:pStyle w:val="12"/>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32B1253D">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C27351F">
            <w:pPr>
              <w:pStyle w:val="12"/>
              <w:pageBreakBefore w:val="0"/>
              <w:wordWrap/>
              <w:bidi w:val="0"/>
              <w:adjustRightInd/>
              <w:snapToGrid/>
              <w:rPr>
                <w:color w:val="auto"/>
              </w:rPr>
            </w:pPr>
            <w:r>
              <w:rPr>
                <w:color w:val="auto"/>
              </w:rPr>
              <w:t>手提式</w:t>
            </w:r>
          </w:p>
        </w:tc>
      </w:tr>
      <w:tr w14:paraId="0DBD9A8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E92F42A">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01B37414">
            <w:pPr>
              <w:pStyle w:val="12"/>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163DF19B">
            <w:pPr>
              <w:pStyle w:val="12"/>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5DD79160">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216450AD">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EB798E3">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6E049BC">
            <w:pPr>
              <w:pStyle w:val="12"/>
              <w:pageBreakBefore w:val="0"/>
              <w:wordWrap/>
              <w:bidi w:val="0"/>
              <w:adjustRightInd/>
              <w:snapToGrid/>
              <w:rPr>
                <w:color w:val="auto"/>
              </w:rPr>
            </w:pPr>
          </w:p>
        </w:tc>
      </w:tr>
      <w:tr w14:paraId="7FDEA0A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03F42F">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1591DCF0">
            <w:pPr>
              <w:pStyle w:val="12"/>
              <w:pageBreakBefore w:val="0"/>
              <w:wordWrap/>
              <w:bidi w:val="0"/>
              <w:adjustRightInd/>
              <w:snapToGrid/>
              <w:rPr>
                <w:color w:val="auto"/>
              </w:rPr>
            </w:pPr>
            <w:r>
              <w:rPr>
                <w:color w:val="auto"/>
              </w:rPr>
              <w:t>蝶阀</w:t>
            </w:r>
          </w:p>
        </w:tc>
        <w:tc>
          <w:tcPr>
            <w:tcW w:w="1532" w:type="pct"/>
            <w:tcBorders>
              <w:tl2br w:val="nil"/>
              <w:tr2bl w:val="nil"/>
            </w:tcBorders>
            <w:noWrap w:val="0"/>
            <w:vAlign w:val="center"/>
          </w:tcPr>
          <w:p w14:paraId="352995B2">
            <w:pPr>
              <w:pStyle w:val="12"/>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1E157905">
            <w:pPr>
              <w:pStyle w:val="12"/>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0A9A02EE">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70FC5D06">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294D3BEB">
            <w:pPr>
              <w:pStyle w:val="12"/>
              <w:pageBreakBefore w:val="0"/>
              <w:wordWrap/>
              <w:bidi w:val="0"/>
              <w:adjustRightInd/>
              <w:snapToGrid/>
              <w:rPr>
                <w:color w:val="auto"/>
              </w:rPr>
            </w:pPr>
          </w:p>
        </w:tc>
      </w:tr>
      <w:tr w14:paraId="3ED8A4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922E57E">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3837DC59">
            <w:pPr>
              <w:pStyle w:val="12"/>
              <w:pageBreakBefore w:val="0"/>
              <w:wordWrap/>
              <w:bidi w:val="0"/>
              <w:adjustRightInd/>
              <w:snapToGrid/>
              <w:rPr>
                <w:color w:val="auto"/>
              </w:rPr>
            </w:pPr>
            <w:r>
              <w:rPr>
                <w:color w:val="auto"/>
              </w:rPr>
              <w:t>双法兰传力伸缩接头</w:t>
            </w:r>
          </w:p>
        </w:tc>
        <w:tc>
          <w:tcPr>
            <w:tcW w:w="1532" w:type="pct"/>
            <w:tcBorders>
              <w:tl2br w:val="nil"/>
              <w:tr2bl w:val="nil"/>
            </w:tcBorders>
            <w:noWrap w:val="0"/>
            <w:vAlign w:val="center"/>
          </w:tcPr>
          <w:p w14:paraId="632E5DDC">
            <w:pPr>
              <w:pStyle w:val="12"/>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3A144C84">
            <w:pPr>
              <w:pStyle w:val="12"/>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70EA9519">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5982AAC">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4CCA958F">
            <w:pPr>
              <w:pStyle w:val="12"/>
              <w:pageBreakBefore w:val="0"/>
              <w:wordWrap/>
              <w:bidi w:val="0"/>
              <w:adjustRightInd/>
              <w:snapToGrid/>
              <w:rPr>
                <w:color w:val="auto"/>
              </w:rPr>
            </w:pPr>
          </w:p>
        </w:tc>
      </w:tr>
      <w:tr w14:paraId="26C290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B5E0A39">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5F662012">
            <w:pPr>
              <w:pStyle w:val="12"/>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5DC80385">
            <w:pPr>
              <w:pStyle w:val="12"/>
              <w:pageBreakBefore w:val="0"/>
              <w:wordWrap/>
              <w:bidi w:val="0"/>
              <w:adjustRightInd/>
              <w:snapToGrid/>
              <w:rPr>
                <w:color w:val="auto"/>
              </w:rPr>
            </w:pPr>
            <w:r>
              <w:rPr>
                <w:color w:val="auto"/>
              </w:rPr>
              <w:t>量程0</w:t>
            </w:r>
            <w:r>
              <w:rPr>
                <w:rFonts w:hint="eastAsia"/>
                <w:color w:val="auto"/>
                <w:lang w:eastAsia="zh-CN"/>
              </w:rPr>
              <w:t>~</w:t>
            </w:r>
            <w:r>
              <w:rPr>
                <w:color w:val="auto"/>
              </w:rPr>
              <w:t>5m</w:t>
            </w:r>
          </w:p>
        </w:tc>
        <w:tc>
          <w:tcPr>
            <w:tcW w:w="612" w:type="pct"/>
            <w:tcBorders>
              <w:tl2br w:val="nil"/>
              <w:tr2bl w:val="nil"/>
            </w:tcBorders>
            <w:noWrap w:val="0"/>
            <w:vAlign w:val="center"/>
          </w:tcPr>
          <w:p w14:paraId="73E5551F">
            <w:pPr>
              <w:pStyle w:val="12"/>
              <w:pageBreakBefore w:val="0"/>
              <w:wordWrap/>
              <w:bidi w:val="0"/>
              <w:adjustRightInd/>
              <w:snapToGrid/>
              <w:rPr>
                <w:color w:val="auto"/>
              </w:rPr>
            </w:pPr>
          </w:p>
        </w:tc>
        <w:tc>
          <w:tcPr>
            <w:tcW w:w="279" w:type="pct"/>
            <w:tcBorders>
              <w:tl2br w:val="nil"/>
              <w:tr2bl w:val="nil"/>
            </w:tcBorders>
            <w:noWrap w:val="0"/>
            <w:vAlign w:val="center"/>
          </w:tcPr>
          <w:p w14:paraId="4AF819B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EDC64D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62409EE">
            <w:pPr>
              <w:pStyle w:val="12"/>
              <w:pageBreakBefore w:val="0"/>
              <w:wordWrap/>
              <w:bidi w:val="0"/>
              <w:adjustRightInd/>
              <w:snapToGrid/>
              <w:rPr>
                <w:color w:val="auto"/>
              </w:rPr>
            </w:pPr>
            <w:r>
              <w:rPr>
                <w:color w:val="auto"/>
              </w:rPr>
              <w:t>计入自控</w:t>
            </w:r>
          </w:p>
        </w:tc>
      </w:tr>
      <w:tr w14:paraId="1CEC60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4FFB3B08">
            <w:pPr>
              <w:pStyle w:val="12"/>
              <w:pageBreakBefore w:val="0"/>
              <w:wordWrap/>
              <w:bidi w:val="0"/>
              <w:adjustRightInd/>
              <w:snapToGrid/>
              <w:jc w:val="left"/>
              <w:rPr>
                <w:color w:val="auto"/>
              </w:rPr>
            </w:pPr>
            <w:r>
              <w:rPr>
                <w:rFonts w:hint="eastAsia"/>
                <w:b/>
                <w:bCs/>
                <w:color w:val="auto"/>
                <w:lang w:eastAsia="zh-CN"/>
              </w:rPr>
              <w:t>污泥池</w:t>
            </w:r>
            <w:r>
              <w:rPr>
                <w:b/>
                <w:bCs/>
                <w:color w:val="auto"/>
              </w:rPr>
              <w:t>主要设备表</w:t>
            </w:r>
          </w:p>
        </w:tc>
      </w:tr>
      <w:tr w14:paraId="3C538A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C5AE91E">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1B8FB4BF">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7C04D341">
            <w:pPr>
              <w:pStyle w:val="12"/>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1F89579D">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360FAFCB">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152A7D8E">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D23F85E">
            <w:pPr>
              <w:pStyle w:val="12"/>
              <w:pageBreakBefore w:val="0"/>
              <w:wordWrap/>
              <w:bidi w:val="0"/>
              <w:adjustRightInd/>
              <w:snapToGrid/>
              <w:rPr>
                <w:b/>
                <w:bCs/>
                <w:color w:val="auto"/>
              </w:rPr>
            </w:pPr>
            <w:r>
              <w:rPr>
                <w:b/>
                <w:bCs/>
                <w:color w:val="auto"/>
              </w:rPr>
              <w:t>备注</w:t>
            </w:r>
          </w:p>
        </w:tc>
      </w:tr>
      <w:tr w14:paraId="7D4998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8E5742D">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4F41A22D">
            <w:pPr>
              <w:pStyle w:val="12"/>
              <w:pageBreakBefore w:val="0"/>
              <w:wordWrap/>
              <w:bidi w:val="0"/>
              <w:adjustRightInd/>
              <w:snapToGrid/>
              <w:rPr>
                <w:color w:val="auto"/>
              </w:rPr>
            </w:pPr>
            <w:r>
              <w:rPr>
                <w:color w:val="auto"/>
              </w:rPr>
              <w:t>水下搅拌器</w:t>
            </w:r>
          </w:p>
        </w:tc>
        <w:tc>
          <w:tcPr>
            <w:tcW w:w="1532" w:type="pct"/>
            <w:tcBorders>
              <w:tl2br w:val="nil"/>
              <w:tr2bl w:val="nil"/>
            </w:tcBorders>
            <w:noWrap w:val="0"/>
            <w:vAlign w:val="center"/>
          </w:tcPr>
          <w:p w14:paraId="7604C65A">
            <w:pPr>
              <w:pStyle w:val="12"/>
              <w:pageBreakBefore w:val="0"/>
              <w:wordWrap/>
              <w:bidi w:val="0"/>
              <w:adjustRightInd/>
              <w:snapToGrid/>
              <w:rPr>
                <w:color w:val="auto"/>
              </w:rPr>
            </w:pPr>
            <w:r>
              <w:rPr>
                <w:color w:val="auto"/>
              </w:rPr>
              <w:t>φ210</w:t>
            </w:r>
            <w:r>
              <w:rPr>
                <w:rFonts w:hint="eastAsia"/>
                <w:color w:val="auto"/>
                <w:lang w:eastAsia="zh-CN"/>
              </w:rPr>
              <w:t>，</w:t>
            </w:r>
            <w:r>
              <w:rPr>
                <w:color w:val="auto"/>
              </w:rPr>
              <w:t>n=1370rpm</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3FF4521D">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056613B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B68FE62">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58560A2">
            <w:pPr>
              <w:pStyle w:val="12"/>
              <w:pageBreakBefore w:val="0"/>
              <w:wordWrap/>
              <w:bidi w:val="0"/>
              <w:adjustRightInd/>
              <w:snapToGrid/>
              <w:rPr>
                <w:color w:val="auto"/>
              </w:rPr>
            </w:pPr>
            <w:r>
              <w:rPr>
                <w:color w:val="auto"/>
              </w:rPr>
              <w:t>带起吊装置</w:t>
            </w:r>
          </w:p>
        </w:tc>
      </w:tr>
      <w:tr w14:paraId="1F0FDC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8E8E580">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121B7E75">
            <w:pPr>
              <w:pStyle w:val="12"/>
              <w:pageBreakBefore w:val="0"/>
              <w:wordWrap/>
              <w:bidi w:val="0"/>
              <w:adjustRightInd/>
              <w:snapToGrid/>
              <w:rPr>
                <w:color w:val="auto"/>
              </w:rPr>
            </w:pPr>
            <w:r>
              <w:rPr>
                <w:color w:val="auto"/>
              </w:rPr>
              <w:t>附壁式方闸门</w:t>
            </w:r>
          </w:p>
        </w:tc>
        <w:tc>
          <w:tcPr>
            <w:tcW w:w="1532" w:type="pct"/>
            <w:tcBorders>
              <w:tl2br w:val="nil"/>
              <w:tr2bl w:val="nil"/>
            </w:tcBorders>
            <w:noWrap w:val="0"/>
            <w:vAlign w:val="center"/>
          </w:tcPr>
          <w:p w14:paraId="55935812">
            <w:pPr>
              <w:pStyle w:val="12"/>
              <w:pageBreakBefore w:val="0"/>
              <w:wordWrap/>
              <w:bidi w:val="0"/>
              <w:adjustRightInd/>
              <w:snapToGrid/>
              <w:rPr>
                <w:color w:val="auto"/>
              </w:rPr>
            </w:pPr>
            <w:r>
              <w:rPr>
                <w:color w:val="auto"/>
              </w:rPr>
              <w:t>B×H=500×500</w:t>
            </w:r>
            <w:r>
              <w:rPr>
                <w:rFonts w:hint="eastAsia"/>
                <w:color w:val="auto"/>
                <w:lang w:eastAsia="zh-CN"/>
              </w:rPr>
              <w:t>，</w:t>
            </w:r>
            <w:r>
              <w:rPr>
                <w:color w:val="auto"/>
              </w:rPr>
              <w:t>H中心=3.65m</w:t>
            </w:r>
          </w:p>
        </w:tc>
        <w:tc>
          <w:tcPr>
            <w:tcW w:w="612" w:type="pct"/>
            <w:tcBorders>
              <w:tl2br w:val="nil"/>
              <w:tr2bl w:val="nil"/>
            </w:tcBorders>
            <w:noWrap w:val="0"/>
            <w:vAlign w:val="center"/>
          </w:tcPr>
          <w:p w14:paraId="3D419ADF">
            <w:pPr>
              <w:pStyle w:val="12"/>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18BEF1F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D5D330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1432930">
            <w:pPr>
              <w:pStyle w:val="12"/>
              <w:pageBreakBefore w:val="0"/>
              <w:wordWrap/>
              <w:bidi w:val="0"/>
              <w:adjustRightInd/>
              <w:snapToGrid/>
              <w:rPr>
                <w:color w:val="auto"/>
              </w:rPr>
            </w:pPr>
            <w:r>
              <w:rPr>
                <w:color w:val="auto"/>
              </w:rPr>
              <w:t>配套手动启闭机</w:t>
            </w:r>
          </w:p>
        </w:tc>
      </w:tr>
      <w:tr w14:paraId="2C6496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4EC9926">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62348A0B">
            <w:pPr>
              <w:pStyle w:val="12"/>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4997136C">
            <w:pPr>
              <w:pStyle w:val="12"/>
              <w:pageBreakBefore w:val="0"/>
              <w:wordWrap/>
              <w:bidi w:val="0"/>
              <w:adjustRightInd/>
              <w:snapToGrid/>
              <w:rPr>
                <w:color w:val="auto"/>
              </w:rPr>
            </w:pPr>
            <w:r>
              <w:rPr>
                <w:color w:val="auto"/>
              </w:rPr>
              <w:t>DN200</w:t>
            </w:r>
            <w:r>
              <w:rPr>
                <w:rFonts w:hint="eastAsia"/>
                <w:color w:val="auto"/>
                <w:lang w:eastAsia="zh-CN"/>
              </w:rPr>
              <w:t>，</w:t>
            </w:r>
            <w:r>
              <w:rPr>
                <w:color w:val="auto"/>
              </w:rPr>
              <w:t>PN=0.6MPa</w:t>
            </w:r>
          </w:p>
        </w:tc>
        <w:tc>
          <w:tcPr>
            <w:tcW w:w="612" w:type="pct"/>
            <w:tcBorders>
              <w:tl2br w:val="nil"/>
              <w:tr2bl w:val="nil"/>
            </w:tcBorders>
            <w:noWrap w:val="0"/>
            <w:vAlign w:val="center"/>
          </w:tcPr>
          <w:p w14:paraId="73085753">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1C9436E0">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DF959EE">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8B2A607">
            <w:pPr>
              <w:pStyle w:val="12"/>
              <w:pageBreakBefore w:val="0"/>
              <w:wordWrap/>
              <w:bidi w:val="0"/>
              <w:adjustRightInd/>
              <w:snapToGrid/>
              <w:rPr>
                <w:color w:val="auto"/>
              </w:rPr>
            </w:pPr>
          </w:p>
        </w:tc>
      </w:tr>
      <w:tr w14:paraId="6D44A6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FCF81FC">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180BB5EE">
            <w:pPr>
              <w:pStyle w:val="12"/>
              <w:pageBreakBefore w:val="0"/>
              <w:wordWrap/>
              <w:bidi w:val="0"/>
              <w:adjustRightInd/>
              <w:snapToGrid/>
              <w:rPr>
                <w:color w:val="auto"/>
              </w:rPr>
            </w:pPr>
            <w:r>
              <w:rPr>
                <w:color w:val="auto"/>
              </w:rPr>
              <w:t>橡胶柔性接头</w:t>
            </w:r>
          </w:p>
        </w:tc>
        <w:tc>
          <w:tcPr>
            <w:tcW w:w="1532" w:type="pct"/>
            <w:tcBorders>
              <w:tl2br w:val="nil"/>
              <w:tr2bl w:val="nil"/>
            </w:tcBorders>
            <w:noWrap w:val="0"/>
            <w:vAlign w:val="center"/>
          </w:tcPr>
          <w:p w14:paraId="2A714998">
            <w:pPr>
              <w:pStyle w:val="12"/>
              <w:pageBreakBefore w:val="0"/>
              <w:wordWrap/>
              <w:bidi w:val="0"/>
              <w:adjustRightInd/>
              <w:snapToGrid/>
              <w:rPr>
                <w:color w:val="auto"/>
              </w:rPr>
            </w:pPr>
            <w:r>
              <w:rPr>
                <w:color w:val="auto"/>
              </w:rPr>
              <w:t>DN200</w:t>
            </w:r>
            <w:r>
              <w:rPr>
                <w:rFonts w:hint="eastAsia"/>
                <w:color w:val="auto"/>
                <w:lang w:eastAsia="zh-CN"/>
              </w:rPr>
              <w:t>，</w:t>
            </w:r>
            <w:r>
              <w:rPr>
                <w:color w:val="auto"/>
              </w:rPr>
              <w:t>PN=0.6MPa</w:t>
            </w:r>
          </w:p>
        </w:tc>
        <w:tc>
          <w:tcPr>
            <w:tcW w:w="612" w:type="pct"/>
            <w:tcBorders>
              <w:tl2br w:val="nil"/>
              <w:tr2bl w:val="nil"/>
            </w:tcBorders>
            <w:noWrap w:val="0"/>
            <w:vAlign w:val="center"/>
          </w:tcPr>
          <w:p w14:paraId="301C1559">
            <w:pPr>
              <w:pStyle w:val="12"/>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7F7D9A75">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1FD84C3">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343EC853">
            <w:pPr>
              <w:pStyle w:val="12"/>
              <w:pageBreakBefore w:val="0"/>
              <w:wordWrap/>
              <w:bidi w:val="0"/>
              <w:adjustRightInd/>
              <w:snapToGrid/>
              <w:rPr>
                <w:color w:val="auto"/>
              </w:rPr>
            </w:pPr>
          </w:p>
        </w:tc>
      </w:tr>
      <w:tr w14:paraId="4CE62D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966319">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2E29AD4">
            <w:pPr>
              <w:pStyle w:val="12"/>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5BD36FDC">
            <w:pPr>
              <w:pStyle w:val="12"/>
              <w:pageBreakBefore w:val="0"/>
              <w:wordWrap/>
              <w:bidi w:val="0"/>
              <w:adjustRightInd/>
              <w:snapToGrid/>
              <w:rPr>
                <w:color w:val="auto"/>
              </w:rPr>
            </w:pPr>
            <w:r>
              <w:rPr>
                <w:color w:val="auto"/>
              </w:rPr>
              <w:t>量程0-5m</w:t>
            </w:r>
          </w:p>
        </w:tc>
        <w:tc>
          <w:tcPr>
            <w:tcW w:w="612" w:type="pct"/>
            <w:tcBorders>
              <w:tl2br w:val="nil"/>
              <w:tr2bl w:val="nil"/>
            </w:tcBorders>
            <w:noWrap w:val="0"/>
            <w:vAlign w:val="center"/>
          </w:tcPr>
          <w:p w14:paraId="039D632D">
            <w:pPr>
              <w:pStyle w:val="12"/>
              <w:pageBreakBefore w:val="0"/>
              <w:wordWrap/>
              <w:bidi w:val="0"/>
              <w:adjustRightInd/>
              <w:snapToGrid/>
              <w:rPr>
                <w:color w:val="auto"/>
              </w:rPr>
            </w:pPr>
          </w:p>
        </w:tc>
        <w:tc>
          <w:tcPr>
            <w:tcW w:w="279" w:type="pct"/>
            <w:tcBorders>
              <w:tl2br w:val="nil"/>
              <w:tr2bl w:val="nil"/>
            </w:tcBorders>
            <w:noWrap w:val="0"/>
            <w:vAlign w:val="center"/>
          </w:tcPr>
          <w:p w14:paraId="14D9A096">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7275E0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1994825">
            <w:pPr>
              <w:pStyle w:val="12"/>
              <w:pageBreakBefore w:val="0"/>
              <w:wordWrap/>
              <w:bidi w:val="0"/>
              <w:adjustRightInd/>
              <w:snapToGrid/>
              <w:rPr>
                <w:color w:val="auto"/>
              </w:rPr>
            </w:pPr>
            <w:r>
              <w:rPr>
                <w:color w:val="auto"/>
              </w:rPr>
              <w:t>计入自控</w:t>
            </w:r>
          </w:p>
        </w:tc>
      </w:tr>
      <w:tr w14:paraId="4019E14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4229ABB">
            <w:pPr>
              <w:pStyle w:val="12"/>
              <w:pageBreakBefore w:val="0"/>
              <w:wordWrap/>
              <w:bidi w:val="0"/>
              <w:adjustRightInd/>
              <w:snapToGrid/>
              <w:jc w:val="left"/>
              <w:rPr>
                <w:color w:val="auto"/>
              </w:rPr>
            </w:pPr>
            <w:r>
              <w:rPr>
                <w:b/>
                <w:bCs/>
                <w:color w:val="auto"/>
              </w:rPr>
              <w:t>除臭系统主要设备清单</w:t>
            </w:r>
          </w:p>
        </w:tc>
      </w:tr>
      <w:tr w14:paraId="0E75E91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7B3C58B">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5F9274D0">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6AC2F48A">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1D65FF62">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7FE521B9">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1F019C8D">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2B76FFED">
            <w:pPr>
              <w:pStyle w:val="12"/>
              <w:pageBreakBefore w:val="0"/>
              <w:wordWrap/>
              <w:bidi w:val="0"/>
              <w:adjustRightInd/>
              <w:snapToGrid/>
              <w:rPr>
                <w:b/>
                <w:bCs/>
                <w:color w:val="auto"/>
              </w:rPr>
            </w:pPr>
            <w:r>
              <w:rPr>
                <w:b/>
                <w:bCs/>
                <w:color w:val="auto"/>
              </w:rPr>
              <w:t>备注</w:t>
            </w:r>
          </w:p>
        </w:tc>
      </w:tr>
      <w:tr w14:paraId="7EA6567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3DBD612D">
            <w:pPr>
              <w:pStyle w:val="12"/>
              <w:pageBreakBefore w:val="0"/>
              <w:wordWrap/>
              <w:bidi w:val="0"/>
              <w:adjustRightInd/>
              <w:snapToGrid/>
              <w:jc w:val="left"/>
              <w:rPr>
                <w:color w:val="auto"/>
              </w:rPr>
            </w:pPr>
            <w:r>
              <w:rPr>
                <w:b/>
                <w:bCs/>
                <w:color w:val="auto"/>
              </w:rPr>
              <w:t>洗涤净化塔</w:t>
            </w:r>
          </w:p>
        </w:tc>
      </w:tr>
      <w:tr w14:paraId="5A7BDB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A8366B3">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BACF6D5">
            <w:pPr>
              <w:pStyle w:val="12"/>
              <w:pageBreakBefore w:val="0"/>
              <w:wordWrap/>
              <w:bidi w:val="0"/>
              <w:adjustRightInd/>
              <w:snapToGrid/>
              <w:rPr>
                <w:color w:val="auto"/>
              </w:rPr>
            </w:pPr>
            <w:r>
              <w:rPr>
                <w:color w:val="auto"/>
              </w:rPr>
              <w:t>酸液洗涤塔</w:t>
            </w:r>
          </w:p>
        </w:tc>
        <w:tc>
          <w:tcPr>
            <w:tcW w:w="1532" w:type="pct"/>
            <w:tcBorders>
              <w:tl2br w:val="nil"/>
              <w:tr2bl w:val="nil"/>
            </w:tcBorders>
            <w:noWrap w:val="0"/>
            <w:vAlign w:val="center"/>
          </w:tcPr>
          <w:p w14:paraId="6C24F6DB">
            <w:pPr>
              <w:pStyle w:val="12"/>
              <w:pageBreakBefore w:val="0"/>
              <w:wordWrap/>
              <w:bidi w:val="0"/>
              <w:adjustRightInd/>
              <w:snapToGrid/>
              <w:rPr>
                <w:color w:val="auto"/>
              </w:rPr>
            </w:pPr>
            <w:r>
              <w:rPr>
                <w:color w:val="auto"/>
              </w:rPr>
              <w:t>φ2.5×7.0m</w:t>
            </w:r>
          </w:p>
        </w:tc>
        <w:tc>
          <w:tcPr>
            <w:tcW w:w="612" w:type="pct"/>
            <w:tcBorders>
              <w:tl2br w:val="nil"/>
              <w:tr2bl w:val="nil"/>
            </w:tcBorders>
            <w:noWrap w:val="0"/>
            <w:vAlign w:val="center"/>
          </w:tcPr>
          <w:p w14:paraId="2C5478D7">
            <w:pPr>
              <w:pStyle w:val="12"/>
              <w:pageBreakBefore w:val="0"/>
              <w:wordWrap/>
              <w:bidi w:val="0"/>
              <w:adjustRightInd/>
              <w:snapToGrid/>
              <w:rPr>
                <w:color w:val="auto"/>
              </w:rPr>
            </w:pPr>
            <w:r>
              <w:rPr>
                <w:color w:val="auto"/>
              </w:rPr>
              <w:t>玻璃钢</w:t>
            </w:r>
            <w:r>
              <w:rPr>
                <w:rFonts w:hint="eastAsia"/>
                <w:color w:val="auto"/>
                <w:lang w:eastAsia="zh-CN"/>
              </w:rPr>
              <w:t>，</w:t>
            </w:r>
            <w:r>
              <w:rPr>
                <w:color w:val="auto"/>
              </w:rPr>
              <w:t>10mm厚</w:t>
            </w:r>
          </w:p>
        </w:tc>
        <w:tc>
          <w:tcPr>
            <w:tcW w:w="279" w:type="pct"/>
            <w:tcBorders>
              <w:tl2br w:val="nil"/>
              <w:tr2bl w:val="nil"/>
            </w:tcBorders>
            <w:noWrap w:val="0"/>
            <w:vAlign w:val="center"/>
          </w:tcPr>
          <w:p w14:paraId="020DE40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232F681">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6B8FD4E">
            <w:pPr>
              <w:pStyle w:val="12"/>
              <w:pageBreakBefore w:val="0"/>
              <w:wordWrap/>
              <w:bidi w:val="0"/>
              <w:adjustRightInd/>
              <w:snapToGrid/>
              <w:rPr>
                <w:color w:val="auto"/>
              </w:rPr>
            </w:pPr>
          </w:p>
        </w:tc>
      </w:tr>
      <w:tr w14:paraId="2FD016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157C04F">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55F835D9">
            <w:pPr>
              <w:pStyle w:val="12"/>
              <w:pageBreakBefore w:val="0"/>
              <w:wordWrap/>
              <w:bidi w:val="0"/>
              <w:adjustRightInd/>
              <w:snapToGrid/>
              <w:rPr>
                <w:color w:val="auto"/>
              </w:rPr>
            </w:pPr>
            <w:r>
              <w:rPr>
                <w:color w:val="auto"/>
              </w:rPr>
              <w:t>碱液洗涤塔</w:t>
            </w:r>
          </w:p>
        </w:tc>
        <w:tc>
          <w:tcPr>
            <w:tcW w:w="1532" w:type="pct"/>
            <w:tcBorders>
              <w:tl2br w:val="nil"/>
              <w:tr2bl w:val="nil"/>
            </w:tcBorders>
            <w:noWrap w:val="0"/>
            <w:vAlign w:val="center"/>
          </w:tcPr>
          <w:p w14:paraId="675308BE">
            <w:pPr>
              <w:pStyle w:val="12"/>
              <w:pageBreakBefore w:val="0"/>
              <w:wordWrap/>
              <w:bidi w:val="0"/>
              <w:adjustRightInd/>
              <w:snapToGrid/>
              <w:rPr>
                <w:color w:val="auto"/>
              </w:rPr>
            </w:pPr>
            <w:r>
              <w:rPr>
                <w:color w:val="auto"/>
              </w:rPr>
              <w:t>φ2.5×7.0m</w:t>
            </w:r>
          </w:p>
        </w:tc>
        <w:tc>
          <w:tcPr>
            <w:tcW w:w="612" w:type="pct"/>
            <w:tcBorders>
              <w:tl2br w:val="nil"/>
              <w:tr2bl w:val="nil"/>
            </w:tcBorders>
            <w:noWrap w:val="0"/>
            <w:vAlign w:val="center"/>
          </w:tcPr>
          <w:p w14:paraId="558C1798">
            <w:pPr>
              <w:pStyle w:val="12"/>
              <w:pageBreakBefore w:val="0"/>
              <w:wordWrap/>
              <w:bidi w:val="0"/>
              <w:adjustRightInd/>
              <w:snapToGrid/>
              <w:rPr>
                <w:color w:val="auto"/>
              </w:rPr>
            </w:pPr>
            <w:r>
              <w:rPr>
                <w:color w:val="auto"/>
              </w:rPr>
              <w:t>玻璃钢</w:t>
            </w:r>
            <w:r>
              <w:rPr>
                <w:rFonts w:hint="eastAsia"/>
                <w:color w:val="auto"/>
                <w:lang w:eastAsia="zh-CN"/>
              </w:rPr>
              <w:t>，</w:t>
            </w:r>
            <w:r>
              <w:rPr>
                <w:color w:val="auto"/>
              </w:rPr>
              <w:t>10mm厚</w:t>
            </w:r>
          </w:p>
        </w:tc>
        <w:tc>
          <w:tcPr>
            <w:tcW w:w="279" w:type="pct"/>
            <w:tcBorders>
              <w:tl2br w:val="nil"/>
              <w:tr2bl w:val="nil"/>
            </w:tcBorders>
            <w:noWrap w:val="0"/>
            <w:vAlign w:val="center"/>
          </w:tcPr>
          <w:p w14:paraId="48706C8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73918B1">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A8E89E5">
            <w:pPr>
              <w:pStyle w:val="12"/>
              <w:pageBreakBefore w:val="0"/>
              <w:wordWrap/>
              <w:bidi w:val="0"/>
              <w:adjustRightInd/>
              <w:snapToGrid/>
              <w:rPr>
                <w:color w:val="auto"/>
              </w:rPr>
            </w:pPr>
          </w:p>
        </w:tc>
      </w:tr>
      <w:tr w14:paraId="1E6802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B545035">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78EFF8F6">
            <w:pPr>
              <w:pStyle w:val="12"/>
              <w:pageBreakBefore w:val="0"/>
              <w:wordWrap/>
              <w:bidi w:val="0"/>
              <w:adjustRightInd/>
              <w:snapToGrid/>
              <w:rPr>
                <w:color w:val="auto"/>
              </w:rPr>
            </w:pPr>
            <w:r>
              <w:rPr>
                <w:color w:val="auto"/>
              </w:rPr>
              <w:t>循环泵</w:t>
            </w:r>
          </w:p>
        </w:tc>
        <w:tc>
          <w:tcPr>
            <w:tcW w:w="1532" w:type="pct"/>
            <w:tcBorders>
              <w:tl2br w:val="nil"/>
              <w:tr2bl w:val="nil"/>
            </w:tcBorders>
            <w:noWrap w:val="0"/>
            <w:vAlign w:val="center"/>
          </w:tcPr>
          <w:p w14:paraId="304294E3">
            <w:pPr>
              <w:pStyle w:val="12"/>
              <w:pageBreakBefore w:val="0"/>
              <w:wordWrap/>
              <w:bidi w:val="0"/>
              <w:adjustRightInd/>
              <w:snapToGrid/>
              <w:rPr>
                <w:color w:val="auto"/>
              </w:rPr>
            </w:pPr>
            <w:r>
              <w:rPr>
                <w:color w:val="auto"/>
              </w:rPr>
              <w:t>流量</w:t>
            </w:r>
            <w:r>
              <w:rPr>
                <w:rFonts w:hint="eastAsia"/>
                <w:color w:val="auto"/>
                <w:lang w:eastAsia="zh-CN"/>
              </w:rPr>
              <w:t>：</w:t>
            </w:r>
            <w:r>
              <w:rPr>
                <w:color w:val="auto"/>
              </w:rPr>
              <w:t>550L/min</w:t>
            </w:r>
            <w:r>
              <w:rPr>
                <w:rFonts w:hint="eastAsia"/>
                <w:color w:val="auto"/>
                <w:lang w:eastAsia="zh-CN"/>
              </w:rPr>
              <w:t>；</w:t>
            </w:r>
            <w:r>
              <w:rPr>
                <w:color w:val="auto"/>
              </w:rPr>
              <w:t>全扬程</w:t>
            </w:r>
            <w:r>
              <w:rPr>
                <w:rFonts w:hint="eastAsia"/>
                <w:color w:val="auto"/>
                <w:lang w:eastAsia="zh-CN"/>
              </w:rPr>
              <w:t>：</w:t>
            </w:r>
            <w:r>
              <w:rPr>
                <w:color w:val="auto"/>
              </w:rPr>
              <w:t>29m</w:t>
            </w:r>
            <w:r>
              <w:rPr>
                <w:rFonts w:hint="eastAsia"/>
                <w:color w:val="auto"/>
                <w:lang w:eastAsia="zh-CN"/>
              </w:rPr>
              <w:t>；</w:t>
            </w:r>
            <w:r>
              <w:rPr>
                <w:color w:val="auto"/>
              </w:rPr>
              <w:t>功率</w:t>
            </w:r>
            <w:r>
              <w:rPr>
                <w:rFonts w:hint="eastAsia"/>
                <w:color w:val="auto"/>
                <w:lang w:eastAsia="zh-CN"/>
              </w:rPr>
              <w:t>：</w:t>
            </w:r>
            <w:r>
              <w:rPr>
                <w:color w:val="auto"/>
              </w:rPr>
              <w:t>3kW</w:t>
            </w:r>
          </w:p>
        </w:tc>
        <w:tc>
          <w:tcPr>
            <w:tcW w:w="612" w:type="pct"/>
            <w:tcBorders>
              <w:tl2br w:val="nil"/>
              <w:tr2bl w:val="nil"/>
            </w:tcBorders>
            <w:noWrap w:val="0"/>
            <w:vAlign w:val="center"/>
          </w:tcPr>
          <w:p w14:paraId="52B0DCB6">
            <w:pPr>
              <w:pStyle w:val="12"/>
              <w:pageBreakBefore w:val="0"/>
              <w:wordWrap/>
              <w:bidi w:val="0"/>
              <w:adjustRightInd/>
              <w:snapToGrid/>
              <w:rPr>
                <w:color w:val="auto"/>
              </w:rPr>
            </w:pPr>
            <w:r>
              <w:rPr>
                <w:color w:val="auto"/>
              </w:rPr>
              <w:t>FRPP</w:t>
            </w:r>
          </w:p>
        </w:tc>
        <w:tc>
          <w:tcPr>
            <w:tcW w:w="279" w:type="pct"/>
            <w:tcBorders>
              <w:tl2br w:val="nil"/>
              <w:tr2bl w:val="nil"/>
            </w:tcBorders>
            <w:noWrap w:val="0"/>
            <w:vAlign w:val="center"/>
          </w:tcPr>
          <w:p w14:paraId="0079ECF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61950CE">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7E3D8D0E">
            <w:pPr>
              <w:pStyle w:val="12"/>
              <w:pageBreakBefore w:val="0"/>
              <w:wordWrap/>
              <w:bidi w:val="0"/>
              <w:adjustRightInd/>
              <w:snapToGrid/>
              <w:rPr>
                <w:color w:val="auto"/>
              </w:rPr>
            </w:pPr>
            <w:r>
              <w:rPr>
                <w:color w:val="auto"/>
              </w:rPr>
              <w:t>2用2备</w:t>
            </w:r>
            <w:r>
              <w:rPr>
                <w:rFonts w:hint="eastAsia"/>
                <w:color w:val="auto"/>
                <w:lang w:eastAsia="zh-CN"/>
              </w:rPr>
              <w:t>，</w:t>
            </w:r>
            <w:r>
              <w:rPr>
                <w:color w:val="auto"/>
              </w:rPr>
              <w:t>立式泵</w:t>
            </w:r>
            <w:r>
              <w:rPr>
                <w:rFonts w:hint="eastAsia"/>
                <w:color w:val="auto"/>
                <w:lang w:eastAsia="zh-CN"/>
              </w:rPr>
              <w:t>，</w:t>
            </w:r>
            <w:r>
              <w:rPr>
                <w:color w:val="auto"/>
              </w:rPr>
              <w:t>含止回阀</w:t>
            </w:r>
          </w:p>
        </w:tc>
      </w:tr>
      <w:tr w14:paraId="54A8289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0C78F9">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5BBC9F4A">
            <w:pPr>
              <w:pStyle w:val="12"/>
              <w:pageBreakBefore w:val="0"/>
              <w:wordWrap/>
              <w:bidi w:val="0"/>
              <w:adjustRightInd/>
              <w:snapToGrid/>
              <w:rPr>
                <w:color w:val="auto"/>
              </w:rPr>
            </w:pPr>
            <w:r>
              <w:rPr>
                <w:color w:val="auto"/>
              </w:rPr>
              <w:t>加药泵</w:t>
            </w:r>
          </w:p>
        </w:tc>
        <w:tc>
          <w:tcPr>
            <w:tcW w:w="1532" w:type="pct"/>
            <w:tcBorders>
              <w:tl2br w:val="nil"/>
              <w:tr2bl w:val="nil"/>
            </w:tcBorders>
            <w:noWrap w:val="0"/>
            <w:vAlign w:val="center"/>
          </w:tcPr>
          <w:p w14:paraId="61A97B77">
            <w:pPr>
              <w:pStyle w:val="12"/>
              <w:pageBreakBefore w:val="0"/>
              <w:wordWrap/>
              <w:bidi w:val="0"/>
              <w:adjustRightInd/>
              <w:snapToGrid/>
              <w:rPr>
                <w:color w:val="auto"/>
              </w:rPr>
            </w:pPr>
            <w:r>
              <w:rPr>
                <w:color w:val="auto"/>
              </w:rPr>
              <w:t>流量</w:t>
            </w:r>
            <w:r>
              <w:rPr>
                <w:rFonts w:hint="eastAsia"/>
                <w:color w:val="auto"/>
                <w:lang w:eastAsia="zh-CN"/>
              </w:rPr>
              <w:t>：1</w:t>
            </w:r>
            <w:r>
              <w:rPr>
                <w:color w:val="auto"/>
              </w:rPr>
              <w:t>35L/min</w:t>
            </w:r>
            <w:r>
              <w:rPr>
                <w:rFonts w:hint="eastAsia"/>
                <w:color w:val="auto"/>
                <w:lang w:eastAsia="zh-CN"/>
              </w:rPr>
              <w:t>；</w:t>
            </w:r>
            <w:r>
              <w:rPr>
                <w:color w:val="auto"/>
              </w:rPr>
              <w:t>全扬程</w:t>
            </w:r>
            <w:r>
              <w:rPr>
                <w:rFonts w:hint="eastAsia"/>
                <w:color w:val="auto"/>
                <w:lang w:eastAsia="zh-CN"/>
              </w:rPr>
              <w:t>：</w:t>
            </w:r>
            <w:r>
              <w:rPr>
                <w:color w:val="auto"/>
              </w:rPr>
              <w:t>5m</w:t>
            </w:r>
            <w:r>
              <w:rPr>
                <w:rFonts w:hint="eastAsia"/>
                <w:color w:val="auto"/>
                <w:lang w:eastAsia="zh-CN"/>
              </w:rPr>
              <w:t>；</w:t>
            </w:r>
            <w:r>
              <w:rPr>
                <w:color w:val="auto"/>
              </w:rPr>
              <w:t>功</w:t>
            </w:r>
            <w:r>
              <w:rPr>
                <w:rFonts w:hint="eastAsia"/>
                <w:color w:val="auto"/>
                <w:lang w:eastAsia="zh-CN"/>
              </w:rPr>
              <w:t>率</w:t>
            </w:r>
            <w:r>
              <w:rPr>
                <w:color w:val="auto"/>
              </w:rPr>
              <w:t>400W</w:t>
            </w:r>
          </w:p>
        </w:tc>
        <w:tc>
          <w:tcPr>
            <w:tcW w:w="612" w:type="pct"/>
            <w:tcBorders>
              <w:tl2br w:val="nil"/>
              <w:tr2bl w:val="nil"/>
            </w:tcBorders>
            <w:noWrap w:val="0"/>
            <w:vAlign w:val="center"/>
          </w:tcPr>
          <w:p w14:paraId="2B8597DD">
            <w:pPr>
              <w:pStyle w:val="12"/>
              <w:pageBreakBefore w:val="0"/>
              <w:wordWrap/>
              <w:bidi w:val="0"/>
              <w:adjustRightInd/>
              <w:snapToGrid/>
              <w:rPr>
                <w:color w:val="auto"/>
              </w:rPr>
            </w:pPr>
            <w:r>
              <w:rPr>
                <w:color w:val="auto"/>
              </w:rPr>
              <w:t>PP</w:t>
            </w:r>
          </w:p>
        </w:tc>
        <w:tc>
          <w:tcPr>
            <w:tcW w:w="279" w:type="pct"/>
            <w:tcBorders>
              <w:tl2br w:val="nil"/>
              <w:tr2bl w:val="nil"/>
            </w:tcBorders>
            <w:noWrap w:val="0"/>
            <w:vAlign w:val="center"/>
          </w:tcPr>
          <w:p w14:paraId="15B3A0A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DA2C271">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B804D51">
            <w:pPr>
              <w:pStyle w:val="12"/>
              <w:pageBreakBefore w:val="0"/>
              <w:wordWrap/>
              <w:bidi w:val="0"/>
              <w:adjustRightInd/>
              <w:snapToGrid/>
              <w:rPr>
                <w:color w:val="auto"/>
              </w:rPr>
            </w:pPr>
          </w:p>
        </w:tc>
      </w:tr>
      <w:tr w14:paraId="0E34A9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9120686">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10D68D28">
            <w:pPr>
              <w:pStyle w:val="12"/>
              <w:pageBreakBefore w:val="0"/>
              <w:wordWrap/>
              <w:bidi w:val="0"/>
              <w:adjustRightInd/>
              <w:snapToGrid/>
              <w:rPr>
                <w:color w:val="auto"/>
              </w:rPr>
            </w:pPr>
            <w:r>
              <w:rPr>
                <w:color w:val="auto"/>
              </w:rPr>
              <w:t>PH在线监测仪</w:t>
            </w:r>
          </w:p>
        </w:tc>
        <w:tc>
          <w:tcPr>
            <w:tcW w:w="1532" w:type="pct"/>
            <w:tcBorders>
              <w:tl2br w:val="nil"/>
              <w:tr2bl w:val="nil"/>
            </w:tcBorders>
            <w:noWrap w:val="0"/>
            <w:vAlign w:val="center"/>
          </w:tcPr>
          <w:p w14:paraId="1FBC548A">
            <w:pPr>
              <w:pStyle w:val="12"/>
              <w:pageBreakBefore w:val="0"/>
              <w:wordWrap/>
              <w:bidi w:val="0"/>
              <w:adjustRightInd/>
              <w:snapToGrid/>
              <w:rPr>
                <w:color w:val="auto"/>
              </w:rPr>
            </w:pPr>
            <w:r>
              <w:rPr>
                <w:color w:val="auto"/>
              </w:rPr>
              <w:t>0-14</w:t>
            </w:r>
          </w:p>
        </w:tc>
        <w:tc>
          <w:tcPr>
            <w:tcW w:w="612" w:type="pct"/>
            <w:tcBorders>
              <w:tl2br w:val="nil"/>
              <w:tr2bl w:val="nil"/>
            </w:tcBorders>
            <w:noWrap w:val="0"/>
            <w:vAlign w:val="center"/>
          </w:tcPr>
          <w:p w14:paraId="7BC67BF9">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4FF659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63B591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3FB6AC9">
            <w:pPr>
              <w:pStyle w:val="12"/>
              <w:pageBreakBefore w:val="0"/>
              <w:wordWrap/>
              <w:bidi w:val="0"/>
              <w:adjustRightInd/>
              <w:snapToGrid/>
              <w:rPr>
                <w:color w:val="auto"/>
              </w:rPr>
            </w:pPr>
            <w:r>
              <w:rPr>
                <w:color w:val="auto"/>
              </w:rPr>
              <w:t>计入自控</w:t>
            </w:r>
          </w:p>
        </w:tc>
      </w:tr>
      <w:tr w14:paraId="069F6E5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4F55679F">
            <w:pPr>
              <w:pStyle w:val="12"/>
              <w:pageBreakBefore w:val="0"/>
              <w:wordWrap/>
              <w:bidi w:val="0"/>
              <w:adjustRightInd/>
              <w:snapToGrid/>
              <w:jc w:val="left"/>
              <w:rPr>
                <w:color w:val="auto"/>
              </w:rPr>
            </w:pPr>
            <w:r>
              <w:rPr>
                <w:b/>
                <w:bCs/>
                <w:color w:val="auto"/>
              </w:rPr>
              <w:t>生物滤池除臭系统主要设备</w:t>
            </w:r>
          </w:p>
        </w:tc>
      </w:tr>
      <w:tr w14:paraId="1746C9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B4C98A9">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41C56CF">
            <w:pPr>
              <w:pStyle w:val="12"/>
              <w:pageBreakBefore w:val="0"/>
              <w:wordWrap/>
              <w:bidi w:val="0"/>
              <w:adjustRightInd/>
              <w:snapToGrid/>
              <w:rPr>
                <w:color w:val="auto"/>
              </w:rPr>
            </w:pPr>
            <w:r>
              <w:rPr>
                <w:color w:val="auto"/>
              </w:rPr>
              <w:t>离心风机</w:t>
            </w:r>
          </w:p>
        </w:tc>
        <w:tc>
          <w:tcPr>
            <w:tcW w:w="1532" w:type="pct"/>
            <w:tcBorders>
              <w:tl2br w:val="nil"/>
              <w:tr2bl w:val="nil"/>
            </w:tcBorders>
            <w:noWrap w:val="0"/>
            <w:vAlign w:val="center"/>
          </w:tcPr>
          <w:p w14:paraId="3CEDBFA1">
            <w:pPr>
              <w:pStyle w:val="12"/>
              <w:pageBreakBefore w:val="0"/>
              <w:wordWrap/>
              <w:bidi w:val="0"/>
              <w:adjustRightInd/>
              <w:snapToGrid/>
              <w:rPr>
                <w:color w:val="auto"/>
              </w:rPr>
            </w:pPr>
            <w:r>
              <w:rPr>
                <w:color w:val="auto"/>
              </w:rPr>
              <w:t>Q=20000</w:t>
            </w:r>
            <w:r>
              <w:rPr>
                <w:rFonts w:hint="eastAsia"/>
                <w:color w:val="auto"/>
                <w:lang w:eastAsia="zh-CN"/>
              </w:rPr>
              <w:t>m³</w:t>
            </w:r>
            <w:r>
              <w:rPr>
                <w:color w:val="auto"/>
              </w:rPr>
              <w:t>/h</w:t>
            </w:r>
            <w:r>
              <w:rPr>
                <w:rFonts w:hint="eastAsia"/>
                <w:color w:val="auto"/>
                <w:lang w:eastAsia="zh-CN"/>
              </w:rPr>
              <w:t>，</w:t>
            </w:r>
            <w:r>
              <w:rPr>
                <w:color w:val="auto"/>
              </w:rPr>
              <w:t>P=3200PaN=30kW</w:t>
            </w:r>
          </w:p>
        </w:tc>
        <w:tc>
          <w:tcPr>
            <w:tcW w:w="612" w:type="pct"/>
            <w:tcBorders>
              <w:tl2br w:val="nil"/>
              <w:tr2bl w:val="nil"/>
            </w:tcBorders>
            <w:noWrap w:val="0"/>
            <w:vAlign w:val="center"/>
          </w:tcPr>
          <w:p w14:paraId="6DFF1293">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C8A1B3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E9EA50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221C157">
            <w:pPr>
              <w:pStyle w:val="12"/>
              <w:pageBreakBefore w:val="0"/>
              <w:wordWrap/>
              <w:bidi w:val="0"/>
              <w:adjustRightInd/>
              <w:snapToGrid/>
              <w:rPr>
                <w:color w:val="auto"/>
              </w:rPr>
            </w:pPr>
            <w:r>
              <w:rPr>
                <w:color w:val="auto"/>
              </w:rPr>
              <w:t>FRP</w:t>
            </w:r>
            <w:r>
              <w:rPr>
                <w:rFonts w:hint="eastAsia"/>
                <w:color w:val="auto"/>
                <w:lang w:eastAsia="zh-CN"/>
              </w:rPr>
              <w:t>，</w:t>
            </w:r>
            <w:r>
              <w:rPr>
                <w:color w:val="auto"/>
              </w:rPr>
              <w:t>含隔音罩</w:t>
            </w:r>
          </w:p>
        </w:tc>
      </w:tr>
      <w:tr w14:paraId="581D3FF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A3B79F8">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67B943D8">
            <w:pPr>
              <w:pStyle w:val="12"/>
              <w:pageBreakBefore w:val="0"/>
              <w:wordWrap/>
              <w:bidi w:val="0"/>
              <w:adjustRightInd/>
              <w:snapToGrid/>
              <w:rPr>
                <w:color w:val="auto"/>
              </w:rPr>
            </w:pPr>
            <w:r>
              <w:rPr>
                <w:color w:val="auto"/>
              </w:rPr>
              <w:t>控制柜</w:t>
            </w:r>
          </w:p>
        </w:tc>
        <w:tc>
          <w:tcPr>
            <w:tcW w:w="1532" w:type="pct"/>
            <w:tcBorders>
              <w:tl2br w:val="nil"/>
              <w:tr2bl w:val="nil"/>
            </w:tcBorders>
            <w:noWrap w:val="0"/>
            <w:vAlign w:val="center"/>
          </w:tcPr>
          <w:p w14:paraId="1AA35ED1">
            <w:pPr>
              <w:pStyle w:val="12"/>
              <w:pageBreakBefore w:val="0"/>
              <w:wordWrap/>
              <w:bidi w:val="0"/>
              <w:adjustRightInd/>
              <w:snapToGrid/>
              <w:rPr>
                <w:color w:val="auto"/>
              </w:rPr>
            </w:pPr>
            <w:r>
              <w:rPr>
                <w:color w:val="auto"/>
              </w:rPr>
              <w:t>0.8×0.5×</w:t>
            </w:r>
            <w:r>
              <w:rPr>
                <w:rFonts w:hint="eastAsia"/>
                <w:color w:val="auto"/>
                <w:lang w:eastAsia="zh-CN"/>
              </w:rPr>
              <w:t>1</w:t>
            </w:r>
            <w:r>
              <w:rPr>
                <w:color w:val="auto"/>
              </w:rPr>
              <w:t>.8m</w:t>
            </w:r>
          </w:p>
        </w:tc>
        <w:tc>
          <w:tcPr>
            <w:tcW w:w="612" w:type="pct"/>
            <w:tcBorders>
              <w:tl2br w:val="nil"/>
              <w:tr2bl w:val="nil"/>
            </w:tcBorders>
            <w:noWrap w:val="0"/>
            <w:vAlign w:val="center"/>
          </w:tcPr>
          <w:p w14:paraId="4B0B1150">
            <w:pPr>
              <w:pStyle w:val="12"/>
              <w:pageBreakBefore w:val="0"/>
              <w:wordWrap/>
              <w:bidi w:val="0"/>
              <w:adjustRightInd/>
              <w:snapToGrid/>
              <w:rPr>
                <w:color w:val="auto"/>
              </w:rPr>
            </w:pPr>
            <w:r>
              <w:rPr>
                <w:color w:val="auto"/>
              </w:rPr>
              <w:t>外壳不锈钢304</w:t>
            </w:r>
          </w:p>
        </w:tc>
        <w:tc>
          <w:tcPr>
            <w:tcW w:w="279" w:type="pct"/>
            <w:tcBorders>
              <w:tl2br w:val="nil"/>
              <w:tr2bl w:val="nil"/>
            </w:tcBorders>
            <w:noWrap w:val="0"/>
            <w:vAlign w:val="center"/>
          </w:tcPr>
          <w:p w14:paraId="71E4796A">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F5A9122">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4541CAB">
            <w:pPr>
              <w:pStyle w:val="12"/>
              <w:pageBreakBefore w:val="0"/>
              <w:wordWrap/>
              <w:bidi w:val="0"/>
              <w:adjustRightInd/>
              <w:snapToGrid/>
              <w:rPr>
                <w:color w:val="auto"/>
              </w:rPr>
            </w:pPr>
            <w:r>
              <w:rPr>
                <w:color w:val="auto"/>
              </w:rPr>
              <w:t>外壳不锈钢304</w:t>
            </w:r>
            <w:r>
              <w:rPr>
                <w:rFonts w:hint="eastAsia"/>
                <w:color w:val="auto"/>
                <w:lang w:eastAsia="zh-CN"/>
              </w:rPr>
              <w:t>，</w:t>
            </w:r>
            <w:r>
              <w:rPr>
                <w:color w:val="auto"/>
              </w:rPr>
              <w:t>含现场控制开关</w:t>
            </w:r>
          </w:p>
        </w:tc>
      </w:tr>
      <w:tr w14:paraId="5CECBA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7E019C">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5ED39606">
            <w:pPr>
              <w:pStyle w:val="12"/>
              <w:pageBreakBefore w:val="0"/>
              <w:wordWrap/>
              <w:bidi w:val="0"/>
              <w:adjustRightInd/>
              <w:snapToGrid/>
              <w:rPr>
                <w:color w:val="auto"/>
              </w:rPr>
            </w:pPr>
            <w:r>
              <w:rPr>
                <w:color w:val="auto"/>
              </w:rPr>
              <w:t>循环水箱</w:t>
            </w:r>
          </w:p>
        </w:tc>
        <w:tc>
          <w:tcPr>
            <w:tcW w:w="1532" w:type="pct"/>
            <w:tcBorders>
              <w:tl2br w:val="nil"/>
              <w:tr2bl w:val="nil"/>
            </w:tcBorders>
            <w:noWrap w:val="0"/>
            <w:vAlign w:val="center"/>
          </w:tcPr>
          <w:p w14:paraId="734ECDC2">
            <w:pPr>
              <w:pStyle w:val="12"/>
              <w:pageBreakBefore w:val="0"/>
              <w:wordWrap/>
              <w:bidi w:val="0"/>
              <w:adjustRightInd/>
              <w:snapToGrid/>
              <w:rPr>
                <w:color w:val="auto"/>
              </w:rPr>
            </w:pPr>
            <w:r>
              <w:rPr>
                <w:rFonts w:hint="eastAsia"/>
                <w:color w:val="auto"/>
                <w:lang w:eastAsia="zh-CN"/>
              </w:rPr>
              <w:t>1</w:t>
            </w:r>
            <w:r>
              <w:rPr>
                <w:color w:val="auto"/>
              </w:rPr>
              <w:t>.2×0.8×0.8m</w:t>
            </w:r>
          </w:p>
        </w:tc>
        <w:tc>
          <w:tcPr>
            <w:tcW w:w="612" w:type="pct"/>
            <w:tcBorders>
              <w:tl2br w:val="nil"/>
              <w:tr2bl w:val="nil"/>
            </w:tcBorders>
            <w:noWrap w:val="0"/>
            <w:vAlign w:val="center"/>
          </w:tcPr>
          <w:p w14:paraId="12E4C9B9">
            <w:pPr>
              <w:pStyle w:val="12"/>
              <w:pageBreakBefore w:val="0"/>
              <w:wordWrap/>
              <w:bidi w:val="0"/>
              <w:adjustRightInd/>
              <w:snapToGrid/>
              <w:rPr>
                <w:color w:val="auto"/>
              </w:rPr>
            </w:pPr>
            <w:r>
              <w:rPr>
                <w:color w:val="auto"/>
              </w:rPr>
              <w:t>FRP</w:t>
            </w:r>
          </w:p>
        </w:tc>
        <w:tc>
          <w:tcPr>
            <w:tcW w:w="279" w:type="pct"/>
            <w:tcBorders>
              <w:tl2br w:val="nil"/>
              <w:tr2bl w:val="nil"/>
            </w:tcBorders>
            <w:noWrap w:val="0"/>
            <w:vAlign w:val="center"/>
          </w:tcPr>
          <w:p w14:paraId="0C0A5B8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C664F1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94E45B2">
            <w:pPr>
              <w:pStyle w:val="12"/>
              <w:pageBreakBefore w:val="0"/>
              <w:wordWrap/>
              <w:bidi w:val="0"/>
              <w:adjustRightInd/>
              <w:snapToGrid/>
              <w:rPr>
                <w:color w:val="auto"/>
              </w:rPr>
            </w:pPr>
            <w:r>
              <w:rPr>
                <w:color w:val="auto"/>
              </w:rPr>
              <w:t>调节水箱</w:t>
            </w:r>
            <w:r>
              <w:rPr>
                <w:rFonts w:hint="eastAsia"/>
                <w:color w:val="auto"/>
                <w:lang w:eastAsia="zh-CN"/>
              </w:rPr>
              <w:t>，</w:t>
            </w:r>
            <w:r>
              <w:rPr>
                <w:color w:val="auto"/>
              </w:rPr>
              <w:t>10mm厚</w:t>
            </w:r>
          </w:p>
        </w:tc>
      </w:tr>
      <w:tr w14:paraId="3A7979D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9633AEF">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64378AA9">
            <w:pPr>
              <w:pStyle w:val="12"/>
              <w:pageBreakBefore w:val="0"/>
              <w:wordWrap/>
              <w:bidi w:val="0"/>
              <w:adjustRightInd/>
              <w:snapToGrid/>
              <w:rPr>
                <w:color w:val="auto"/>
              </w:rPr>
            </w:pPr>
            <w:r>
              <w:rPr>
                <w:color w:val="auto"/>
              </w:rPr>
              <w:t>循环水泵</w:t>
            </w:r>
          </w:p>
        </w:tc>
        <w:tc>
          <w:tcPr>
            <w:tcW w:w="1532" w:type="pct"/>
            <w:tcBorders>
              <w:tl2br w:val="nil"/>
              <w:tr2bl w:val="nil"/>
            </w:tcBorders>
            <w:noWrap w:val="0"/>
            <w:vAlign w:val="center"/>
          </w:tcPr>
          <w:p w14:paraId="4FDEDB27">
            <w:pPr>
              <w:pStyle w:val="12"/>
              <w:pageBreakBefore w:val="0"/>
              <w:wordWrap/>
              <w:bidi w:val="0"/>
              <w:adjustRightInd/>
              <w:snapToGrid/>
              <w:rPr>
                <w:color w:val="auto"/>
              </w:rPr>
            </w:pPr>
            <w:r>
              <w:rPr>
                <w:color w:val="auto"/>
              </w:rPr>
              <w:t>Q=550L/min</w:t>
            </w:r>
            <w:r>
              <w:rPr>
                <w:rFonts w:hint="eastAsia"/>
                <w:color w:val="auto"/>
                <w:lang w:eastAsia="zh-CN"/>
              </w:rPr>
              <w:t>；</w:t>
            </w:r>
            <w:r>
              <w:rPr>
                <w:color w:val="auto"/>
              </w:rPr>
              <w:t>H=29m</w:t>
            </w:r>
            <w:r>
              <w:rPr>
                <w:rFonts w:hint="eastAsia"/>
                <w:color w:val="auto"/>
                <w:lang w:eastAsia="zh-CN"/>
              </w:rPr>
              <w:t>；</w:t>
            </w:r>
            <w:r>
              <w:rPr>
                <w:color w:val="auto"/>
              </w:rPr>
              <w:t>P=3kW</w:t>
            </w:r>
          </w:p>
        </w:tc>
        <w:tc>
          <w:tcPr>
            <w:tcW w:w="612" w:type="pct"/>
            <w:tcBorders>
              <w:tl2br w:val="nil"/>
              <w:tr2bl w:val="nil"/>
            </w:tcBorders>
            <w:noWrap w:val="0"/>
            <w:vAlign w:val="center"/>
          </w:tcPr>
          <w:p w14:paraId="2F73C8EE">
            <w:pPr>
              <w:pStyle w:val="12"/>
              <w:pageBreakBefore w:val="0"/>
              <w:wordWrap/>
              <w:bidi w:val="0"/>
              <w:adjustRightInd/>
              <w:snapToGrid/>
              <w:rPr>
                <w:color w:val="auto"/>
              </w:rPr>
            </w:pPr>
            <w:r>
              <w:rPr>
                <w:color w:val="auto"/>
              </w:rPr>
              <w:t>FRPP</w:t>
            </w:r>
          </w:p>
        </w:tc>
        <w:tc>
          <w:tcPr>
            <w:tcW w:w="279" w:type="pct"/>
            <w:tcBorders>
              <w:tl2br w:val="nil"/>
              <w:tr2bl w:val="nil"/>
            </w:tcBorders>
            <w:noWrap w:val="0"/>
            <w:vAlign w:val="center"/>
          </w:tcPr>
          <w:p w14:paraId="5B7B3C9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99B3840">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6D32F56">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p>
        </w:tc>
      </w:tr>
      <w:tr w14:paraId="3820FFB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D9FCB8D">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551200CF">
            <w:pPr>
              <w:pStyle w:val="12"/>
              <w:pageBreakBefore w:val="0"/>
              <w:wordWrap/>
              <w:bidi w:val="0"/>
              <w:adjustRightInd/>
              <w:snapToGrid/>
              <w:rPr>
                <w:color w:val="auto"/>
              </w:rPr>
            </w:pPr>
            <w:r>
              <w:rPr>
                <w:color w:val="auto"/>
              </w:rPr>
              <w:t>压差计</w:t>
            </w:r>
          </w:p>
        </w:tc>
        <w:tc>
          <w:tcPr>
            <w:tcW w:w="1532" w:type="pct"/>
            <w:tcBorders>
              <w:tl2br w:val="nil"/>
              <w:tr2bl w:val="nil"/>
            </w:tcBorders>
            <w:noWrap w:val="0"/>
            <w:vAlign w:val="center"/>
          </w:tcPr>
          <w:p w14:paraId="4C883460">
            <w:pPr>
              <w:pStyle w:val="12"/>
              <w:pageBreakBefore w:val="0"/>
              <w:wordWrap/>
              <w:bidi w:val="0"/>
              <w:adjustRightInd/>
              <w:snapToGrid/>
              <w:rPr>
                <w:color w:val="auto"/>
              </w:rPr>
            </w:pPr>
            <w:r>
              <w:rPr>
                <w:color w:val="auto"/>
              </w:rPr>
              <w:t>-5-5kPa</w:t>
            </w:r>
          </w:p>
        </w:tc>
        <w:tc>
          <w:tcPr>
            <w:tcW w:w="612" w:type="pct"/>
            <w:tcBorders>
              <w:tl2br w:val="nil"/>
              <w:tr2bl w:val="nil"/>
            </w:tcBorders>
            <w:noWrap w:val="0"/>
            <w:vAlign w:val="center"/>
          </w:tcPr>
          <w:p w14:paraId="331B714C">
            <w:pPr>
              <w:pStyle w:val="12"/>
              <w:pageBreakBefore w:val="0"/>
              <w:wordWrap/>
              <w:bidi w:val="0"/>
              <w:adjustRightInd/>
              <w:snapToGrid/>
              <w:rPr>
                <w:color w:val="auto"/>
              </w:rPr>
            </w:pPr>
          </w:p>
        </w:tc>
        <w:tc>
          <w:tcPr>
            <w:tcW w:w="279" w:type="pct"/>
            <w:tcBorders>
              <w:tl2br w:val="nil"/>
              <w:tr2bl w:val="nil"/>
            </w:tcBorders>
            <w:noWrap w:val="0"/>
            <w:vAlign w:val="center"/>
          </w:tcPr>
          <w:p w14:paraId="73F9A417">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7206BCF">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B8D5091">
            <w:pPr>
              <w:pStyle w:val="12"/>
              <w:pageBreakBefore w:val="0"/>
              <w:wordWrap/>
              <w:bidi w:val="0"/>
              <w:adjustRightInd/>
              <w:snapToGrid/>
              <w:rPr>
                <w:color w:val="auto"/>
              </w:rPr>
            </w:pPr>
            <w:r>
              <w:rPr>
                <w:color w:val="auto"/>
              </w:rPr>
              <w:t>插入式安装</w:t>
            </w:r>
            <w:r>
              <w:rPr>
                <w:rFonts w:hint="eastAsia"/>
                <w:color w:val="auto"/>
                <w:lang w:eastAsia="zh-CN"/>
              </w:rPr>
              <w:t>，</w:t>
            </w:r>
            <w:r>
              <w:rPr>
                <w:color w:val="auto"/>
              </w:rPr>
              <w:t>测量探头长0.8m</w:t>
            </w:r>
          </w:p>
        </w:tc>
      </w:tr>
      <w:tr w14:paraId="0CDDAB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5DD55E">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7E1CA04C">
            <w:pPr>
              <w:pStyle w:val="12"/>
              <w:pageBreakBefore w:val="0"/>
              <w:wordWrap/>
              <w:bidi w:val="0"/>
              <w:adjustRightInd/>
              <w:snapToGrid/>
              <w:rPr>
                <w:color w:val="auto"/>
              </w:rPr>
            </w:pPr>
            <w:r>
              <w:rPr>
                <w:color w:val="auto"/>
              </w:rPr>
              <w:t>一体化生物滤池</w:t>
            </w:r>
          </w:p>
        </w:tc>
        <w:tc>
          <w:tcPr>
            <w:tcW w:w="1532" w:type="pct"/>
            <w:tcBorders>
              <w:tl2br w:val="nil"/>
              <w:tr2bl w:val="nil"/>
            </w:tcBorders>
            <w:noWrap w:val="0"/>
            <w:vAlign w:val="center"/>
          </w:tcPr>
          <w:p w14:paraId="739F660B">
            <w:pPr>
              <w:pStyle w:val="12"/>
              <w:pageBreakBefore w:val="0"/>
              <w:wordWrap/>
              <w:bidi w:val="0"/>
              <w:adjustRightInd/>
              <w:snapToGrid/>
              <w:rPr>
                <w:color w:val="auto"/>
              </w:rPr>
            </w:pPr>
            <w:r>
              <w:rPr>
                <w:color w:val="auto"/>
              </w:rPr>
              <w:t>1</w:t>
            </w:r>
            <w:r>
              <w:rPr>
                <w:rFonts w:hint="eastAsia"/>
                <w:color w:val="auto"/>
                <w:lang w:eastAsia="zh-CN"/>
              </w:rPr>
              <w:t>1</w:t>
            </w:r>
            <w:r>
              <w:rPr>
                <w:color w:val="auto"/>
              </w:rPr>
              <w:t>.5m×6.0m×3.2m</w:t>
            </w:r>
          </w:p>
        </w:tc>
        <w:tc>
          <w:tcPr>
            <w:tcW w:w="612" w:type="pct"/>
            <w:tcBorders>
              <w:tl2br w:val="nil"/>
              <w:tr2bl w:val="nil"/>
            </w:tcBorders>
            <w:noWrap w:val="0"/>
            <w:vAlign w:val="center"/>
          </w:tcPr>
          <w:p w14:paraId="472DAB55">
            <w:pPr>
              <w:pStyle w:val="12"/>
              <w:pageBreakBefore w:val="0"/>
              <w:wordWrap/>
              <w:bidi w:val="0"/>
              <w:adjustRightInd/>
              <w:snapToGrid/>
              <w:rPr>
                <w:rFonts w:hint="eastAsia" w:eastAsia="宋体"/>
                <w:color w:val="auto"/>
                <w:lang w:eastAsia="zh-CN"/>
              </w:rPr>
            </w:pPr>
            <w:r>
              <w:rPr>
                <w:color w:val="auto"/>
              </w:rPr>
              <w:t>设备主体</w:t>
            </w:r>
            <w:r>
              <w:rPr>
                <w:rFonts w:hint="eastAsia"/>
                <w:color w:val="auto"/>
                <w:lang w:eastAsia="zh-CN"/>
              </w:rPr>
              <w:t>（</w:t>
            </w:r>
            <w:r>
              <w:rPr>
                <w:color w:val="auto"/>
              </w:rPr>
              <w:t>6mm玻璃钢板碳钢骨架+50mm保温层+</w:t>
            </w:r>
            <w:r>
              <w:rPr>
                <w:rFonts w:hint="eastAsia"/>
                <w:color w:val="auto"/>
                <w:lang w:eastAsia="zh-CN"/>
              </w:rPr>
              <w:t>1</w:t>
            </w:r>
            <w:r>
              <w:rPr>
                <w:color w:val="auto"/>
              </w:rPr>
              <w:t>.0m</w:t>
            </w:r>
            <w:r>
              <w:rPr>
                <w:rFonts w:hint="eastAsia"/>
                <w:color w:val="auto"/>
                <w:lang w:eastAsia="zh-CN"/>
              </w:rPr>
              <w:t>m³</w:t>
            </w:r>
            <w:r>
              <w:rPr>
                <w:color w:val="auto"/>
              </w:rPr>
              <w:t>04不锈钢外装饰层</w:t>
            </w:r>
            <w:r>
              <w:rPr>
                <w:rFonts w:hint="eastAsia"/>
                <w:color w:val="auto"/>
                <w:lang w:eastAsia="zh-CN"/>
              </w:rPr>
              <w:t>）</w:t>
            </w:r>
          </w:p>
        </w:tc>
        <w:tc>
          <w:tcPr>
            <w:tcW w:w="279" w:type="pct"/>
            <w:tcBorders>
              <w:tl2br w:val="nil"/>
              <w:tr2bl w:val="nil"/>
            </w:tcBorders>
            <w:noWrap w:val="0"/>
            <w:vAlign w:val="center"/>
          </w:tcPr>
          <w:p w14:paraId="046EB898">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35AAF06">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B1BA07B">
            <w:pPr>
              <w:pStyle w:val="12"/>
              <w:pageBreakBefore w:val="0"/>
              <w:wordWrap/>
              <w:bidi w:val="0"/>
              <w:adjustRightInd/>
              <w:snapToGrid/>
              <w:rPr>
                <w:color w:val="auto"/>
              </w:rPr>
            </w:pPr>
            <w:r>
              <w:rPr>
                <w:color w:val="auto"/>
              </w:rPr>
              <w:t>含预洗池</w:t>
            </w:r>
          </w:p>
        </w:tc>
      </w:tr>
      <w:tr w14:paraId="51F1086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7A713C2">
            <w:pPr>
              <w:pStyle w:val="12"/>
              <w:pageBreakBefore w:val="0"/>
              <w:wordWrap/>
              <w:bidi w:val="0"/>
              <w:adjustRightInd/>
              <w:snapToGrid/>
              <w:rPr>
                <w:rFonts w:hint="eastAsia" w:eastAsia="宋体"/>
                <w:color w:val="auto"/>
                <w:lang w:eastAsia="zh-CN"/>
              </w:rPr>
            </w:pPr>
            <w:r>
              <w:rPr>
                <w:rFonts w:hint="eastAsia"/>
                <w:color w:val="auto"/>
                <w:lang w:eastAsia="zh-CN"/>
              </w:rPr>
              <w:t>11</w:t>
            </w:r>
            <w:r>
              <w:rPr>
                <w:color w:val="auto"/>
              </w:rPr>
              <w:t>.</w:t>
            </w:r>
            <w:r>
              <w:rPr>
                <w:rFonts w:hint="eastAsia"/>
                <w:color w:val="auto"/>
                <w:lang w:eastAsia="zh-CN"/>
              </w:rPr>
              <w:t>1</w:t>
            </w:r>
          </w:p>
        </w:tc>
        <w:tc>
          <w:tcPr>
            <w:tcW w:w="843" w:type="pct"/>
            <w:gridSpan w:val="2"/>
            <w:tcBorders>
              <w:tl2br w:val="nil"/>
              <w:tr2bl w:val="nil"/>
            </w:tcBorders>
            <w:noWrap w:val="0"/>
            <w:vAlign w:val="center"/>
          </w:tcPr>
          <w:p w14:paraId="162A68C1">
            <w:pPr>
              <w:pStyle w:val="12"/>
              <w:pageBreakBefore w:val="0"/>
              <w:wordWrap/>
              <w:bidi w:val="0"/>
              <w:adjustRightInd/>
              <w:snapToGrid/>
              <w:rPr>
                <w:color w:val="auto"/>
              </w:rPr>
            </w:pPr>
            <w:r>
              <w:rPr>
                <w:color w:val="auto"/>
              </w:rPr>
              <w:t>混合填料</w:t>
            </w:r>
          </w:p>
        </w:tc>
        <w:tc>
          <w:tcPr>
            <w:tcW w:w="1532" w:type="pct"/>
            <w:tcBorders>
              <w:tl2br w:val="nil"/>
              <w:tr2bl w:val="nil"/>
            </w:tcBorders>
            <w:noWrap w:val="0"/>
            <w:vAlign w:val="center"/>
          </w:tcPr>
          <w:p w14:paraId="5C84E124">
            <w:pPr>
              <w:pStyle w:val="12"/>
              <w:pageBreakBefore w:val="0"/>
              <w:wordWrap/>
              <w:bidi w:val="0"/>
              <w:adjustRightInd/>
              <w:snapToGrid/>
              <w:rPr>
                <w:color w:val="auto"/>
              </w:rPr>
            </w:pPr>
            <w:r>
              <w:rPr>
                <w:color w:val="auto"/>
              </w:rPr>
              <w:t>竹炭</w:t>
            </w:r>
            <w:r>
              <w:rPr>
                <w:rFonts w:hint="eastAsia"/>
                <w:color w:val="auto"/>
                <w:lang w:eastAsia="zh-CN"/>
              </w:rPr>
              <w:t>、</w:t>
            </w:r>
            <w:r>
              <w:rPr>
                <w:color w:val="auto"/>
              </w:rPr>
              <w:t>火山岩Φ30-50</w:t>
            </w:r>
          </w:p>
        </w:tc>
        <w:tc>
          <w:tcPr>
            <w:tcW w:w="612" w:type="pct"/>
            <w:tcBorders>
              <w:tl2br w:val="nil"/>
              <w:tr2bl w:val="nil"/>
            </w:tcBorders>
            <w:noWrap w:val="0"/>
            <w:vAlign w:val="center"/>
          </w:tcPr>
          <w:p w14:paraId="279215D2">
            <w:pPr>
              <w:pStyle w:val="12"/>
              <w:pageBreakBefore w:val="0"/>
              <w:wordWrap/>
              <w:bidi w:val="0"/>
              <w:adjustRightInd/>
              <w:snapToGrid/>
              <w:rPr>
                <w:color w:val="auto"/>
              </w:rPr>
            </w:pPr>
          </w:p>
        </w:tc>
        <w:tc>
          <w:tcPr>
            <w:tcW w:w="279" w:type="pct"/>
            <w:tcBorders>
              <w:tl2br w:val="nil"/>
              <w:tr2bl w:val="nil"/>
            </w:tcBorders>
            <w:noWrap w:val="0"/>
            <w:vAlign w:val="center"/>
          </w:tcPr>
          <w:p w14:paraId="61BE6189">
            <w:pPr>
              <w:pStyle w:val="12"/>
              <w:pageBreakBefore w:val="0"/>
              <w:wordWrap/>
              <w:bidi w:val="0"/>
              <w:adjustRightInd/>
              <w:snapToGrid/>
              <w:rPr>
                <w:color w:val="auto"/>
              </w:rPr>
            </w:pPr>
            <w:r>
              <w:rPr>
                <w:color w:val="auto"/>
              </w:rPr>
              <w:t>m^U3^U</w:t>
            </w:r>
          </w:p>
        </w:tc>
        <w:tc>
          <w:tcPr>
            <w:tcW w:w="244" w:type="pct"/>
            <w:tcBorders>
              <w:tl2br w:val="nil"/>
              <w:tr2bl w:val="nil"/>
            </w:tcBorders>
            <w:noWrap w:val="0"/>
            <w:vAlign w:val="center"/>
          </w:tcPr>
          <w:p w14:paraId="01B4F509">
            <w:pPr>
              <w:pStyle w:val="12"/>
              <w:pageBreakBefore w:val="0"/>
              <w:wordWrap/>
              <w:bidi w:val="0"/>
              <w:adjustRightInd/>
              <w:snapToGrid/>
              <w:rPr>
                <w:color w:val="auto"/>
              </w:rPr>
            </w:pPr>
            <w:r>
              <w:rPr>
                <w:color w:val="auto"/>
              </w:rPr>
              <w:t>86</w:t>
            </w:r>
          </w:p>
        </w:tc>
        <w:tc>
          <w:tcPr>
            <w:tcW w:w="1132" w:type="pct"/>
            <w:tcBorders>
              <w:tl2br w:val="nil"/>
              <w:tr2bl w:val="nil"/>
            </w:tcBorders>
            <w:noWrap w:val="0"/>
            <w:vAlign w:val="center"/>
          </w:tcPr>
          <w:p w14:paraId="5393CFB3">
            <w:pPr>
              <w:pStyle w:val="12"/>
              <w:pageBreakBefore w:val="0"/>
              <w:wordWrap/>
              <w:bidi w:val="0"/>
              <w:adjustRightInd/>
              <w:snapToGrid/>
              <w:rPr>
                <w:color w:val="auto"/>
              </w:rPr>
            </w:pPr>
          </w:p>
        </w:tc>
      </w:tr>
      <w:tr w14:paraId="2CD6CB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075BC06">
            <w:pPr>
              <w:pStyle w:val="12"/>
              <w:pageBreakBefore w:val="0"/>
              <w:wordWrap/>
              <w:bidi w:val="0"/>
              <w:adjustRightInd/>
              <w:snapToGrid/>
              <w:rPr>
                <w:color w:val="auto"/>
              </w:rPr>
            </w:pPr>
            <w:r>
              <w:rPr>
                <w:rFonts w:hint="eastAsia"/>
                <w:color w:val="auto"/>
                <w:lang w:eastAsia="zh-CN"/>
              </w:rPr>
              <w:t>11</w:t>
            </w:r>
            <w:r>
              <w:rPr>
                <w:color w:val="auto"/>
              </w:rPr>
              <w:t>.2</w:t>
            </w:r>
          </w:p>
        </w:tc>
        <w:tc>
          <w:tcPr>
            <w:tcW w:w="843" w:type="pct"/>
            <w:gridSpan w:val="2"/>
            <w:tcBorders>
              <w:tl2br w:val="nil"/>
              <w:tr2bl w:val="nil"/>
            </w:tcBorders>
            <w:noWrap w:val="0"/>
            <w:vAlign w:val="center"/>
          </w:tcPr>
          <w:p w14:paraId="7D4C9466">
            <w:pPr>
              <w:pStyle w:val="12"/>
              <w:pageBreakBefore w:val="0"/>
              <w:wordWrap/>
              <w:bidi w:val="0"/>
              <w:adjustRightInd/>
              <w:snapToGrid/>
              <w:rPr>
                <w:color w:val="auto"/>
              </w:rPr>
            </w:pPr>
            <w:r>
              <w:rPr>
                <w:color w:val="auto"/>
              </w:rPr>
              <w:t>有机填料</w:t>
            </w:r>
          </w:p>
        </w:tc>
        <w:tc>
          <w:tcPr>
            <w:tcW w:w="1532" w:type="pct"/>
            <w:tcBorders>
              <w:tl2br w:val="nil"/>
              <w:tr2bl w:val="nil"/>
            </w:tcBorders>
            <w:noWrap w:val="0"/>
            <w:vAlign w:val="center"/>
          </w:tcPr>
          <w:p w14:paraId="73FA10F8">
            <w:pPr>
              <w:pStyle w:val="12"/>
              <w:pageBreakBefore w:val="0"/>
              <w:wordWrap/>
              <w:bidi w:val="0"/>
              <w:adjustRightInd/>
              <w:snapToGrid/>
              <w:rPr>
                <w:color w:val="auto"/>
              </w:rPr>
            </w:pPr>
            <w:r>
              <w:rPr>
                <w:color w:val="auto"/>
              </w:rPr>
              <w:t>PP悬浮球Φ80</w:t>
            </w:r>
          </w:p>
        </w:tc>
        <w:tc>
          <w:tcPr>
            <w:tcW w:w="612" w:type="pct"/>
            <w:tcBorders>
              <w:tl2br w:val="nil"/>
              <w:tr2bl w:val="nil"/>
            </w:tcBorders>
            <w:noWrap w:val="0"/>
            <w:vAlign w:val="center"/>
          </w:tcPr>
          <w:p w14:paraId="3DD097D1">
            <w:pPr>
              <w:pStyle w:val="12"/>
              <w:pageBreakBefore w:val="0"/>
              <w:wordWrap/>
              <w:bidi w:val="0"/>
              <w:adjustRightInd/>
              <w:snapToGrid/>
              <w:rPr>
                <w:color w:val="auto"/>
              </w:rPr>
            </w:pPr>
          </w:p>
        </w:tc>
        <w:tc>
          <w:tcPr>
            <w:tcW w:w="279" w:type="pct"/>
            <w:tcBorders>
              <w:tl2br w:val="nil"/>
              <w:tr2bl w:val="nil"/>
            </w:tcBorders>
            <w:noWrap w:val="0"/>
            <w:vAlign w:val="center"/>
          </w:tcPr>
          <w:p w14:paraId="00005346">
            <w:pPr>
              <w:pStyle w:val="12"/>
              <w:pageBreakBefore w:val="0"/>
              <w:wordWrap/>
              <w:bidi w:val="0"/>
              <w:adjustRightInd/>
              <w:snapToGrid/>
              <w:rPr>
                <w:color w:val="auto"/>
              </w:rPr>
            </w:pPr>
            <w:r>
              <w:rPr>
                <w:color w:val="auto"/>
              </w:rPr>
              <w:t>m^U3^U</w:t>
            </w:r>
          </w:p>
        </w:tc>
        <w:tc>
          <w:tcPr>
            <w:tcW w:w="244" w:type="pct"/>
            <w:tcBorders>
              <w:tl2br w:val="nil"/>
              <w:tr2bl w:val="nil"/>
            </w:tcBorders>
            <w:noWrap w:val="0"/>
            <w:vAlign w:val="center"/>
          </w:tcPr>
          <w:p w14:paraId="596689A5">
            <w:pPr>
              <w:pStyle w:val="12"/>
              <w:pageBreakBefore w:val="0"/>
              <w:wordWrap/>
              <w:bidi w:val="0"/>
              <w:adjustRightInd/>
              <w:snapToGrid/>
              <w:rPr>
                <w:color w:val="auto"/>
              </w:rPr>
            </w:pPr>
            <w:r>
              <w:rPr>
                <w:color w:val="auto"/>
              </w:rPr>
              <w:t>10</w:t>
            </w:r>
          </w:p>
        </w:tc>
        <w:tc>
          <w:tcPr>
            <w:tcW w:w="1132" w:type="pct"/>
            <w:tcBorders>
              <w:tl2br w:val="nil"/>
              <w:tr2bl w:val="nil"/>
            </w:tcBorders>
            <w:noWrap w:val="0"/>
            <w:vAlign w:val="center"/>
          </w:tcPr>
          <w:p w14:paraId="5B2FAA89">
            <w:pPr>
              <w:pStyle w:val="12"/>
              <w:pageBreakBefore w:val="0"/>
              <w:wordWrap/>
              <w:bidi w:val="0"/>
              <w:adjustRightInd/>
              <w:snapToGrid/>
              <w:rPr>
                <w:color w:val="auto"/>
              </w:rPr>
            </w:pPr>
          </w:p>
        </w:tc>
      </w:tr>
      <w:tr w14:paraId="1E665E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E5484D5">
            <w:pPr>
              <w:pStyle w:val="12"/>
              <w:pageBreakBefore w:val="0"/>
              <w:wordWrap/>
              <w:bidi w:val="0"/>
              <w:adjustRightInd/>
              <w:snapToGrid/>
              <w:rPr>
                <w:color w:val="auto"/>
              </w:rPr>
            </w:pPr>
            <w:r>
              <w:rPr>
                <w:rFonts w:hint="eastAsia"/>
                <w:color w:val="auto"/>
                <w:lang w:eastAsia="zh-CN"/>
              </w:rPr>
              <w:t>11</w:t>
            </w:r>
            <w:r>
              <w:rPr>
                <w:color w:val="auto"/>
              </w:rPr>
              <w:t>.3</w:t>
            </w:r>
          </w:p>
        </w:tc>
        <w:tc>
          <w:tcPr>
            <w:tcW w:w="843" w:type="pct"/>
            <w:gridSpan w:val="2"/>
            <w:tcBorders>
              <w:tl2br w:val="nil"/>
              <w:tr2bl w:val="nil"/>
            </w:tcBorders>
            <w:noWrap w:val="0"/>
            <w:vAlign w:val="center"/>
          </w:tcPr>
          <w:p w14:paraId="14E18C03">
            <w:pPr>
              <w:pStyle w:val="12"/>
              <w:pageBreakBefore w:val="0"/>
              <w:wordWrap/>
              <w:bidi w:val="0"/>
              <w:adjustRightInd/>
              <w:snapToGrid/>
              <w:rPr>
                <w:color w:val="auto"/>
              </w:rPr>
            </w:pPr>
            <w:r>
              <w:rPr>
                <w:color w:val="auto"/>
              </w:rPr>
              <w:t>喷淋系统</w:t>
            </w:r>
          </w:p>
        </w:tc>
        <w:tc>
          <w:tcPr>
            <w:tcW w:w="1532" w:type="pct"/>
            <w:tcBorders>
              <w:tl2br w:val="nil"/>
              <w:tr2bl w:val="nil"/>
            </w:tcBorders>
            <w:noWrap w:val="0"/>
            <w:vAlign w:val="center"/>
          </w:tcPr>
          <w:p w14:paraId="61DDDB64">
            <w:pPr>
              <w:pStyle w:val="12"/>
              <w:pageBreakBefore w:val="0"/>
              <w:wordWrap/>
              <w:bidi w:val="0"/>
              <w:adjustRightInd/>
              <w:snapToGrid/>
              <w:rPr>
                <w:color w:val="auto"/>
              </w:rPr>
            </w:pPr>
            <w:r>
              <w:rPr>
                <w:color w:val="auto"/>
              </w:rPr>
              <w:t>DN50-DN80</w:t>
            </w:r>
          </w:p>
        </w:tc>
        <w:tc>
          <w:tcPr>
            <w:tcW w:w="612" w:type="pct"/>
            <w:tcBorders>
              <w:tl2br w:val="nil"/>
              <w:tr2bl w:val="nil"/>
            </w:tcBorders>
            <w:noWrap w:val="0"/>
            <w:vAlign w:val="center"/>
          </w:tcPr>
          <w:p w14:paraId="6F7BC26D">
            <w:pPr>
              <w:pStyle w:val="12"/>
              <w:pageBreakBefore w:val="0"/>
              <w:wordWrap/>
              <w:bidi w:val="0"/>
              <w:adjustRightInd/>
              <w:snapToGrid/>
              <w:rPr>
                <w:color w:val="auto"/>
              </w:rPr>
            </w:pPr>
            <w:r>
              <w:rPr>
                <w:color w:val="auto"/>
              </w:rPr>
              <w:t>UPVC</w:t>
            </w:r>
          </w:p>
        </w:tc>
        <w:tc>
          <w:tcPr>
            <w:tcW w:w="279" w:type="pct"/>
            <w:tcBorders>
              <w:tl2br w:val="nil"/>
              <w:tr2bl w:val="nil"/>
            </w:tcBorders>
            <w:noWrap w:val="0"/>
            <w:vAlign w:val="center"/>
          </w:tcPr>
          <w:p w14:paraId="7ADDEFAC">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485AE0D">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F0A329D">
            <w:pPr>
              <w:pStyle w:val="12"/>
              <w:pageBreakBefore w:val="0"/>
              <w:wordWrap/>
              <w:bidi w:val="0"/>
              <w:adjustRightInd/>
              <w:snapToGrid/>
              <w:rPr>
                <w:color w:val="auto"/>
              </w:rPr>
            </w:pPr>
            <w:r>
              <w:rPr>
                <w:color w:val="auto"/>
              </w:rPr>
              <w:t>喷淋头为pp</w:t>
            </w:r>
            <w:r>
              <w:rPr>
                <w:rFonts w:hint="eastAsia"/>
                <w:color w:val="auto"/>
                <w:lang w:eastAsia="zh-CN"/>
              </w:rPr>
              <w:t>，</w:t>
            </w:r>
            <w:r>
              <w:rPr>
                <w:color w:val="auto"/>
              </w:rPr>
              <w:t>内部支架</w:t>
            </w:r>
            <w:r>
              <w:rPr>
                <w:rFonts w:hint="eastAsia"/>
                <w:color w:val="auto"/>
                <w:lang w:eastAsia="zh-CN"/>
              </w:rPr>
              <w:t>、</w:t>
            </w:r>
            <w:r>
              <w:rPr>
                <w:color w:val="auto"/>
              </w:rPr>
              <w:t>吊架为不锈钢304</w:t>
            </w:r>
          </w:p>
        </w:tc>
      </w:tr>
      <w:tr w14:paraId="0A336A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F6569B9">
            <w:pPr>
              <w:pStyle w:val="12"/>
              <w:pageBreakBefore w:val="0"/>
              <w:wordWrap/>
              <w:bidi w:val="0"/>
              <w:adjustRightInd/>
              <w:snapToGrid/>
              <w:rPr>
                <w:color w:val="auto"/>
              </w:rPr>
            </w:pPr>
            <w:r>
              <w:rPr>
                <w:rFonts w:hint="eastAsia"/>
                <w:color w:val="auto"/>
                <w:lang w:eastAsia="zh-CN"/>
              </w:rPr>
              <w:t>11</w:t>
            </w:r>
            <w:r>
              <w:rPr>
                <w:color w:val="auto"/>
              </w:rPr>
              <w:t>.4</w:t>
            </w:r>
          </w:p>
        </w:tc>
        <w:tc>
          <w:tcPr>
            <w:tcW w:w="843" w:type="pct"/>
            <w:gridSpan w:val="2"/>
            <w:tcBorders>
              <w:tl2br w:val="nil"/>
              <w:tr2bl w:val="nil"/>
            </w:tcBorders>
            <w:noWrap w:val="0"/>
            <w:vAlign w:val="center"/>
          </w:tcPr>
          <w:p w14:paraId="4D6664BF">
            <w:pPr>
              <w:pStyle w:val="12"/>
              <w:pageBreakBefore w:val="0"/>
              <w:wordWrap/>
              <w:bidi w:val="0"/>
              <w:adjustRightInd/>
              <w:snapToGrid/>
              <w:rPr>
                <w:color w:val="auto"/>
              </w:rPr>
            </w:pPr>
            <w:r>
              <w:rPr>
                <w:color w:val="auto"/>
              </w:rPr>
              <w:t>填料支撑架</w:t>
            </w:r>
          </w:p>
        </w:tc>
        <w:tc>
          <w:tcPr>
            <w:tcW w:w="1532" w:type="pct"/>
            <w:tcBorders>
              <w:tl2br w:val="nil"/>
              <w:tr2bl w:val="nil"/>
            </w:tcBorders>
            <w:noWrap w:val="0"/>
            <w:vAlign w:val="center"/>
          </w:tcPr>
          <w:p w14:paraId="7FD157DE">
            <w:pPr>
              <w:pStyle w:val="12"/>
              <w:pageBreakBefore w:val="0"/>
              <w:wordWrap/>
              <w:bidi w:val="0"/>
              <w:adjustRightInd/>
              <w:snapToGrid/>
              <w:rPr>
                <w:color w:val="auto"/>
              </w:rPr>
            </w:pPr>
            <w:r>
              <w:rPr>
                <w:color w:val="auto"/>
              </w:rPr>
              <w:t>YFZC-38</w:t>
            </w:r>
          </w:p>
        </w:tc>
        <w:tc>
          <w:tcPr>
            <w:tcW w:w="612" w:type="pct"/>
            <w:tcBorders>
              <w:tl2br w:val="nil"/>
              <w:tr2bl w:val="nil"/>
            </w:tcBorders>
            <w:noWrap w:val="0"/>
            <w:vAlign w:val="center"/>
          </w:tcPr>
          <w:p w14:paraId="2AF987C5">
            <w:pPr>
              <w:pStyle w:val="12"/>
              <w:pageBreakBefore w:val="0"/>
              <w:wordWrap/>
              <w:bidi w:val="0"/>
              <w:adjustRightInd/>
              <w:snapToGrid/>
              <w:rPr>
                <w:color w:val="auto"/>
              </w:rPr>
            </w:pPr>
          </w:p>
        </w:tc>
        <w:tc>
          <w:tcPr>
            <w:tcW w:w="279" w:type="pct"/>
            <w:tcBorders>
              <w:tl2br w:val="nil"/>
              <w:tr2bl w:val="nil"/>
            </w:tcBorders>
            <w:noWrap w:val="0"/>
            <w:vAlign w:val="center"/>
          </w:tcPr>
          <w:p w14:paraId="3B989709">
            <w:pPr>
              <w:pStyle w:val="12"/>
              <w:pageBreakBefore w:val="0"/>
              <w:wordWrap/>
              <w:bidi w:val="0"/>
              <w:adjustRightInd/>
              <w:snapToGrid/>
              <w:rPr>
                <w:color w:val="auto"/>
              </w:rPr>
            </w:pPr>
            <w:r>
              <w:rPr>
                <w:color w:val="auto"/>
              </w:rPr>
              <w:t>m^U²^U</w:t>
            </w:r>
          </w:p>
        </w:tc>
        <w:tc>
          <w:tcPr>
            <w:tcW w:w="244" w:type="pct"/>
            <w:tcBorders>
              <w:tl2br w:val="nil"/>
              <w:tr2bl w:val="nil"/>
            </w:tcBorders>
            <w:noWrap w:val="0"/>
            <w:vAlign w:val="center"/>
          </w:tcPr>
          <w:p w14:paraId="210F1E69">
            <w:pPr>
              <w:pStyle w:val="12"/>
              <w:pageBreakBefore w:val="0"/>
              <w:wordWrap/>
              <w:bidi w:val="0"/>
              <w:adjustRightInd/>
              <w:snapToGrid/>
              <w:rPr>
                <w:color w:val="auto"/>
              </w:rPr>
            </w:pPr>
            <w:r>
              <w:rPr>
                <w:color w:val="auto"/>
              </w:rPr>
              <w:t>69</w:t>
            </w:r>
          </w:p>
        </w:tc>
        <w:tc>
          <w:tcPr>
            <w:tcW w:w="1132" w:type="pct"/>
            <w:tcBorders>
              <w:tl2br w:val="nil"/>
              <w:tr2bl w:val="nil"/>
            </w:tcBorders>
            <w:noWrap w:val="0"/>
            <w:vAlign w:val="center"/>
          </w:tcPr>
          <w:p w14:paraId="4FB84C79">
            <w:pPr>
              <w:pStyle w:val="12"/>
              <w:pageBreakBefore w:val="0"/>
              <w:wordWrap/>
              <w:bidi w:val="0"/>
              <w:adjustRightInd/>
              <w:snapToGrid/>
              <w:rPr>
                <w:color w:val="auto"/>
              </w:rPr>
            </w:pPr>
          </w:p>
        </w:tc>
      </w:tr>
      <w:tr w14:paraId="10C2DA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7EFBD48">
            <w:pPr>
              <w:pStyle w:val="12"/>
              <w:pageBreakBefore w:val="0"/>
              <w:wordWrap/>
              <w:bidi w:val="0"/>
              <w:adjustRightInd/>
              <w:snapToGrid/>
              <w:rPr>
                <w:color w:val="auto"/>
              </w:rPr>
            </w:pPr>
            <w:r>
              <w:rPr>
                <w:rFonts w:hint="eastAsia"/>
                <w:color w:val="auto"/>
                <w:lang w:eastAsia="zh-CN"/>
              </w:rPr>
              <w:t>11</w:t>
            </w:r>
            <w:r>
              <w:rPr>
                <w:color w:val="auto"/>
              </w:rPr>
              <w:t>.5</w:t>
            </w:r>
          </w:p>
        </w:tc>
        <w:tc>
          <w:tcPr>
            <w:tcW w:w="843" w:type="pct"/>
            <w:gridSpan w:val="2"/>
            <w:tcBorders>
              <w:tl2br w:val="nil"/>
              <w:tr2bl w:val="nil"/>
            </w:tcBorders>
            <w:noWrap w:val="0"/>
            <w:vAlign w:val="center"/>
          </w:tcPr>
          <w:p w14:paraId="7445AD3A">
            <w:pPr>
              <w:pStyle w:val="12"/>
              <w:pageBreakBefore w:val="0"/>
              <w:wordWrap/>
              <w:bidi w:val="0"/>
              <w:adjustRightInd/>
              <w:snapToGrid/>
              <w:rPr>
                <w:color w:val="auto"/>
              </w:rPr>
            </w:pPr>
            <w:r>
              <w:rPr>
                <w:color w:val="auto"/>
              </w:rPr>
              <w:t>填料支撑柱</w:t>
            </w:r>
          </w:p>
        </w:tc>
        <w:tc>
          <w:tcPr>
            <w:tcW w:w="1532" w:type="pct"/>
            <w:tcBorders>
              <w:tl2br w:val="nil"/>
              <w:tr2bl w:val="nil"/>
            </w:tcBorders>
            <w:noWrap w:val="0"/>
            <w:vAlign w:val="center"/>
          </w:tcPr>
          <w:p w14:paraId="2FC2BA7F">
            <w:pPr>
              <w:pStyle w:val="12"/>
              <w:pageBreakBefore w:val="0"/>
              <w:wordWrap/>
              <w:bidi w:val="0"/>
              <w:adjustRightInd/>
              <w:snapToGrid/>
              <w:rPr>
                <w:color w:val="auto"/>
              </w:rPr>
            </w:pPr>
            <w:r>
              <w:rPr>
                <w:color w:val="auto"/>
              </w:rPr>
              <w:t>φ150×700</w:t>
            </w:r>
          </w:p>
        </w:tc>
        <w:tc>
          <w:tcPr>
            <w:tcW w:w="612" w:type="pct"/>
            <w:tcBorders>
              <w:tl2br w:val="nil"/>
              <w:tr2bl w:val="nil"/>
            </w:tcBorders>
            <w:noWrap w:val="0"/>
            <w:vAlign w:val="center"/>
          </w:tcPr>
          <w:p w14:paraId="25EC8F18">
            <w:pPr>
              <w:pStyle w:val="12"/>
              <w:pageBreakBefore w:val="0"/>
              <w:wordWrap/>
              <w:bidi w:val="0"/>
              <w:adjustRightInd/>
              <w:snapToGrid/>
              <w:rPr>
                <w:color w:val="auto"/>
              </w:rPr>
            </w:pPr>
          </w:p>
        </w:tc>
        <w:tc>
          <w:tcPr>
            <w:tcW w:w="279" w:type="pct"/>
            <w:tcBorders>
              <w:tl2br w:val="nil"/>
              <w:tr2bl w:val="nil"/>
            </w:tcBorders>
            <w:noWrap w:val="0"/>
            <w:vAlign w:val="center"/>
          </w:tcPr>
          <w:p w14:paraId="30672FE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1A97E9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63E59A2">
            <w:pPr>
              <w:pStyle w:val="12"/>
              <w:pageBreakBefore w:val="0"/>
              <w:wordWrap/>
              <w:bidi w:val="0"/>
              <w:adjustRightInd/>
              <w:snapToGrid/>
              <w:rPr>
                <w:color w:val="auto"/>
              </w:rPr>
            </w:pPr>
          </w:p>
        </w:tc>
      </w:tr>
      <w:tr w14:paraId="12B1B9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79FF2D8">
            <w:pPr>
              <w:pStyle w:val="12"/>
              <w:pageBreakBefore w:val="0"/>
              <w:wordWrap/>
              <w:bidi w:val="0"/>
              <w:adjustRightInd/>
              <w:snapToGrid/>
              <w:rPr>
                <w:color w:val="auto"/>
              </w:rPr>
            </w:pPr>
            <w:r>
              <w:rPr>
                <w:rFonts w:hint="eastAsia"/>
                <w:color w:val="auto"/>
                <w:lang w:eastAsia="zh-CN"/>
              </w:rPr>
              <w:t>11</w:t>
            </w:r>
            <w:r>
              <w:rPr>
                <w:color w:val="auto"/>
              </w:rPr>
              <w:t>.6</w:t>
            </w:r>
          </w:p>
        </w:tc>
        <w:tc>
          <w:tcPr>
            <w:tcW w:w="843" w:type="pct"/>
            <w:gridSpan w:val="2"/>
            <w:tcBorders>
              <w:tl2br w:val="nil"/>
              <w:tr2bl w:val="nil"/>
            </w:tcBorders>
            <w:noWrap w:val="0"/>
            <w:vAlign w:val="center"/>
          </w:tcPr>
          <w:p w14:paraId="09E4810C">
            <w:pPr>
              <w:pStyle w:val="12"/>
              <w:pageBreakBefore w:val="0"/>
              <w:wordWrap/>
              <w:bidi w:val="0"/>
              <w:adjustRightInd/>
              <w:snapToGrid/>
              <w:rPr>
                <w:color w:val="auto"/>
              </w:rPr>
            </w:pPr>
            <w:r>
              <w:rPr>
                <w:color w:val="auto"/>
              </w:rPr>
              <w:t>除雾器</w:t>
            </w:r>
          </w:p>
        </w:tc>
        <w:tc>
          <w:tcPr>
            <w:tcW w:w="1532" w:type="pct"/>
            <w:tcBorders>
              <w:tl2br w:val="nil"/>
              <w:tr2bl w:val="nil"/>
            </w:tcBorders>
            <w:noWrap w:val="0"/>
            <w:vAlign w:val="center"/>
          </w:tcPr>
          <w:p w14:paraId="38BC12FA">
            <w:pPr>
              <w:pStyle w:val="12"/>
              <w:pageBreakBefore w:val="0"/>
              <w:wordWrap/>
              <w:bidi w:val="0"/>
              <w:adjustRightInd/>
              <w:snapToGrid/>
              <w:rPr>
                <w:color w:val="auto"/>
              </w:rPr>
            </w:pPr>
            <w:r>
              <w:rPr>
                <w:color w:val="auto"/>
              </w:rPr>
              <w:t>φ800</w:t>
            </w:r>
            <w:r>
              <w:rPr>
                <w:rFonts w:hint="eastAsia"/>
                <w:color w:val="auto"/>
                <w:lang w:eastAsia="zh-CN"/>
              </w:rPr>
              <w:t>，</w:t>
            </w:r>
            <w:r>
              <w:rPr>
                <w:color w:val="auto"/>
              </w:rPr>
              <w:t>多面空心球填料</w:t>
            </w:r>
          </w:p>
        </w:tc>
        <w:tc>
          <w:tcPr>
            <w:tcW w:w="612" w:type="pct"/>
            <w:tcBorders>
              <w:tl2br w:val="nil"/>
              <w:tr2bl w:val="nil"/>
            </w:tcBorders>
            <w:noWrap w:val="0"/>
            <w:vAlign w:val="center"/>
          </w:tcPr>
          <w:p w14:paraId="49073126">
            <w:pPr>
              <w:pStyle w:val="12"/>
              <w:pageBreakBefore w:val="0"/>
              <w:wordWrap/>
              <w:bidi w:val="0"/>
              <w:adjustRightInd/>
              <w:snapToGrid/>
              <w:rPr>
                <w:color w:val="auto"/>
              </w:rPr>
            </w:pPr>
          </w:p>
        </w:tc>
        <w:tc>
          <w:tcPr>
            <w:tcW w:w="279" w:type="pct"/>
            <w:tcBorders>
              <w:tl2br w:val="nil"/>
              <w:tr2bl w:val="nil"/>
            </w:tcBorders>
            <w:noWrap w:val="0"/>
            <w:vAlign w:val="center"/>
          </w:tcPr>
          <w:p w14:paraId="0A61979A">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138B9E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5069182">
            <w:pPr>
              <w:pStyle w:val="12"/>
              <w:pageBreakBefore w:val="0"/>
              <w:wordWrap/>
              <w:bidi w:val="0"/>
              <w:adjustRightInd/>
              <w:snapToGrid/>
              <w:rPr>
                <w:color w:val="auto"/>
              </w:rPr>
            </w:pPr>
          </w:p>
        </w:tc>
      </w:tr>
      <w:tr w14:paraId="4B24DD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8DC9DD3">
            <w:pPr>
              <w:pStyle w:val="12"/>
              <w:pageBreakBefore w:val="0"/>
              <w:wordWrap/>
              <w:bidi w:val="0"/>
              <w:adjustRightInd/>
              <w:snapToGrid/>
              <w:jc w:val="both"/>
              <w:rPr>
                <w:color w:val="auto"/>
              </w:rPr>
            </w:pPr>
            <w:r>
              <w:rPr>
                <w:b/>
                <w:bCs/>
                <w:color w:val="auto"/>
              </w:rPr>
              <w:t>系统配套附件</w:t>
            </w:r>
          </w:p>
        </w:tc>
      </w:tr>
      <w:tr w14:paraId="665C03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BFD823">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47A91D02">
            <w:pPr>
              <w:pStyle w:val="12"/>
              <w:pageBreakBefore w:val="0"/>
              <w:wordWrap/>
              <w:bidi w:val="0"/>
              <w:adjustRightInd/>
              <w:snapToGrid/>
              <w:rPr>
                <w:color w:val="auto"/>
              </w:rPr>
            </w:pPr>
            <w:r>
              <w:rPr>
                <w:color w:val="auto"/>
              </w:rPr>
              <w:t>爬梯</w:t>
            </w:r>
          </w:p>
        </w:tc>
        <w:tc>
          <w:tcPr>
            <w:tcW w:w="1532" w:type="pct"/>
            <w:tcBorders>
              <w:tl2br w:val="nil"/>
              <w:tr2bl w:val="nil"/>
            </w:tcBorders>
            <w:noWrap w:val="0"/>
            <w:vAlign w:val="center"/>
          </w:tcPr>
          <w:p w14:paraId="37F98F79">
            <w:pPr>
              <w:pStyle w:val="12"/>
              <w:pageBreakBefore w:val="0"/>
              <w:wordWrap/>
              <w:bidi w:val="0"/>
              <w:adjustRightInd/>
              <w:snapToGrid/>
              <w:rPr>
                <w:color w:val="auto"/>
              </w:rPr>
            </w:pPr>
          </w:p>
        </w:tc>
        <w:tc>
          <w:tcPr>
            <w:tcW w:w="612" w:type="pct"/>
            <w:tcBorders>
              <w:tl2br w:val="nil"/>
              <w:tr2bl w:val="nil"/>
            </w:tcBorders>
            <w:noWrap w:val="0"/>
            <w:vAlign w:val="center"/>
          </w:tcPr>
          <w:p w14:paraId="0282A9BE">
            <w:pPr>
              <w:pStyle w:val="12"/>
              <w:pageBreakBefore w:val="0"/>
              <w:wordWrap/>
              <w:bidi w:val="0"/>
              <w:adjustRightInd/>
              <w:snapToGrid/>
              <w:rPr>
                <w:color w:val="auto"/>
              </w:rPr>
            </w:pPr>
            <w:r>
              <w:rPr>
                <w:color w:val="auto"/>
              </w:rPr>
              <w:t>碳钢防腐</w:t>
            </w:r>
          </w:p>
        </w:tc>
        <w:tc>
          <w:tcPr>
            <w:tcW w:w="279" w:type="pct"/>
            <w:tcBorders>
              <w:tl2br w:val="nil"/>
              <w:tr2bl w:val="nil"/>
            </w:tcBorders>
            <w:noWrap w:val="0"/>
            <w:vAlign w:val="center"/>
          </w:tcPr>
          <w:p w14:paraId="21A2B5D6">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F974C28">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BA13823">
            <w:pPr>
              <w:pStyle w:val="12"/>
              <w:pageBreakBefore w:val="0"/>
              <w:wordWrap/>
              <w:bidi w:val="0"/>
              <w:adjustRightInd/>
              <w:snapToGrid/>
              <w:rPr>
                <w:color w:val="auto"/>
              </w:rPr>
            </w:pPr>
            <w:r>
              <w:rPr>
                <w:color w:val="auto"/>
              </w:rPr>
              <w:t>系统配套</w:t>
            </w:r>
          </w:p>
        </w:tc>
      </w:tr>
      <w:tr w14:paraId="13EDA5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67FF3EB">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09CB26A5">
            <w:pPr>
              <w:pStyle w:val="12"/>
              <w:pageBreakBefore w:val="0"/>
              <w:wordWrap/>
              <w:bidi w:val="0"/>
              <w:adjustRightInd/>
              <w:snapToGrid/>
              <w:rPr>
                <w:color w:val="auto"/>
              </w:rPr>
            </w:pPr>
            <w:r>
              <w:rPr>
                <w:color w:val="auto"/>
              </w:rPr>
              <w:t>排放塔及塔架</w:t>
            </w:r>
          </w:p>
        </w:tc>
        <w:tc>
          <w:tcPr>
            <w:tcW w:w="1532" w:type="pct"/>
            <w:tcBorders>
              <w:tl2br w:val="nil"/>
              <w:tr2bl w:val="nil"/>
            </w:tcBorders>
            <w:noWrap w:val="0"/>
            <w:vAlign w:val="center"/>
          </w:tcPr>
          <w:p w14:paraId="79C796EF">
            <w:pPr>
              <w:pStyle w:val="12"/>
              <w:pageBreakBefore w:val="0"/>
              <w:wordWrap/>
              <w:bidi w:val="0"/>
              <w:adjustRightInd/>
              <w:snapToGrid/>
              <w:rPr>
                <w:color w:val="auto"/>
              </w:rPr>
            </w:pPr>
            <w:r>
              <w:rPr>
                <w:color w:val="auto"/>
              </w:rPr>
              <w:t>DN800</w:t>
            </w:r>
          </w:p>
        </w:tc>
        <w:tc>
          <w:tcPr>
            <w:tcW w:w="612" w:type="pct"/>
            <w:tcBorders>
              <w:tl2br w:val="nil"/>
              <w:tr2bl w:val="nil"/>
            </w:tcBorders>
            <w:noWrap w:val="0"/>
            <w:vAlign w:val="center"/>
          </w:tcPr>
          <w:p w14:paraId="7F8FC653">
            <w:pPr>
              <w:pStyle w:val="12"/>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4E2FA055">
            <w:pPr>
              <w:pStyle w:val="12"/>
              <w:pageBreakBefore w:val="0"/>
              <w:wordWrap/>
              <w:bidi w:val="0"/>
              <w:adjustRightInd/>
              <w:snapToGrid/>
              <w:rPr>
                <w:color w:val="auto"/>
              </w:rPr>
            </w:pPr>
            <w:r>
              <w:rPr>
                <w:color w:val="auto"/>
              </w:rPr>
              <w:t>m</w:t>
            </w:r>
          </w:p>
        </w:tc>
        <w:tc>
          <w:tcPr>
            <w:tcW w:w="244" w:type="pct"/>
            <w:tcBorders>
              <w:tl2br w:val="nil"/>
              <w:tr2bl w:val="nil"/>
            </w:tcBorders>
            <w:noWrap w:val="0"/>
            <w:vAlign w:val="center"/>
          </w:tcPr>
          <w:p w14:paraId="64B01D0E">
            <w:pPr>
              <w:pStyle w:val="12"/>
              <w:pageBreakBefore w:val="0"/>
              <w:wordWrap/>
              <w:bidi w:val="0"/>
              <w:adjustRightInd/>
              <w:snapToGrid/>
              <w:rPr>
                <w:color w:val="auto"/>
              </w:rPr>
            </w:pPr>
            <w:r>
              <w:rPr>
                <w:color w:val="auto"/>
              </w:rPr>
              <w:t>15</w:t>
            </w:r>
          </w:p>
        </w:tc>
        <w:tc>
          <w:tcPr>
            <w:tcW w:w="1132" w:type="pct"/>
            <w:tcBorders>
              <w:tl2br w:val="nil"/>
              <w:tr2bl w:val="nil"/>
            </w:tcBorders>
            <w:noWrap w:val="0"/>
            <w:vAlign w:val="center"/>
          </w:tcPr>
          <w:p w14:paraId="413F5DB3">
            <w:pPr>
              <w:pStyle w:val="12"/>
              <w:pageBreakBefore w:val="0"/>
              <w:wordWrap/>
              <w:bidi w:val="0"/>
              <w:adjustRightInd/>
              <w:snapToGrid/>
              <w:rPr>
                <w:color w:val="auto"/>
              </w:rPr>
            </w:pPr>
            <w:r>
              <w:rPr>
                <w:color w:val="auto"/>
              </w:rPr>
              <w:t>排放管为玻璃钢材质圆管</w:t>
            </w:r>
            <w:r>
              <w:rPr>
                <w:rFonts w:hint="eastAsia"/>
                <w:color w:val="auto"/>
                <w:lang w:eastAsia="zh-CN"/>
              </w:rPr>
              <w:t>，</w:t>
            </w:r>
            <w:r>
              <w:rPr>
                <w:color w:val="auto"/>
              </w:rPr>
              <w:t>含碳钢防腐排放塔支架</w:t>
            </w:r>
          </w:p>
        </w:tc>
      </w:tr>
      <w:tr w14:paraId="06AFCE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41287A8">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050FAB62">
            <w:pPr>
              <w:pStyle w:val="12"/>
              <w:pageBreakBefore w:val="0"/>
              <w:wordWrap/>
              <w:bidi w:val="0"/>
              <w:adjustRightInd/>
              <w:snapToGrid/>
              <w:rPr>
                <w:color w:val="auto"/>
              </w:rPr>
            </w:pPr>
            <w:r>
              <w:rPr>
                <w:color w:val="auto"/>
              </w:rPr>
              <w:t>硫化氢在线检测仪</w:t>
            </w:r>
          </w:p>
        </w:tc>
        <w:tc>
          <w:tcPr>
            <w:tcW w:w="1532" w:type="pct"/>
            <w:tcBorders>
              <w:tl2br w:val="nil"/>
              <w:tr2bl w:val="nil"/>
            </w:tcBorders>
            <w:noWrap w:val="0"/>
            <w:vAlign w:val="center"/>
          </w:tcPr>
          <w:p w14:paraId="717A1699">
            <w:pPr>
              <w:pStyle w:val="12"/>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31699072">
            <w:pPr>
              <w:pStyle w:val="12"/>
              <w:pageBreakBefore w:val="0"/>
              <w:wordWrap/>
              <w:bidi w:val="0"/>
              <w:adjustRightInd/>
              <w:snapToGrid/>
              <w:rPr>
                <w:color w:val="auto"/>
              </w:rPr>
            </w:pPr>
          </w:p>
        </w:tc>
        <w:tc>
          <w:tcPr>
            <w:tcW w:w="279" w:type="pct"/>
            <w:tcBorders>
              <w:tl2br w:val="nil"/>
              <w:tr2bl w:val="nil"/>
            </w:tcBorders>
            <w:noWrap w:val="0"/>
            <w:vAlign w:val="center"/>
          </w:tcPr>
          <w:p w14:paraId="2715060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BA6EF2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756E330">
            <w:pPr>
              <w:pStyle w:val="12"/>
              <w:pageBreakBefore w:val="0"/>
              <w:wordWrap/>
              <w:bidi w:val="0"/>
              <w:adjustRightInd/>
              <w:snapToGrid/>
              <w:rPr>
                <w:color w:val="auto"/>
              </w:rPr>
            </w:pPr>
            <w:r>
              <w:rPr>
                <w:color w:val="auto"/>
              </w:rPr>
              <w:t>计入自控</w:t>
            </w:r>
          </w:p>
        </w:tc>
      </w:tr>
      <w:tr w14:paraId="7B9ED3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2CCAE4A">
            <w:pPr>
              <w:pStyle w:val="12"/>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3B4747BA">
            <w:pPr>
              <w:pStyle w:val="12"/>
              <w:pageBreakBefore w:val="0"/>
              <w:wordWrap/>
              <w:bidi w:val="0"/>
              <w:adjustRightInd/>
              <w:snapToGrid/>
              <w:rPr>
                <w:color w:val="auto"/>
              </w:rPr>
            </w:pPr>
            <w:r>
              <w:rPr>
                <w:color w:val="auto"/>
              </w:rPr>
              <w:t>氨气在线检测仪</w:t>
            </w:r>
          </w:p>
        </w:tc>
        <w:tc>
          <w:tcPr>
            <w:tcW w:w="1532" w:type="pct"/>
            <w:tcBorders>
              <w:tl2br w:val="nil"/>
              <w:tr2bl w:val="nil"/>
            </w:tcBorders>
            <w:noWrap w:val="0"/>
            <w:vAlign w:val="center"/>
          </w:tcPr>
          <w:p w14:paraId="6A609BC7">
            <w:pPr>
              <w:pStyle w:val="12"/>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0CFE738D">
            <w:pPr>
              <w:pStyle w:val="12"/>
              <w:pageBreakBefore w:val="0"/>
              <w:wordWrap/>
              <w:bidi w:val="0"/>
              <w:adjustRightInd/>
              <w:snapToGrid/>
              <w:rPr>
                <w:color w:val="auto"/>
              </w:rPr>
            </w:pPr>
          </w:p>
        </w:tc>
        <w:tc>
          <w:tcPr>
            <w:tcW w:w="279" w:type="pct"/>
            <w:tcBorders>
              <w:tl2br w:val="nil"/>
              <w:tr2bl w:val="nil"/>
            </w:tcBorders>
            <w:noWrap w:val="0"/>
            <w:vAlign w:val="center"/>
          </w:tcPr>
          <w:p w14:paraId="74C1604A">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E8FC909">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E71951F">
            <w:pPr>
              <w:pStyle w:val="12"/>
              <w:pageBreakBefore w:val="0"/>
              <w:wordWrap/>
              <w:bidi w:val="0"/>
              <w:adjustRightInd/>
              <w:snapToGrid/>
              <w:rPr>
                <w:color w:val="auto"/>
              </w:rPr>
            </w:pPr>
            <w:r>
              <w:rPr>
                <w:color w:val="auto"/>
              </w:rPr>
              <w:t>计入自控</w:t>
            </w:r>
          </w:p>
        </w:tc>
      </w:tr>
      <w:tr w14:paraId="6355E58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74A0DC">
            <w:pPr>
              <w:pStyle w:val="12"/>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472E96E3">
            <w:pPr>
              <w:pStyle w:val="12"/>
              <w:pageBreakBefore w:val="0"/>
              <w:wordWrap/>
              <w:bidi w:val="0"/>
              <w:adjustRightInd/>
              <w:snapToGrid/>
              <w:rPr>
                <w:color w:val="auto"/>
              </w:rPr>
            </w:pPr>
            <w:r>
              <w:rPr>
                <w:color w:val="auto"/>
              </w:rPr>
              <w:t>PH计</w:t>
            </w:r>
          </w:p>
        </w:tc>
        <w:tc>
          <w:tcPr>
            <w:tcW w:w="1532" w:type="pct"/>
            <w:tcBorders>
              <w:tl2br w:val="nil"/>
              <w:tr2bl w:val="nil"/>
            </w:tcBorders>
            <w:noWrap w:val="0"/>
            <w:vAlign w:val="center"/>
          </w:tcPr>
          <w:p w14:paraId="3D718701">
            <w:pPr>
              <w:pStyle w:val="12"/>
              <w:pageBreakBefore w:val="0"/>
              <w:wordWrap/>
              <w:bidi w:val="0"/>
              <w:adjustRightInd/>
              <w:snapToGrid/>
              <w:rPr>
                <w:color w:val="auto"/>
              </w:rPr>
            </w:pPr>
            <w:r>
              <w:rPr>
                <w:color w:val="auto"/>
              </w:rPr>
              <w:t>0-14</w:t>
            </w:r>
          </w:p>
        </w:tc>
        <w:tc>
          <w:tcPr>
            <w:tcW w:w="612" w:type="pct"/>
            <w:tcBorders>
              <w:tl2br w:val="nil"/>
              <w:tr2bl w:val="nil"/>
            </w:tcBorders>
            <w:noWrap w:val="0"/>
            <w:vAlign w:val="center"/>
          </w:tcPr>
          <w:p w14:paraId="7490C4DA">
            <w:pPr>
              <w:pStyle w:val="12"/>
              <w:pageBreakBefore w:val="0"/>
              <w:wordWrap/>
              <w:bidi w:val="0"/>
              <w:adjustRightInd/>
              <w:snapToGrid/>
              <w:rPr>
                <w:color w:val="auto"/>
              </w:rPr>
            </w:pPr>
          </w:p>
        </w:tc>
        <w:tc>
          <w:tcPr>
            <w:tcW w:w="279" w:type="pct"/>
            <w:tcBorders>
              <w:tl2br w:val="nil"/>
              <w:tr2bl w:val="nil"/>
            </w:tcBorders>
            <w:noWrap w:val="0"/>
            <w:vAlign w:val="center"/>
          </w:tcPr>
          <w:p w14:paraId="49D9602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082F65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4D93D18">
            <w:pPr>
              <w:pStyle w:val="12"/>
              <w:pageBreakBefore w:val="0"/>
              <w:wordWrap/>
              <w:bidi w:val="0"/>
              <w:adjustRightInd/>
              <w:snapToGrid/>
              <w:rPr>
                <w:color w:val="auto"/>
              </w:rPr>
            </w:pPr>
            <w:r>
              <w:rPr>
                <w:color w:val="auto"/>
              </w:rPr>
              <w:t>计入自控</w:t>
            </w:r>
          </w:p>
        </w:tc>
      </w:tr>
      <w:tr w14:paraId="2C408AD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DE55C5">
            <w:pPr>
              <w:pStyle w:val="12"/>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49C53A06">
            <w:pPr>
              <w:pStyle w:val="12"/>
              <w:pageBreakBefore w:val="0"/>
              <w:wordWrap/>
              <w:bidi w:val="0"/>
              <w:adjustRightInd/>
              <w:snapToGrid/>
              <w:rPr>
                <w:color w:val="auto"/>
              </w:rPr>
            </w:pPr>
            <w:r>
              <w:rPr>
                <w:color w:val="auto"/>
              </w:rPr>
              <w:t>其他附件</w:t>
            </w:r>
          </w:p>
        </w:tc>
        <w:tc>
          <w:tcPr>
            <w:tcW w:w="1532" w:type="pct"/>
            <w:tcBorders>
              <w:tl2br w:val="nil"/>
              <w:tr2bl w:val="nil"/>
            </w:tcBorders>
            <w:noWrap w:val="0"/>
            <w:vAlign w:val="center"/>
          </w:tcPr>
          <w:p w14:paraId="7039E9D7">
            <w:pPr>
              <w:pStyle w:val="12"/>
              <w:pageBreakBefore w:val="0"/>
              <w:wordWrap/>
              <w:bidi w:val="0"/>
              <w:adjustRightInd/>
              <w:snapToGrid/>
              <w:rPr>
                <w:color w:val="auto"/>
              </w:rPr>
            </w:pPr>
            <w:r>
              <w:rPr>
                <w:color w:val="auto"/>
              </w:rPr>
              <w:t>管道及法兰</w:t>
            </w:r>
            <w:r>
              <w:rPr>
                <w:rFonts w:hint="eastAsia"/>
                <w:color w:val="auto"/>
                <w:lang w:eastAsia="zh-CN"/>
              </w:rPr>
              <w:t>、</w:t>
            </w:r>
            <w:r>
              <w:rPr>
                <w:color w:val="auto"/>
              </w:rPr>
              <w:t>三通、弯头等附件</w:t>
            </w:r>
          </w:p>
        </w:tc>
        <w:tc>
          <w:tcPr>
            <w:tcW w:w="612" w:type="pct"/>
            <w:tcBorders>
              <w:tl2br w:val="nil"/>
              <w:tr2bl w:val="nil"/>
            </w:tcBorders>
            <w:noWrap w:val="0"/>
            <w:vAlign w:val="center"/>
          </w:tcPr>
          <w:p w14:paraId="2A0EB783">
            <w:pPr>
              <w:pStyle w:val="12"/>
              <w:pageBreakBefore w:val="0"/>
              <w:wordWrap/>
              <w:bidi w:val="0"/>
              <w:adjustRightInd/>
              <w:snapToGrid/>
              <w:rPr>
                <w:color w:val="auto"/>
              </w:rPr>
            </w:pPr>
          </w:p>
        </w:tc>
        <w:tc>
          <w:tcPr>
            <w:tcW w:w="279" w:type="pct"/>
            <w:tcBorders>
              <w:tl2br w:val="nil"/>
              <w:tr2bl w:val="nil"/>
            </w:tcBorders>
            <w:noWrap w:val="0"/>
            <w:vAlign w:val="center"/>
          </w:tcPr>
          <w:p w14:paraId="1663D7C3">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AEB015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5E797B5">
            <w:pPr>
              <w:pStyle w:val="12"/>
              <w:pageBreakBefore w:val="0"/>
              <w:wordWrap/>
              <w:bidi w:val="0"/>
              <w:adjustRightInd/>
              <w:snapToGrid/>
              <w:rPr>
                <w:color w:val="auto"/>
              </w:rPr>
            </w:pPr>
          </w:p>
        </w:tc>
      </w:tr>
      <w:tr w14:paraId="6524514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40C486E3">
            <w:pPr>
              <w:pStyle w:val="12"/>
              <w:pageBreakBefore w:val="0"/>
              <w:wordWrap/>
              <w:bidi w:val="0"/>
              <w:adjustRightInd/>
              <w:snapToGrid/>
              <w:jc w:val="left"/>
              <w:rPr>
                <w:color w:val="auto"/>
              </w:rPr>
            </w:pPr>
            <w:r>
              <w:rPr>
                <w:b/>
                <w:bCs/>
                <w:color w:val="auto"/>
              </w:rPr>
              <w:t>园区事故池主要设备一览表</w:t>
            </w:r>
          </w:p>
        </w:tc>
      </w:tr>
      <w:tr w14:paraId="7EE4C8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0E6F1ED">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2306F209">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67CA902D">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146E999E">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03598E72">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4E093B0E">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49AA719F">
            <w:pPr>
              <w:pStyle w:val="12"/>
              <w:pageBreakBefore w:val="0"/>
              <w:wordWrap/>
              <w:bidi w:val="0"/>
              <w:adjustRightInd/>
              <w:snapToGrid/>
              <w:rPr>
                <w:b/>
                <w:bCs/>
                <w:color w:val="auto"/>
              </w:rPr>
            </w:pPr>
            <w:r>
              <w:rPr>
                <w:b/>
                <w:bCs/>
                <w:color w:val="auto"/>
              </w:rPr>
              <w:t>备注</w:t>
            </w:r>
          </w:p>
        </w:tc>
      </w:tr>
      <w:tr w14:paraId="1A4EDF6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C0AF037">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4BF016E5">
            <w:pPr>
              <w:pStyle w:val="12"/>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589B623F">
            <w:pPr>
              <w:pStyle w:val="12"/>
              <w:pageBreakBefore w:val="0"/>
              <w:wordWrap/>
              <w:bidi w:val="0"/>
              <w:adjustRightInd/>
              <w:snapToGrid/>
              <w:rPr>
                <w:rFonts w:hint="eastAsia" w:eastAsia="宋体"/>
                <w:color w:val="auto"/>
                <w:lang w:eastAsia="zh-CN"/>
              </w:rPr>
            </w:pPr>
            <w:r>
              <w:rPr>
                <w:color w:val="auto"/>
              </w:rPr>
              <w:t>N=5.5kW</w:t>
            </w:r>
            <w:r>
              <w:rPr>
                <w:rFonts w:hint="eastAsia"/>
                <w:color w:val="auto"/>
                <w:lang w:eastAsia="zh-CN"/>
              </w:rPr>
              <w:t>，</w:t>
            </w:r>
            <w:r>
              <w:rPr>
                <w:color w:val="auto"/>
              </w:rPr>
              <w:t>r=480r/min</w:t>
            </w:r>
            <w:r>
              <w:rPr>
                <w:rFonts w:hint="eastAsia"/>
                <w:color w:val="auto"/>
                <w:lang w:eastAsia="zh-CN"/>
              </w:rPr>
              <w:t>，</w:t>
            </w:r>
            <w:r>
              <w:rPr>
                <w:color w:val="auto"/>
              </w:rPr>
              <w:t>叶片直径=580mm</w:t>
            </w:r>
            <w:r>
              <w:rPr>
                <w:rFonts w:hint="eastAsia"/>
                <w:color w:val="auto"/>
                <w:lang w:eastAsia="zh-CN"/>
              </w:rPr>
              <w:t>，</w:t>
            </w:r>
            <w:r>
              <w:rPr>
                <w:color w:val="auto"/>
              </w:rPr>
              <w:t>带起吊装置</w:t>
            </w:r>
            <w:r>
              <w:rPr>
                <w:rFonts w:hint="eastAsia"/>
                <w:color w:val="auto"/>
                <w:lang w:eastAsia="zh-CN"/>
              </w:rPr>
              <w:t>（</w:t>
            </w:r>
            <w:r>
              <w:rPr>
                <w:color w:val="auto"/>
              </w:rPr>
              <w:t>碳钢防腐</w:t>
            </w:r>
            <w:r>
              <w:rPr>
                <w:rFonts w:hint="eastAsia"/>
                <w:color w:val="auto"/>
                <w:lang w:eastAsia="zh-CN"/>
              </w:rPr>
              <w:t>）</w:t>
            </w:r>
          </w:p>
        </w:tc>
        <w:tc>
          <w:tcPr>
            <w:tcW w:w="612" w:type="pct"/>
            <w:tcBorders>
              <w:tl2br w:val="nil"/>
              <w:tr2bl w:val="nil"/>
            </w:tcBorders>
            <w:noWrap w:val="0"/>
            <w:vAlign w:val="center"/>
          </w:tcPr>
          <w:p w14:paraId="47CDE3B4">
            <w:pPr>
              <w:pStyle w:val="12"/>
              <w:pageBreakBefore w:val="0"/>
              <w:wordWrap/>
              <w:bidi w:val="0"/>
              <w:adjustRightInd/>
              <w:snapToGrid/>
              <w:rPr>
                <w:color w:val="auto"/>
              </w:rPr>
            </w:pPr>
            <w:r>
              <w:rPr>
                <w:color w:val="auto"/>
              </w:rPr>
              <w:t>叶轮材质316L不锈钢</w:t>
            </w:r>
          </w:p>
        </w:tc>
        <w:tc>
          <w:tcPr>
            <w:tcW w:w="279" w:type="pct"/>
            <w:tcBorders>
              <w:tl2br w:val="nil"/>
              <w:tr2bl w:val="nil"/>
            </w:tcBorders>
            <w:noWrap w:val="0"/>
            <w:vAlign w:val="center"/>
          </w:tcPr>
          <w:p w14:paraId="7075F2F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7D3EABF">
            <w:pPr>
              <w:pStyle w:val="12"/>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6D76CB89">
            <w:pPr>
              <w:pStyle w:val="12"/>
              <w:pageBreakBefore w:val="0"/>
              <w:wordWrap/>
              <w:bidi w:val="0"/>
              <w:adjustRightInd/>
              <w:snapToGrid/>
              <w:rPr>
                <w:color w:val="auto"/>
              </w:rPr>
            </w:pPr>
          </w:p>
        </w:tc>
      </w:tr>
      <w:tr w14:paraId="03E20B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24CE83F">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72F8B48D">
            <w:pPr>
              <w:pStyle w:val="12"/>
              <w:pageBreakBefore w:val="0"/>
              <w:wordWrap/>
              <w:bidi w:val="0"/>
              <w:adjustRightInd/>
              <w:snapToGrid/>
              <w:rPr>
                <w:color w:val="auto"/>
              </w:rPr>
            </w:pPr>
            <w:r>
              <w:rPr>
                <w:color w:val="auto"/>
              </w:rPr>
              <w:t>手动铸铁镶铜方闸门</w:t>
            </w:r>
          </w:p>
        </w:tc>
        <w:tc>
          <w:tcPr>
            <w:tcW w:w="1532" w:type="pct"/>
            <w:tcBorders>
              <w:tl2br w:val="nil"/>
              <w:tr2bl w:val="nil"/>
            </w:tcBorders>
            <w:noWrap w:val="0"/>
            <w:vAlign w:val="center"/>
          </w:tcPr>
          <w:p w14:paraId="02169CD8">
            <w:pPr>
              <w:pStyle w:val="12"/>
              <w:pageBreakBefore w:val="0"/>
              <w:wordWrap/>
              <w:bidi w:val="0"/>
              <w:adjustRightInd/>
              <w:snapToGrid/>
              <w:rPr>
                <w:color w:val="auto"/>
              </w:rPr>
            </w:pPr>
            <w:r>
              <w:rPr>
                <w:color w:val="auto"/>
              </w:rPr>
              <w:t>B×H=500×500mmH{中心}=3.60m双向受压</w:t>
            </w:r>
            <w:r>
              <w:rPr>
                <w:rFonts w:hint="eastAsia"/>
                <w:color w:val="auto"/>
                <w:lang w:eastAsia="zh-CN"/>
              </w:rPr>
              <w:t>，</w:t>
            </w:r>
            <w:r>
              <w:rPr>
                <w:color w:val="auto"/>
              </w:rPr>
              <w:t>上开式</w:t>
            </w:r>
            <w:r>
              <w:rPr>
                <w:rFonts w:hint="eastAsia"/>
                <w:color w:val="auto"/>
                <w:lang w:eastAsia="zh-CN"/>
              </w:rPr>
              <w:t>，</w:t>
            </w:r>
            <w:r>
              <w:rPr>
                <w:color w:val="auto"/>
              </w:rPr>
              <w:t>附壁式安装</w:t>
            </w:r>
            <w:r>
              <w:rPr>
                <w:rFonts w:hint="eastAsia"/>
                <w:color w:val="auto"/>
                <w:lang w:eastAsia="zh-CN"/>
              </w:rPr>
              <w:t>，</w:t>
            </w:r>
            <w:r>
              <w:rPr>
                <w:color w:val="auto"/>
              </w:rPr>
              <w:t>配手动启闭机</w:t>
            </w:r>
          </w:p>
        </w:tc>
        <w:tc>
          <w:tcPr>
            <w:tcW w:w="612" w:type="pct"/>
            <w:tcBorders>
              <w:tl2br w:val="nil"/>
              <w:tr2bl w:val="nil"/>
            </w:tcBorders>
            <w:noWrap w:val="0"/>
            <w:vAlign w:val="center"/>
          </w:tcPr>
          <w:p w14:paraId="1221DE82">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082AD4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0E27BD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41D234A">
            <w:pPr>
              <w:pStyle w:val="12"/>
              <w:pageBreakBefore w:val="0"/>
              <w:wordWrap/>
              <w:bidi w:val="0"/>
              <w:adjustRightInd/>
              <w:snapToGrid/>
              <w:rPr>
                <w:color w:val="auto"/>
              </w:rPr>
            </w:pPr>
            <w:r>
              <w:rPr>
                <w:color w:val="auto"/>
              </w:rPr>
              <w:t>闸门H</w:t>
            </w:r>
            <w:r>
              <w:rPr>
                <w:rFonts w:hint="eastAsia"/>
                <w:color w:val="auto"/>
                <w:lang w:eastAsia="zh-CN"/>
              </w:rPr>
              <w:t>｛</w:t>
            </w:r>
            <w:r>
              <w:rPr>
                <w:color w:val="auto"/>
              </w:rPr>
              <w:t>中心</w:t>
            </w:r>
            <w:r>
              <w:rPr>
                <w:rFonts w:hint="eastAsia"/>
                <w:color w:val="auto"/>
                <w:lang w:eastAsia="zh-CN"/>
              </w:rPr>
              <w:t>｝</w:t>
            </w:r>
            <w:r>
              <w:rPr>
                <w:color w:val="auto"/>
              </w:rPr>
              <w:t>表示闸孔中心至启闭机底座的距离</w:t>
            </w:r>
            <w:r>
              <w:rPr>
                <w:rFonts w:hint="eastAsia"/>
                <w:color w:val="auto"/>
                <w:lang w:eastAsia="zh-CN"/>
              </w:rPr>
              <w:t>，</w:t>
            </w:r>
            <w:r>
              <w:rPr>
                <w:color w:val="auto"/>
              </w:rPr>
              <w:t>配套丝杆</w:t>
            </w:r>
            <w:r>
              <w:rPr>
                <w:rFonts w:hint="eastAsia"/>
                <w:color w:val="auto"/>
                <w:lang w:eastAsia="zh-CN"/>
              </w:rPr>
              <w:t>、</w:t>
            </w:r>
            <w:r>
              <w:rPr>
                <w:color w:val="auto"/>
              </w:rPr>
              <w:t>轴导架、联接套</w:t>
            </w:r>
          </w:p>
        </w:tc>
      </w:tr>
      <w:tr w14:paraId="621786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64DFADEA">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0B2AFFD">
            <w:pPr>
              <w:pStyle w:val="12"/>
              <w:pageBreakBefore w:val="0"/>
              <w:wordWrap/>
              <w:bidi w:val="0"/>
              <w:adjustRightInd/>
              <w:snapToGrid/>
              <w:rPr>
                <w:color w:val="auto"/>
              </w:rPr>
            </w:pPr>
            <w:r>
              <w:rPr>
                <w:color w:val="auto"/>
              </w:rPr>
              <w:t>事故池提升泵</w:t>
            </w:r>
          </w:p>
        </w:tc>
        <w:tc>
          <w:tcPr>
            <w:tcW w:w="1532" w:type="pct"/>
            <w:tcBorders>
              <w:tl2br w:val="nil"/>
              <w:tr2bl w:val="nil"/>
            </w:tcBorders>
            <w:noWrap w:val="0"/>
            <w:vAlign w:val="center"/>
          </w:tcPr>
          <w:p w14:paraId="7DFCCB25">
            <w:pPr>
              <w:pStyle w:val="12"/>
              <w:pageBreakBefore w:val="0"/>
              <w:wordWrap/>
              <w:bidi w:val="0"/>
              <w:adjustRightInd/>
              <w:snapToGrid/>
              <w:rPr>
                <w:color w:val="auto"/>
              </w:rPr>
            </w:pPr>
            <w:r>
              <w:rPr>
                <w:color w:val="auto"/>
              </w:rPr>
              <w:t>潜污泵</w:t>
            </w:r>
            <w:r>
              <w:rPr>
                <w:rFonts w:hint="eastAsia"/>
                <w:color w:val="auto"/>
                <w:lang w:eastAsia="zh-CN"/>
              </w:rPr>
              <w:t>，</w:t>
            </w:r>
            <w:r>
              <w:rPr>
                <w:color w:val="auto"/>
              </w:rPr>
              <w:t>Q=100</w:t>
            </w:r>
            <w:r>
              <w:rPr>
                <w:rFonts w:hint="eastAsia"/>
                <w:color w:val="auto"/>
                <w:lang w:eastAsia="zh-CN"/>
              </w:rPr>
              <w:t>m³</w:t>
            </w:r>
            <w:r>
              <w:rPr>
                <w:color w:val="auto"/>
              </w:rPr>
              <w:t>/h</w:t>
            </w:r>
            <w:r>
              <w:rPr>
                <w:rFonts w:hint="eastAsia"/>
                <w:color w:val="auto"/>
                <w:lang w:eastAsia="zh-CN"/>
              </w:rPr>
              <w:t>，</w:t>
            </w:r>
            <w:r>
              <w:rPr>
                <w:color w:val="auto"/>
              </w:rPr>
              <w:t>H=20m</w:t>
            </w:r>
            <w:r>
              <w:rPr>
                <w:rFonts w:hint="eastAsia"/>
                <w:color w:val="auto"/>
                <w:lang w:eastAsia="zh-CN"/>
              </w:rPr>
              <w:t>，</w:t>
            </w:r>
            <w:r>
              <w:rPr>
                <w:color w:val="auto"/>
              </w:rPr>
              <w:t>N=15kW</w:t>
            </w:r>
          </w:p>
        </w:tc>
        <w:tc>
          <w:tcPr>
            <w:tcW w:w="612" w:type="pct"/>
            <w:tcBorders>
              <w:tl2br w:val="nil"/>
              <w:tr2bl w:val="nil"/>
            </w:tcBorders>
            <w:noWrap w:val="0"/>
            <w:vAlign w:val="center"/>
          </w:tcPr>
          <w:p w14:paraId="76CE9DC8">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66B543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6F9EE89">
            <w:pPr>
              <w:pStyle w:val="12"/>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3D00AA92">
            <w:pPr>
              <w:pStyle w:val="12"/>
              <w:pageBreakBefore w:val="0"/>
              <w:wordWrap/>
              <w:bidi w:val="0"/>
              <w:adjustRightInd/>
              <w:snapToGrid/>
              <w:rPr>
                <w:color w:val="auto"/>
              </w:rPr>
            </w:pPr>
            <w:r>
              <w:rPr>
                <w:color w:val="auto"/>
              </w:rPr>
              <w:t>3用3备</w:t>
            </w:r>
            <w:r>
              <w:rPr>
                <w:rFonts w:hint="eastAsia"/>
                <w:color w:val="auto"/>
                <w:lang w:eastAsia="zh-CN"/>
              </w:rPr>
              <w:t>，</w:t>
            </w:r>
            <w:r>
              <w:rPr>
                <w:color w:val="auto"/>
              </w:rPr>
              <w:t>变频控制</w:t>
            </w:r>
          </w:p>
        </w:tc>
      </w:tr>
      <w:tr w14:paraId="752D41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0B4DC192">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4CA22483">
            <w:pPr>
              <w:pStyle w:val="12"/>
              <w:pageBreakBefore w:val="0"/>
              <w:wordWrap/>
              <w:bidi w:val="0"/>
              <w:adjustRightInd/>
              <w:snapToGrid/>
              <w:rPr>
                <w:color w:val="auto"/>
              </w:rPr>
            </w:pPr>
            <w:r>
              <w:rPr>
                <w:color w:val="auto"/>
              </w:rPr>
              <w:t>有毒气体检测仪</w:t>
            </w:r>
          </w:p>
        </w:tc>
        <w:tc>
          <w:tcPr>
            <w:tcW w:w="1532" w:type="pct"/>
            <w:tcBorders>
              <w:tl2br w:val="nil"/>
              <w:tr2bl w:val="nil"/>
            </w:tcBorders>
            <w:noWrap w:val="0"/>
            <w:vAlign w:val="center"/>
          </w:tcPr>
          <w:p w14:paraId="1E6CC910">
            <w:pPr>
              <w:pStyle w:val="12"/>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047CE70F">
            <w:pPr>
              <w:pStyle w:val="12"/>
              <w:pageBreakBefore w:val="0"/>
              <w:wordWrap/>
              <w:bidi w:val="0"/>
              <w:adjustRightInd/>
              <w:snapToGrid/>
              <w:rPr>
                <w:color w:val="auto"/>
              </w:rPr>
            </w:pPr>
          </w:p>
        </w:tc>
        <w:tc>
          <w:tcPr>
            <w:tcW w:w="279" w:type="pct"/>
            <w:tcBorders>
              <w:tl2br w:val="nil"/>
              <w:tr2bl w:val="nil"/>
            </w:tcBorders>
            <w:noWrap w:val="0"/>
            <w:vAlign w:val="center"/>
          </w:tcPr>
          <w:p w14:paraId="7ECABD6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6CD7787">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1073520">
            <w:pPr>
              <w:pStyle w:val="12"/>
              <w:pageBreakBefore w:val="0"/>
              <w:wordWrap/>
              <w:bidi w:val="0"/>
              <w:adjustRightInd/>
              <w:snapToGrid/>
              <w:rPr>
                <w:color w:val="auto"/>
              </w:rPr>
            </w:pPr>
            <w:r>
              <w:rPr>
                <w:color w:val="auto"/>
              </w:rPr>
              <w:t>计入自控专业</w:t>
            </w:r>
          </w:p>
        </w:tc>
      </w:tr>
      <w:tr w14:paraId="5AD3B74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E792877">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A011A42">
            <w:pPr>
              <w:pStyle w:val="12"/>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48693BE8">
            <w:pPr>
              <w:pStyle w:val="12"/>
              <w:pageBreakBefore w:val="0"/>
              <w:wordWrap/>
              <w:bidi w:val="0"/>
              <w:adjustRightInd/>
              <w:snapToGrid/>
              <w:rPr>
                <w:color w:val="auto"/>
              </w:rPr>
            </w:pPr>
            <w:r>
              <w:rPr>
                <w:color w:val="auto"/>
              </w:rPr>
              <w:t>0-10m</w:t>
            </w:r>
          </w:p>
        </w:tc>
        <w:tc>
          <w:tcPr>
            <w:tcW w:w="612" w:type="pct"/>
            <w:tcBorders>
              <w:tl2br w:val="nil"/>
              <w:tr2bl w:val="nil"/>
            </w:tcBorders>
            <w:noWrap w:val="0"/>
            <w:vAlign w:val="center"/>
          </w:tcPr>
          <w:p w14:paraId="0E105269">
            <w:pPr>
              <w:pStyle w:val="12"/>
              <w:pageBreakBefore w:val="0"/>
              <w:wordWrap/>
              <w:bidi w:val="0"/>
              <w:adjustRightInd/>
              <w:snapToGrid/>
              <w:rPr>
                <w:color w:val="auto"/>
              </w:rPr>
            </w:pPr>
          </w:p>
        </w:tc>
        <w:tc>
          <w:tcPr>
            <w:tcW w:w="279" w:type="pct"/>
            <w:tcBorders>
              <w:tl2br w:val="nil"/>
              <w:tr2bl w:val="nil"/>
            </w:tcBorders>
            <w:noWrap w:val="0"/>
            <w:vAlign w:val="center"/>
          </w:tcPr>
          <w:p w14:paraId="7624D3F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0415E9C">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8748573">
            <w:pPr>
              <w:pStyle w:val="12"/>
              <w:pageBreakBefore w:val="0"/>
              <w:wordWrap/>
              <w:bidi w:val="0"/>
              <w:adjustRightInd/>
              <w:snapToGrid/>
              <w:rPr>
                <w:color w:val="auto"/>
              </w:rPr>
            </w:pPr>
            <w:r>
              <w:rPr>
                <w:color w:val="auto"/>
              </w:rPr>
              <w:t>计入自控专业</w:t>
            </w:r>
          </w:p>
        </w:tc>
      </w:tr>
      <w:tr w14:paraId="044BF9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6DC802F2">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49568FD5">
            <w:pPr>
              <w:pStyle w:val="12"/>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729139EF">
            <w:pPr>
              <w:pStyle w:val="12"/>
              <w:pageBreakBefore w:val="0"/>
              <w:wordWrap/>
              <w:bidi w:val="0"/>
              <w:adjustRightInd/>
              <w:snapToGrid/>
              <w:rPr>
                <w:color w:val="auto"/>
              </w:rPr>
            </w:pPr>
            <w:r>
              <w:rPr>
                <w:color w:val="auto"/>
              </w:rPr>
              <w:t>1500×1500mm</w:t>
            </w:r>
          </w:p>
        </w:tc>
        <w:tc>
          <w:tcPr>
            <w:tcW w:w="612" w:type="pct"/>
            <w:tcBorders>
              <w:tl2br w:val="nil"/>
              <w:tr2bl w:val="nil"/>
            </w:tcBorders>
            <w:noWrap w:val="0"/>
            <w:vAlign w:val="center"/>
          </w:tcPr>
          <w:p w14:paraId="0A82B8E0">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2D16CC85">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3BEC837">
            <w:pPr>
              <w:pStyle w:val="12"/>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45F998F3">
            <w:pPr>
              <w:pStyle w:val="12"/>
              <w:pageBreakBefore w:val="0"/>
              <w:wordWrap/>
              <w:bidi w:val="0"/>
              <w:adjustRightInd/>
              <w:snapToGrid/>
              <w:rPr>
                <w:color w:val="auto"/>
              </w:rPr>
            </w:pPr>
            <w:r>
              <w:rPr>
                <w:color w:val="auto"/>
              </w:rPr>
              <w:t>配套挂钩螺栓等</w:t>
            </w:r>
          </w:p>
        </w:tc>
      </w:tr>
      <w:tr w14:paraId="4D39DD1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5F85E25">
            <w:pPr>
              <w:pStyle w:val="12"/>
              <w:pageBreakBefore w:val="0"/>
              <w:wordWrap/>
              <w:bidi w:val="0"/>
              <w:adjustRightInd/>
              <w:snapToGrid/>
              <w:rPr>
                <w:color w:val="auto"/>
              </w:rPr>
            </w:pPr>
          </w:p>
        </w:tc>
        <w:tc>
          <w:tcPr>
            <w:tcW w:w="843" w:type="pct"/>
            <w:gridSpan w:val="2"/>
            <w:tcBorders>
              <w:tl2br w:val="nil"/>
              <w:tr2bl w:val="nil"/>
            </w:tcBorders>
            <w:noWrap w:val="0"/>
            <w:vAlign w:val="center"/>
          </w:tcPr>
          <w:p w14:paraId="7C71B284">
            <w:pPr>
              <w:pStyle w:val="12"/>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74BCFE8B">
            <w:pPr>
              <w:pStyle w:val="12"/>
              <w:pageBreakBefore w:val="0"/>
              <w:wordWrap/>
              <w:bidi w:val="0"/>
              <w:adjustRightInd/>
              <w:snapToGrid/>
              <w:rPr>
                <w:color w:val="auto"/>
              </w:rPr>
            </w:pPr>
            <w:r>
              <w:rPr>
                <w:color w:val="auto"/>
              </w:rPr>
              <w:t>3000×1200mm</w:t>
            </w:r>
          </w:p>
        </w:tc>
        <w:tc>
          <w:tcPr>
            <w:tcW w:w="612" w:type="pct"/>
            <w:tcBorders>
              <w:tl2br w:val="nil"/>
              <w:tr2bl w:val="nil"/>
            </w:tcBorders>
            <w:noWrap w:val="0"/>
            <w:vAlign w:val="center"/>
          </w:tcPr>
          <w:p w14:paraId="116A71C2">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2845FBA7">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797AE52">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27B9C63">
            <w:pPr>
              <w:pStyle w:val="12"/>
              <w:pageBreakBefore w:val="0"/>
              <w:wordWrap/>
              <w:bidi w:val="0"/>
              <w:adjustRightInd/>
              <w:snapToGrid/>
              <w:rPr>
                <w:color w:val="auto"/>
              </w:rPr>
            </w:pPr>
            <w:r>
              <w:rPr>
                <w:color w:val="auto"/>
              </w:rPr>
              <w:t>配套挂钩螺栓等</w:t>
            </w:r>
          </w:p>
        </w:tc>
      </w:tr>
      <w:tr w14:paraId="11B3EAD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46EFAD">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0B50F638">
            <w:pPr>
              <w:pStyle w:val="12"/>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7486753B">
            <w:pPr>
              <w:pStyle w:val="12"/>
              <w:pageBreakBefore w:val="0"/>
              <w:wordWrap/>
              <w:bidi w:val="0"/>
              <w:adjustRightInd/>
              <w:snapToGrid/>
              <w:rPr>
                <w:color w:val="auto"/>
              </w:rPr>
            </w:pPr>
            <w:r>
              <w:rPr>
                <w:color w:val="auto"/>
              </w:rPr>
              <w:t>1000×1500mm</w:t>
            </w:r>
          </w:p>
        </w:tc>
        <w:tc>
          <w:tcPr>
            <w:tcW w:w="612" w:type="pct"/>
            <w:tcBorders>
              <w:tl2br w:val="nil"/>
              <w:tr2bl w:val="nil"/>
            </w:tcBorders>
            <w:noWrap w:val="0"/>
            <w:vAlign w:val="center"/>
          </w:tcPr>
          <w:p w14:paraId="4DB28F76">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1241C5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E2CA7D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58EAAAE">
            <w:pPr>
              <w:pStyle w:val="12"/>
              <w:pageBreakBefore w:val="0"/>
              <w:wordWrap/>
              <w:bidi w:val="0"/>
              <w:adjustRightInd/>
              <w:snapToGrid/>
              <w:rPr>
                <w:color w:val="auto"/>
              </w:rPr>
            </w:pPr>
            <w:r>
              <w:rPr>
                <w:color w:val="auto"/>
              </w:rPr>
              <w:t>配套挂钩螺栓等</w:t>
            </w:r>
          </w:p>
        </w:tc>
      </w:tr>
      <w:tr w14:paraId="0A4DF8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6DADA29">
            <w:pPr>
              <w:pStyle w:val="12"/>
              <w:pageBreakBefore w:val="0"/>
              <w:wordWrap/>
              <w:bidi w:val="0"/>
              <w:adjustRightInd/>
              <w:snapToGrid/>
              <w:jc w:val="left"/>
              <w:rPr>
                <w:color w:val="auto"/>
              </w:rPr>
            </w:pPr>
            <w:r>
              <w:rPr>
                <w:b/>
                <w:bCs/>
                <w:color w:val="auto"/>
              </w:rPr>
              <w:t>风机房主要设备表</w:t>
            </w:r>
          </w:p>
        </w:tc>
      </w:tr>
      <w:tr w14:paraId="3FD221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041C8CD">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29B40A0D">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5530429">
            <w:pPr>
              <w:pStyle w:val="12"/>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72D89E3A">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6CC8B866">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2F3ED96F">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72C83778">
            <w:pPr>
              <w:pStyle w:val="12"/>
              <w:pageBreakBefore w:val="0"/>
              <w:wordWrap/>
              <w:bidi w:val="0"/>
              <w:adjustRightInd/>
              <w:snapToGrid/>
              <w:rPr>
                <w:b/>
                <w:bCs/>
                <w:color w:val="auto"/>
              </w:rPr>
            </w:pPr>
            <w:r>
              <w:rPr>
                <w:b/>
                <w:bCs/>
                <w:color w:val="auto"/>
              </w:rPr>
              <w:t>备注</w:t>
            </w:r>
          </w:p>
        </w:tc>
      </w:tr>
      <w:tr w14:paraId="4F6323C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353A935">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205BC8FC">
            <w:pPr>
              <w:pStyle w:val="12"/>
              <w:pageBreakBefore w:val="0"/>
              <w:wordWrap/>
              <w:bidi w:val="0"/>
              <w:adjustRightInd/>
              <w:snapToGrid/>
              <w:rPr>
                <w:color w:val="auto"/>
              </w:rPr>
            </w:pPr>
            <w:r>
              <w:rPr>
                <w:color w:val="auto"/>
              </w:rPr>
              <w:t>空气悬浮鼓风机</w:t>
            </w:r>
          </w:p>
        </w:tc>
        <w:tc>
          <w:tcPr>
            <w:tcW w:w="1532" w:type="pct"/>
            <w:tcBorders>
              <w:tl2br w:val="nil"/>
              <w:tr2bl w:val="nil"/>
            </w:tcBorders>
            <w:noWrap w:val="0"/>
            <w:vAlign w:val="center"/>
          </w:tcPr>
          <w:p w14:paraId="4A516AE3">
            <w:pPr>
              <w:pStyle w:val="12"/>
              <w:pageBreakBefore w:val="0"/>
              <w:wordWrap/>
              <w:bidi w:val="0"/>
              <w:adjustRightInd/>
              <w:snapToGrid/>
              <w:rPr>
                <w:color w:val="auto"/>
              </w:rPr>
            </w:pPr>
            <w:r>
              <w:rPr>
                <w:color w:val="auto"/>
              </w:rPr>
              <w:t>Q=4.7</w:t>
            </w:r>
            <w:r>
              <w:rPr>
                <w:rFonts w:hint="eastAsia"/>
                <w:color w:val="auto"/>
                <w:lang w:eastAsia="zh-CN"/>
              </w:rPr>
              <w:t>m³</w:t>
            </w:r>
            <w:r>
              <w:rPr>
                <w:color w:val="auto"/>
              </w:rPr>
              <w:t>/min</w:t>
            </w:r>
            <w:r>
              <w:rPr>
                <w:rFonts w:hint="eastAsia"/>
                <w:color w:val="auto"/>
                <w:lang w:eastAsia="zh-CN"/>
              </w:rPr>
              <w:t>，</w:t>
            </w:r>
            <w:r>
              <w:rPr>
                <w:color w:val="auto"/>
              </w:rPr>
              <w:t>P=0.06MPa</w:t>
            </w:r>
            <w:r>
              <w:rPr>
                <w:rFonts w:hint="eastAsia"/>
                <w:color w:val="auto"/>
                <w:lang w:eastAsia="zh-CN"/>
              </w:rPr>
              <w:t>，</w:t>
            </w:r>
            <w:r>
              <w:rPr>
                <w:color w:val="auto"/>
              </w:rPr>
              <w:t>整机功率11kW</w:t>
            </w:r>
          </w:p>
        </w:tc>
        <w:tc>
          <w:tcPr>
            <w:tcW w:w="612" w:type="pct"/>
            <w:tcBorders>
              <w:tl2br w:val="nil"/>
              <w:tr2bl w:val="nil"/>
            </w:tcBorders>
            <w:noWrap w:val="0"/>
            <w:vAlign w:val="center"/>
          </w:tcPr>
          <w:p w14:paraId="315F56FD">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E0D4C63">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F2FE976">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C7FE9EC">
            <w:pPr>
              <w:pStyle w:val="12"/>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配隔音罩</w:t>
            </w:r>
            <w:r>
              <w:rPr>
                <w:rFonts w:hint="eastAsia"/>
                <w:color w:val="auto"/>
                <w:lang w:eastAsia="zh-CN"/>
              </w:rPr>
              <w:t>，</w:t>
            </w:r>
            <w:r>
              <w:rPr>
                <w:color w:val="auto"/>
              </w:rPr>
              <w:t>安全卸荷阀</w:t>
            </w:r>
            <w:r>
              <w:rPr>
                <w:rFonts w:hint="eastAsia"/>
                <w:color w:val="auto"/>
                <w:lang w:eastAsia="zh-CN"/>
              </w:rPr>
              <w:t>，</w:t>
            </w:r>
            <w:r>
              <w:rPr>
                <w:color w:val="auto"/>
              </w:rPr>
              <w:t>止回阀</w:t>
            </w:r>
            <w:r>
              <w:rPr>
                <w:rFonts w:hint="eastAsia"/>
                <w:color w:val="auto"/>
                <w:lang w:eastAsia="zh-CN"/>
              </w:rPr>
              <w:t>，</w:t>
            </w:r>
            <w:r>
              <w:rPr>
                <w:color w:val="auto"/>
              </w:rPr>
              <w:t>补偿器</w:t>
            </w:r>
            <w:r>
              <w:rPr>
                <w:rFonts w:hint="eastAsia"/>
                <w:color w:val="auto"/>
                <w:lang w:eastAsia="zh-CN"/>
              </w:rPr>
              <w:t>，</w:t>
            </w:r>
            <w:r>
              <w:rPr>
                <w:color w:val="auto"/>
              </w:rPr>
              <w:t>进气过滤装置隔振垫、变频控制柜等</w:t>
            </w:r>
          </w:p>
        </w:tc>
      </w:tr>
      <w:tr w14:paraId="44E92C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4AFD5AF">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710F0B4">
            <w:pPr>
              <w:pStyle w:val="12"/>
              <w:pageBreakBefore w:val="0"/>
              <w:wordWrap/>
              <w:bidi w:val="0"/>
              <w:adjustRightInd/>
              <w:snapToGrid/>
              <w:rPr>
                <w:color w:val="auto"/>
              </w:rPr>
            </w:pPr>
            <w:r>
              <w:rPr>
                <w:color w:val="auto"/>
              </w:rPr>
              <w:t>轴流通风机</w:t>
            </w:r>
          </w:p>
        </w:tc>
        <w:tc>
          <w:tcPr>
            <w:tcW w:w="1532" w:type="pct"/>
            <w:tcBorders>
              <w:tl2br w:val="nil"/>
              <w:tr2bl w:val="nil"/>
            </w:tcBorders>
            <w:noWrap w:val="0"/>
            <w:vAlign w:val="center"/>
          </w:tcPr>
          <w:p w14:paraId="5AD067C5">
            <w:pPr>
              <w:pStyle w:val="12"/>
              <w:pageBreakBefore w:val="0"/>
              <w:wordWrap/>
              <w:bidi w:val="0"/>
              <w:adjustRightInd/>
              <w:snapToGrid/>
              <w:rPr>
                <w:color w:val="auto"/>
              </w:rPr>
            </w:pPr>
            <w:r>
              <w:rPr>
                <w:color w:val="auto"/>
              </w:rPr>
              <w:t>G=1500</w:t>
            </w:r>
            <w:r>
              <w:rPr>
                <w:rFonts w:hint="eastAsia"/>
                <w:color w:val="auto"/>
                <w:lang w:eastAsia="zh-CN"/>
              </w:rPr>
              <w:t>m³</w:t>
            </w:r>
            <w:r>
              <w:rPr>
                <w:color w:val="auto"/>
              </w:rPr>
              <w:t>/h</w:t>
            </w:r>
            <w:r>
              <w:rPr>
                <w:rFonts w:hint="eastAsia"/>
                <w:color w:val="auto"/>
                <w:lang w:eastAsia="zh-CN"/>
              </w:rPr>
              <w:t>，</w:t>
            </w:r>
            <w:r>
              <w:rPr>
                <w:color w:val="auto"/>
              </w:rPr>
              <w:t>H=135Pa</w:t>
            </w:r>
            <w:r>
              <w:rPr>
                <w:rFonts w:hint="eastAsia"/>
                <w:color w:val="auto"/>
                <w:lang w:eastAsia="zh-CN"/>
              </w:rPr>
              <w:t>，</w:t>
            </w:r>
            <w:r>
              <w:rPr>
                <w:color w:val="auto"/>
              </w:rPr>
              <w:t>n=1450rpm</w:t>
            </w:r>
            <w:r>
              <w:rPr>
                <w:rFonts w:hint="eastAsia"/>
                <w:color w:val="auto"/>
                <w:lang w:eastAsia="zh-CN"/>
              </w:rPr>
              <w:t>，</w:t>
            </w:r>
            <w:r>
              <w:rPr>
                <w:color w:val="auto"/>
              </w:rPr>
              <w:t>N=0.37kW</w:t>
            </w:r>
          </w:p>
        </w:tc>
        <w:tc>
          <w:tcPr>
            <w:tcW w:w="612" w:type="pct"/>
            <w:tcBorders>
              <w:tl2br w:val="nil"/>
              <w:tr2bl w:val="nil"/>
            </w:tcBorders>
            <w:noWrap w:val="0"/>
            <w:vAlign w:val="center"/>
          </w:tcPr>
          <w:p w14:paraId="524C3DBB">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254BF90A">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62520D5">
            <w:pPr>
              <w:pStyle w:val="12"/>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7B3776AF">
            <w:pPr>
              <w:pStyle w:val="12"/>
              <w:pageBreakBefore w:val="0"/>
              <w:wordWrap/>
              <w:bidi w:val="0"/>
              <w:adjustRightInd/>
              <w:snapToGrid/>
              <w:rPr>
                <w:color w:val="auto"/>
              </w:rPr>
            </w:pPr>
          </w:p>
        </w:tc>
      </w:tr>
      <w:tr w14:paraId="519B9EA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4991864">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38422992">
            <w:pPr>
              <w:pStyle w:val="12"/>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5EB7413C">
            <w:pPr>
              <w:pStyle w:val="12"/>
              <w:pageBreakBefore w:val="0"/>
              <w:wordWrap/>
              <w:bidi w:val="0"/>
              <w:adjustRightInd/>
              <w:snapToGrid/>
              <w:rPr>
                <w:color w:val="auto"/>
              </w:rPr>
            </w:pPr>
            <w:r>
              <w:rPr>
                <w:color w:val="auto"/>
              </w:rPr>
              <w:t>MF/ABC5</w:t>
            </w:r>
          </w:p>
        </w:tc>
        <w:tc>
          <w:tcPr>
            <w:tcW w:w="612" w:type="pct"/>
            <w:tcBorders>
              <w:tl2br w:val="nil"/>
              <w:tr2bl w:val="nil"/>
            </w:tcBorders>
            <w:noWrap w:val="0"/>
            <w:vAlign w:val="center"/>
          </w:tcPr>
          <w:p w14:paraId="406BFA4B">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4D20276">
            <w:pPr>
              <w:pStyle w:val="12"/>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49FF8F81">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F35AD54">
            <w:pPr>
              <w:pStyle w:val="12"/>
              <w:pageBreakBefore w:val="0"/>
              <w:wordWrap/>
              <w:bidi w:val="0"/>
              <w:adjustRightInd/>
              <w:snapToGrid/>
              <w:rPr>
                <w:color w:val="auto"/>
              </w:rPr>
            </w:pPr>
          </w:p>
        </w:tc>
      </w:tr>
      <w:tr w14:paraId="5319EB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945C81">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5DA8E13">
            <w:pPr>
              <w:pStyle w:val="12"/>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16D7BFE8">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4F722402">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21BD9BE7">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A06AA36">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C31B71F">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02287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B031A0">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33174FD7">
            <w:pPr>
              <w:pStyle w:val="12"/>
              <w:pageBreakBefore w:val="0"/>
              <w:wordWrap/>
              <w:bidi w:val="0"/>
              <w:adjustRightInd/>
              <w:snapToGrid/>
              <w:rPr>
                <w:color w:val="auto"/>
              </w:rPr>
            </w:pPr>
            <w:r>
              <w:rPr>
                <w:color w:val="auto"/>
              </w:rPr>
              <w:t>柔性接头</w:t>
            </w:r>
          </w:p>
        </w:tc>
        <w:tc>
          <w:tcPr>
            <w:tcW w:w="1532" w:type="pct"/>
            <w:tcBorders>
              <w:tl2br w:val="nil"/>
              <w:tr2bl w:val="nil"/>
            </w:tcBorders>
            <w:noWrap w:val="0"/>
            <w:vAlign w:val="center"/>
          </w:tcPr>
          <w:p w14:paraId="444D463E">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0C407DDD">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6A38BDE">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03ABD874">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50B5873">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9BCE11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5A91BBC">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54B12FF1">
            <w:pPr>
              <w:pStyle w:val="12"/>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5B22605B">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32ED72F1">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990E683">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6051DA4D">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1CCDA9D">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56C1CD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3D5F6D4">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22E5E42A">
            <w:pPr>
              <w:pStyle w:val="12"/>
              <w:pageBreakBefore w:val="0"/>
              <w:wordWrap/>
              <w:bidi w:val="0"/>
              <w:adjustRightInd/>
              <w:snapToGrid/>
              <w:rPr>
                <w:color w:val="auto"/>
              </w:rPr>
            </w:pPr>
            <w:r>
              <w:rPr>
                <w:color w:val="auto"/>
              </w:rPr>
              <w:t>电动蝶阀</w:t>
            </w:r>
          </w:p>
        </w:tc>
        <w:tc>
          <w:tcPr>
            <w:tcW w:w="1532" w:type="pct"/>
            <w:tcBorders>
              <w:tl2br w:val="nil"/>
              <w:tr2bl w:val="nil"/>
            </w:tcBorders>
            <w:noWrap w:val="0"/>
            <w:vAlign w:val="center"/>
          </w:tcPr>
          <w:p w14:paraId="1AF5B7E8">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04357739">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FD1EDDD">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0AEF37AF">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6F778886">
            <w:pPr>
              <w:pStyle w:val="12"/>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B36CE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0B50BBE">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469204F5">
            <w:pPr>
              <w:pStyle w:val="12"/>
              <w:pageBreakBefore w:val="0"/>
              <w:wordWrap/>
              <w:bidi w:val="0"/>
              <w:adjustRightInd/>
              <w:snapToGrid/>
              <w:rPr>
                <w:color w:val="auto"/>
              </w:rPr>
            </w:pPr>
            <w:r>
              <w:rPr>
                <w:color w:val="auto"/>
              </w:rPr>
              <w:t>消音器</w:t>
            </w:r>
          </w:p>
        </w:tc>
        <w:tc>
          <w:tcPr>
            <w:tcW w:w="1532" w:type="pct"/>
            <w:tcBorders>
              <w:tl2br w:val="nil"/>
              <w:tr2bl w:val="nil"/>
            </w:tcBorders>
            <w:noWrap w:val="0"/>
            <w:vAlign w:val="center"/>
          </w:tcPr>
          <w:p w14:paraId="6A370C39">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5682B05B">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054D6F8">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7DF84A4">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A1AB2C2">
            <w:pPr>
              <w:pStyle w:val="12"/>
              <w:pageBreakBefore w:val="0"/>
              <w:wordWrap/>
              <w:bidi w:val="0"/>
              <w:adjustRightInd/>
              <w:snapToGrid/>
              <w:rPr>
                <w:color w:val="auto"/>
              </w:rPr>
            </w:pPr>
            <w:r>
              <w:rPr>
                <w:color w:val="auto"/>
              </w:rPr>
              <w:t>放风口</w:t>
            </w:r>
            <w:r>
              <w:rPr>
                <w:rFonts w:hint="eastAsia"/>
                <w:color w:val="auto"/>
                <w:lang w:eastAsia="zh-CN"/>
              </w:rPr>
              <w:t>，</w:t>
            </w:r>
            <w:r>
              <w:rPr>
                <w:color w:val="auto"/>
              </w:rPr>
              <w:t>配套法兰</w:t>
            </w:r>
            <w:r>
              <w:rPr>
                <w:rFonts w:hint="eastAsia"/>
                <w:color w:val="auto"/>
                <w:lang w:eastAsia="zh-CN"/>
              </w:rPr>
              <w:t>、</w:t>
            </w:r>
            <w:r>
              <w:rPr>
                <w:color w:val="auto"/>
              </w:rPr>
              <w:t>螺栓螺母及垫片</w:t>
            </w:r>
          </w:p>
        </w:tc>
      </w:tr>
      <w:tr w14:paraId="1F223E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E598762">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1F624782">
            <w:pPr>
              <w:pStyle w:val="12"/>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5B88E3B2">
            <w:pPr>
              <w:pStyle w:val="12"/>
              <w:pageBreakBefore w:val="0"/>
              <w:wordWrap/>
              <w:bidi w:val="0"/>
              <w:adjustRightInd/>
              <w:snapToGrid/>
              <w:rPr>
                <w:color w:val="auto"/>
              </w:rPr>
            </w:pPr>
            <w:r>
              <w:rPr>
                <w:color w:val="auto"/>
              </w:rPr>
              <w:t>L×型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44A10A20">
            <w:pPr>
              <w:pStyle w:val="12"/>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29CF444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C13BA79">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B38F12C">
            <w:pPr>
              <w:pStyle w:val="12"/>
              <w:pageBreakBefore w:val="0"/>
              <w:wordWrap/>
              <w:bidi w:val="0"/>
              <w:adjustRightInd/>
              <w:snapToGrid/>
              <w:rPr>
                <w:color w:val="auto"/>
              </w:rPr>
            </w:pPr>
          </w:p>
        </w:tc>
      </w:tr>
      <w:tr w14:paraId="4E3F91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E6C6DE9">
            <w:pPr>
              <w:pStyle w:val="12"/>
              <w:pageBreakBefore w:val="0"/>
              <w:wordWrap/>
              <w:bidi w:val="0"/>
              <w:adjustRightInd/>
              <w:snapToGrid/>
              <w:jc w:val="left"/>
              <w:rPr>
                <w:color w:val="auto"/>
              </w:rPr>
            </w:pPr>
            <w:r>
              <w:rPr>
                <w:b/>
                <w:bCs/>
                <w:color w:val="auto"/>
              </w:rPr>
              <w:t>机修危废间主要设备</w:t>
            </w:r>
            <w:r>
              <w:rPr>
                <w:rFonts w:hint="eastAsia"/>
                <w:b/>
                <w:bCs/>
                <w:color w:val="auto"/>
                <w:lang w:val="en-US" w:eastAsia="zh-CN"/>
              </w:rPr>
              <w:t>一</w:t>
            </w:r>
            <w:r>
              <w:rPr>
                <w:b/>
                <w:bCs/>
                <w:color w:val="auto"/>
              </w:rPr>
              <w:t>览表</w:t>
            </w:r>
          </w:p>
        </w:tc>
      </w:tr>
      <w:tr w14:paraId="23FF94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288119A">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5EBDF133">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018184CE">
            <w:pPr>
              <w:pStyle w:val="12"/>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350FBC2E">
            <w:pPr>
              <w:pStyle w:val="12"/>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5448D9C6">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2BE713EC">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548B562C">
            <w:pPr>
              <w:pStyle w:val="12"/>
              <w:pageBreakBefore w:val="0"/>
              <w:wordWrap/>
              <w:bidi w:val="0"/>
              <w:adjustRightInd/>
              <w:snapToGrid/>
              <w:rPr>
                <w:b/>
                <w:bCs/>
                <w:color w:val="auto"/>
              </w:rPr>
            </w:pPr>
            <w:r>
              <w:rPr>
                <w:b/>
                <w:bCs/>
                <w:color w:val="auto"/>
              </w:rPr>
              <w:t>备注</w:t>
            </w:r>
          </w:p>
        </w:tc>
      </w:tr>
      <w:tr w14:paraId="3F2BCBE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FAD7E27">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59162BF1">
            <w:pPr>
              <w:pStyle w:val="12"/>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67ED6584">
            <w:pPr>
              <w:pStyle w:val="12"/>
              <w:pageBreakBefore w:val="0"/>
              <w:wordWrap/>
              <w:bidi w:val="0"/>
              <w:adjustRightInd/>
              <w:snapToGrid/>
              <w:rPr>
                <w:color w:val="auto"/>
              </w:rPr>
            </w:pPr>
            <w:r>
              <w:rPr>
                <w:color w:val="auto"/>
              </w:rPr>
              <w:t>L×型</w:t>
            </w:r>
            <w:r>
              <w:rPr>
                <w:rFonts w:hint="eastAsia"/>
                <w:color w:val="auto"/>
                <w:lang w:eastAsia="zh-CN"/>
              </w:rPr>
              <w:t>，</w:t>
            </w:r>
            <w:r>
              <w:rPr>
                <w:color w:val="auto"/>
              </w:rPr>
              <w:t>Gn=2t</w:t>
            </w:r>
            <w:r>
              <w:rPr>
                <w:rFonts w:hint="eastAsia"/>
                <w:color w:val="auto"/>
                <w:lang w:eastAsia="zh-CN"/>
              </w:rPr>
              <w:t>，</w:t>
            </w:r>
            <w:r>
              <w:rPr>
                <w:color w:val="auto"/>
              </w:rPr>
              <w:t>跨</w:t>
            </w:r>
            <w:r>
              <w:rPr>
                <w:rFonts w:hint="eastAsia"/>
                <w:color w:val="auto"/>
                <w:lang w:eastAsia="zh-CN"/>
              </w:rPr>
              <w:t>度，</w:t>
            </w:r>
            <w:r>
              <w:rPr>
                <w:color w:val="auto"/>
              </w:rPr>
              <w:t>=5.2m</w:t>
            </w:r>
            <w:r>
              <w:rPr>
                <w:rFonts w:hint="eastAsia"/>
                <w:color w:val="auto"/>
                <w:lang w:eastAsia="zh-CN"/>
              </w:rPr>
              <w:t>，</w:t>
            </w:r>
            <w:r>
              <w:rPr>
                <w:color w:val="auto"/>
              </w:rPr>
              <w:t>起吊高</w:t>
            </w:r>
            <w:r>
              <w:rPr>
                <w:rFonts w:hint="eastAsia"/>
                <w:color w:val="auto"/>
                <w:lang w:eastAsia="zh-CN"/>
              </w:rPr>
              <w:t>度</w:t>
            </w:r>
            <w:r>
              <w:rPr>
                <w:color w:val="auto"/>
              </w:rPr>
              <w:t>7.0m</w:t>
            </w:r>
            <w:r>
              <w:rPr>
                <w:rFonts w:hint="eastAsia"/>
                <w:color w:val="auto"/>
                <w:lang w:eastAsia="zh-CN"/>
              </w:rPr>
              <w:t>，</w:t>
            </w:r>
            <w:r>
              <w:rPr>
                <w:color w:val="auto"/>
              </w:rPr>
              <w:t>N=2×0.4+3.0+2×0.4kW</w:t>
            </w:r>
          </w:p>
        </w:tc>
        <w:tc>
          <w:tcPr>
            <w:tcW w:w="612" w:type="pct"/>
            <w:tcBorders>
              <w:tl2br w:val="nil"/>
              <w:tr2bl w:val="nil"/>
            </w:tcBorders>
            <w:noWrap w:val="0"/>
            <w:vAlign w:val="center"/>
          </w:tcPr>
          <w:p w14:paraId="26EA4E25">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867742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25A110C">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C0C6DD7">
            <w:pPr>
              <w:pStyle w:val="12"/>
              <w:pageBreakBefore w:val="0"/>
              <w:wordWrap/>
              <w:bidi w:val="0"/>
              <w:adjustRightInd/>
              <w:snapToGrid/>
              <w:rPr>
                <w:color w:val="auto"/>
              </w:rPr>
            </w:pPr>
            <w:r>
              <w:rPr>
                <w:color w:val="auto"/>
              </w:rPr>
              <w:t>用于机修间</w:t>
            </w:r>
          </w:p>
        </w:tc>
      </w:tr>
      <w:tr w14:paraId="2BB0EAA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E1D6BD">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188D0110">
            <w:pPr>
              <w:pStyle w:val="12"/>
              <w:pageBreakBefore w:val="0"/>
              <w:wordWrap/>
              <w:bidi w:val="0"/>
              <w:adjustRightInd/>
              <w:snapToGrid/>
              <w:rPr>
                <w:color w:val="auto"/>
              </w:rPr>
            </w:pPr>
            <w:r>
              <w:rPr>
                <w:color w:val="auto"/>
              </w:rPr>
              <w:t>玻璃钢轴流通风机</w:t>
            </w:r>
          </w:p>
        </w:tc>
        <w:tc>
          <w:tcPr>
            <w:tcW w:w="1532" w:type="pct"/>
            <w:tcBorders>
              <w:tl2br w:val="nil"/>
              <w:tr2bl w:val="nil"/>
            </w:tcBorders>
            <w:noWrap w:val="0"/>
            <w:vAlign w:val="center"/>
          </w:tcPr>
          <w:p w14:paraId="618BC435">
            <w:pPr>
              <w:pStyle w:val="12"/>
              <w:pageBreakBefore w:val="0"/>
              <w:wordWrap/>
              <w:bidi w:val="0"/>
              <w:adjustRightInd/>
              <w:snapToGrid/>
              <w:rPr>
                <w:color w:val="auto"/>
              </w:rPr>
            </w:pPr>
            <w:r>
              <w:rPr>
                <w:color w:val="auto"/>
              </w:rPr>
              <w:t>机号3.15#</w:t>
            </w:r>
            <w:r>
              <w:rPr>
                <w:rFonts w:hint="eastAsia"/>
                <w:color w:val="auto"/>
                <w:lang w:eastAsia="zh-CN"/>
              </w:rPr>
              <w:t>，</w:t>
            </w:r>
            <w:r>
              <w:rPr>
                <w:color w:val="auto"/>
              </w:rPr>
              <w:t>G=2078</w:t>
            </w:r>
            <w:r>
              <w:rPr>
                <w:rFonts w:hint="eastAsia"/>
                <w:color w:val="auto"/>
                <w:lang w:eastAsia="zh-CN"/>
              </w:rPr>
              <w:t>m³</w:t>
            </w:r>
            <w:r>
              <w:rPr>
                <w:color w:val="auto"/>
              </w:rPr>
              <w:t>/h</w:t>
            </w:r>
            <w:r>
              <w:rPr>
                <w:rFonts w:hint="eastAsia"/>
                <w:color w:val="auto"/>
                <w:lang w:eastAsia="zh-CN"/>
              </w:rPr>
              <w:t>，</w:t>
            </w:r>
            <w:r>
              <w:rPr>
                <w:color w:val="auto"/>
              </w:rPr>
              <w:t>n=</w:t>
            </w:r>
            <w:r>
              <w:rPr>
                <w:rFonts w:hint="eastAsia"/>
                <w:color w:val="auto"/>
                <w:lang w:eastAsia="zh-CN"/>
              </w:rPr>
              <w:t>1</w:t>
            </w:r>
            <w:r>
              <w:rPr>
                <w:color w:val="auto"/>
              </w:rPr>
              <w:t>450rpm叶轮直径D=315mm叶片角度α=35°N=0.12kW</w:t>
            </w:r>
          </w:p>
        </w:tc>
        <w:tc>
          <w:tcPr>
            <w:tcW w:w="612" w:type="pct"/>
            <w:tcBorders>
              <w:tl2br w:val="nil"/>
              <w:tr2bl w:val="nil"/>
            </w:tcBorders>
            <w:noWrap w:val="0"/>
            <w:vAlign w:val="center"/>
          </w:tcPr>
          <w:p w14:paraId="398FF77E">
            <w:pPr>
              <w:pStyle w:val="12"/>
              <w:pageBreakBefore w:val="0"/>
              <w:wordWrap/>
              <w:bidi w:val="0"/>
              <w:adjustRightInd/>
              <w:snapToGrid/>
              <w:rPr>
                <w:color w:val="auto"/>
              </w:rPr>
            </w:pPr>
          </w:p>
        </w:tc>
        <w:tc>
          <w:tcPr>
            <w:tcW w:w="279" w:type="pct"/>
            <w:tcBorders>
              <w:tl2br w:val="nil"/>
              <w:tr2bl w:val="nil"/>
            </w:tcBorders>
            <w:noWrap w:val="0"/>
            <w:vAlign w:val="center"/>
          </w:tcPr>
          <w:p w14:paraId="7A38215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75F16BB">
            <w:pPr>
              <w:pStyle w:val="12"/>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7153DD46">
            <w:pPr>
              <w:pStyle w:val="12"/>
              <w:pageBreakBefore w:val="0"/>
              <w:wordWrap/>
              <w:bidi w:val="0"/>
              <w:adjustRightInd/>
              <w:snapToGrid/>
              <w:rPr>
                <w:color w:val="auto"/>
              </w:rPr>
            </w:pPr>
            <w:r>
              <w:rPr>
                <w:color w:val="auto"/>
              </w:rPr>
              <w:t>安装详图集12K101-6页甲型带防水罩等相关配件</w:t>
            </w:r>
            <w:r>
              <w:rPr>
                <w:rFonts w:hint="eastAsia"/>
                <w:color w:val="auto"/>
                <w:lang w:eastAsia="zh-CN"/>
              </w:rPr>
              <w:t>，</w:t>
            </w:r>
            <w:r>
              <w:rPr>
                <w:color w:val="auto"/>
              </w:rPr>
              <w:t>用于结晶盐仓库、机修间、危险废物暂存间排风</w:t>
            </w:r>
          </w:p>
        </w:tc>
      </w:tr>
      <w:tr w14:paraId="4A8E82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6722FCC">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74477179">
            <w:pPr>
              <w:pStyle w:val="12"/>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2ACEC562">
            <w:pPr>
              <w:pStyle w:val="12"/>
              <w:pageBreakBefore w:val="0"/>
              <w:wordWrap/>
              <w:bidi w:val="0"/>
              <w:adjustRightInd/>
              <w:snapToGrid/>
              <w:rPr>
                <w:color w:val="auto"/>
              </w:rPr>
            </w:pPr>
            <w:r>
              <w:rPr>
                <w:color w:val="auto"/>
              </w:rPr>
              <w:t>MF/ABC4</w:t>
            </w:r>
          </w:p>
        </w:tc>
        <w:tc>
          <w:tcPr>
            <w:tcW w:w="612" w:type="pct"/>
            <w:tcBorders>
              <w:tl2br w:val="nil"/>
              <w:tr2bl w:val="nil"/>
            </w:tcBorders>
            <w:noWrap w:val="0"/>
            <w:vAlign w:val="center"/>
          </w:tcPr>
          <w:p w14:paraId="4E483D84">
            <w:pPr>
              <w:pStyle w:val="12"/>
              <w:pageBreakBefore w:val="0"/>
              <w:wordWrap/>
              <w:bidi w:val="0"/>
              <w:adjustRightInd/>
              <w:snapToGrid/>
              <w:rPr>
                <w:color w:val="auto"/>
              </w:rPr>
            </w:pPr>
          </w:p>
        </w:tc>
        <w:tc>
          <w:tcPr>
            <w:tcW w:w="279" w:type="pct"/>
            <w:tcBorders>
              <w:tl2br w:val="nil"/>
              <w:tr2bl w:val="nil"/>
            </w:tcBorders>
            <w:noWrap w:val="0"/>
            <w:vAlign w:val="center"/>
          </w:tcPr>
          <w:p w14:paraId="3680858A">
            <w:pPr>
              <w:pStyle w:val="12"/>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13FB0073">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553C123E">
            <w:pPr>
              <w:pStyle w:val="12"/>
              <w:pageBreakBefore w:val="0"/>
              <w:wordWrap/>
              <w:bidi w:val="0"/>
              <w:adjustRightInd/>
              <w:snapToGrid/>
              <w:rPr>
                <w:color w:val="auto"/>
              </w:rPr>
            </w:pPr>
            <w:r>
              <w:rPr>
                <w:color w:val="auto"/>
              </w:rPr>
              <w:t>手提式</w:t>
            </w:r>
          </w:p>
        </w:tc>
      </w:tr>
      <w:tr w14:paraId="5BA1D0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6CCD753">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DC68675">
            <w:pPr>
              <w:pStyle w:val="12"/>
              <w:pageBreakBefore w:val="0"/>
              <w:wordWrap/>
              <w:bidi w:val="0"/>
              <w:adjustRightInd/>
              <w:snapToGrid/>
              <w:rPr>
                <w:color w:val="auto"/>
              </w:rPr>
            </w:pPr>
            <w:r>
              <w:rPr>
                <w:color w:val="auto"/>
              </w:rPr>
              <w:t>紧急冲淋洗眼器</w:t>
            </w:r>
          </w:p>
        </w:tc>
        <w:tc>
          <w:tcPr>
            <w:tcW w:w="1532" w:type="pct"/>
            <w:tcBorders>
              <w:tl2br w:val="nil"/>
              <w:tr2bl w:val="nil"/>
            </w:tcBorders>
            <w:noWrap w:val="0"/>
            <w:vAlign w:val="center"/>
          </w:tcPr>
          <w:p w14:paraId="141DEF8E">
            <w:pPr>
              <w:pStyle w:val="12"/>
              <w:pageBreakBefore w:val="0"/>
              <w:wordWrap/>
              <w:bidi w:val="0"/>
              <w:adjustRightInd/>
              <w:snapToGrid/>
              <w:rPr>
                <w:color w:val="auto"/>
              </w:rPr>
            </w:pPr>
            <w:r>
              <w:rPr>
                <w:color w:val="auto"/>
              </w:rPr>
              <w:t>DN20洗眼器出水口压力为0.45Mpa</w:t>
            </w:r>
          </w:p>
        </w:tc>
        <w:tc>
          <w:tcPr>
            <w:tcW w:w="612" w:type="pct"/>
            <w:tcBorders>
              <w:tl2br w:val="nil"/>
              <w:tr2bl w:val="nil"/>
            </w:tcBorders>
            <w:noWrap w:val="0"/>
            <w:vAlign w:val="center"/>
          </w:tcPr>
          <w:p w14:paraId="0BD9049D">
            <w:pPr>
              <w:pStyle w:val="12"/>
              <w:pageBreakBefore w:val="0"/>
              <w:wordWrap/>
              <w:bidi w:val="0"/>
              <w:adjustRightInd/>
              <w:snapToGrid/>
              <w:rPr>
                <w:color w:val="auto"/>
              </w:rPr>
            </w:pPr>
          </w:p>
        </w:tc>
        <w:tc>
          <w:tcPr>
            <w:tcW w:w="279" w:type="pct"/>
            <w:tcBorders>
              <w:tl2br w:val="nil"/>
              <w:tr2bl w:val="nil"/>
            </w:tcBorders>
            <w:noWrap w:val="0"/>
            <w:vAlign w:val="center"/>
          </w:tcPr>
          <w:p w14:paraId="5949F53D">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12237D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48598C5">
            <w:pPr>
              <w:pStyle w:val="12"/>
              <w:pageBreakBefore w:val="0"/>
              <w:wordWrap/>
              <w:bidi w:val="0"/>
              <w:adjustRightInd/>
              <w:snapToGrid/>
              <w:rPr>
                <w:color w:val="auto"/>
              </w:rPr>
            </w:pPr>
            <w:r>
              <w:rPr>
                <w:color w:val="auto"/>
              </w:rPr>
              <w:t>详09</w:t>
            </w:r>
            <w:r>
              <w:rPr>
                <w:rFonts w:hint="eastAsia"/>
                <w:color w:val="auto"/>
                <w:lang w:eastAsia="zh-CN"/>
              </w:rPr>
              <w:t>，</w:t>
            </w:r>
            <w:r>
              <w:rPr>
                <w:color w:val="auto"/>
              </w:rPr>
              <w:t>304-18</w:t>
            </w:r>
          </w:p>
        </w:tc>
      </w:tr>
      <w:tr w14:paraId="535368F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7C5478">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0BBE88F4">
            <w:pPr>
              <w:pStyle w:val="12"/>
              <w:pageBreakBefore w:val="0"/>
              <w:wordWrap/>
              <w:bidi w:val="0"/>
              <w:adjustRightInd/>
              <w:snapToGrid/>
              <w:rPr>
                <w:color w:val="auto"/>
              </w:rPr>
            </w:pPr>
            <w:r>
              <w:rPr>
                <w:color w:val="auto"/>
              </w:rPr>
              <w:t>洗脸盆</w:t>
            </w:r>
          </w:p>
        </w:tc>
        <w:tc>
          <w:tcPr>
            <w:tcW w:w="1532" w:type="pct"/>
            <w:tcBorders>
              <w:tl2br w:val="nil"/>
              <w:tr2bl w:val="nil"/>
            </w:tcBorders>
            <w:noWrap w:val="0"/>
            <w:vAlign w:val="center"/>
          </w:tcPr>
          <w:p w14:paraId="0DF42DDA">
            <w:pPr>
              <w:pStyle w:val="12"/>
              <w:pageBreakBefore w:val="0"/>
              <w:wordWrap/>
              <w:bidi w:val="0"/>
              <w:adjustRightInd/>
              <w:snapToGrid/>
              <w:rPr>
                <w:color w:val="auto"/>
              </w:rPr>
            </w:pPr>
          </w:p>
        </w:tc>
        <w:tc>
          <w:tcPr>
            <w:tcW w:w="612" w:type="pct"/>
            <w:tcBorders>
              <w:tl2br w:val="nil"/>
              <w:tr2bl w:val="nil"/>
            </w:tcBorders>
            <w:noWrap w:val="0"/>
            <w:vAlign w:val="center"/>
          </w:tcPr>
          <w:p w14:paraId="21ECBA29">
            <w:pPr>
              <w:pStyle w:val="12"/>
              <w:pageBreakBefore w:val="0"/>
              <w:wordWrap/>
              <w:bidi w:val="0"/>
              <w:adjustRightInd/>
              <w:snapToGrid/>
              <w:rPr>
                <w:color w:val="auto"/>
              </w:rPr>
            </w:pPr>
            <w:r>
              <w:rPr>
                <w:color w:val="auto"/>
              </w:rPr>
              <w:t>陶瓷</w:t>
            </w:r>
          </w:p>
        </w:tc>
        <w:tc>
          <w:tcPr>
            <w:tcW w:w="279" w:type="pct"/>
            <w:tcBorders>
              <w:tl2br w:val="nil"/>
              <w:tr2bl w:val="nil"/>
            </w:tcBorders>
            <w:noWrap w:val="0"/>
            <w:vAlign w:val="center"/>
          </w:tcPr>
          <w:p w14:paraId="1D306357">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620039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3CD17BE">
            <w:pPr>
              <w:pStyle w:val="12"/>
              <w:pageBreakBefore w:val="0"/>
              <w:wordWrap/>
              <w:bidi w:val="0"/>
              <w:adjustRightInd/>
              <w:snapToGrid/>
              <w:rPr>
                <w:color w:val="auto"/>
              </w:rPr>
            </w:pPr>
            <w:r>
              <w:rPr>
                <w:color w:val="auto"/>
              </w:rPr>
              <w:t>含全套配件</w:t>
            </w:r>
            <w:r>
              <w:rPr>
                <w:rFonts w:hint="eastAsia"/>
                <w:color w:val="auto"/>
                <w:lang w:eastAsia="zh-CN"/>
              </w:rPr>
              <w:t>，</w:t>
            </w:r>
            <w:r>
              <w:rPr>
                <w:color w:val="auto"/>
              </w:rPr>
              <w:t>详09</w:t>
            </w:r>
            <w:r>
              <w:rPr>
                <w:rFonts w:hint="eastAsia"/>
                <w:color w:val="auto"/>
                <w:lang w:eastAsia="zh-CN"/>
              </w:rPr>
              <w:t>，</w:t>
            </w:r>
            <w:r>
              <w:rPr>
                <w:color w:val="auto"/>
              </w:rPr>
              <w:t>304-41</w:t>
            </w:r>
          </w:p>
        </w:tc>
      </w:tr>
      <w:tr w14:paraId="0943BF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3F71BA9">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67AB9B83">
            <w:pPr>
              <w:pStyle w:val="12"/>
              <w:pageBreakBefore w:val="0"/>
              <w:wordWrap/>
              <w:bidi w:val="0"/>
              <w:adjustRightInd/>
              <w:snapToGrid/>
              <w:rPr>
                <w:color w:val="auto"/>
              </w:rPr>
            </w:pPr>
            <w:r>
              <w:rPr>
                <w:color w:val="auto"/>
              </w:rPr>
              <w:t>污水池</w:t>
            </w:r>
          </w:p>
        </w:tc>
        <w:tc>
          <w:tcPr>
            <w:tcW w:w="1532" w:type="pct"/>
            <w:tcBorders>
              <w:tl2br w:val="nil"/>
              <w:tr2bl w:val="nil"/>
            </w:tcBorders>
            <w:noWrap w:val="0"/>
            <w:vAlign w:val="center"/>
          </w:tcPr>
          <w:p w14:paraId="397546E2">
            <w:pPr>
              <w:pStyle w:val="12"/>
              <w:pageBreakBefore w:val="0"/>
              <w:wordWrap/>
              <w:bidi w:val="0"/>
              <w:adjustRightInd/>
              <w:snapToGrid/>
              <w:rPr>
                <w:rFonts w:hint="eastAsia" w:eastAsia="宋体"/>
                <w:color w:val="auto"/>
                <w:lang w:eastAsia="zh-CN"/>
              </w:rPr>
            </w:pPr>
            <w:r>
              <w:rPr>
                <w:color w:val="auto"/>
              </w:rPr>
              <w:t>乙型</w:t>
            </w:r>
            <w:r>
              <w:rPr>
                <w:rFonts w:hint="eastAsia"/>
                <w:color w:val="auto"/>
                <w:lang w:eastAsia="zh-CN"/>
              </w:rPr>
              <w:t>（</w:t>
            </w:r>
            <w:r>
              <w:rPr>
                <w:color w:val="auto"/>
              </w:rPr>
              <w:t>含</w:t>
            </w:r>
            <w:r>
              <w:rPr>
                <w:rFonts w:hint="eastAsia"/>
                <w:color w:val="auto"/>
                <w:lang w:eastAsia="zh-CN"/>
              </w:rPr>
              <w:t>，</w:t>
            </w:r>
            <w:r>
              <w:rPr>
                <w:color w:val="auto"/>
              </w:rPr>
              <w:t>型存水弯</w:t>
            </w:r>
            <w:r>
              <w:rPr>
                <w:rFonts w:hint="eastAsia"/>
                <w:color w:val="auto"/>
                <w:lang w:eastAsia="zh-CN"/>
              </w:rPr>
              <w:t>）</w:t>
            </w:r>
          </w:p>
        </w:tc>
        <w:tc>
          <w:tcPr>
            <w:tcW w:w="612" w:type="pct"/>
            <w:tcBorders>
              <w:tl2br w:val="nil"/>
              <w:tr2bl w:val="nil"/>
            </w:tcBorders>
            <w:noWrap w:val="0"/>
            <w:vAlign w:val="center"/>
          </w:tcPr>
          <w:p w14:paraId="690D45F1">
            <w:pPr>
              <w:pStyle w:val="12"/>
              <w:pageBreakBefore w:val="0"/>
              <w:wordWrap/>
              <w:bidi w:val="0"/>
              <w:adjustRightInd/>
              <w:snapToGrid/>
              <w:rPr>
                <w:color w:val="auto"/>
              </w:rPr>
            </w:pPr>
            <w:r>
              <w:rPr>
                <w:color w:val="auto"/>
              </w:rPr>
              <w:t>陶瓷</w:t>
            </w:r>
          </w:p>
        </w:tc>
        <w:tc>
          <w:tcPr>
            <w:tcW w:w="279" w:type="pct"/>
            <w:tcBorders>
              <w:tl2br w:val="nil"/>
              <w:tr2bl w:val="nil"/>
            </w:tcBorders>
            <w:noWrap w:val="0"/>
            <w:vAlign w:val="center"/>
          </w:tcPr>
          <w:p w14:paraId="48ABD9BB">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B26D4CC">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537F62F">
            <w:pPr>
              <w:pStyle w:val="12"/>
              <w:pageBreakBefore w:val="0"/>
              <w:wordWrap/>
              <w:bidi w:val="0"/>
              <w:adjustRightInd/>
              <w:snapToGrid/>
              <w:rPr>
                <w:color w:val="auto"/>
              </w:rPr>
            </w:pPr>
            <w:r>
              <w:rPr>
                <w:color w:val="auto"/>
              </w:rPr>
              <w:t>含全套配件</w:t>
            </w:r>
            <w:r>
              <w:rPr>
                <w:rFonts w:hint="eastAsia"/>
                <w:color w:val="auto"/>
                <w:lang w:eastAsia="zh-CN"/>
              </w:rPr>
              <w:t>，</w:t>
            </w:r>
            <w:r>
              <w:rPr>
                <w:color w:val="auto"/>
              </w:rPr>
              <w:t>详09</w:t>
            </w:r>
            <w:r>
              <w:rPr>
                <w:rFonts w:hint="eastAsia"/>
                <w:color w:val="auto"/>
                <w:lang w:eastAsia="zh-CN"/>
              </w:rPr>
              <w:t>，</w:t>
            </w:r>
            <w:r>
              <w:rPr>
                <w:color w:val="auto"/>
              </w:rPr>
              <w:t>304-20</w:t>
            </w:r>
          </w:p>
        </w:tc>
      </w:tr>
      <w:tr w14:paraId="6C36F6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4993" w:type="pct"/>
            <w:gridSpan w:val="9"/>
            <w:tcBorders>
              <w:tl2br w:val="nil"/>
              <w:tr2bl w:val="nil"/>
            </w:tcBorders>
            <w:noWrap w:val="0"/>
            <w:vAlign w:val="center"/>
          </w:tcPr>
          <w:p w14:paraId="582E0B06">
            <w:pPr>
              <w:pStyle w:val="12"/>
              <w:pageBreakBefore w:val="0"/>
              <w:wordWrap/>
              <w:bidi w:val="0"/>
              <w:adjustRightInd/>
              <w:snapToGrid/>
              <w:jc w:val="left"/>
              <w:rPr>
                <w:color w:val="auto"/>
              </w:rPr>
            </w:pPr>
            <w:r>
              <w:rPr>
                <w:b/>
                <w:bCs/>
                <w:color w:val="auto"/>
              </w:rPr>
              <w:t>在线监测间主要设备表</w:t>
            </w:r>
          </w:p>
        </w:tc>
      </w:tr>
      <w:tr w14:paraId="25822F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5398F4F6">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36" w:type="pct"/>
            <w:tcBorders>
              <w:tl2br w:val="nil"/>
              <w:tr2bl w:val="nil"/>
            </w:tcBorders>
            <w:noWrap w:val="0"/>
            <w:vAlign w:val="center"/>
          </w:tcPr>
          <w:p w14:paraId="6D082309">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1C3D6D47">
            <w:pPr>
              <w:pStyle w:val="12"/>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50896BAC">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38493E45">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53793F48">
            <w:pPr>
              <w:pStyle w:val="12"/>
              <w:pageBreakBefore w:val="0"/>
              <w:wordWrap/>
              <w:bidi w:val="0"/>
              <w:adjustRightInd/>
              <w:snapToGrid/>
              <w:rPr>
                <w:b/>
                <w:bCs/>
                <w:color w:val="auto"/>
              </w:rPr>
            </w:pPr>
            <w:r>
              <w:rPr>
                <w:b/>
                <w:bCs/>
                <w:color w:val="auto"/>
              </w:rPr>
              <w:t>数量</w:t>
            </w:r>
          </w:p>
        </w:tc>
        <w:tc>
          <w:tcPr>
            <w:tcW w:w="1143" w:type="pct"/>
            <w:gridSpan w:val="2"/>
            <w:tcBorders>
              <w:tl2br w:val="nil"/>
              <w:tr2bl w:val="nil"/>
            </w:tcBorders>
            <w:noWrap w:val="0"/>
            <w:vAlign w:val="center"/>
          </w:tcPr>
          <w:p w14:paraId="4C831AD0">
            <w:pPr>
              <w:pStyle w:val="12"/>
              <w:pageBreakBefore w:val="0"/>
              <w:wordWrap/>
              <w:bidi w:val="0"/>
              <w:adjustRightInd/>
              <w:snapToGrid/>
              <w:rPr>
                <w:b/>
                <w:bCs/>
                <w:color w:val="auto"/>
              </w:rPr>
            </w:pPr>
            <w:r>
              <w:rPr>
                <w:b/>
                <w:bCs/>
                <w:color w:val="auto"/>
              </w:rPr>
              <w:t>备注</w:t>
            </w:r>
          </w:p>
        </w:tc>
      </w:tr>
      <w:tr w14:paraId="3519CF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7AFF0DA6">
            <w:pPr>
              <w:pStyle w:val="12"/>
              <w:pageBreakBefore w:val="0"/>
              <w:wordWrap/>
              <w:bidi w:val="0"/>
              <w:adjustRightInd/>
              <w:snapToGrid/>
              <w:rPr>
                <w:color w:val="auto"/>
              </w:rPr>
            </w:pPr>
            <w:r>
              <w:rPr>
                <w:color w:val="auto"/>
              </w:rPr>
              <w:t>1</w:t>
            </w:r>
          </w:p>
        </w:tc>
        <w:tc>
          <w:tcPr>
            <w:tcW w:w="836" w:type="pct"/>
            <w:tcBorders>
              <w:tl2br w:val="nil"/>
              <w:tr2bl w:val="nil"/>
            </w:tcBorders>
            <w:noWrap w:val="0"/>
            <w:vAlign w:val="center"/>
          </w:tcPr>
          <w:p w14:paraId="1334AAE0">
            <w:pPr>
              <w:pStyle w:val="12"/>
              <w:pageBreakBefore w:val="0"/>
              <w:wordWrap/>
              <w:bidi w:val="0"/>
              <w:adjustRightInd/>
              <w:snapToGrid/>
              <w:rPr>
                <w:color w:val="auto"/>
              </w:rPr>
            </w:pPr>
            <w:r>
              <w:rPr>
                <w:color w:val="auto"/>
              </w:rPr>
              <w:t>轴流通风机</w:t>
            </w:r>
          </w:p>
        </w:tc>
        <w:tc>
          <w:tcPr>
            <w:tcW w:w="1532" w:type="pct"/>
            <w:tcBorders>
              <w:tl2br w:val="nil"/>
              <w:tr2bl w:val="nil"/>
            </w:tcBorders>
            <w:noWrap w:val="0"/>
            <w:vAlign w:val="center"/>
          </w:tcPr>
          <w:p w14:paraId="320647DA">
            <w:pPr>
              <w:pStyle w:val="12"/>
              <w:pageBreakBefore w:val="0"/>
              <w:wordWrap/>
              <w:bidi w:val="0"/>
              <w:adjustRightInd/>
              <w:snapToGrid/>
              <w:rPr>
                <w:color w:val="auto"/>
              </w:rPr>
            </w:pPr>
            <w:r>
              <w:rPr>
                <w:color w:val="auto"/>
              </w:rPr>
              <w:t>G=1500</w:t>
            </w:r>
            <w:r>
              <w:rPr>
                <w:rFonts w:hint="eastAsia"/>
                <w:color w:val="auto"/>
                <w:lang w:eastAsia="zh-CN"/>
              </w:rPr>
              <w:t>m³</w:t>
            </w:r>
            <w:r>
              <w:rPr>
                <w:color w:val="auto"/>
              </w:rPr>
              <w:t>/h</w:t>
            </w:r>
            <w:r>
              <w:rPr>
                <w:rFonts w:hint="eastAsia"/>
                <w:color w:val="auto"/>
                <w:lang w:eastAsia="zh-CN"/>
              </w:rPr>
              <w:t>，</w:t>
            </w:r>
            <w:r>
              <w:rPr>
                <w:color w:val="auto"/>
              </w:rPr>
              <w:t>H=135Pa</w:t>
            </w:r>
            <w:r>
              <w:rPr>
                <w:rFonts w:hint="eastAsia"/>
                <w:color w:val="auto"/>
                <w:lang w:eastAsia="zh-CN"/>
              </w:rPr>
              <w:t>，</w:t>
            </w:r>
            <w:r>
              <w:rPr>
                <w:color w:val="auto"/>
              </w:rPr>
              <w:t>n=1450rpm</w:t>
            </w:r>
            <w:r>
              <w:rPr>
                <w:rFonts w:hint="eastAsia"/>
                <w:color w:val="auto"/>
                <w:lang w:eastAsia="zh-CN"/>
              </w:rPr>
              <w:t>，</w:t>
            </w:r>
            <w:r>
              <w:rPr>
                <w:color w:val="auto"/>
              </w:rPr>
              <w:t>N=0.37kW</w:t>
            </w:r>
          </w:p>
        </w:tc>
        <w:tc>
          <w:tcPr>
            <w:tcW w:w="612" w:type="pct"/>
            <w:tcBorders>
              <w:tl2br w:val="nil"/>
              <w:tr2bl w:val="nil"/>
            </w:tcBorders>
            <w:noWrap w:val="0"/>
            <w:vAlign w:val="center"/>
          </w:tcPr>
          <w:p w14:paraId="28821FB5">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284FDEF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56265D7">
            <w:pPr>
              <w:pStyle w:val="12"/>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1F35C9E5">
            <w:pPr>
              <w:pStyle w:val="12"/>
              <w:pageBreakBefore w:val="0"/>
              <w:wordWrap/>
              <w:bidi w:val="0"/>
              <w:adjustRightInd/>
              <w:snapToGrid/>
              <w:rPr>
                <w:color w:val="auto"/>
              </w:rPr>
            </w:pPr>
          </w:p>
        </w:tc>
      </w:tr>
      <w:tr w14:paraId="03D32C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58175352">
            <w:pPr>
              <w:pStyle w:val="12"/>
              <w:pageBreakBefore w:val="0"/>
              <w:wordWrap/>
              <w:bidi w:val="0"/>
              <w:adjustRightInd/>
              <w:snapToGrid/>
              <w:rPr>
                <w:color w:val="auto"/>
              </w:rPr>
            </w:pPr>
            <w:r>
              <w:rPr>
                <w:color w:val="auto"/>
              </w:rPr>
              <w:t>2</w:t>
            </w:r>
          </w:p>
        </w:tc>
        <w:tc>
          <w:tcPr>
            <w:tcW w:w="836" w:type="pct"/>
            <w:tcBorders>
              <w:tl2br w:val="nil"/>
              <w:tr2bl w:val="nil"/>
            </w:tcBorders>
            <w:noWrap w:val="0"/>
            <w:vAlign w:val="center"/>
          </w:tcPr>
          <w:p w14:paraId="1946F6F8">
            <w:pPr>
              <w:pStyle w:val="12"/>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7F345364">
            <w:pPr>
              <w:pStyle w:val="12"/>
              <w:pageBreakBefore w:val="0"/>
              <w:wordWrap/>
              <w:bidi w:val="0"/>
              <w:adjustRightInd/>
              <w:snapToGrid/>
              <w:rPr>
                <w:color w:val="auto"/>
              </w:rPr>
            </w:pPr>
            <w:r>
              <w:rPr>
                <w:color w:val="auto"/>
              </w:rPr>
              <w:t>MF/ABC5</w:t>
            </w:r>
          </w:p>
        </w:tc>
        <w:tc>
          <w:tcPr>
            <w:tcW w:w="612" w:type="pct"/>
            <w:tcBorders>
              <w:tl2br w:val="nil"/>
              <w:tr2bl w:val="nil"/>
            </w:tcBorders>
            <w:noWrap w:val="0"/>
            <w:vAlign w:val="center"/>
          </w:tcPr>
          <w:p w14:paraId="17C9EB6C">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7E40D77">
            <w:pPr>
              <w:pStyle w:val="12"/>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7A4F066E">
            <w:pPr>
              <w:pStyle w:val="12"/>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37B22A68">
            <w:pPr>
              <w:pStyle w:val="12"/>
              <w:pageBreakBefore w:val="0"/>
              <w:wordWrap/>
              <w:bidi w:val="0"/>
              <w:adjustRightInd/>
              <w:snapToGrid/>
              <w:rPr>
                <w:color w:val="auto"/>
              </w:rPr>
            </w:pPr>
          </w:p>
        </w:tc>
      </w:tr>
      <w:tr w14:paraId="4E5C63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251CDD14">
            <w:pPr>
              <w:pStyle w:val="12"/>
              <w:pageBreakBefore w:val="0"/>
              <w:wordWrap/>
              <w:bidi w:val="0"/>
              <w:adjustRightInd/>
              <w:snapToGrid/>
              <w:rPr>
                <w:color w:val="auto"/>
              </w:rPr>
            </w:pPr>
            <w:r>
              <w:rPr>
                <w:color w:val="auto"/>
              </w:rPr>
              <w:t>3</w:t>
            </w:r>
          </w:p>
        </w:tc>
        <w:tc>
          <w:tcPr>
            <w:tcW w:w="836" w:type="pct"/>
            <w:tcBorders>
              <w:tl2br w:val="nil"/>
              <w:tr2bl w:val="nil"/>
            </w:tcBorders>
            <w:noWrap w:val="0"/>
            <w:vAlign w:val="center"/>
          </w:tcPr>
          <w:p w14:paraId="59D4C6CA">
            <w:pPr>
              <w:pStyle w:val="12"/>
              <w:pageBreakBefore w:val="0"/>
              <w:wordWrap/>
              <w:bidi w:val="0"/>
              <w:adjustRightInd/>
              <w:snapToGrid/>
              <w:rPr>
                <w:color w:val="auto"/>
              </w:rPr>
            </w:pPr>
            <w:r>
              <w:rPr>
                <w:color w:val="auto"/>
              </w:rPr>
              <w:t>取样泵</w:t>
            </w:r>
          </w:p>
        </w:tc>
        <w:tc>
          <w:tcPr>
            <w:tcW w:w="1532" w:type="pct"/>
            <w:tcBorders>
              <w:tl2br w:val="nil"/>
              <w:tr2bl w:val="nil"/>
            </w:tcBorders>
            <w:noWrap w:val="0"/>
            <w:vAlign w:val="center"/>
          </w:tcPr>
          <w:p w14:paraId="48E1D7E4">
            <w:pPr>
              <w:pStyle w:val="12"/>
              <w:pageBreakBefore w:val="0"/>
              <w:wordWrap/>
              <w:bidi w:val="0"/>
              <w:adjustRightInd/>
              <w:snapToGrid/>
              <w:rPr>
                <w:color w:val="auto"/>
              </w:rPr>
            </w:pPr>
            <w:r>
              <w:rPr>
                <w:color w:val="auto"/>
              </w:rPr>
              <w:t>Q=1</w:t>
            </w:r>
            <w:r>
              <w:rPr>
                <w:rFonts w:hint="eastAsia"/>
                <w:color w:val="auto"/>
                <w:lang w:eastAsia="zh-CN"/>
              </w:rPr>
              <w:t>m³</w:t>
            </w:r>
            <w:r>
              <w:rPr>
                <w:color w:val="auto"/>
              </w:rPr>
              <w:t>/h</w:t>
            </w:r>
            <w:r>
              <w:rPr>
                <w:rFonts w:hint="eastAsia"/>
                <w:color w:val="auto"/>
                <w:lang w:eastAsia="zh-CN"/>
              </w:rPr>
              <w:t>，</w:t>
            </w:r>
            <w:r>
              <w:rPr>
                <w:color w:val="auto"/>
              </w:rPr>
              <w:t>H=0.25MPa</w:t>
            </w:r>
            <w:r>
              <w:rPr>
                <w:rFonts w:hint="eastAsia"/>
                <w:color w:val="auto"/>
                <w:lang w:eastAsia="zh-CN"/>
              </w:rPr>
              <w:t>，</w:t>
            </w:r>
            <w:r>
              <w:rPr>
                <w:color w:val="auto"/>
              </w:rPr>
              <w:t>N=0.75KW</w:t>
            </w:r>
          </w:p>
        </w:tc>
        <w:tc>
          <w:tcPr>
            <w:tcW w:w="612" w:type="pct"/>
            <w:tcBorders>
              <w:tl2br w:val="nil"/>
              <w:tr2bl w:val="nil"/>
            </w:tcBorders>
            <w:noWrap w:val="0"/>
            <w:vAlign w:val="center"/>
          </w:tcPr>
          <w:p w14:paraId="5A16D07F">
            <w:pPr>
              <w:pStyle w:val="12"/>
              <w:pageBreakBefore w:val="0"/>
              <w:wordWrap/>
              <w:bidi w:val="0"/>
              <w:adjustRightInd/>
              <w:snapToGrid/>
              <w:rPr>
                <w:color w:val="auto"/>
              </w:rPr>
            </w:pPr>
          </w:p>
        </w:tc>
        <w:tc>
          <w:tcPr>
            <w:tcW w:w="279" w:type="pct"/>
            <w:tcBorders>
              <w:tl2br w:val="nil"/>
              <w:tr2bl w:val="nil"/>
            </w:tcBorders>
            <w:noWrap w:val="0"/>
            <w:vAlign w:val="center"/>
          </w:tcPr>
          <w:p w14:paraId="5556C58A">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D275F7B">
            <w:pPr>
              <w:pStyle w:val="12"/>
              <w:pageBreakBefore w:val="0"/>
              <w:wordWrap/>
              <w:bidi w:val="0"/>
              <w:adjustRightInd/>
              <w:snapToGrid/>
              <w:rPr>
                <w:color w:val="auto"/>
              </w:rPr>
            </w:pPr>
            <w:r>
              <w:rPr>
                <w:color w:val="auto"/>
              </w:rPr>
              <w:t>4</w:t>
            </w:r>
          </w:p>
        </w:tc>
        <w:tc>
          <w:tcPr>
            <w:tcW w:w="1143" w:type="pct"/>
            <w:gridSpan w:val="2"/>
            <w:tcBorders>
              <w:tl2br w:val="nil"/>
              <w:tr2bl w:val="nil"/>
            </w:tcBorders>
            <w:noWrap w:val="0"/>
            <w:vAlign w:val="center"/>
          </w:tcPr>
          <w:p w14:paraId="6106D87E">
            <w:pPr>
              <w:pStyle w:val="12"/>
              <w:pageBreakBefore w:val="0"/>
              <w:wordWrap/>
              <w:bidi w:val="0"/>
              <w:adjustRightInd/>
              <w:snapToGrid/>
              <w:rPr>
                <w:color w:val="auto"/>
              </w:rPr>
            </w:pPr>
            <w:r>
              <w:rPr>
                <w:color w:val="auto"/>
              </w:rPr>
              <w:t>2用2备</w:t>
            </w:r>
            <w:r>
              <w:rPr>
                <w:rFonts w:hint="eastAsia"/>
                <w:color w:val="auto"/>
                <w:lang w:eastAsia="zh-CN"/>
              </w:rPr>
              <w:t>，</w:t>
            </w:r>
            <w:r>
              <w:rPr>
                <w:color w:val="auto"/>
              </w:rPr>
              <w:t>包括电控柜及配套阀门等附件</w:t>
            </w:r>
          </w:p>
        </w:tc>
      </w:tr>
      <w:tr w14:paraId="60DDD7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5DFE6E78">
            <w:pPr>
              <w:pStyle w:val="12"/>
              <w:pageBreakBefore w:val="0"/>
              <w:wordWrap/>
              <w:bidi w:val="0"/>
              <w:adjustRightInd/>
              <w:snapToGrid/>
              <w:rPr>
                <w:color w:val="auto"/>
              </w:rPr>
            </w:pPr>
            <w:r>
              <w:rPr>
                <w:color w:val="auto"/>
              </w:rPr>
              <w:t>4</w:t>
            </w:r>
          </w:p>
        </w:tc>
        <w:tc>
          <w:tcPr>
            <w:tcW w:w="836" w:type="pct"/>
            <w:tcBorders>
              <w:tl2br w:val="nil"/>
              <w:tr2bl w:val="nil"/>
            </w:tcBorders>
            <w:noWrap w:val="0"/>
            <w:vAlign w:val="center"/>
          </w:tcPr>
          <w:p w14:paraId="3BC2565E">
            <w:pPr>
              <w:pStyle w:val="12"/>
              <w:pageBreakBefore w:val="0"/>
              <w:wordWrap/>
              <w:bidi w:val="0"/>
              <w:adjustRightInd/>
              <w:snapToGrid/>
              <w:rPr>
                <w:color w:val="auto"/>
              </w:rPr>
            </w:pPr>
            <w:r>
              <w:rPr>
                <w:color w:val="auto"/>
              </w:rPr>
              <w:t>进出水在线监测</w:t>
            </w:r>
          </w:p>
        </w:tc>
        <w:tc>
          <w:tcPr>
            <w:tcW w:w="1532" w:type="pct"/>
            <w:tcBorders>
              <w:tl2br w:val="nil"/>
              <w:tr2bl w:val="nil"/>
            </w:tcBorders>
            <w:noWrap w:val="0"/>
            <w:vAlign w:val="center"/>
          </w:tcPr>
          <w:p w14:paraId="2B8C7B65">
            <w:pPr>
              <w:pStyle w:val="12"/>
              <w:pageBreakBefore w:val="0"/>
              <w:wordWrap/>
              <w:bidi w:val="0"/>
              <w:adjustRightInd/>
              <w:snapToGrid/>
              <w:rPr>
                <w:color w:val="auto"/>
              </w:rPr>
            </w:pPr>
            <w:r>
              <w:rPr>
                <w:color w:val="auto"/>
              </w:rPr>
              <w:t>含COD、氨氮、总氮、总磷、</w:t>
            </w:r>
            <w:r>
              <w:rPr>
                <w:rFonts w:hint="eastAsia"/>
                <w:color w:val="auto"/>
                <w:lang w:val="en-US" w:eastAsia="zh-CN"/>
              </w:rPr>
              <w:t>SS</w:t>
            </w:r>
            <w:r>
              <w:rPr>
                <w:rFonts w:hint="eastAsia"/>
                <w:color w:val="auto"/>
                <w:lang w:eastAsia="zh-CN"/>
              </w:rPr>
              <w:t>、</w:t>
            </w:r>
            <w:r>
              <w:rPr>
                <w:color w:val="auto"/>
              </w:rPr>
              <w:t>pH</w:t>
            </w:r>
          </w:p>
        </w:tc>
        <w:tc>
          <w:tcPr>
            <w:tcW w:w="612" w:type="pct"/>
            <w:tcBorders>
              <w:tl2br w:val="nil"/>
              <w:tr2bl w:val="nil"/>
            </w:tcBorders>
            <w:noWrap w:val="0"/>
            <w:vAlign w:val="center"/>
          </w:tcPr>
          <w:p w14:paraId="1CEEE582">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14117187">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234C02B">
            <w:pPr>
              <w:pStyle w:val="12"/>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61FC7C37">
            <w:pPr>
              <w:pStyle w:val="12"/>
              <w:pageBreakBefore w:val="0"/>
              <w:wordWrap/>
              <w:bidi w:val="0"/>
              <w:adjustRightInd/>
              <w:snapToGrid/>
              <w:rPr>
                <w:color w:val="auto"/>
              </w:rPr>
            </w:pPr>
            <w:r>
              <w:rPr>
                <w:color w:val="auto"/>
              </w:rPr>
              <w:t>详电气自控</w:t>
            </w:r>
          </w:p>
        </w:tc>
      </w:tr>
      <w:tr w14:paraId="5690BD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4993" w:type="pct"/>
            <w:gridSpan w:val="9"/>
            <w:tcBorders>
              <w:tl2br w:val="nil"/>
              <w:tr2bl w:val="nil"/>
            </w:tcBorders>
            <w:noWrap w:val="0"/>
            <w:vAlign w:val="center"/>
          </w:tcPr>
          <w:p w14:paraId="59B7AD2A">
            <w:pPr>
              <w:pStyle w:val="12"/>
              <w:pageBreakBefore w:val="0"/>
              <w:wordWrap/>
              <w:bidi w:val="0"/>
              <w:adjustRightInd/>
              <w:snapToGrid/>
              <w:jc w:val="left"/>
              <w:rPr>
                <w:rFonts w:hint="default"/>
                <w:color w:val="auto"/>
                <w:lang w:val="en-US" w:eastAsia="zh-CN"/>
              </w:rPr>
            </w:pPr>
            <w:r>
              <w:rPr>
                <w:rFonts w:hint="eastAsia"/>
                <w:b/>
                <w:bCs/>
                <w:color w:val="auto"/>
                <w:lang w:val="en-US" w:eastAsia="zh-CN"/>
              </w:rPr>
              <w:t>一期二阶段工艺设备表</w:t>
            </w:r>
          </w:p>
        </w:tc>
      </w:tr>
      <w:tr w14:paraId="33FEF91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27CF3F1">
            <w:pPr>
              <w:pStyle w:val="12"/>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648ACCDE">
            <w:pPr>
              <w:pStyle w:val="12"/>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EF2AC61">
            <w:pPr>
              <w:pStyle w:val="12"/>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6946125E">
            <w:pPr>
              <w:pStyle w:val="12"/>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00E5DED6">
            <w:pPr>
              <w:pStyle w:val="12"/>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10CAA418">
            <w:pPr>
              <w:pStyle w:val="12"/>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038EA687">
            <w:pPr>
              <w:pStyle w:val="12"/>
              <w:pageBreakBefore w:val="0"/>
              <w:wordWrap/>
              <w:bidi w:val="0"/>
              <w:adjustRightInd/>
              <w:snapToGrid/>
              <w:rPr>
                <w:b/>
                <w:bCs/>
                <w:color w:val="auto"/>
              </w:rPr>
            </w:pPr>
            <w:r>
              <w:rPr>
                <w:b/>
                <w:bCs/>
                <w:color w:val="auto"/>
              </w:rPr>
              <w:t>备注</w:t>
            </w:r>
          </w:p>
        </w:tc>
      </w:tr>
      <w:tr w14:paraId="2CE5473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0B35D2E9">
            <w:pPr>
              <w:pStyle w:val="12"/>
              <w:pageBreakBefore w:val="0"/>
              <w:wordWrap/>
              <w:bidi w:val="0"/>
              <w:adjustRightInd/>
              <w:snapToGrid/>
              <w:jc w:val="both"/>
              <w:rPr>
                <w:color w:val="auto"/>
              </w:rPr>
            </w:pPr>
            <w:r>
              <w:rPr>
                <w:b/>
                <w:bCs/>
                <w:color w:val="auto"/>
              </w:rPr>
              <w:t>水解酸化池</w:t>
            </w:r>
          </w:p>
        </w:tc>
      </w:tr>
      <w:tr w14:paraId="159733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7E2B87">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7D2E2235">
            <w:pPr>
              <w:pStyle w:val="12"/>
              <w:pageBreakBefore w:val="0"/>
              <w:wordWrap/>
              <w:bidi w:val="0"/>
              <w:adjustRightInd/>
              <w:snapToGrid/>
              <w:rPr>
                <w:color w:val="auto"/>
              </w:rPr>
            </w:pPr>
            <w:r>
              <w:rPr>
                <w:color w:val="auto"/>
              </w:rPr>
              <w:t>手电方形铸铁镶铜闸板</w:t>
            </w:r>
          </w:p>
        </w:tc>
        <w:tc>
          <w:tcPr>
            <w:tcW w:w="1532" w:type="pct"/>
            <w:tcBorders>
              <w:tl2br w:val="nil"/>
              <w:tr2bl w:val="nil"/>
            </w:tcBorders>
            <w:noWrap w:val="0"/>
            <w:vAlign w:val="center"/>
          </w:tcPr>
          <w:p w14:paraId="65669490">
            <w:pPr>
              <w:pStyle w:val="12"/>
              <w:pageBreakBefore w:val="0"/>
              <w:wordWrap/>
              <w:bidi w:val="0"/>
              <w:adjustRightInd/>
              <w:snapToGrid/>
              <w:rPr>
                <w:color w:val="auto"/>
              </w:rPr>
            </w:pPr>
            <w:r>
              <w:rPr>
                <w:color w:val="auto"/>
              </w:rPr>
              <w:t>AxB=300x300</w:t>
            </w:r>
            <w:r>
              <w:rPr>
                <w:rFonts w:hint="eastAsia"/>
                <w:color w:val="auto"/>
                <w:lang w:eastAsia="zh-CN"/>
              </w:rPr>
              <w:t>，</w:t>
            </w:r>
            <w:r>
              <w:rPr>
                <w:color w:val="auto"/>
              </w:rPr>
              <w:t>H=5.55m</w:t>
            </w:r>
            <w:r>
              <w:rPr>
                <w:rFonts w:hint="eastAsia"/>
                <w:color w:val="auto"/>
                <w:lang w:eastAsia="zh-CN"/>
              </w:rPr>
              <w:t>，</w:t>
            </w:r>
            <w:r>
              <w:rPr>
                <w:color w:val="auto"/>
              </w:rPr>
              <w:t>配手电两用启闭机</w:t>
            </w:r>
            <w:r>
              <w:rPr>
                <w:rFonts w:hint="eastAsia"/>
                <w:color w:val="auto"/>
                <w:lang w:eastAsia="zh-CN"/>
              </w:rPr>
              <w:t>，</w:t>
            </w:r>
            <w:r>
              <w:rPr>
                <w:color w:val="auto"/>
              </w:rPr>
              <w:t>N=0.75kW</w:t>
            </w:r>
          </w:p>
        </w:tc>
        <w:tc>
          <w:tcPr>
            <w:tcW w:w="612" w:type="pct"/>
            <w:tcBorders>
              <w:tl2br w:val="nil"/>
              <w:tr2bl w:val="nil"/>
            </w:tcBorders>
            <w:noWrap w:val="0"/>
            <w:vAlign w:val="center"/>
          </w:tcPr>
          <w:p w14:paraId="2E0F12E0">
            <w:pPr>
              <w:pStyle w:val="12"/>
              <w:pageBreakBefore w:val="0"/>
              <w:wordWrap/>
              <w:bidi w:val="0"/>
              <w:adjustRightInd/>
              <w:snapToGrid/>
              <w:rPr>
                <w:color w:val="auto"/>
              </w:rPr>
            </w:pPr>
          </w:p>
        </w:tc>
        <w:tc>
          <w:tcPr>
            <w:tcW w:w="279" w:type="pct"/>
            <w:tcBorders>
              <w:tl2br w:val="nil"/>
              <w:tr2bl w:val="nil"/>
            </w:tcBorders>
            <w:noWrap w:val="0"/>
            <w:vAlign w:val="center"/>
          </w:tcPr>
          <w:p w14:paraId="3EF3D710">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992B89E">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4E945E7">
            <w:pPr>
              <w:pStyle w:val="12"/>
              <w:pageBreakBefore w:val="0"/>
              <w:wordWrap/>
              <w:bidi w:val="0"/>
              <w:adjustRightInd/>
              <w:snapToGrid/>
              <w:rPr>
                <w:color w:val="auto"/>
              </w:rPr>
            </w:pPr>
          </w:p>
        </w:tc>
      </w:tr>
      <w:tr w14:paraId="519AA26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0378B9B">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6C2E2C7A">
            <w:pPr>
              <w:pStyle w:val="12"/>
              <w:pageBreakBefore w:val="0"/>
              <w:wordWrap/>
              <w:bidi w:val="0"/>
              <w:adjustRightInd/>
              <w:snapToGrid/>
              <w:rPr>
                <w:color w:val="auto"/>
              </w:rPr>
            </w:pPr>
            <w:r>
              <w:rPr>
                <w:color w:val="auto"/>
              </w:rPr>
              <w:t>污泥泵</w:t>
            </w:r>
          </w:p>
        </w:tc>
        <w:tc>
          <w:tcPr>
            <w:tcW w:w="1532" w:type="pct"/>
            <w:tcBorders>
              <w:tl2br w:val="nil"/>
              <w:tr2bl w:val="nil"/>
            </w:tcBorders>
            <w:noWrap w:val="0"/>
            <w:vAlign w:val="center"/>
          </w:tcPr>
          <w:p w14:paraId="773D7156">
            <w:pPr>
              <w:pStyle w:val="12"/>
              <w:pageBreakBefore w:val="0"/>
              <w:wordWrap/>
              <w:bidi w:val="0"/>
              <w:adjustRightInd/>
              <w:snapToGrid/>
              <w:rPr>
                <w:color w:val="auto"/>
              </w:rPr>
            </w:pPr>
            <w:r>
              <w:rPr>
                <w:color w:val="auto"/>
              </w:rPr>
              <w:t>离心泵</w:t>
            </w:r>
            <w:r>
              <w:rPr>
                <w:rFonts w:hint="eastAsia"/>
                <w:color w:val="auto"/>
                <w:lang w:eastAsia="zh-CN"/>
              </w:rPr>
              <w:t>：</w:t>
            </w:r>
            <w:r>
              <w:rPr>
                <w:color w:val="auto"/>
              </w:rPr>
              <w:t>Q=80</w:t>
            </w:r>
            <w:r>
              <w:rPr>
                <w:rFonts w:hint="eastAsia"/>
                <w:color w:val="auto"/>
                <w:lang w:eastAsia="zh-CN"/>
              </w:rPr>
              <w:t>m³</w:t>
            </w:r>
            <w:r>
              <w:rPr>
                <w:color w:val="auto"/>
              </w:rPr>
              <w:t>/h</w:t>
            </w:r>
            <w:r>
              <w:rPr>
                <w:rFonts w:hint="eastAsia"/>
                <w:color w:val="auto"/>
                <w:lang w:eastAsia="zh-CN"/>
              </w:rPr>
              <w:t>，</w:t>
            </w:r>
            <w:r>
              <w:rPr>
                <w:color w:val="auto"/>
              </w:rPr>
              <w:t>H=8m</w:t>
            </w:r>
            <w:r>
              <w:rPr>
                <w:rFonts w:hint="eastAsia"/>
                <w:color w:val="auto"/>
                <w:lang w:eastAsia="zh-CN"/>
              </w:rPr>
              <w:t>，</w:t>
            </w:r>
            <w:r>
              <w:rPr>
                <w:color w:val="auto"/>
              </w:rPr>
              <w:t>N=3kW</w:t>
            </w:r>
          </w:p>
        </w:tc>
        <w:tc>
          <w:tcPr>
            <w:tcW w:w="612" w:type="pct"/>
            <w:tcBorders>
              <w:tl2br w:val="nil"/>
              <w:tr2bl w:val="nil"/>
            </w:tcBorders>
            <w:noWrap w:val="0"/>
            <w:vAlign w:val="center"/>
          </w:tcPr>
          <w:p w14:paraId="6F9D803C">
            <w:pPr>
              <w:pStyle w:val="12"/>
              <w:pageBreakBefore w:val="0"/>
              <w:wordWrap/>
              <w:bidi w:val="0"/>
              <w:adjustRightInd/>
              <w:snapToGrid/>
              <w:rPr>
                <w:color w:val="auto"/>
              </w:rPr>
            </w:pPr>
          </w:p>
        </w:tc>
        <w:tc>
          <w:tcPr>
            <w:tcW w:w="279" w:type="pct"/>
            <w:tcBorders>
              <w:tl2br w:val="nil"/>
              <w:tr2bl w:val="nil"/>
            </w:tcBorders>
            <w:noWrap w:val="0"/>
            <w:vAlign w:val="center"/>
          </w:tcPr>
          <w:p w14:paraId="46776A8E">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568848F">
            <w:pPr>
              <w:pStyle w:val="12"/>
              <w:pageBreakBefore w:val="0"/>
              <w:wordWrap/>
              <w:bidi w:val="0"/>
              <w:adjustRightInd/>
              <w:snapToGrid/>
              <w:rPr>
                <w:color w:val="auto"/>
              </w:rPr>
            </w:pPr>
            <w:r>
              <w:rPr>
                <w:color w:val="auto"/>
              </w:rPr>
              <w:t>5</w:t>
            </w:r>
          </w:p>
        </w:tc>
        <w:tc>
          <w:tcPr>
            <w:tcW w:w="1132" w:type="pct"/>
            <w:tcBorders>
              <w:tl2br w:val="nil"/>
              <w:tr2bl w:val="nil"/>
            </w:tcBorders>
            <w:noWrap w:val="0"/>
            <w:vAlign w:val="center"/>
          </w:tcPr>
          <w:p w14:paraId="5DA1CE68">
            <w:pPr>
              <w:pStyle w:val="12"/>
              <w:pageBreakBefore w:val="0"/>
              <w:wordWrap/>
              <w:bidi w:val="0"/>
              <w:adjustRightInd/>
              <w:snapToGrid/>
              <w:rPr>
                <w:color w:val="auto"/>
              </w:rPr>
            </w:pPr>
          </w:p>
        </w:tc>
      </w:tr>
      <w:tr w14:paraId="595AD4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2A7D6CA">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B709524">
            <w:pPr>
              <w:pStyle w:val="12"/>
              <w:pageBreakBefore w:val="0"/>
              <w:wordWrap/>
              <w:bidi w:val="0"/>
              <w:adjustRightInd/>
              <w:snapToGrid/>
              <w:rPr>
                <w:color w:val="auto"/>
              </w:rPr>
            </w:pPr>
            <w:r>
              <w:rPr>
                <w:color w:val="auto"/>
              </w:rPr>
              <w:t>低速潜水推流器</w:t>
            </w:r>
          </w:p>
        </w:tc>
        <w:tc>
          <w:tcPr>
            <w:tcW w:w="1532" w:type="pct"/>
            <w:tcBorders>
              <w:tl2br w:val="nil"/>
              <w:tr2bl w:val="nil"/>
            </w:tcBorders>
            <w:noWrap w:val="0"/>
            <w:vAlign w:val="center"/>
          </w:tcPr>
          <w:p w14:paraId="3954CA0B">
            <w:pPr>
              <w:pStyle w:val="12"/>
              <w:pageBreakBefore w:val="0"/>
              <w:wordWrap/>
              <w:bidi w:val="0"/>
              <w:adjustRightInd/>
              <w:snapToGrid/>
              <w:rPr>
                <w:color w:val="auto"/>
              </w:rPr>
            </w:pPr>
            <w:r>
              <w:rPr>
                <w:color w:val="auto"/>
              </w:rPr>
              <w:t>QJB</w:t>
            </w:r>
            <w:r>
              <w:rPr>
                <w:rFonts w:hint="eastAsia"/>
                <w:color w:val="auto"/>
                <w:lang w:eastAsia="zh-CN"/>
              </w:rPr>
              <w:t>1</w:t>
            </w:r>
            <w:r>
              <w:rPr>
                <w:color w:val="auto"/>
              </w:rPr>
              <w:t>.5/8-400/3-740</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7AC0C2E2">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4580C41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83D207F">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BBF2D38">
            <w:pPr>
              <w:pStyle w:val="12"/>
              <w:pageBreakBefore w:val="0"/>
              <w:wordWrap/>
              <w:bidi w:val="0"/>
              <w:adjustRightInd/>
              <w:snapToGrid/>
              <w:rPr>
                <w:color w:val="auto"/>
              </w:rPr>
            </w:pPr>
          </w:p>
        </w:tc>
      </w:tr>
      <w:tr w14:paraId="213252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5703B0">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7E7C45C3">
            <w:pPr>
              <w:pStyle w:val="12"/>
              <w:pageBreakBefore w:val="0"/>
              <w:wordWrap/>
              <w:bidi w:val="0"/>
              <w:adjustRightInd/>
              <w:snapToGrid/>
              <w:rPr>
                <w:color w:val="auto"/>
              </w:rPr>
            </w:pPr>
            <w:r>
              <w:rPr>
                <w:color w:val="auto"/>
              </w:rPr>
              <w:t>组合式填料</w:t>
            </w:r>
          </w:p>
        </w:tc>
        <w:tc>
          <w:tcPr>
            <w:tcW w:w="1532" w:type="pct"/>
            <w:tcBorders>
              <w:tl2br w:val="nil"/>
              <w:tr2bl w:val="nil"/>
            </w:tcBorders>
            <w:noWrap w:val="0"/>
            <w:vAlign w:val="center"/>
          </w:tcPr>
          <w:p w14:paraId="5AD73832">
            <w:pPr>
              <w:pStyle w:val="12"/>
              <w:pageBreakBefore w:val="0"/>
              <w:wordWrap/>
              <w:bidi w:val="0"/>
              <w:adjustRightInd/>
              <w:snapToGrid/>
              <w:rPr>
                <w:color w:val="auto"/>
              </w:rPr>
            </w:pPr>
            <w:r>
              <w:rPr>
                <w:color w:val="auto"/>
              </w:rPr>
              <w:t>φ150×60</w:t>
            </w:r>
            <w:r>
              <w:rPr>
                <w:rFonts w:hint="eastAsia"/>
                <w:color w:val="auto"/>
                <w:lang w:eastAsia="zh-CN"/>
              </w:rPr>
              <w:t>，</w:t>
            </w:r>
            <w:r>
              <w:rPr>
                <w:color w:val="auto"/>
              </w:rPr>
              <w:t>含填料支架</w:t>
            </w:r>
          </w:p>
        </w:tc>
        <w:tc>
          <w:tcPr>
            <w:tcW w:w="612" w:type="pct"/>
            <w:tcBorders>
              <w:tl2br w:val="nil"/>
              <w:tr2bl w:val="nil"/>
            </w:tcBorders>
            <w:noWrap w:val="0"/>
            <w:vAlign w:val="center"/>
          </w:tcPr>
          <w:p w14:paraId="77BFC741">
            <w:pPr>
              <w:pStyle w:val="12"/>
              <w:pageBreakBefore w:val="0"/>
              <w:wordWrap/>
              <w:bidi w:val="0"/>
              <w:adjustRightInd/>
              <w:snapToGrid/>
              <w:rPr>
                <w:color w:val="auto"/>
              </w:rPr>
            </w:pPr>
          </w:p>
        </w:tc>
        <w:tc>
          <w:tcPr>
            <w:tcW w:w="279" w:type="pct"/>
            <w:tcBorders>
              <w:tl2br w:val="nil"/>
              <w:tr2bl w:val="nil"/>
            </w:tcBorders>
            <w:noWrap w:val="0"/>
            <w:vAlign w:val="center"/>
          </w:tcPr>
          <w:p w14:paraId="40B022F1">
            <w:pPr>
              <w:pStyle w:val="12"/>
              <w:pageBreakBefore w:val="0"/>
              <w:wordWrap/>
              <w:bidi w:val="0"/>
              <w:adjustRightInd/>
              <w:snapToGrid/>
              <w:rPr>
                <w:rFonts w:hint="eastAsia" w:eastAsia="宋体"/>
                <w:color w:val="auto"/>
                <w:lang w:eastAsia="zh-CN"/>
              </w:rPr>
            </w:pPr>
            <w:r>
              <w:rPr>
                <w:rFonts w:hint="eastAsia"/>
                <w:color w:val="auto"/>
                <w:lang w:eastAsia="zh-CN"/>
              </w:rPr>
              <w:t>m³</w:t>
            </w:r>
          </w:p>
        </w:tc>
        <w:tc>
          <w:tcPr>
            <w:tcW w:w="244" w:type="pct"/>
            <w:tcBorders>
              <w:tl2br w:val="nil"/>
              <w:tr2bl w:val="nil"/>
            </w:tcBorders>
            <w:noWrap w:val="0"/>
            <w:vAlign w:val="center"/>
          </w:tcPr>
          <w:p w14:paraId="50D822AE">
            <w:pPr>
              <w:pStyle w:val="12"/>
              <w:pageBreakBefore w:val="0"/>
              <w:wordWrap/>
              <w:bidi w:val="0"/>
              <w:adjustRightInd/>
              <w:snapToGrid/>
              <w:rPr>
                <w:color w:val="auto"/>
              </w:rPr>
            </w:pPr>
            <w:r>
              <w:rPr>
                <w:color w:val="auto"/>
              </w:rPr>
              <w:t>340</w:t>
            </w:r>
          </w:p>
        </w:tc>
        <w:tc>
          <w:tcPr>
            <w:tcW w:w="1132" w:type="pct"/>
            <w:tcBorders>
              <w:tl2br w:val="nil"/>
              <w:tr2bl w:val="nil"/>
            </w:tcBorders>
            <w:noWrap w:val="0"/>
            <w:vAlign w:val="center"/>
          </w:tcPr>
          <w:p w14:paraId="7125E399">
            <w:pPr>
              <w:pStyle w:val="12"/>
              <w:pageBreakBefore w:val="0"/>
              <w:wordWrap/>
              <w:bidi w:val="0"/>
              <w:adjustRightInd/>
              <w:snapToGrid/>
              <w:rPr>
                <w:color w:val="auto"/>
              </w:rPr>
            </w:pPr>
          </w:p>
        </w:tc>
      </w:tr>
      <w:tr w14:paraId="7EBE0EA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6AD776">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6C3B51F6">
            <w:pPr>
              <w:pStyle w:val="12"/>
              <w:pageBreakBefore w:val="0"/>
              <w:wordWrap/>
              <w:bidi w:val="0"/>
              <w:adjustRightInd/>
              <w:snapToGrid/>
              <w:rPr>
                <w:color w:val="auto"/>
              </w:rPr>
            </w:pPr>
            <w:r>
              <w:rPr>
                <w:color w:val="auto"/>
              </w:rPr>
              <w:t>出水堰板</w:t>
            </w:r>
          </w:p>
        </w:tc>
        <w:tc>
          <w:tcPr>
            <w:tcW w:w="1532" w:type="pct"/>
            <w:tcBorders>
              <w:tl2br w:val="nil"/>
              <w:tr2bl w:val="nil"/>
            </w:tcBorders>
            <w:noWrap w:val="0"/>
            <w:vAlign w:val="center"/>
          </w:tcPr>
          <w:p w14:paraId="38F46E1E">
            <w:pPr>
              <w:pStyle w:val="12"/>
              <w:pageBreakBefore w:val="0"/>
              <w:wordWrap/>
              <w:bidi w:val="0"/>
              <w:adjustRightInd/>
              <w:snapToGrid/>
              <w:rPr>
                <w:color w:val="auto"/>
              </w:rPr>
            </w:pPr>
            <w:r>
              <w:rPr>
                <w:color w:val="auto"/>
              </w:rPr>
              <w:t>三角堰</w:t>
            </w:r>
            <w:r>
              <w:rPr>
                <w:rFonts w:hint="eastAsia"/>
                <w:color w:val="auto"/>
                <w:lang w:eastAsia="zh-CN"/>
              </w:rPr>
              <w:t>，</w:t>
            </w:r>
            <w:r>
              <w:rPr>
                <w:color w:val="auto"/>
              </w:rPr>
              <w:t>h=250mm</w:t>
            </w:r>
            <w:r>
              <w:rPr>
                <w:rFonts w:hint="eastAsia"/>
                <w:color w:val="auto"/>
                <w:lang w:eastAsia="zh-CN"/>
              </w:rPr>
              <w:t>，</w:t>
            </w:r>
            <w:r>
              <w:rPr>
                <w:color w:val="auto"/>
              </w:rPr>
              <w:t>厚</w:t>
            </w:r>
            <w:r>
              <w:rPr>
                <w:rFonts w:hint="eastAsia"/>
                <w:color w:val="auto"/>
                <w:lang w:eastAsia="zh-CN"/>
              </w:rPr>
              <w:t>度</w:t>
            </w:r>
            <w:r>
              <w:rPr>
                <w:color w:val="auto"/>
              </w:rPr>
              <w:t>4mm</w:t>
            </w:r>
          </w:p>
        </w:tc>
        <w:tc>
          <w:tcPr>
            <w:tcW w:w="612" w:type="pct"/>
            <w:tcBorders>
              <w:tl2br w:val="nil"/>
              <w:tr2bl w:val="nil"/>
            </w:tcBorders>
            <w:noWrap w:val="0"/>
            <w:vAlign w:val="center"/>
          </w:tcPr>
          <w:p w14:paraId="0ED9F72F">
            <w:pPr>
              <w:pStyle w:val="12"/>
              <w:pageBreakBefore w:val="0"/>
              <w:wordWrap/>
              <w:bidi w:val="0"/>
              <w:adjustRightInd/>
              <w:snapToGrid/>
              <w:rPr>
                <w:color w:val="auto"/>
              </w:rPr>
            </w:pPr>
          </w:p>
        </w:tc>
        <w:tc>
          <w:tcPr>
            <w:tcW w:w="279" w:type="pct"/>
            <w:tcBorders>
              <w:tl2br w:val="nil"/>
              <w:tr2bl w:val="nil"/>
            </w:tcBorders>
            <w:noWrap w:val="0"/>
            <w:vAlign w:val="center"/>
          </w:tcPr>
          <w:p w14:paraId="1F6AE55A">
            <w:pPr>
              <w:pStyle w:val="12"/>
              <w:pageBreakBefore w:val="0"/>
              <w:wordWrap/>
              <w:bidi w:val="0"/>
              <w:adjustRightInd/>
              <w:snapToGrid/>
              <w:rPr>
                <w:color w:val="auto"/>
              </w:rPr>
            </w:pPr>
            <w:r>
              <w:rPr>
                <w:color w:val="auto"/>
              </w:rPr>
              <w:t>m</w:t>
            </w:r>
          </w:p>
        </w:tc>
        <w:tc>
          <w:tcPr>
            <w:tcW w:w="244" w:type="pct"/>
            <w:tcBorders>
              <w:tl2br w:val="nil"/>
              <w:tr2bl w:val="nil"/>
            </w:tcBorders>
            <w:noWrap w:val="0"/>
            <w:vAlign w:val="center"/>
          </w:tcPr>
          <w:p w14:paraId="67BC4478">
            <w:pPr>
              <w:pStyle w:val="12"/>
              <w:pageBreakBefore w:val="0"/>
              <w:wordWrap/>
              <w:bidi w:val="0"/>
              <w:adjustRightInd/>
              <w:snapToGrid/>
              <w:rPr>
                <w:color w:val="auto"/>
              </w:rPr>
            </w:pPr>
            <w:r>
              <w:rPr>
                <w:color w:val="auto"/>
              </w:rPr>
              <w:t>40</w:t>
            </w:r>
          </w:p>
        </w:tc>
        <w:tc>
          <w:tcPr>
            <w:tcW w:w="1132" w:type="pct"/>
            <w:tcBorders>
              <w:tl2br w:val="nil"/>
              <w:tr2bl w:val="nil"/>
            </w:tcBorders>
            <w:noWrap w:val="0"/>
            <w:vAlign w:val="center"/>
          </w:tcPr>
          <w:p w14:paraId="4AE5A67E">
            <w:pPr>
              <w:pStyle w:val="12"/>
              <w:pageBreakBefore w:val="0"/>
              <w:wordWrap/>
              <w:bidi w:val="0"/>
              <w:adjustRightInd/>
              <w:snapToGrid/>
              <w:rPr>
                <w:color w:val="auto"/>
              </w:rPr>
            </w:pPr>
          </w:p>
        </w:tc>
      </w:tr>
      <w:tr w14:paraId="751DF7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98777D0">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C2B16B7">
            <w:pPr>
              <w:pStyle w:val="12"/>
              <w:pageBreakBefore w:val="0"/>
              <w:wordWrap/>
              <w:bidi w:val="0"/>
              <w:adjustRightInd/>
              <w:snapToGrid/>
              <w:rPr>
                <w:color w:val="auto"/>
              </w:rPr>
            </w:pPr>
            <w:r>
              <w:rPr>
                <w:color w:val="auto"/>
              </w:rPr>
              <w:t>穿孔配水管</w:t>
            </w:r>
          </w:p>
        </w:tc>
        <w:tc>
          <w:tcPr>
            <w:tcW w:w="1532" w:type="pct"/>
            <w:tcBorders>
              <w:tl2br w:val="nil"/>
              <w:tr2bl w:val="nil"/>
            </w:tcBorders>
            <w:noWrap w:val="0"/>
            <w:vAlign w:val="center"/>
          </w:tcPr>
          <w:p w14:paraId="3C30965E">
            <w:pPr>
              <w:pStyle w:val="12"/>
              <w:pageBreakBefore w:val="0"/>
              <w:wordWrap/>
              <w:bidi w:val="0"/>
              <w:adjustRightInd/>
              <w:snapToGrid/>
              <w:rPr>
                <w:color w:val="auto"/>
              </w:rPr>
            </w:pPr>
            <w:r>
              <w:rPr>
                <w:color w:val="auto"/>
              </w:rPr>
              <w:t>DN100L=15m</w:t>
            </w:r>
            <w:r>
              <w:rPr>
                <w:rFonts w:hint="eastAsia"/>
                <w:color w:val="auto"/>
                <w:lang w:eastAsia="zh-CN"/>
              </w:rPr>
              <w:t>，</w:t>
            </w:r>
            <w:r>
              <w:rPr>
                <w:color w:val="auto"/>
              </w:rPr>
              <w:t>配套管件支架等</w:t>
            </w:r>
          </w:p>
        </w:tc>
        <w:tc>
          <w:tcPr>
            <w:tcW w:w="612" w:type="pct"/>
            <w:tcBorders>
              <w:tl2br w:val="nil"/>
              <w:tr2bl w:val="nil"/>
            </w:tcBorders>
            <w:noWrap w:val="0"/>
            <w:vAlign w:val="center"/>
          </w:tcPr>
          <w:p w14:paraId="21C172F9">
            <w:pPr>
              <w:pStyle w:val="12"/>
              <w:pageBreakBefore w:val="0"/>
              <w:wordWrap/>
              <w:bidi w:val="0"/>
              <w:adjustRightInd/>
              <w:snapToGrid/>
              <w:rPr>
                <w:color w:val="auto"/>
              </w:rPr>
            </w:pPr>
            <w:r>
              <w:rPr>
                <w:color w:val="auto"/>
              </w:rPr>
              <w:t>UPVC</w:t>
            </w:r>
          </w:p>
        </w:tc>
        <w:tc>
          <w:tcPr>
            <w:tcW w:w="279" w:type="pct"/>
            <w:tcBorders>
              <w:tl2br w:val="nil"/>
              <w:tr2bl w:val="nil"/>
            </w:tcBorders>
            <w:noWrap w:val="0"/>
            <w:vAlign w:val="center"/>
          </w:tcPr>
          <w:p w14:paraId="43E2C718">
            <w:pPr>
              <w:pStyle w:val="12"/>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41B19B3E">
            <w:pPr>
              <w:pStyle w:val="12"/>
              <w:pageBreakBefore w:val="0"/>
              <w:wordWrap/>
              <w:bidi w:val="0"/>
              <w:adjustRightInd/>
              <w:snapToGrid/>
              <w:rPr>
                <w:color w:val="auto"/>
              </w:rPr>
            </w:pPr>
            <w:r>
              <w:rPr>
                <w:color w:val="auto"/>
              </w:rPr>
              <w:t>18</w:t>
            </w:r>
          </w:p>
        </w:tc>
        <w:tc>
          <w:tcPr>
            <w:tcW w:w="1132" w:type="pct"/>
            <w:tcBorders>
              <w:tl2br w:val="nil"/>
              <w:tr2bl w:val="nil"/>
            </w:tcBorders>
            <w:noWrap w:val="0"/>
            <w:vAlign w:val="center"/>
          </w:tcPr>
          <w:p w14:paraId="1EB227CD">
            <w:pPr>
              <w:pStyle w:val="12"/>
              <w:pageBreakBefore w:val="0"/>
              <w:wordWrap/>
              <w:bidi w:val="0"/>
              <w:adjustRightInd/>
              <w:snapToGrid/>
              <w:rPr>
                <w:color w:val="auto"/>
              </w:rPr>
            </w:pPr>
          </w:p>
        </w:tc>
      </w:tr>
      <w:tr w14:paraId="10076E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416F6CC">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3965FE4A">
            <w:pPr>
              <w:pStyle w:val="12"/>
              <w:pageBreakBefore w:val="0"/>
              <w:wordWrap/>
              <w:bidi w:val="0"/>
              <w:adjustRightInd/>
              <w:snapToGrid/>
              <w:rPr>
                <w:color w:val="auto"/>
              </w:rPr>
            </w:pPr>
            <w:r>
              <w:rPr>
                <w:color w:val="auto"/>
              </w:rPr>
              <w:t>污泥界面仪</w:t>
            </w:r>
          </w:p>
        </w:tc>
        <w:tc>
          <w:tcPr>
            <w:tcW w:w="1532" w:type="pct"/>
            <w:tcBorders>
              <w:tl2br w:val="nil"/>
              <w:tr2bl w:val="nil"/>
            </w:tcBorders>
            <w:noWrap w:val="0"/>
            <w:vAlign w:val="center"/>
          </w:tcPr>
          <w:p w14:paraId="66C919D7">
            <w:pPr>
              <w:pStyle w:val="12"/>
              <w:pageBreakBefore w:val="0"/>
              <w:wordWrap/>
              <w:bidi w:val="0"/>
              <w:adjustRightInd/>
              <w:snapToGrid/>
              <w:rPr>
                <w:color w:val="auto"/>
              </w:rPr>
            </w:pPr>
          </w:p>
        </w:tc>
        <w:tc>
          <w:tcPr>
            <w:tcW w:w="612" w:type="pct"/>
            <w:tcBorders>
              <w:tl2br w:val="nil"/>
              <w:tr2bl w:val="nil"/>
            </w:tcBorders>
            <w:noWrap w:val="0"/>
            <w:vAlign w:val="center"/>
          </w:tcPr>
          <w:p w14:paraId="7F6A40AA">
            <w:pPr>
              <w:pStyle w:val="12"/>
              <w:pageBreakBefore w:val="0"/>
              <w:wordWrap/>
              <w:bidi w:val="0"/>
              <w:adjustRightInd/>
              <w:snapToGrid/>
              <w:rPr>
                <w:color w:val="auto"/>
              </w:rPr>
            </w:pPr>
          </w:p>
        </w:tc>
        <w:tc>
          <w:tcPr>
            <w:tcW w:w="279" w:type="pct"/>
            <w:tcBorders>
              <w:tl2br w:val="nil"/>
              <w:tr2bl w:val="nil"/>
            </w:tcBorders>
            <w:noWrap w:val="0"/>
            <w:vAlign w:val="center"/>
          </w:tcPr>
          <w:p w14:paraId="29A6392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E3641EB">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65C5965">
            <w:pPr>
              <w:pStyle w:val="12"/>
              <w:pageBreakBefore w:val="0"/>
              <w:wordWrap/>
              <w:bidi w:val="0"/>
              <w:adjustRightInd/>
              <w:snapToGrid/>
              <w:rPr>
                <w:color w:val="auto"/>
              </w:rPr>
            </w:pPr>
            <w:r>
              <w:rPr>
                <w:color w:val="auto"/>
              </w:rPr>
              <w:t>计入自控</w:t>
            </w:r>
          </w:p>
        </w:tc>
      </w:tr>
      <w:tr w14:paraId="7522F5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50F68B8">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1F2FCB16">
            <w:pPr>
              <w:pStyle w:val="12"/>
              <w:pageBreakBefore w:val="0"/>
              <w:wordWrap/>
              <w:bidi w:val="0"/>
              <w:adjustRightInd/>
              <w:snapToGrid/>
              <w:rPr>
                <w:color w:val="auto"/>
              </w:rPr>
            </w:pPr>
            <w:r>
              <w:rPr>
                <w:rFonts w:hint="eastAsia"/>
                <w:color w:val="auto"/>
                <w:lang w:eastAsia="zh-CN"/>
              </w:rPr>
              <w:t>MLSS</w:t>
            </w:r>
            <w:r>
              <w:rPr>
                <w:color w:val="auto"/>
              </w:rPr>
              <w:t>仪</w:t>
            </w:r>
          </w:p>
        </w:tc>
        <w:tc>
          <w:tcPr>
            <w:tcW w:w="1532" w:type="pct"/>
            <w:tcBorders>
              <w:tl2br w:val="nil"/>
              <w:tr2bl w:val="nil"/>
            </w:tcBorders>
            <w:noWrap w:val="0"/>
            <w:vAlign w:val="center"/>
          </w:tcPr>
          <w:p w14:paraId="07B37C14">
            <w:pPr>
              <w:pStyle w:val="12"/>
              <w:pageBreakBefore w:val="0"/>
              <w:wordWrap/>
              <w:bidi w:val="0"/>
              <w:adjustRightInd/>
              <w:snapToGrid/>
              <w:rPr>
                <w:color w:val="auto"/>
              </w:rPr>
            </w:pPr>
            <w:r>
              <w:rPr>
                <w:color w:val="auto"/>
              </w:rPr>
              <w:t>0~10g/L</w:t>
            </w:r>
            <w:r>
              <w:rPr>
                <w:rFonts w:hint="eastAsia"/>
                <w:color w:val="auto"/>
                <w:lang w:eastAsia="zh-CN"/>
              </w:rPr>
              <w:t>，</w:t>
            </w:r>
            <w:r>
              <w:rPr>
                <w:color w:val="auto"/>
              </w:rPr>
              <w:t>机械清洗</w:t>
            </w:r>
          </w:p>
        </w:tc>
        <w:tc>
          <w:tcPr>
            <w:tcW w:w="612" w:type="pct"/>
            <w:tcBorders>
              <w:tl2br w:val="nil"/>
              <w:tr2bl w:val="nil"/>
            </w:tcBorders>
            <w:noWrap w:val="0"/>
            <w:vAlign w:val="center"/>
          </w:tcPr>
          <w:p w14:paraId="2B9D8DD1">
            <w:pPr>
              <w:pStyle w:val="12"/>
              <w:pageBreakBefore w:val="0"/>
              <w:wordWrap/>
              <w:bidi w:val="0"/>
              <w:adjustRightInd/>
              <w:snapToGrid/>
              <w:rPr>
                <w:color w:val="auto"/>
              </w:rPr>
            </w:pPr>
          </w:p>
        </w:tc>
        <w:tc>
          <w:tcPr>
            <w:tcW w:w="279" w:type="pct"/>
            <w:tcBorders>
              <w:tl2br w:val="nil"/>
              <w:tr2bl w:val="nil"/>
            </w:tcBorders>
            <w:noWrap w:val="0"/>
            <w:vAlign w:val="center"/>
          </w:tcPr>
          <w:p w14:paraId="21E1BCBC">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7F12560">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EEDD09B">
            <w:pPr>
              <w:pStyle w:val="12"/>
              <w:pageBreakBefore w:val="0"/>
              <w:wordWrap/>
              <w:bidi w:val="0"/>
              <w:adjustRightInd/>
              <w:snapToGrid/>
              <w:rPr>
                <w:color w:val="auto"/>
              </w:rPr>
            </w:pPr>
            <w:r>
              <w:rPr>
                <w:color w:val="auto"/>
              </w:rPr>
              <w:t>计入自控</w:t>
            </w:r>
          </w:p>
        </w:tc>
      </w:tr>
      <w:tr w14:paraId="53DEC1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27390D22">
            <w:pPr>
              <w:pStyle w:val="12"/>
              <w:pageBreakBefore w:val="0"/>
              <w:wordWrap/>
              <w:bidi w:val="0"/>
              <w:adjustRightInd/>
              <w:snapToGrid/>
              <w:jc w:val="left"/>
              <w:rPr>
                <w:b/>
                <w:bCs/>
                <w:color w:val="auto"/>
              </w:rPr>
            </w:pPr>
            <w:r>
              <w:rPr>
                <w:b/>
                <w:bCs/>
                <w:color w:val="auto"/>
              </w:rPr>
              <w:t>生化池</w:t>
            </w:r>
          </w:p>
        </w:tc>
      </w:tr>
      <w:tr w14:paraId="578FA3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CEF2D02">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4ADDDE90">
            <w:pPr>
              <w:pStyle w:val="12"/>
              <w:pageBreakBefore w:val="0"/>
              <w:wordWrap/>
              <w:bidi w:val="0"/>
              <w:adjustRightInd/>
              <w:snapToGrid/>
              <w:rPr>
                <w:color w:val="auto"/>
              </w:rPr>
            </w:pPr>
            <w:r>
              <w:rPr>
                <w:color w:val="auto"/>
              </w:rPr>
              <w:t>可提升微孔曝气软管</w:t>
            </w:r>
          </w:p>
        </w:tc>
        <w:tc>
          <w:tcPr>
            <w:tcW w:w="1532" w:type="pct"/>
            <w:tcBorders>
              <w:tl2br w:val="nil"/>
              <w:tr2bl w:val="nil"/>
            </w:tcBorders>
            <w:noWrap w:val="0"/>
            <w:vAlign w:val="center"/>
          </w:tcPr>
          <w:p w14:paraId="3EBAA4CB">
            <w:pPr>
              <w:pStyle w:val="12"/>
              <w:pageBreakBefore w:val="0"/>
              <w:wordWrap/>
              <w:bidi w:val="0"/>
              <w:adjustRightInd/>
              <w:snapToGrid/>
              <w:rPr>
                <w:color w:val="auto"/>
              </w:rPr>
            </w:pPr>
            <w:r>
              <w:rPr>
                <w:color w:val="auto"/>
              </w:rPr>
              <w:t>EB-TH4500</w:t>
            </w:r>
            <w:r>
              <w:rPr>
                <w:rFonts w:hint="eastAsia"/>
                <w:color w:val="auto"/>
                <w:lang w:eastAsia="zh-CN"/>
              </w:rPr>
              <w:t>，</w:t>
            </w:r>
            <w:r>
              <w:rPr>
                <w:color w:val="auto"/>
              </w:rPr>
              <w:t>φ62-65</w:t>
            </w:r>
          </w:p>
        </w:tc>
        <w:tc>
          <w:tcPr>
            <w:tcW w:w="612" w:type="pct"/>
            <w:tcBorders>
              <w:tl2br w:val="nil"/>
              <w:tr2bl w:val="nil"/>
            </w:tcBorders>
            <w:noWrap w:val="0"/>
            <w:vAlign w:val="center"/>
          </w:tcPr>
          <w:p w14:paraId="11F4BBD5">
            <w:pPr>
              <w:pStyle w:val="12"/>
              <w:pageBreakBefore w:val="0"/>
              <w:wordWrap/>
              <w:bidi w:val="0"/>
              <w:adjustRightInd/>
              <w:snapToGrid/>
              <w:rPr>
                <w:color w:val="auto"/>
              </w:rPr>
            </w:pPr>
            <w:r>
              <w:rPr>
                <w:color w:val="auto"/>
              </w:rPr>
              <w:t>PU+添加剂</w:t>
            </w:r>
          </w:p>
        </w:tc>
        <w:tc>
          <w:tcPr>
            <w:tcW w:w="279" w:type="pct"/>
            <w:tcBorders>
              <w:tl2br w:val="nil"/>
              <w:tr2bl w:val="nil"/>
            </w:tcBorders>
            <w:noWrap w:val="0"/>
            <w:vAlign w:val="center"/>
          </w:tcPr>
          <w:p w14:paraId="498C3730">
            <w:pPr>
              <w:pStyle w:val="12"/>
              <w:pageBreakBefore w:val="0"/>
              <w:wordWrap/>
              <w:bidi w:val="0"/>
              <w:adjustRightInd/>
              <w:snapToGrid/>
              <w:rPr>
                <w:color w:val="auto"/>
              </w:rPr>
            </w:pPr>
            <w:r>
              <w:rPr>
                <w:color w:val="auto"/>
              </w:rPr>
              <w:t>米</w:t>
            </w:r>
          </w:p>
        </w:tc>
        <w:tc>
          <w:tcPr>
            <w:tcW w:w="244" w:type="pct"/>
            <w:tcBorders>
              <w:tl2br w:val="nil"/>
              <w:tr2bl w:val="nil"/>
            </w:tcBorders>
            <w:noWrap w:val="0"/>
            <w:vAlign w:val="center"/>
          </w:tcPr>
          <w:p w14:paraId="71CD3A3C">
            <w:pPr>
              <w:pStyle w:val="12"/>
              <w:pageBreakBefore w:val="0"/>
              <w:wordWrap/>
              <w:bidi w:val="0"/>
              <w:adjustRightInd/>
              <w:snapToGrid/>
              <w:rPr>
                <w:color w:val="auto"/>
              </w:rPr>
            </w:pPr>
            <w:r>
              <w:rPr>
                <w:color w:val="auto"/>
              </w:rPr>
              <w:t>600</w:t>
            </w:r>
          </w:p>
        </w:tc>
        <w:tc>
          <w:tcPr>
            <w:tcW w:w="1132" w:type="pct"/>
            <w:tcBorders>
              <w:tl2br w:val="nil"/>
              <w:tr2bl w:val="nil"/>
            </w:tcBorders>
            <w:noWrap w:val="0"/>
            <w:vAlign w:val="center"/>
          </w:tcPr>
          <w:p w14:paraId="2CD1D5EA">
            <w:pPr>
              <w:pStyle w:val="12"/>
              <w:pageBreakBefore w:val="0"/>
              <w:wordWrap/>
              <w:bidi w:val="0"/>
              <w:adjustRightInd/>
              <w:snapToGrid/>
              <w:rPr>
                <w:color w:val="auto"/>
              </w:rPr>
            </w:pPr>
          </w:p>
        </w:tc>
      </w:tr>
      <w:tr w14:paraId="280FD7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6C5F8FF">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4A15545">
            <w:pPr>
              <w:pStyle w:val="12"/>
              <w:pageBreakBefore w:val="0"/>
              <w:wordWrap/>
              <w:bidi w:val="0"/>
              <w:adjustRightInd/>
              <w:snapToGrid/>
              <w:rPr>
                <w:color w:val="auto"/>
              </w:rPr>
            </w:pPr>
            <w:r>
              <w:rPr>
                <w:color w:val="auto"/>
              </w:rPr>
              <w:t>导向绳索</w:t>
            </w:r>
          </w:p>
        </w:tc>
        <w:tc>
          <w:tcPr>
            <w:tcW w:w="1532" w:type="pct"/>
            <w:tcBorders>
              <w:tl2br w:val="nil"/>
              <w:tr2bl w:val="nil"/>
            </w:tcBorders>
            <w:noWrap w:val="0"/>
            <w:vAlign w:val="center"/>
          </w:tcPr>
          <w:p w14:paraId="0EB01744">
            <w:pPr>
              <w:pStyle w:val="12"/>
              <w:pageBreakBefore w:val="0"/>
              <w:wordWrap/>
              <w:bidi w:val="0"/>
              <w:adjustRightInd/>
              <w:snapToGrid/>
              <w:rPr>
                <w:color w:val="auto"/>
              </w:rPr>
            </w:pPr>
            <w:r>
              <w:rPr>
                <w:color w:val="auto"/>
              </w:rPr>
              <w:t>TR-6&amp;8000</w:t>
            </w:r>
          </w:p>
        </w:tc>
        <w:tc>
          <w:tcPr>
            <w:tcW w:w="612" w:type="pct"/>
            <w:tcBorders>
              <w:tl2br w:val="nil"/>
              <w:tr2bl w:val="nil"/>
            </w:tcBorders>
            <w:noWrap w:val="0"/>
            <w:vAlign w:val="center"/>
          </w:tcPr>
          <w:p w14:paraId="60F06A4D">
            <w:pPr>
              <w:pStyle w:val="12"/>
              <w:pageBreakBefore w:val="0"/>
              <w:wordWrap/>
              <w:bidi w:val="0"/>
              <w:adjustRightInd/>
              <w:snapToGrid/>
              <w:rPr>
                <w:color w:val="auto"/>
              </w:rPr>
            </w:pPr>
            <w:r>
              <w:rPr>
                <w:color w:val="auto"/>
              </w:rPr>
              <w:t>尼龙</w:t>
            </w:r>
          </w:p>
        </w:tc>
        <w:tc>
          <w:tcPr>
            <w:tcW w:w="279" w:type="pct"/>
            <w:tcBorders>
              <w:tl2br w:val="nil"/>
              <w:tr2bl w:val="nil"/>
            </w:tcBorders>
            <w:noWrap w:val="0"/>
            <w:vAlign w:val="center"/>
          </w:tcPr>
          <w:p w14:paraId="1FBB577C">
            <w:pPr>
              <w:pStyle w:val="12"/>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5790E23F">
            <w:pPr>
              <w:pStyle w:val="12"/>
              <w:pageBreakBefore w:val="0"/>
              <w:wordWrap/>
              <w:bidi w:val="0"/>
              <w:adjustRightInd/>
              <w:snapToGrid/>
              <w:rPr>
                <w:color w:val="auto"/>
              </w:rPr>
            </w:pPr>
            <w:r>
              <w:rPr>
                <w:color w:val="auto"/>
              </w:rPr>
              <w:t>42</w:t>
            </w:r>
          </w:p>
        </w:tc>
        <w:tc>
          <w:tcPr>
            <w:tcW w:w="1132" w:type="pct"/>
            <w:tcBorders>
              <w:tl2br w:val="nil"/>
              <w:tr2bl w:val="nil"/>
            </w:tcBorders>
            <w:noWrap w:val="0"/>
            <w:vAlign w:val="center"/>
          </w:tcPr>
          <w:p w14:paraId="11F225FE">
            <w:pPr>
              <w:pStyle w:val="12"/>
              <w:pageBreakBefore w:val="0"/>
              <w:wordWrap/>
              <w:bidi w:val="0"/>
              <w:adjustRightInd/>
              <w:snapToGrid/>
              <w:rPr>
                <w:color w:val="auto"/>
              </w:rPr>
            </w:pPr>
          </w:p>
        </w:tc>
      </w:tr>
      <w:tr w14:paraId="611B49D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282F05B">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13DBE0DA">
            <w:pPr>
              <w:pStyle w:val="12"/>
              <w:pageBreakBefore w:val="0"/>
              <w:wordWrap/>
              <w:bidi w:val="0"/>
              <w:adjustRightInd/>
              <w:snapToGrid/>
              <w:rPr>
                <w:color w:val="auto"/>
              </w:rPr>
            </w:pPr>
            <w:r>
              <w:rPr>
                <w:color w:val="auto"/>
              </w:rPr>
              <w:t>挂钩</w:t>
            </w:r>
          </w:p>
        </w:tc>
        <w:tc>
          <w:tcPr>
            <w:tcW w:w="1532" w:type="pct"/>
            <w:tcBorders>
              <w:tl2br w:val="nil"/>
              <w:tr2bl w:val="nil"/>
            </w:tcBorders>
            <w:noWrap w:val="0"/>
            <w:vAlign w:val="center"/>
          </w:tcPr>
          <w:p w14:paraId="53564AD4">
            <w:pPr>
              <w:pStyle w:val="12"/>
              <w:pageBreakBefore w:val="0"/>
              <w:wordWrap/>
              <w:bidi w:val="0"/>
              <w:adjustRightInd/>
              <w:snapToGrid/>
              <w:rPr>
                <w:color w:val="auto"/>
              </w:rPr>
            </w:pPr>
            <w:r>
              <w:rPr>
                <w:color w:val="auto"/>
              </w:rPr>
              <w:t>非标</w:t>
            </w:r>
          </w:p>
        </w:tc>
        <w:tc>
          <w:tcPr>
            <w:tcW w:w="612" w:type="pct"/>
            <w:tcBorders>
              <w:tl2br w:val="nil"/>
              <w:tr2bl w:val="nil"/>
            </w:tcBorders>
            <w:noWrap w:val="0"/>
            <w:vAlign w:val="center"/>
          </w:tcPr>
          <w:p w14:paraId="606D088D">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7F9C174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D5FEB12">
            <w:pPr>
              <w:pStyle w:val="12"/>
              <w:pageBreakBefore w:val="0"/>
              <w:wordWrap/>
              <w:bidi w:val="0"/>
              <w:adjustRightInd/>
              <w:snapToGrid/>
              <w:rPr>
                <w:color w:val="auto"/>
              </w:rPr>
            </w:pPr>
            <w:r>
              <w:rPr>
                <w:color w:val="auto"/>
              </w:rPr>
              <w:t>54</w:t>
            </w:r>
          </w:p>
        </w:tc>
        <w:tc>
          <w:tcPr>
            <w:tcW w:w="1132" w:type="pct"/>
            <w:tcBorders>
              <w:tl2br w:val="nil"/>
              <w:tr2bl w:val="nil"/>
            </w:tcBorders>
            <w:noWrap w:val="0"/>
            <w:vAlign w:val="center"/>
          </w:tcPr>
          <w:p w14:paraId="6267A92F">
            <w:pPr>
              <w:pStyle w:val="12"/>
              <w:pageBreakBefore w:val="0"/>
              <w:wordWrap/>
              <w:bidi w:val="0"/>
              <w:adjustRightInd/>
              <w:snapToGrid/>
              <w:rPr>
                <w:color w:val="auto"/>
              </w:rPr>
            </w:pPr>
          </w:p>
        </w:tc>
      </w:tr>
      <w:tr w14:paraId="7F8581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A071B32">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6A434ED9">
            <w:pPr>
              <w:pStyle w:val="12"/>
              <w:pageBreakBefore w:val="0"/>
              <w:wordWrap/>
              <w:bidi w:val="0"/>
              <w:adjustRightInd/>
              <w:snapToGrid/>
              <w:rPr>
                <w:color w:val="auto"/>
              </w:rPr>
            </w:pPr>
            <w:r>
              <w:rPr>
                <w:color w:val="auto"/>
              </w:rPr>
              <w:t>专用连接件</w:t>
            </w:r>
          </w:p>
        </w:tc>
        <w:tc>
          <w:tcPr>
            <w:tcW w:w="1532" w:type="pct"/>
            <w:tcBorders>
              <w:tl2br w:val="nil"/>
              <w:tr2bl w:val="nil"/>
            </w:tcBorders>
            <w:noWrap w:val="0"/>
            <w:vAlign w:val="center"/>
          </w:tcPr>
          <w:p w14:paraId="1F7E756D">
            <w:pPr>
              <w:pStyle w:val="12"/>
              <w:pageBreakBefore w:val="0"/>
              <w:wordWrap/>
              <w:bidi w:val="0"/>
              <w:adjustRightInd/>
              <w:snapToGrid/>
              <w:rPr>
                <w:color w:val="auto"/>
              </w:rPr>
            </w:pPr>
            <w:r>
              <w:rPr>
                <w:color w:val="auto"/>
              </w:rPr>
              <w:t>φ50-φ70</w:t>
            </w:r>
          </w:p>
        </w:tc>
        <w:tc>
          <w:tcPr>
            <w:tcW w:w="612" w:type="pct"/>
            <w:tcBorders>
              <w:tl2br w:val="nil"/>
              <w:tr2bl w:val="nil"/>
            </w:tcBorders>
            <w:noWrap w:val="0"/>
            <w:vAlign w:val="center"/>
          </w:tcPr>
          <w:p w14:paraId="3040FFA7">
            <w:pPr>
              <w:pStyle w:val="12"/>
              <w:pageBreakBefore w:val="0"/>
              <w:wordWrap/>
              <w:bidi w:val="0"/>
              <w:adjustRightInd/>
              <w:snapToGrid/>
              <w:rPr>
                <w:color w:val="auto"/>
              </w:rPr>
            </w:pPr>
            <w:r>
              <w:rPr>
                <w:rFonts w:hint="eastAsia"/>
                <w:color w:val="auto"/>
                <w:lang w:val="en-US" w:eastAsia="zh-CN"/>
              </w:rPr>
              <w:t>SS</w:t>
            </w:r>
            <w:r>
              <w:rPr>
                <w:color w:val="auto"/>
              </w:rPr>
              <w:t>316L</w:t>
            </w:r>
          </w:p>
        </w:tc>
        <w:tc>
          <w:tcPr>
            <w:tcW w:w="279" w:type="pct"/>
            <w:tcBorders>
              <w:tl2br w:val="nil"/>
              <w:tr2bl w:val="nil"/>
            </w:tcBorders>
            <w:noWrap w:val="0"/>
            <w:vAlign w:val="center"/>
          </w:tcPr>
          <w:p w14:paraId="450CA312">
            <w:pPr>
              <w:pStyle w:val="12"/>
              <w:pageBreakBefore w:val="0"/>
              <w:wordWrap/>
              <w:bidi w:val="0"/>
              <w:adjustRightInd/>
              <w:snapToGrid/>
              <w:rPr>
                <w:color w:val="auto"/>
              </w:rPr>
            </w:pPr>
            <w:r>
              <w:rPr>
                <w:color w:val="auto"/>
              </w:rPr>
              <w:t>只</w:t>
            </w:r>
          </w:p>
        </w:tc>
        <w:tc>
          <w:tcPr>
            <w:tcW w:w="244" w:type="pct"/>
            <w:tcBorders>
              <w:tl2br w:val="nil"/>
              <w:tr2bl w:val="nil"/>
            </w:tcBorders>
            <w:noWrap w:val="0"/>
            <w:vAlign w:val="center"/>
          </w:tcPr>
          <w:p w14:paraId="643A0C3B">
            <w:pPr>
              <w:pStyle w:val="12"/>
              <w:pageBreakBefore w:val="0"/>
              <w:wordWrap/>
              <w:bidi w:val="0"/>
              <w:adjustRightInd/>
              <w:snapToGrid/>
              <w:rPr>
                <w:color w:val="auto"/>
              </w:rPr>
            </w:pPr>
            <w:r>
              <w:rPr>
                <w:color w:val="auto"/>
              </w:rPr>
              <w:t>84</w:t>
            </w:r>
          </w:p>
        </w:tc>
        <w:tc>
          <w:tcPr>
            <w:tcW w:w="1132" w:type="pct"/>
            <w:tcBorders>
              <w:tl2br w:val="nil"/>
              <w:tr2bl w:val="nil"/>
            </w:tcBorders>
            <w:noWrap w:val="0"/>
            <w:vAlign w:val="center"/>
          </w:tcPr>
          <w:p w14:paraId="190DE376">
            <w:pPr>
              <w:pStyle w:val="12"/>
              <w:pageBreakBefore w:val="0"/>
              <w:wordWrap/>
              <w:bidi w:val="0"/>
              <w:adjustRightInd/>
              <w:snapToGrid/>
              <w:rPr>
                <w:color w:val="auto"/>
              </w:rPr>
            </w:pPr>
          </w:p>
        </w:tc>
      </w:tr>
      <w:tr w14:paraId="66520E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6C7C39A">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0DB0A543">
            <w:pPr>
              <w:pStyle w:val="12"/>
              <w:pageBreakBefore w:val="0"/>
              <w:wordWrap/>
              <w:bidi w:val="0"/>
              <w:adjustRightInd/>
              <w:snapToGrid/>
              <w:rPr>
                <w:color w:val="auto"/>
              </w:rPr>
            </w:pPr>
            <w:r>
              <w:rPr>
                <w:color w:val="auto"/>
              </w:rPr>
              <w:t>导向滑轨</w:t>
            </w:r>
          </w:p>
        </w:tc>
        <w:tc>
          <w:tcPr>
            <w:tcW w:w="1532" w:type="pct"/>
            <w:tcBorders>
              <w:tl2br w:val="nil"/>
              <w:tr2bl w:val="nil"/>
            </w:tcBorders>
            <w:noWrap w:val="0"/>
            <w:vAlign w:val="center"/>
          </w:tcPr>
          <w:p w14:paraId="13A425A7">
            <w:pPr>
              <w:pStyle w:val="12"/>
              <w:pageBreakBefore w:val="0"/>
              <w:wordWrap/>
              <w:bidi w:val="0"/>
              <w:adjustRightInd/>
              <w:snapToGrid/>
              <w:rPr>
                <w:color w:val="auto"/>
              </w:rPr>
            </w:pPr>
            <w:r>
              <w:rPr>
                <w:color w:val="auto"/>
              </w:rPr>
              <w:t>GR-5500</w:t>
            </w:r>
          </w:p>
        </w:tc>
        <w:tc>
          <w:tcPr>
            <w:tcW w:w="612" w:type="pct"/>
            <w:tcBorders>
              <w:tl2br w:val="nil"/>
              <w:tr2bl w:val="nil"/>
            </w:tcBorders>
            <w:noWrap w:val="0"/>
            <w:vAlign w:val="center"/>
          </w:tcPr>
          <w:p w14:paraId="44814753">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3181E6C8">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18F1CDF">
            <w:pPr>
              <w:pStyle w:val="12"/>
              <w:pageBreakBefore w:val="0"/>
              <w:wordWrap/>
              <w:bidi w:val="0"/>
              <w:adjustRightInd/>
              <w:snapToGrid/>
              <w:rPr>
                <w:color w:val="auto"/>
              </w:rPr>
            </w:pPr>
            <w:r>
              <w:rPr>
                <w:color w:val="auto"/>
              </w:rPr>
              <w:t>21</w:t>
            </w:r>
          </w:p>
        </w:tc>
        <w:tc>
          <w:tcPr>
            <w:tcW w:w="1132" w:type="pct"/>
            <w:tcBorders>
              <w:tl2br w:val="nil"/>
              <w:tr2bl w:val="nil"/>
            </w:tcBorders>
            <w:noWrap w:val="0"/>
            <w:vAlign w:val="center"/>
          </w:tcPr>
          <w:p w14:paraId="757AAD52">
            <w:pPr>
              <w:pStyle w:val="12"/>
              <w:pageBreakBefore w:val="0"/>
              <w:wordWrap/>
              <w:bidi w:val="0"/>
              <w:adjustRightInd/>
              <w:snapToGrid/>
              <w:rPr>
                <w:color w:val="auto"/>
              </w:rPr>
            </w:pPr>
          </w:p>
        </w:tc>
      </w:tr>
      <w:tr w14:paraId="4C96249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478F34">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4E6F5CD">
            <w:pPr>
              <w:pStyle w:val="12"/>
              <w:pageBreakBefore w:val="0"/>
              <w:wordWrap/>
              <w:bidi w:val="0"/>
              <w:adjustRightInd/>
              <w:snapToGrid/>
              <w:rPr>
                <w:color w:val="auto"/>
              </w:rPr>
            </w:pPr>
            <w:r>
              <w:rPr>
                <w:color w:val="auto"/>
              </w:rPr>
              <w:t>鼓风支管</w:t>
            </w:r>
          </w:p>
        </w:tc>
        <w:tc>
          <w:tcPr>
            <w:tcW w:w="1532" w:type="pct"/>
            <w:tcBorders>
              <w:tl2br w:val="nil"/>
              <w:tr2bl w:val="nil"/>
            </w:tcBorders>
            <w:noWrap w:val="0"/>
            <w:vAlign w:val="center"/>
          </w:tcPr>
          <w:p w14:paraId="7D12E63F">
            <w:pPr>
              <w:pStyle w:val="12"/>
              <w:pageBreakBefore w:val="0"/>
              <w:wordWrap/>
              <w:bidi w:val="0"/>
              <w:adjustRightInd/>
              <w:snapToGrid/>
              <w:rPr>
                <w:color w:val="auto"/>
              </w:rPr>
            </w:pPr>
            <w:r>
              <w:rPr>
                <w:color w:val="auto"/>
              </w:rPr>
              <w:t>ABP-5500</w:t>
            </w:r>
            <w:r>
              <w:rPr>
                <w:rFonts w:hint="eastAsia"/>
                <w:color w:val="auto"/>
                <w:lang w:eastAsia="zh-CN"/>
              </w:rPr>
              <w:t>，</w:t>
            </w:r>
            <w:r>
              <w:rPr>
                <w:color w:val="auto"/>
              </w:rPr>
              <w:t>φ63</w:t>
            </w:r>
            <w:r>
              <w:rPr>
                <w:rFonts w:hint="eastAsia"/>
                <w:color w:val="auto"/>
                <w:lang w:eastAsia="zh-CN"/>
              </w:rPr>
              <w:t>，</w:t>
            </w:r>
            <w:r>
              <w:rPr>
                <w:color w:val="auto"/>
              </w:rPr>
              <w:t>壁厚</w:t>
            </w:r>
            <w:r>
              <w:rPr>
                <w:rFonts w:hint="eastAsia"/>
                <w:color w:val="auto"/>
                <w:lang w:eastAsia="zh-CN"/>
              </w:rPr>
              <w:t>1</w:t>
            </w:r>
            <w:r>
              <w:rPr>
                <w:color w:val="auto"/>
              </w:rPr>
              <w:t>.2mm</w:t>
            </w:r>
          </w:p>
        </w:tc>
        <w:tc>
          <w:tcPr>
            <w:tcW w:w="612" w:type="pct"/>
            <w:tcBorders>
              <w:tl2br w:val="nil"/>
              <w:tr2bl w:val="nil"/>
            </w:tcBorders>
            <w:noWrap w:val="0"/>
            <w:vAlign w:val="center"/>
          </w:tcPr>
          <w:p w14:paraId="21F6FCEC">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4D1018CE">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73B4851">
            <w:pPr>
              <w:pStyle w:val="12"/>
              <w:pageBreakBefore w:val="0"/>
              <w:wordWrap/>
              <w:bidi w:val="0"/>
              <w:adjustRightInd/>
              <w:snapToGrid/>
              <w:rPr>
                <w:color w:val="auto"/>
              </w:rPr>
            </w:pPr>
            <w:r>
              <w:rPr>
                <w:color w:val="auto"/>
              </w:rPr>
              <w:t>21</w:t>
            </w:r>
          </w:p>
        </w:tc>
        <w:tc>
          <w:tcPr>
            <w:tcW w:w="1132" w:type="pct"/>
            <w:tcBorders>
              <w:tl2br w:val="nil"/>
              <w:tr2bl w:val="nil"/>
            </w:tcBorders>
            <w:noWrap w:val="0"/>
            <w:vAlign w:val="center"/>
          </w:tcPr>
          <w:p w14:paraId="0B101941">
            <w:pPr>
              <w:pStyle w:val="12"/>
              <w:pageBreakBefore w:val="0"/>
              <w:wordWrap/>
              <w:bidi w:val="0"/>
              <w:adjustRightInd/>
              <w:snapToGrid/>
              <w:rPr>
                <w:color w:val="auto"/>
              </w:rPr>
            </w:pPr>
          </w:p>
        </w:tc>
      </w:tr>
      <w:tr w14:paraId="7280A0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07F8A29">
            <w:pPr>
              <w:pStyle w:val="12"/>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53C3F56D">
            <w:pPr>
              <w:pStyle w:val="12"/>
              <w:pageBreakBefore w:val="0"/>
              <w:wordWrap/>
              <w:bidi w:val="0"/>
              <w:adjustRightInd/>
              <w:snapToGrid/>
              <w:rPr>
                <w:color w:val="auto"/>
              </w:rPr>
            </w:pPr>
            <w:r>
              <w:rPr>
                <w:color w:val="auto"/>
              </w:rPr>
              <w:t>导向滑轨支撑</w:t>
            </w:r>
          </w:p>
        </w:tc>
        <w:tc>
          <w:tcPr>
            <w:tcW w:w="1532" w:type="pct"/>
            <w:tcBorders>
              <w:tl2br w:val="nil"/>
              <w:tr2bl w:val="nil"/>
            </w:tcBorders>
            <w:noWrap w:val="0"/>
            <w:vAlign w:val="center"/>
          </w:tcPr>
          <w:p w14:paraId="04765A99">
            <w:pPr>
              <w:pStyle w:val="12"/>
              <w:pageBreakBefore w:val="0"/>
              <w:wordWrap/>
              <w:bidi w:val="0"/>
              <w:adjustRightInd/>
              <w:snapToGrid/>
              <w:rPr>
                <w:color w:val="auto"/>
              </w:rPr>
            </w:pPr>
            <w:r>
              <w:rPr>
                <w:color w:val="auto"/>
              </w:rPr>
              <w:t>GRH-2000</w:t>
            </w:r>
          </w:p>
        </w:tc>
        <w:tc>
          <w:tcPr>
            <w:tcW w:w="612" w:type="pct"/>
            <w:tcBorders>
              <w:tl2br w:val="nil"/>
              <w:tr2bl w:val="nil"/>
            </w:tcBorders>
            <w:noWrap w:val="0"/>
            <w:vAlign w:val="center"/>
          </w:tcPr>
          <w:p w14:paraId="126C1D48">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0B5AB380">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961699A">
            <w:pPr>
              <w:pStyle w:val="12"/>
              <w:pageBreakBefore w:val="0"/>
              <w:wordWrap/>
              <w:bidi w:val="0"/>
              <w:adjustRightInd/>
              <w:snapToGrid/>
              <w:rPr>
                <w:color w:val="auto"/>
              </w:rPr>
            </w:pPr>
            <w:r>
              <w:rPr>
                <w:color w:val="auto"/>
              </w:rPr>
              <w:t>10</w:t>
            </w:r>
          </w:p>
        </w:tc>
        <w:tc>
          <w:tcPr>
            <w:tcW w:w="1132" w:type="pct"/>
            <w:tcBorders>
              <w:tl2br w:val="nil"/>
              <w:tr2bl w:val="nil"/>
            </w:tcBorders>
            <w:noWrap w:val="0"/>
            <w:vAlign w:val="center"/>
          </w:tcPr>
          <w:p w14:paraId="7E320772">
            <w:pPr>
              <w:pStyle w:val="12"/>
              <w:pageBreakBefore w:val="0"/>
              <w:wordWrap/>
              <w:bidi w:val="0"/>
              <w:adjustRightInd/>
              <w:snapToGrid/>
              <w:rPr>
                <w:color w:val="auto"/>
              </w:rPr>
            </w:pPr>
          </w:p>
        </w:tc>
      </w:tr>
      <w:tr w14:paraId="4A7360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66A2DF">
            <w:pPr>
              <w:pStyle w:val="12"/>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38706B69">
            <w:pPr>
              <w:pStyle w:val="12"/>
              <w:pageBreakBefore w:val="0"/>
              <w:wordWrap/>
              <w:bidi w:val="0"/>
              <w:adjustRightInd/>
              <w:snapToGrid/>
              <w:rPr>
                <w:color w:val="auto"/>
              </w:rPr>
            </w:pPr>
            <w:r>
              <w:rPr>
                <w:color w:val="auto"/>
              </w:rPr>
              <w:t>导向装置</w:t>
            </w:r>
          </w:p>
        </w:tc>
        <w:tc>
          <w:tcPr>
            <w:tcW w:w="1532" w:type="pct"/>
            <w:tcBorders>
              <w:tl2br w:val="nil"/>
              <w:tr2bl w:val="nil"/>
            </w:tcBorders>
            <w:noWrap w:val="0"/>
            <w:vAlign w:val="center"/>
          </w:tcPr>
          <w:p w14:paraId="3A175F1B">
            <w:pPr>
              <w:pStyle w:val="12"/>
              <w:pageBreakBefore w:val="0"/>
              <w:wordWrap/>
              <w:bidi w:val="0"/>
              <w:adjustRightInd/>
              <w:snapToGrid/>
              <w:rPr>
                <w:color w:val="auto"/>
              </w:rPr>
            </w:pPr>
            <w:r>
              <w:rPr>
                <w:color w:val="auto"/>
              </w:rPr>
              <w:t>GE-2000</w:t>
            </w:r>
          </w:p>
        </w:tc>
        <w:tc>
          <w:tcPr>
            <w:tcW w:w="612" w:type="pct"/>
            <w:tcBorders>
              <w:tl2br w:val="nil"/>
              <w:tr2bl w:val="nil"/>
            </w:tcBorders>
            <w:noWrap w:val="0"/>
            <w:vAlign w:val="center"/>
          </w:tcPr>
          <w:p w14:paraId="5C9E8BA9">
            <w:pPr>
              <w:pStyle w:val="12"/>
              <w:pageBreakBefore w:val="0"/>
              <w:wordWrap/>
              <w:bidi w:val="0"/>
              <w:adjustRightInd/>
              <w:snapToGrid/>
              <w:rPr>
                <w:color w:val="auto"/>
              </w:rPr>
            </w:pPr>
            <w:r>
              <w:rPr>
                <w:color w:val="auto"/>
              </w:rPr>
              <w:t>PVC</w:t>
            </w:r>
          </w:p>
        </w:tc>
        <w:tc>
          <w:tcPr>
            <w:tcW w:w="279" w:type="pct"/>
            <w:tcBorders>
              <w:tl2br w:val="nil"/>
              <w:tr2bl w:val="nil"/>
            </w:tcBorders>
            <w:noWrap w:val="0"/>
            <w:vAlign w:val="center"/>
          </w:tcPr>
          <w:p w14:paraId="39CAD2A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E5504B4">
            <w:pPr>
              <w:pStyle w:val="12"/>
              <w:pageBreakBefore w:val="0"/>
              <w:wordWrap/>
              <w:bidi w:val="0"/>
              <w:adjustRightInd/>
              <w:snapToGrid/>
              <w:rPr>
                <w:color w:val="auto"/>
              </w:rPr>
            </w:pPr>
            <w:r>
              <w:rPr>
                <w:color w:val="auto"/>
              </w:rPr>
              <w:t>130</w:t>
            </w:r>
          </w:p>
        </w:tc>
        <w:tc>
          <w:tcPr>
            <w:tcW w:w="1132" w:type="pct"/>
            <w:tcBorders>
              <w:tl2br w:val="nil"/>
              <w:tr2bl w:val="nil"/>
            </w:tcBorders>
            <w:noWrap w:val="0"/>
            <w:vAlign w:val="center"/>
          </w:tcPr>
          <w:p w14:paraId="21B91FAB">
            <w:pPr>
              <w:pStyle w:val="12"/>
              <w:pageBreakBefore w:val="0"/>
              <w:wordWrap/>
              <w:bidi w:val="0"/>
              <w:adjustRightInd/>
              <w:snapToGrid/>
              <w:rPr>
                <w:color w:val="auto"/>
              </w:rPr>
            </w:pPr>
          </w:p>
        </w:tc>
      </w:tr>
      <w:tr w14:paraId="182816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D8AD90">
            <w:pPr>
              <w:pStyle w:val="12"/>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683098E2">
            <w:pPr>
              <w:pStyle w:val="12"/>
              <w:pageBreakBefore w:val="0"/>
              <w:wordWrap/>
              <w:bidi w:val="0"/>
              <w:adjustRightInd/>
              <w:snapToGrid/>
              <w:rPr>
                <w:color w:val="auto"/>
              </w:rPr>
            </w:pPr>
            <w:r>
              <w:rPr>
                <w:color w:val="auto"/>
              </w:rPr>
              <w:t>导向支架</w:t>
            </w:r>
          </w:p>
        </w:tc>
        <w:tc>
          <w:tcPr>
            <w:tcW w:w="1532" w:type="pct"/>
            <w:tcBorders>
              <w:tl2br w:val="nil"/>
              <w:tr2bl w:val="nil"/>
            </w:tcBorders>
            <w:noWrap w:val="0"/>
            <w:vAlign w:val="center"/>
          </w:tcPr>
          <w:p w14:paraId="39411F59">
            <w:pPr>
              <w:pStyle w:val="12"/>
              <w:pageBreakBefore w:val="0"/>
              <w:wordWrap/>
              <w:bidi w:val="0"/>
              <w:adjustRightInd/>
              <w:snapToGrid/>
              <w:rPr>
                <w:color w:val="auto"/>
              </w:rPr>
            </w:pPr>
            <w:r>
              <w:rPr>
                <w:color w:val="auto"/>
              </w:rPr>
              <w:t>GH-3000</w:t>
            </w:r>
          </w:p>
        </w:tc>
        <w:tc>
          <w:tcPr>
            <w:tcW w:w="612" w:type="pct"/>
            <w:tcBorders>
              <w:tl2br w:val="nil"/>
              <w:tr2bl w:val="nil"/>
            </w:tcBorders>
            <w:noWrap w:val="0"/>
            <w:vAlign w:val="center"/>
          </w:tcPr>
          <w:p w14:paraId="357B9167">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3517C9B1">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B307C30">
            <w:pPr>
              <w:pStyle w:val="12"/>
              <w:pageBreakBefore w:val="0"/>
              <w:wordWrap/>
              <w:bidi w:val="0"/>
              <w:adjustRightInd/>
              <w:snapToGrid/>
              <w:rPr>
                <w:color w:val="auto"/>
              </w:rPr>
            </w:pPr>
            <w:r>
              <w:rPr>
                <w:color w:val="auto"/>
              </w:rPr>
              <w:t>31</w:t>
            </w:r>
          </w:p>
        </w:tc>
        <w:tc>
          <w:tcPr>
            <w:tcW w:w="1132" w:type="pct"/>
            <w:tcBorders>
              <w:tl2br w:val="nil"/>
              <w:tr2bl w:val="nil"/>
            </w:tcBorders>
            <w:noWrap w:val="0"/>
            <w:vAlign w:val="center"/>
          </w:tcPr>
          <w:p w14:paraId="0859982B">
            <w:pPr>
              <w:pStyle w:val="12"/>
              <w:pageBreakBefore w:val="0"/>
              <w:wordWrap/>
              <w:bidi w:val="0"/>
              <w:adjustRightInd/>
              <w:snapToGrid/>
              <w:rPr>
                <w:color w:val="auto"/>
              </w:rPr>
            </w:pPr>
          </w:p>
        </w:tc>
      </w:tr>
      <w:tr w14:paraId="2265C8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C2F80C">
            <w:pPr>
              <w:pStyle w:val="12"/>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79C15304">
            <w:pPr>
              <w:pStyle w:val="12"/>
              <w:pageBreakBefore w:val="0"/>
              <w:wordWrap/>
              <w:bidi w:val="0"/>
              <w:adjustRightInd/>
              <w:snapToGrid/>
              <w:rPr>
                <w:color w:val="auto"/>
              </w:rPr>
            </w:pPr>
            <w:r>
              <w:rPr>
                <w:color w:val="auto"/>
              </w:rPr>
              <w:t>导向滚轴</w:t>
            </w:r>
          </w:p>
        </w:tc>
        <w:tc>
          <w:tcPr>
            <w:tcW w:w="1532" w:type="pct"/>
            <w:tcBorders>
              <w:tl2br w:val="nil"/>
              <w:tr2bl w:val="nil"/>
            </w:tcBorders>
            <w:noWrap w:val="0"/>
            <w:vAlign w:val="center"/>
          </w:tcPr>
          <w:p w14:paraId="64D85AE9">
            <w:pPr>
              <w:pStyle w:val="12"/>
              <w:pageBreakBefore w:val="0"/>
              <w:wordWrap/>
              <w:bidi w:val="0"/>
              <w:adjustRightInd/>
              <w:snapToGrid/>
              <w:rPr>
                <w:color w:val="auto"/>
              </w:rPr>
            </w:pPr>
            <w:r>
              <w:rPr>
                <w:color w:val="auto"/>
              </w:rPr>
              <w:t>GA-2000</w:t>
            </w:r>
          </w:p>
        </w:tc>
        <w:tc>
          <w:tcPr>
            <w:tcW w:w="612" w:type="pct"/>
            <w:tcBorders>
              <w:tl2br w:val="nil"/>
              <w:tr2bl w:val="nil"/>
            </w:tcBorders>
            <w:noWrap w:val="0"/>
            <w:vAlign w:val="center"/>
          </w:tcPr>
          <w:p w14:paraId="2F757D0B">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0853FD9">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F63D158">
            <w:pPr>
              <w:pStyle w:val="12"/>
              <w:pageBreakBefore w:val="0"/>
              <w:wordWrap/>
              <w:bidi w:val="0"/>
              <w:adjustRightInd/>
              <w:snapToGrid/>
              <w:rPr>
                <w:color w:val="auto"/>
              </w:rPr>
            </w:pPr>
            <w:r>
              <w:rPr>
                <w:color w:val="auto"/>
              </w:rPr>
              <w:t>20</w:t>
            </w:r>
          </w:p>
        </w:tc>
        <w:tc>
          <w:tcPr>
            <w:tcW w:w="1132" w:type="pct"/>
            <w:tcBorders>
              <w:tl2br w:val="nil"/>
              <w:tr2bl w:val="nil"/>
            </w:tcBorders>
            <w:noWrap w:val="0"/>
            <w:vAlign w:val="center"/>
          </w:tcPr>
          <w:p w14:paraId="31B8E7F2">
            <w:pPr>
              <w:pStyle w:val="12"/>
              <w:pageBreakBefore w:val="0"/>
              <w:wordWrap/>
              <w:bidi w:val="0"/>
              <w:adjustRightInd/>
              <w:snapToGrid/>
              <w:rPr>
                <w:color w:val="auto"/>
              </w:rPr>
            </w:pPr>
          </w:p>
        </w:tc>
      </w:tr>
      <w:tr w14:paraId="3E83F39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E33B69E">
            <w:pPr>
              <w:pStyle w:val="12"/>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4E276F89">
            <w:pPr>
              <w:pStyle w:val="12"/>
              <w:pageBreakBefore w:val="0"/>
              <w:wordWrap/>
              <w:bidi w:val="0"/>
              <w:adjustRightInd/>
              <w:snapToGrid/>
              <w:rPr>
                <w:color w:val="auto"/>
              </w:rPr>
            </w:pPr>
            <w:r>
              <w:rPr>
                <w:color w:val="auto"/>
              </w:rPr>
              <w:t>空气推流器</w:t>
            </w:r>
          </w:p>
        </w:tc>
        <w:tc>
          <w:tcPr>
            <w:tcW w:w="1532" w:type="pct"/>
            <w:tcBorders>
              <w:tl2br w:val="nil"/>
              <w:tr2bl w:val="nil"/>
            </w:tcBorders>
            <w:noWrap w:val="0"/>
            <w:vAlign w:val="center"/>
          </w:tcPr>
          <w:p w14:paraId="44ACBCFE">
            <w:pPr>
              <w:pStyle w:val="12"/>
              <w:pageBreakBefore w:val="0"/>
              <w:wordWrap/>
              <w:bidi w:val="0"/>
              <w:adjustRightInd/>
              <w:snapToGrid/>
              <w:rPr>
                <w:color w:val="auto"/>
              </w:rPr>
            </w:pPr>
            <w:r>
              <w:rPr>
                <w:color w:val="auto"/>
              </w:rPr>
              <w:t>ACE-2000</w:t>
            </w:r>
          </w:p>
        </w:tc>
        <w:tc>
          <w:tcPr>
            <w:tcW w:w="612" w:type="pct"/>
            <w:tcBorders>
              <w:tl2br w:val="nil"/>
              <w:tr2bl w:val="nil"/>
            </w:tcBorders>
            <w:noWrap w:val="0"/>
            <w:vAlign w:val="center"/>
          </w:tcPr>
          <w:p w14:paraId="7C8CA2EF">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223A4A9E">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4958819">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E0A8E22">
            <w:pPr>
              <w:pStyle w:val="12"/>
              <w:pageBreakBefore w:val="0"/>
              <w:wordWrap/>
              <w:bidi w:val="0"/>
              <w:adjustRightInd/>
              <w:snapToGrid/>
              <w:rPr>
                <w:color w:val="auto"/>
              </w:rPr>
            </w:pPr>
          </w:p>
        </w:tc>
      </w:tr>
      <w:tr w14:paraId="261303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F70236D">
            <w:pPr>
              <w:pStyle w:val="12"/>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7B85AED3">
            <w:pPr>
              <w:pStyle w:val="12"/>
              <w:pageBreakBefore w:val="0"/>
              <w:wordWrap/>
              <w:bidi w:val="0"/>
              <w:adjustRightInd/>
              <w:snapToGrid/>
              <w:rPr>
                <w:color w:val="auto"/>
              </w:rPr>
            </w:pPr>
            <w:r>
              <w:rPr>
                <w:color w:val="auto"/>
              </w:rPr>
              <w:t>溶氧仪支架</w:t>
            </w:r>
          </w:p>
        </w:tc>
        <w:tc>
          <w:tcPr>
            <w:tcW w:w="1532" w:type="pct"/>
            <w:tcBorders>
              <w:tl2br w:val="nil"/>
              <w:tr2bl w:val="nil"/>
            </w:tcBorders>
            <w:noWrap w:val="0"/>
            <w:vAlign w:val="center"/>
          </w:tcPr>
          <w:p w14:paraId="72EBEE41">
            <w:pPr>
              <w:pStyle w:val="12"/>
              <w:pageBreakBefore w:val="0"/>
              <w:wordWrap/>
              <w:bidi w:val="0"/>
              <w:adjustRightInd/>
              <w:snapToGrid/>
              <w:rPr>
                <w:color w:val="auto"/>
              </w:rPr>
            </w:pPr>
            <w:r>
              <w:rPr>
                <w:color w:val="auto"/>
              </w:rPr>
              <w:t>与溶氧仪配套</w:t>
            </w:r>
          </w:p>
        </w:tc>
        <w:tc>
          <w:tcPr>
            <w:tcW w:w="612" w:type="pct"/>
            <w:tcBorders>
              <w:tl2br w:val="nil"/>
              <w:tr2bl w:val="nil"/>
            </w:tcBorders>
            <w:noWrap w:val="0"/>
            <w:vAlign w:val="center"/>
          </w:tcPr>
          <w:p w14:paraId="02FA296A">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77BFE2EA">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D43C2E4">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5D2093C">
            <w:pPr>
              <w:pStyle w:val="12"/>
              <w:pageBreakBefore w:val="0"/>
              <w:wordWrap/>
              <w:bidi w:val="0"/>
              <w:adjustRightInd/>
              <w:snapToGrid/>
              <w:rPr>
                <w:color w:val="auto"/>
              </w:rPr>
            </w:pPr>
          </w:p>
        </w:tc>
      </w:tr>
      <w:tr w14:paraId="46C2BE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AD1841">
            <w:pPr>
              <w:pStyle w:val="12"/>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189800CD">
            <w:pPr>
              <w:pStyle w:val="12"/>
              <w:pageBreakBefore w:val="0"/>
              <w:wordWrap/>
              <w:bidi w:val="0"/>
              <w:adjustRightInd/>
              <w:snapToGrid/>
              <w:rPr>
                <w:color w:val="auto"/>
              </w:rPr>
            </w:pPr>
            <w:r>
              <w:rPr>
                <w:color w:val="auto"/>
              </w:rPr>
              <w:t>溶氧仪</w:t>
            </w:r>
          </w:p>
        </w:tc>
        <w:tc>
          <w:tcPr>
            <w:tcW w:w="1532" w:type="pct"/>
            <w:tcBorders>
              <w:tl2br w:val="nil"/>
              <w:tr2bl w:val="nil"/>
            </w:tcBorders>
            <w:noWrap w:val="0"/>
            <w:vAlign w:val="center"/>
          </w:tcPr>
          <w:p w14:paraId="7A28A096">
            <w:pPr>
              <w:pStyle w:val="12"/>
              <w:pageBreakBefore w:val="0"/>
              <w:wordWrap/>
              <w:bidi w:val="0"/>
              <w:adjustRightInd/>
              <w:snapToGrid/>
              <w:rPr>
                <w:color w:val="auto"/>
              </w:rPr>
            </w:pPr>
            <w:r>
              <w:rPr>
                <w:color w:val="auto"/>
              </w:rPr>
              <w:t>LOD在线溶解氧仪+</w:t>
            </w:r>
            <w:r>
              <w:rPr>
                <w:rFonts w:hint="eastAsia"/>
                <w:color w:val="auto"/>
                <w:lang w:eastAsia="zh-CN"/>
              </w:rPr>
              <w:t>，</w:t>
            </w:r>
            <w:r>
              <w:rPr>
                <w:color w:val="auto"/>
              </w:rPr>
              <w:t>C200控制器</w:t>
            </w:r>
          </w:p>
        </w:tc>
        <w:tc>
          <w:tcPr>
            <w:tcW w:w="612" w:type="pct"/>
            <w:tcBorders>
              <w:tl2br w:val="nil"/>
              <w:tr2bl w:val="nil"/>
            </w:tcBorders>
            <w:noWrap w:val="0"/>
            <w:vAlign w:val="center"/>
          </w:tcPr>
          <w:p w14:paraId="6508921C">
            <w:pPr>
              <w:pStyle w:val="12"/>
              <w:pageBreakBefore w:val="0"/>
              <w:wordWrap/>
              <w:bidi w:val="0"/>
              <w:adjustRightInd/>
              <w:snapToGrid/>
              <w:rPr>
                <w:color w:val="auto"/>
              </w:rPr>
            </w:pPr>
          </w:p>
        </w:tc>
        <w:tc>
          <w:tcPr>
            <w:tcW w:w="279" w:type="pct"/>
            <w:tcBorders>
              <w:tl2br w:val="nil"/>
              <w:tr2bl w:val="nil"/>
            </w:tcBorders>
            <w:noWrap w:val="0"/>
            <w:vAlign w:val="center"/>
          </w:tcPr>
          <w:p w14:paraId="7C2E42B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D1BF82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25BF3D9">
            <w:pPr>
              <w:pStyle w:val="12"/>
              <w:pageBreakBefore w:val="0"/>
              <w:wordWrap/>
              <w:bidi w:val="0"/>
              <w:adjustRightInd/>
              <w:snapToGrid/>
              <w:rPr>
                <w:color w:val="auto"/>
              </w:rPr>
            </w:pPr>
          </w:p>
        </w:tc>
      </w:tr>
      <w:tr w14:paraId="058E47D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C1085B">
            <w:pPr>
              <w:pStyle w:val="12"/>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073F745F">
            <w:pPr>
              <w:pStyle w:val="12"/>
              <w:pageBreakBefore w:val="0"/>
              <w:wordWrap/>
              <w:bidi w:val="0"/>
              <w:adjustRightInd/>
              <w:snapToGrid/>
              <w:rPr>
                <w:color w:val="auto"/>
              </w:rPr>
            </w:pPr>
            <w:r>
              <w:rPr>
                <w:color w:val="auto"/>
              </w:rPr>
              <w:t>污泥回流泵</w:t>
            </w:r>
          </w:p>
        </w:tc>
        <w:tc>
          <w:tcPr>
            <w:tcW w:w="1532" w:type="pct"/>
            <w:tcBorders>
              <w:tl2br w:val="nil"/>
              <w:tr2bl w:val="nil"/>
            </w:tcBorders>
            <w:noWrap w:val="0"/>
            <w:vAlign w:val="center"/>
          </w:tcPr>
          <w:p w14:paraId="04217DF1">
            <w:pPr>
              <w:pStyle w:val="12"/>
              <w:pageBreakBefore w:val="0"/>
              <w:wordWrap/>
              <w:bidi w:val="0"/>
              <w:adjustRightInd/>
              <w:snapToGrid/>
              <w:rPr>
                <w:color w:val="auto"/>
              </w:rPr>
            </w:pPr>
            <w:r>
              <w:rPr>
                <w:color w:val="auto"/>
              </w:rPr>
              <w:t>Q=125</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N=11kW</w:t>
            </w:r>
            <w:r>
              <w:rPr>
                <w:rFonts w:hint="eastAsia"/>
                <w:color w:val="auto"/>
                <w:lang w:eastAsia="zh-CN"/>
              </w:rPr>
              <w:t>，</w:t>
            </w:r>
            <w:r>
              <w:rPr>
                <w:color w:val="auto"/>
              </w:rPr>
              <w:t>变频控制</w:t>
            </w:r>
          </w:p>
        </w:tc>
        <w:tc>
          <w:tcPr>
            <w:tcW w:w="612" w:type="pct"/>
            <w:tcBorders>
              <w:tl2br w:val="nil"/>
              <w:tr2bl w:val="nil"/>
            </w:tcBorders>
            <w:noWrap w:val="0"/>
            <w:vAlign w:val="center"/>
          </w:tcPr>
          <w:p w14:paraId="7C015BFE">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1163522">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760177B">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D4CD3B0">
            <w:pPr>
              <w:pStyle w:val="12"/>
              <w:pageBreakBefore w:val="0"/>
              <w:wordWrap/>
              <w:bidi w:val="0"/>
              <w:adjustRightInd/>
              <w:snapToGrid/>
              <w:rPr>
                <w:color w:val="auto"/>
              </w:rPr>
            </w:pPr>
          </w:p>
        </w:tc>
      </w:tr>
      <w:tr w14:paraId="1954BA9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DFA3AFE">
            <w:pPr>
              <w:pStyle w:val="12"/>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7869C01B">
            <w:pPr>
              <w:pStyle w:val="12"/>
              <w:pageBreakBefore w:val="0"/>
              <w:wordWrap/>
              <w:bidi w:val="0"/>
              <w:adjustRightInd/>
              <w:snapToGrid/>
              <w:rPr>
                <w:color w:val="auto"/>
              </w:rPr>
            </w:pPr>
            <w:r>
              <w:rPr>
                <w:color w:val="auto"/>
              </w:rPr>
              <w:t>出水支槽</w:t>
            </w:r>
          </w:p>
        </w:tc>
        <w:tc>
          <w:tcPr>
            <w:tcW w:w="1532" w:type="pct"/>
            <w:tcBorders>
              <w:tl2br w:val="nil"/>
              <w:tr2bl w:val="nil"/>
            </w:tcBorders>
            <w:noWrap w:val="0"/>
            <w:vAlign w:val="center"/>
          </w:tcPr>
          <w:p w14:paraId="1569FAEE">
            <w:pPr>
              <w:pStyle w:val="12"/>
              <w:pageBreakBefore w:val="0"/>
              <w:wordWrap/>
              <w:bidi w:val="0"/>
              <w:adjustRightInd/>
              <w:snapToGrid/>
              <w:rPr>
                <w:rFonts w:hint="default" w:eastAsia="宋体"/>
                <w:color w:val="auto"/>
                <w:lang w:val="en-US" w:eastAsia="zh-CN"/>
              </w:rPr>
            </w:pPr>
            <w:r>
              <w:rPr>
                <w:color w:val="auto"/>
              </w:rPr>
              <w:t>4100*200*200mm</w:t>
            </w:r>
            <w:r>
              <w:rPr>
                <w:rFonts w:hint="eastAsia"/>
                <w:color w:val="auto"/>
                <w:lang w:eastAsia="zh-CN"/>
              </w:rPr>
              <w:t>，</w:t>
            </w:r>
            <w:r>
              <w:rPr>
                <w:rFonts w:hint="eastAsia"/>
                <w:color w:val="auto"/>
                <w:lang w:val="en-US" w:eastAsia="zh-CN"/>
              </w:rPr>
              <w:t>SS304</w:t>
            </w:r>
          </w:p>
        </w:tc>
        <w:tc>
          <w:tcPr>
            <w:tcW w:w="612" w:type="pct"/>
            <w:tcBorders>
              <w:tl2br w:val="nil"/>
              <w:tr2bl w:val="nil"/>
            </w:tcBorders>
            <w:noWrap w:val="0"/>
            <w:vAlign w:val="center"/>
          </w:tcPr>
          <w:p w14:paraId="1D6C67A6">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33E5AE3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00A2D00">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177A2DE7">
            <w:pPr>
              <w:pStyle w:val="12"/>
              <w:pageBreakBefore w:val="0"/>
              <w:wordWrap/>
              <w:bidi w:val="0"/>
              <w:adjustRightInd/>
              <w:snapToGrid/>
              <w:rPr>
                <w:color w:val="auto"/>
              </w:rPr>
            </w:pPr>
          </w:p>
        </w:tc>
      </w:tr>
      <w:tr w14:paraId="1FCA60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F4A0A92">
            <w:pPr>
              <w:pStyle w:val="12"/>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23E040DB">
            <w:pPr>
              <w:pStyle w:val="12"/>
              <w:pageBreakBefore w:val="0"/>
              <w:wordWrap/>
              <w:bidi w:val="0"/>
              <w:adjustRightInd/>
              <w:snapToGrid/>
              <w:rPr>
                <w:color w:val="auto"/>
              </w:rPr>
            </w:pPr>
            <w:r>
              <w:rPr>
                <w:color w:val="auto"/>
              </w:rPr>
              <w:t>涡轮传动法兰蝶阀</w:t>
            </w:r>
          </w:p>
        </w:tc>
        <w:tc>
          <w:tcPr>
            <w:tcW w:w="1532" w:type="pct"/>
            <w:tcBorders>
              <w:tl2br w:val="nil"/>
              <w:tr2bl w:val="nil"/>
            </w:tcBorders>
            <w:noWrap w:val="0"/>
            <w:vAlign w:val="center"/>
          </w:tcPr>
          <w:p w14:paraId="7A61BE99">
            <w:pPr>
              <w:pStyle w:val="12"/>
              <w:pageBreakBefore w:val="0"/>
              <w:wordWrap/>
              <w:bidi w:val="0"/>
              <w:adjustRightInd/>
              <w:snapToGrid/>
              <w:rPr>
                <w:color w:val="auto"/>
              </w:rPr>
            </w:pPr>
            <w:r>
              <w:rPr>
                <w:color w:val="auto"/>
              </w:rPr>
              <w:t>D341X-10</w:t>
            </w:r>
            <w:r>
              <w:rPr>
                <w:rFonts w:hint="eastAsia"/>
                <w:color w:val="auto"/>
                <w:lang w:eastAsia="zh-CN"/>
              </w:rPr>
              <w:t>，</w:t>
            </w:r>
            <w:r>
              <w:rPr>
                <w:color w:val="auto"/>
              </w:rPr>
              <w:t>DN100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C532ADF">
            <w:pPr>
              <w:pStyle w:val="12"/>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2340F2C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3F2E58A">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B006C76">
            <w:pPr>
              <w:pStyle w:val="12"/>
              <w:pageBreakBefore w:val="0"/>
              <w:wordWrap/>
              <w:bidi w:val="0"/>
              <w:adjustRightInd/>
              <w:snapToGrid/>
              <w:rPr>
                <w:color w:val="auto"/>
              </w:rPr>
            </w:pPr>
          </w:p>
        </w:tc>
      </w:tr>
      <w:tr w14:paraId="59CB48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086C0E">
            <w:pPr>
              <w:pStyle w:val="12"/>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44661D7B">
            <w:pPr>
              <w:pStyle w:val="12"/>
              <w:pageBreakBefore w:val="0"/>
              <w:wordWrap/>
              <w:bidi w:val="0"/>
              <w:adjustRightInd/>
              <w:snapToGrid/>
              <w:rPr>
                <w:color w:val="auto"/>
              </w:rPr>
            </w:pPr>
            <w:r>
              <w:rPr>
                <w:color w:val="auto"/>
              </w:rPr>
              <w:t>丝扣球阀</w:t>
            </w:r>
          </w:p>
        </w:tc>
        <w:tc>
          <w:tcPr>
            <w:tcW w:w="1532" w:type="pct"/>
            <w:tcBorders>
              <w:tl2br w:val="nil"/>
              <w:tr2bl w:val="nil"/>
            </w:tcBorders>
            <w:noWrap w:val="0"/>
            <w:vAlign w:val="center"/>
          </w:tcPr>
          <w:p w14:paraId="3CC313F6">
            <w:pPr>
              <w:pStyle w:val="12"/>
              <w:pageBreakBefore w:val="0"/>
              <w:wordWrap/>
              <w:bidi w:val="0"/>
              <w:adjustRightInd/>
              <w:snapToGrid/>
              <w:rPr>
                <w:color w:val="auto"/>
              </w:rPr>
            </w:pPr>
            <w:r>
              <w:rPr>
                <w:color w:val="auto"/>
              </w:rPr>
              <w:t>DN50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35E58DB">
            <w:pPr>
              <w:pStyle w:val="12"/>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7B0B57A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08A34E0">
            <w:pPr>
              <w:pStyle w:val="12"/>
              <w:pageBreakBefore w:val="0"/>
              <w:wordWrap/>
              <w:bidi w:val="0"/>
              <w:adjustRightInd/>
              <w:snapToGrid/>
              <w:rPr>
                <w:color w:val="auto"/>
              </w:rPr>
            </w:pPr>
            <w:r>
              <w:rPr>
                <w:color w:val="auto"/>
              </w:rPr>
              <w:t>36</w:t>
            </w:r>
          </w:p>
        </w:tc>
        <w:tc>
          <w:tcPr>
            <w:tcW w:w="1132" w:type="pct"/>
            <w:tcBorders>
              <w:tl2br w:val="nil"/>
              <w:tr2bl w:val="nil"/>
            </w:tcBorders>
            <w:noWrap w:val="0"/>
            <w:vAlign w:val="center"/>
          </w:tcPr>
          <w:p w14:paraId="30EEB3B6">
            <w:pPr>
              <w:pStyle w:val="12"/>
              <w:pageBreakBefore w:val="0"/>
              <w:wordWrap/>
              <w:bidi w:val="0"/>
              <w:adjustRightInd/>
              <w:snapToGrid/>
              <w:rPr>
                <w:color w:val="auto"/>
              </w:rPr>
            </w:pPr>
          </w:p>
        </w:tc>
      </w:tr>
      <w:tr w14:paraId="255E24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912C83">
            <w:pPr>
              <w:pStyle w:val="12"/>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02AE390E">
            <w:pPr>
              <w:pStyle w:val="12"/>
              <w:pageBreakBefore w:val="0"/>
              <w:wordWrap/>
              <w:bidi w:val="0"/>
              <w:adjustRightInd/>
              <w:snapToGrid/>
              <w:rPr>
                <w:color w:val="auto"/>
              </w:rPr>
            </w:pPr>
            <w:r>
              <w:rPr>
                <w:color w:val="auto"/>
              </w:rPr>
              <w:t>放空消音器</w:t>
            </w:r>
          </w:p>
        </w:tc>
        <w:tc>
          <w:tcPr>
            <w:tcW w:w="1532" w:type="pct"/>
            <w:tcBorders>
              <w:tl2br w:val="nil"/>
              <w:tr2bl w:val="nil"/>
            </w:tcBorders>
            <w:noWrap w:val="0"/>
            <w:vAlign w:val="center"/>
          </w:tcPr>
          <w:p w14:paraId="5A8BA66E">
            <w:pPr>
              <w:pStyle w:val="12"/>
              <w:pageBreakBefore w:val="0"/>
              <w:wordWrap/>
              <w:bidi w:val="0"/>
              <w:adjustRightInd/>
              <w:snapToGrid/>
              <w:rPr>
                <w:color w:val="auto"/>
              </w:rPr>
            </w:pPr>
            <w:r>
              <w:rPr>
                <w:color w:val="auto"/>
              </w:rPr>
              <w:t>DN50</w:t>
            </w:r>
            <w:r>
              <w:rPr>
                <w:rFonts w:hint="eastAsia"/>
                <w:color w:val="auto"/>
                <w:lang w:eastAsia="zh-CN"/>
              </w:rPr>
              <w:t>，</w:t>
            </w:r>
            <w:r>
              <w:rPr>
                <w:color w:val="auto"/>
              </w:rPr>
              <w:t>L=500</w:t>
            </w:r>
          </w:p>
        </w:tc>
        <w:tc>
          <w:tcPr>
            <w:tcW w:w="612" w:type="pct"/>
            <w:tcBorders>
              <w:tl2br w:val="nil"/>
              <w:tr2bl w:val="nil"/>
            </w:tcBorders>
            <w:noWrap w:val="0"/>
            <w:vAlign w:val="center"/>
          </w:tcPr>
          <w:p w14:paraId="553B6015">
            <w:pPr>
              <w:pStyle w:val="12"/>
              <w:pageBreakBefore w:val="0"/>
              <w:wordWrap/>
              <w:bidi w:val="0"/>
              <w:adjustRightInd/>
              <w:snapToGrid/>
              <w:rPr>
                <w:color w:val="auto"/>
              </w:rPr>
            </w:pPr>
            <w:r>
              <w:rPr>
                <w:color w:val="auto"/>
              </w:rPr>
              <w:t>碳钢</w:t>
            </w:r>
          </w:p>
        </w:tc>
        <w:tc>
          <w:tcPr>
            <w:tcW w:w="279" w:type="pct"/>
            <w:tcBorders>
              <w:tl2br w:val="nil"/>
              <w:tr2bl w:val="nil"/>
            </w:tcBorders>
            <w:noWrap w:val="0"/>
            <w:vAlign w:val="center"/>
          </w:tcPr>
          <w:p w14:paraId="74203FB9">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1640459">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AF829D9">
            <w:pPr>
              <w:pStyle w:val="12"/>
              <w:pageBreakBefore w:val="0"/>
              <w:wordWrap/>
              <w:bidi w:val="0"/>
              <w:adjustRightInd/>
              <w:snapToGrid/>
              <w:rPr>
                <w:color w:val="auto"/>
              </w:rPr>
            </w:pPr>
          </w:p>
        </w:tc>
      </w:tr>
      <w:tr w14:paraId="1DE3FC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C584BF">
            <w:pPr>
              <w:pStyle w:val="12"/>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4D956061">
            <w:pPr>
              <w:pStyle w:val="12"/>
              <w:pageBreakBefore w:val="0"/>
              <w:wordWrap/>
              <w:bidi w:val="0"/>
              <w:adjustRightInd/>
              <w:snapToGrid/>
              <w:rPr>
                <w:color w:val="auto"/>
              </w:rPr>
            </w:pPr>
            <w:r>
              <w:rPr>
                <w:color w:val="auto"/>
              </w:rPr>
              <w:t>沉淀组合填料</w:t>
            </w:r>
          </w:p>
        </w:tc>
        <w:tc>
          <w:tcPr>
            <w:tcW w:w="1532" w:type="pct"/>
            <w:tcBorders>
              <w:tl2br w:val="nil"/>
              <w:tr2bl w:val="nil"/>
            </w:tcBorders>
            <w:noWrap w:val="0"/>
            <w:vAlign w:val="center"/>
          </w:tcPr>
          <w:p w14:paraId="7B988B29">
            <w:pPr>
              <w:pStyle w:val="12"/>
              <w:pageBreakBefore w:val="0"/>
              <w:wordWrap/>
              <w:bidi w:val="0"/>
              <w:adjustRightInd/>
              <w:snapToGrid/>
              <w:rPr>
                <w:color w:val="auto"/>
              </w:rPr>
            </w:pPr>
            <w:r>
              <w:rPr>
                <w:color w:val="auto"/>
              </w:rPr>
              <w:t>b=</w:t>
            </w:r>
            <w:r>
              <w:rPr>
                <w:rFonts w:hint="eastAsia"/>
                <w:color w:val="auto"/>
                <w:lang w:eastAsia="zh-CN"/>
              </w:rPr>
              <w:t>1</w:t>
            </w:r>
            <w:r>
              <w:rPr>
                <w:color w:val="auto"/>
              </w:rPr>
              <w:t>.0mm</w:t>
            </w:r>
            <w:r>
              <w:rPr>
                <w:rFonts w:hint="eastAsia"/>
                <w:color w:val="auto"/>
                <w:lang w:eastAsia="zh-CN"/>
              </w:rPr>
              <w:t>，</w:t>
            </w:r>
            <w:r>
              <w:rPr>
                <w:color w:val="auto"/>
              </w:rPr>
              <w:t>φ90mm</w:t>
            </w:r>
            <w:r>
              <w:rPr>
                <w:rFonts w:hint="eastAsia"/>
                <w:color w:val="auto"/>
                <w:lang w:eastAsia="zh-CN"/>
              </w:rPr>
              <w:t>，</w:t>
            </w:r>
            <w:r>
              <w:rPr>
                <w:color w:val="auto"/>
              </w:rPr>
              <w:t>垂高</w:t>
            </w:r>
            <w:r>
              <w:rPr>
                <w:rFonts w:hint="eastAsia"/>
                <w:color w:val="auto"/>
                <w:lang w:eastAsia="zh-CN"/>
              </w:rPr>
              <w:t>1</w:t>
            </w:r>
            <w:r>
              <w:rPr>
                <w:color w:val="auto"/>
              </w:rPr>
              <w:t>.7m</w:t>
            </w:r>
          </w:p>
        </w:tc>
        <w:tc>
          <w:tcPr>
            <w:tcW w:w="612" w:type="pct"/>
            <w:tcBorders>
              <w:tl2br w:val="nil"/>
              <w:tr2bl w:val="nil"/>
            </w:tcBorders>
            <w:noWrap w:val="0"/>
            <w:vAlign w:val="center"/>
          </w:tcPr>
          <w:p w14:paraId="62DE1C62">
            <w:pPr>
              <w:pStyle w:val="12"/>
              <w:pageBreakBefore w:val="0"/>
              <w:wordWrap/>
              <w:bidi w:val="0"/>
              <w:adjustRightInd/>
              <w:snapToGrid/>
              <w:rPr>
                <w:color w:val="auto"/>
              </w:rPr>
            </w:pPr>
            <w:r>
              <w:rPr>
                <w:color w:val="auto"/>
              </w:rPr>
              <w:t>pp/玻璃钢</w:t>
            </w:r>
          </w:p>
        </w:tc>
        <w:tc>
          <w:tcPr>
            <w:tcW w:w="279" w:type="pct"/>
            <w:tcBorders>
              <w:tl2br w:val="nil"/>
              <w:tr2bl w:val="nil"/>
            </w:tcBorders>
            <w:noWrap w:val="0"/>
            <w:vAlign w:val="center"/>
          </w:tcPr>
          <w:p w14:paraId="1E1BC3C5">
            <w:pPr>
              <w:pStyle w:val="12"/>
              <w:pageBreakBefore w:val="0"/>
              <w:wordWrap/>
              <w:bidi w:val="0"/>
              <w:adjustRightInd/>
              <w:snapToGrid/>
              <w:rPr>
                <w:color w:val="auto"/>
              </w:rPr>
            </w:pPr>
            <w:r>
              <w:rPr>
                <w:color w:val="auto"/>
              </w:rPr>
              <w:t>m[2]</w:t>
            </w:r>
          </w:p>
        </w:tc>
        <w:tc>
          <w:tcPr>
            <w:tcW w:w="244" w:type="pct"/>
            <w:tcBorders>
              <w:tl2br w:val="nil"/>
              <w:tr2bl w:val="nil"/>
            </w:tcBorders>
            <w:noWrap w:val="0"/>
            <w:vAlign w:val="center"/>
          </w:tcPr>
          <w:p w14:paraId="2127EACF">
            <w:pPr>
              <w:pStyle w:val="12"/>
              <w:pageBreakBefore w:val="0"/>
              <w:wordWrap/>
              <w:bidi w:val="0"/>
              <w:adjustRightInd/>
              <w:snapToGrid/>
              <w:rPr>
                <w:color w:val="auto"/>
              </w:rPr>
            </w:pPr>
            <w:r>
              <w:rPr>
                <w:color w:val="auto"/>
              </w:rPr>
              <w:t>50</w:t>
            </w:r>
          </w:p>
        </w:tc>
        <w:tc>
          <w:tcPr>
            <w:tcW w:w="1132" w:type="pct"/>
            <w:tcBorders>
              <w:tl2br w:val="nil"/>
              <w:tr2bl w:val="nil"/>
            </w:tcBorders>
            <w:noWrap w:val="0"/>
            <w:vAlign w:val="center"/>
          </w:tcPr>
          <w:p w14:paraId="3F84C3F9">
            <w:pPr>
              <w:pStyle w:val="12"/>
              <w:pageBreakBefore w:val="0"/>
              <w:wordWrap/>
              <w:bidi w:val="0"/>
              <w:adjustRightInd/>
              <w:snapToGrid/>
              <w:rPr>
                <w:color w:val="auto"/>
              </w:rPr>
            </w:pPr>
          </w:p>
        </w:tc>
      </w:tr>
      <w:tr w14:paraId="70DD44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EDCFBA">
            <w:pPr>
              <w:pStyle w:val="12"/>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59AD7974">
            <w:pPr>
              <w:pStyle w:val="12"/>
              <w:pageBreakBefore w:val="0"/>
              <w:wordWrap/>
              <w:bidi w:val="0"/>
              <w:adjustRightInd/>
              <w:snapToGrid/>
              <w:rPr>
                <w:color w:val="auto"/>
              </w:rPr>
            </w:pPr>
            <w:r>
              <w:rPr>
                <w:color w:val="auto"/>
              </w:rPr>
              <w:t>潜水搅拌器</w:t>
            </w:r>
          </w:p>
        </w:tc>
        <w:tc>
          <w:tcPr>
            <w:tcW w:w="1532" w:type="pct"/>
            <w:tcBorders>
              <w:tl2br w:val="nil"/>
              <w:tr2bl w:val="nil"/>
            </w:tcBorders>
            <w:noWrap w:val="0"/>
            <w:vAlign w:val="center"/>
          </w:tcPr>
          <w:p w14:paraId="5E8DD58F">
            <w:pPr>
              <w:pStyle w:val="12"/>
              <w:pageBreakBefore w:val="0"/>
              <w:wordWrap/>
              <w:bidi w:val="0"/>
              <w:adjustRightInd/>
              <w:snapToGrid/>
              <w:rPr>
                <w:color w:val="auto"/>
              </w:rPr>
            </w:pPr>
            <w:r>
              <w:rPr>
                <w:color w:val="auto"/>
              </w:rPr>
              <w:t>QJB</w:t>
            </w:r>
            <w:r>
              <w:rPr>
                <w:rFonts w:hint="eastAsia"/>
                <w:color w:val="auto"/>
                <w:lang w:eastAsia="zh-CN"/>
              </w:rPr>
              <w:t>1</w:t>
            </w:r>
            <w:r>
              <w:rPr>
                <w:color w:val="auto"/>
              </w:rPr>
              <w:t>.5/6-260/3-980</w:t>
            </w:r>
          </w:p>
        </w:tc>
        <w:tc>
          <w:tcPr>
            <w:tcW w:w="612" w:type="pct"/>
            <w:tcBorders>
              <w:tl2br w:val="nil"/>
              <w:tr2bl w:val="nil"/>
            </w:tcBorders>
            <w:noWrap w:val="0"/>
            <w:vAlign w:val="center"/>
          </w:tcPr>
          <w:p w14:paraId="0991CC25">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9A2C08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2DFB452">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2AE1D91">
            <w:pPr>
              <w:pStyle w:val="12"/>
              <w:pageBreakBefore w:val="0"/>
              <w:wordWrap/>
              <w:bidi w:val="0"/>
              <w:adjustRightInd/>
              <w:snapToGrid/>
              <w:rPr>
                <w:color w:val="auto"/>
              </w:rPr>
            </w:pPr>
          </w:p>
        </w:tc>
      </w:tr>
      <w:tr w14:paraId="7CBA6DC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6C0AE35">
            <w:pPr>
              <w:pStyle w:val="12"/>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0BDD9C2E">
            <w:pPr>
              <w:pStyle w:val="12"/>
              <w:pageBreakBefore w:val="0"/>
              <w:wordWrap/>
              <w:bidi w:val="0"/>
              <w:adjustRightInd/>
              <w:snapToGrid/>
              <w:rPr>
                <w:color w:val="auto"/>
              </w:rPr>
            </w:pPr>
            <w:r>
              <w:rPr>
                <w:color w:val="auto"/>
              </w:rPr>
              <w:t>电磁流量计</w:t>
            </w:r>
          </w:p>
        </w:tc>
        <w:tc>
          <w:tcPr>
            <w:tcW w:w="1532" w:type="pct"/>
            <w:tcBorders>
              <w:tl2br w:val="nil"/>
              <w:tr2bl w:val="nil"/>
            </w:tcBorders>
            <w:noWrap w:val="0"/>
            <w:vAlign w:val="center"/>
          </w:tcPr>
          <w:p w14:paraId="378B7A2F">
            <w:pPr>
              <w:pStyle w:val="12"/>
              <w:pageBreakBefore w:val="0"/>
              <w:wordWrap/>
              <w:bidi w:val="0"/>
              <w:adjustRightInd/>
              <w:snapToGrid/>
              <w:rPr>
                <w:rFonts w:hint="eastAsia" w:eastAsia="宋体"/>
                <w:color w:val="auto"/>
                <w:lang w:eastAsia="zh-CN"/>
              </w:rPr>
            </w:pPr>
            <w:r>
              <w:rPr>
                <w:color w:val="auto"/>
              </w:rPr>
              <w:t>DN80</w:t>
            </w:r>
            <w:r>
              <w:rPr>
                <w:rFonts w:hint="eastAsia"/>
                <w:color w:val="auto"/>
                <w:lang w:eastAsia="zh-CN"/>
              </w:rPr>
              <w:t>，</w:t>
            </w:r>
            <w:r>
              <w:rPr>
                <w:color w:val="auto"/>
              </w:rPr>
              <w:t>0-100</w:t>
            </w:r>
            <w:r>
              <w:rPr>
                <w:rFonts w:hint="eastAsia"/>
                <w:color w:val="auto"/>
                <w:lang w:eastAsia="zh-CN"/>
              </w:rPr>
              <w:t>m³</w:t>
            </w:r>
          </w:p>
        </w:tc>
        <w:tc>
          <w:tcPr>
            <w:tcW w:w="612" w:type="pct"/>
            <w:tcBorders>
              <w:tl2br w:val="nil"/>
              <w:tr2bl w:val="nil"/>
            </w:tcBorders>
            <w:noWrap w:val="0"/>
            <w:vAlign w:val="center"/>
          </w:tcPr>
          <w:p w14:paraId="43946846">
            <w:pPr>
              <w:pStyle w:val="12"/>
              <w:pageBreakBefore w:val="0"/>
              <w:wordWrap/>
              <w:bidi w:val="0"/>
              <w:adjustRightInd/>
              <w:snapToGrid/>
              <w:rPr>
                <w:color w:val="auto"/>
              </w:rPr>
            </w:pPr>
          </w:p>
        </w:tc>
        <w:tc>
          <w:tcPr>
            <w:tcW w:w="279" w:type="pct"/>
            <w:tcBorders>
              <w:tl2br w:val="nil"/>
              <w:tr2bl w:val="nil"/>
            </w:tcBorders>
            <w:noWrap w:val="0"/>
            <w:vAlign w:val="center"/>
          </w:tcPr>
          <w:p w14:paraId="77AC9D36">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DDEBA86">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0B4302A">
            <w:pPr>
              <w:pStyle w:val="12"/>
              <w:pageBreakBefore w:val="0"/>
              <w:wordWrap/>
              <w:bidi w:val="0"/>
              <w:adjustRightInd/>
              <w:snapToGrid/>
              <w:rPr>
                <w:color w:val="auto"/>
              </w:rPr>
            </w:pPr>
          </w:p>
        </w:tc>
      </w:tr>
      <w:tr w14:paraId="4489C5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D261FDB">
            <w:pPr>
              <w:pStyle w:val="12"/>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7176EC47">
            <w:pPr>
              <w:pStyle w:val="12"/>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3C1A9269">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D445296">
            <w:pPr>
              <w:pStyle w:val="12"/>
              <w:pageBreakBefore w:val="0"/>
              <w:wordWrap/>
              <w:bidi w:val="0"/>
              <w:adjustRightInd/>
              <w:snapToGrid/>
              <w:rPr>
                <w:color w:val="auto"/>
              </w:rPr>
            </w:pPr>
          </w:p>
        </w:tc>
        <w:tc>
          <w:tcPr>
            <w:tcW w:w="279" w:type="pct"/>
            <w:tcBorders>
              <w:tl2br w:val="nil"/>
              <w:tr2bl w:val="nil"/>
            </w:tcBorders>
            <w:noWrap w:val="0"/>
            <w:vAlign w:val="center"/>
          </w:tcPr>
          <w:p w14:paraId="46AB2724">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54959D8">
            <w:pPr>
              <w:pStyle w:val="12"/>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5DD948BE">
            <w:pPr>
              <w:pStyle w:val="12"/>
              <w:pageBreakBefore w:val="0"/>
              <w:wordWrap/>
              <w:bidi w:val="0"/>
              <w:adjustRightInd/>
              <w:snapToGrid/>
              <w:rPr>
                <w:color w:val="auto"/>
              </w:rPr>
            </w:pPr>
          </w:p>
        </w:tc>
      </w:tr>
      <w:tr w14:paraId="03AFAB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77C5236">
            <w:pPr>
              <w:pStyle w:val="12"/>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27F963EC">
            <w:pPr>
              <w:pStyle w:val="12"/>
              <w:pageBreakBefore w:val="0"/>
              <w:wordWrap/>
              <w:bidi w:val="0"/>
              <w:adjustRightInd/>
              <w:snapToGrid/>
              <w:rPr>
                <w:color w:val="auto"/>
              </w:rPr>
            </w:pPr>
            <w:r>
              <w:rPr>
                <w:color w:val="auto"/>
              </w:rPr>
              <w:t>旋启式止回阀</w:t>
            </w:r>
          </w:p>
        </w:tc>
        <w:tc>
          <w:tcPr>
            <w:tcW w:w="1532" w:type="pct"/>
            <w:tcBorders>
              <w:tl2br w:val="nil"/>
              <w:tr2bl w:val="nil"/>
            </w:tcBorders>
            <w:noWrap w:val="0"/>
            <w:vAlign w:val="center"/>
          </w:tcPr>
          <w:p w14:paraId="770F68A6">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D3474CF">
            <w:pPr>
              <w:pStyle w:val="12"/>
              <w:pageBreakBefore w:val="0"/>
              <w:wordWrap/>
              <w:bidi w:val="0"/>
              <w:adjustRightInd/>
              <w:snapToGrid/>
              <w:rPr>
                <w:color w:val="auto"/>
              </w:rPr>
            </w:pPr>
          </w:p>
        </w:tc>
        <w:tc>
          <w:tcPr>
            <w:tcW w:w="279" w:type="pct"/>
            <w:tcBorders>
              <w:tl2br w:val="nil"/>
              <w:tr2bl w:val="nil"/>
            </w:tcBorders>
            <w:noWrap w:val="0"/>
            <w:vAlign w:val="center"/>
          </w:tcPr>
          <w:p w14:paraId="540A2A32">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696D97C">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E24BE30">
            <w:pPr>
              <w:pStyle w:val="12"/>
              <w:pageBreakBefore w:val="0"/>
              <w:wordWrap/>
              <w:bidi w:val="0"/>
              <w:adjustRightInd/>
              <w:snapToGrid/>
              <w:rPr>
                <w:color w:val="auto"/>
              </w:rPr>
            </w:pPr>
          </w:p>
        </w:tc>
      </w:tr>
      <w:tr w14:paraId="594C745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E549482">
            <w:pPr>
              <w:pStyle w:val="12"/>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770D6B2A">
            <w:pPr>
              <w:pStyle w:val="12"/>
              <w:pageBreakBefore w:val="0"/>
              <w:wordWrap/>
              <w:bidi w:val="0"/>
              <w:adjustRightInd/>
              <w:snapToGrid/>
              <w:rPr>
                <w:color w:val="auto"/>
              </w:rPr>
            </w:pPr>
            <w:r>
              <w:rPr>
                <w:color w:val="auto"/>
              </w:rPr>
              <w:t>可曲挠橡胶接头</w:t>
            </w:r>
          </w:p>
        </w:tc>
        <w:tc>
          <w:tcPr>
            <w:tcW w:w="1532" w:type="pct"/>
            <w:tcBorders>
              <w:tl2br w:val="nil"/>
              <w:tr2bl w:val="nil"/>
            </w:tcBorders>
            <w:noWrap w:val="0"/>
            <w:vAlign w:val="center"/>
          </w:tcPr>
          <w:p w14:paraId="7F6FF035">
            <w:pPr>
              <w:pStyle w:val="12"/>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CE5045D">
            <w:pPr>
              <w:pStyle w:val="12"/>
              <w:pageBreakBefore w:val="0"/>
              <w:wordWrap/>
              <w:bidi w:val="0"/>
              <w:adjustRightInd/>
              <w:snapToGrid/>
              <w:rPr>
                <w:color w:val="auto"/>
              </w:rPr>
            </w:pPr>
          </w:p>
        </w:tc>
        <w:tc>
          <w:tcPr>
            <w:tcW w:w="279" w:type="pct"/>
            <w:tcBorders>
              <w:tl2br w:val="nil"/>
              <w:tr2bl w:val="nil"/>
            </w:tcBorders>
            <w:noWrap w:val="0"/>
            <w:vAlign w:val="center"/>
          </w:tcPr>
          <w:p w14:paraId="450FB4F5">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625E27A">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42784DA">
            <w:pPr>
              <w:pStyle w:val="12"/>
              <w:pageBreakBefore w:val="0"/>
              <w:wordWrap/>
              <w:bidi w:val="0"/>
              <w:adjustRightInd/>
              <w:snapToGrid/>
              <w:rPr>
                <w:color w:val="auto"/>
              </w:rPr>
            </w:pPr>
          </w:p>
        </w:tc>
      </w:tr>
      <w:tr w14:paraId="0CB2890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009FAF2">
            <w:pPr>
              <w:pStyle w:val="12"/>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5364FDE1">
            <w:pPr>
              <w:pStyle w:val="12"/>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6E27B03C">
            <w:pPr>
              <w:pStyle w:val="12"/>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2C67E3C4">
            <w:pPr>
              <w:pStyle w:val="12"/>
              <w:pageBreakBefore w:val="0"/>
              <w:wordWrap/>
              <w:bidi w:val="0"/>
              <w:adjustRightInd/>
              <w:snapToGrid/>
              <w:rPr>
                <w:color w:val="auto"/>
              </w:rPr>
            </w:pPr>
          </w:p>
        </w:tc>
        <w:tc>
          <w:tcPr>
            <w:tcW w:w="279" w:type="pct"/>
            <w:tcBorders>
              <w:tl2br w:val="nil"/>
              <w:tr2bl w:val="nil"/>
            </w:tcBorders>
            <w:noWrap w:val="0"/>
            <w:vAlign w:val="center"/>
          </w:tcPr>
          <w:p w14:paraId="1461A93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22EE16B">
            <w:pPr>
              <w:pStyle w:val="12"/>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BEC9CA3">
            <w:pPr>
              <w:pStyle w:val="12"/>
              <w:pageBreakBefore w:val="0"/>
              <w:wordWrap/>
              <w:bidi w:val="0"/>
              <w:adjustRightInd/>
              <w:snapToGrid/>
              <w:rPr>
                <w:color w:val="auto"/>
              </w:rPr>
            </w:pPr>
          </w:p>
        </w:tc>
      </w:tr>
      <w:tr w14:paraId="661B8B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95FD263">
            <w:pPr>
              <w:pStyle w:val="12"/>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4F143EC1">
            <w:pPr>
              <w:pStyle w:val="12"/>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7F319E99">
            <w:pPr>
              <w:pStyle w:val="12"/>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B68B354">
            <w:pPr>
              <w:pStyle w:val="12"/>
              <w:pageBreakBefore w:val="0"/>
              <w:wordWrap/>
              <w:bidi w:val="0"/>
              <w:adjustRightInd/>
              <w:snapToGrid/>
              <w:rPr>
                <w:color w:val="auto"/>
              </w:rPr>
            </w:pPr>
          </w:p>
        </w:tc>
        <w:tc>
          <w:tcPr>
            <w:tcW w:w="279" w:type="pct"/>
            <w:tcBorders>
              <w:tl2br w:val="nil"/>
              <w:tr2bl w:val="nil"/>
            </w:tcBorders>
            <w:noWrap w:val="0"/>
            <w:vAlign w:val="center"/>
          </w:tcPr>
          <w:p w14:paraId="7835123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66E0C91">
            <w:pPr>
              <w:pStyle w:val="12"/>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9B9FC34">
            <w:pPr>
              <w:pStyle w:val="12"/>
              <w:pageBreakBefore w:val="0"/>
              <w:wordWrap/>
              <w:bidi w:val="0"/>
              <w:adjustRightInd/>
              <w:snapToGrid/>
              <w:rPr>
                <w:color w:val="auto"/>
              </w:rPr>
            </w:pPr>
          </w:p>
        </w:tc>
      </w:tr>
      <w:tr w14:paraId="01659A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0D8D530">
            <w:pPr>
              <w:pStyle w:val="12"/>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4C159D0F">
            <w:pPr>
              <w:pStyle w:val="12"/>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13B6E546">
            <w:pPr>
              <w:pStyle w:val="12"/>
              <w:pageBreakBefore w:val="0"/>
              <w:wordWrap/>
              <w:bidi w:val="0"/>
              <w:adjustRightInd/>
              <w:snapToGrid/>
              <w:rPr>
                <w:color w:val="auto"/>
              </w:rPr>
            </w:pPr>
            <w:r>
              <w:rPr>
                <w:color w:val="auto"/>
              </w:rPr>
              <w:t>DN65</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26BAB59F">
            <w:pPr>
              <w:pStyle w:val="12"/>
              <w:pageBreakBefore w:val="0"/>
              <w:wordWrap/>
              <w:bidi w:val="0"/>
              <w:adjustRightInd/>
              <w:snapToGrid/>
              <w:rPr>
                <w:color w:val="auto"/>
              </w:rPr>
            </w:pPr>
          </w:p>
        </w:tc>
        <w:tc>
          <w:tcPr>
            <w:tcW w:w="279" w:type="pct"/>
            <w:tcBorders>
              <w:tl2br w:val="nil"/>
              <w:tr2bl w:val="nil"/>
            </w:tcBorders>
            <w:noWrap w:val="0"/>
            <w:vAlign w:val="center"/>
          </w:tcPr>
          <w:p w14:paraId="5D6618ED">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81D8410">
            <w:pPr>
              <w:pStyle w:val="12"/>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59FDCB9D">
            <w:pPr>
              <w:pStyle w:val="12"/>
              <w:pageBreakBefore w:val="0"/>
              <w:wordWrap/>
              <w:bidi w:val="0"/>
              <w:adjustRightInd/>
              <w:snapToGrid/>
              <w:rPr>
                <w:color w:val="auto"/>
              </w:rPr>
            </w:pPr>
          </w:p>
        </w:tc>
      </w:tr>
      <w:tr w14:paraId="157C9E2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0390AC7">
            <w:pPr>
              <w:pStyle w:val="12"/>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6185CCFE">
            <w:pPr>
              <w:pStyle w:val="12"/>
              <w:pageBreakBefore w:val="0"/>
              <w:wordWrap/>
              <w:bidi w:val="0"/>
              <w:adjustRightInd/>
              <w:snapToGrid/>
              <w:rPr>
                <w:color w:val="auto"/>
              </w:rPr>
            </w:pPr>
            <w:r>
              <w:rPr>
                <w:color w:val="auto"/>
              </w:rPr>
              <w:t>双由令球阀</w:t>
            </w:r>
          </w:p>
        </w:tc>
        <w:tc>
          <w:tcPr>
            <w:tcW w:w="1532" w:type="pct"/>
            <w:tcBorders>
              <w:tl2br w:val="nil"/>
              <w:tr2bl w:val="nil"/>
            </w:tcBorders>
            <w:noWrap w:val="0"/>
            <w:vAlign w:val="center"/>
          </w:tcPr>
          <w:p w14:paraId="25A465F6">
            <w:pPr>
              <w:pStyle w:val="12"/>
              <w:pageBreakBefore w:val="0"/>
              <w:wordWrap/>
              <w:bidi w:val="0"/>
              <w:adjustRightInd/>
              <w:snapToGrid/>
              <w:rPr>
                <w:color w:val="auto"/>
              </w:rPr>
            </w:pPr>
            <w:r>
              <w:rPr>
                <w:color w:val="auto"/>
              </w:rPr>
              <w:t>DN32</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60A1253">
            <w:pPr>
              <w:pStyle w:val="12"/>
              <w:pageBreakBefore w:val="0"/>
              <w:wordWrap/>
              <w:bidi w:val="0"/>
              <w:adjustRightInd/>
              <w:snapToGrid/>
              <w:rPr>
                <w:color w:val="auto"/>
              </w:rPr>
            </w:pPr>
          </w:p>
        </w:tc>
        <w:tc>
          <w:tcPr>
            <w:tcW w:w="279" w:type="pct"/>
            <w:tcBorders>
              <w:tl2br w:val="nil"/>
              <w:tr2bl w:val="nil"/>
            </w:tcBorders>
            <w:noWrap w:val="0"/>
            <w:vAlign w:val="center"/>
          </w:tcPr>
          <w:p w14:paraId="03388851">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5F80404">
            <w:pPr>
              <w:pStyle w:val="12"/>
              <w:pageBreakBefore w:val="0"/>
              <w:wordWrap/>
              <w:bidi w:val="0"/>
              <w:adjustRightInd/>
              <w:snapToGrid/>
              <w:rPr>
                <w:color w:val="auto"/>
              </w:rPr>
            </w:pPr>
            <w:r>
              <w:rPr>
                <w:color w:val="auto"/>
              </w:rPr>
              <w:t>18</w:t>
            </w:r>
          </w:p>
        </w:tc>
        <w:tc>
          <w:tcPr>
            <w:tcW w:w="1132" w:type="pct"/>
            <w:tcBorders>
              <w:tl2br w:val="nil"/>
              <w:tr2bl w:val="nil"/>
            </w:tcBorders>
            <w:noWrap w:val="0"/>
            <w:vAlign w:val="center"/>
          </w:tcPr>
          <w:p w14:paraId="39950202">
            <w:pPr>
              <w:pStyle w:val="12"/>
              <w:pageBreakBefore w:val="0"/>
              <w:wordWrap/>
              <w:bidi w:val="0"/>
              <w:adjustRightInd/>
              <w:snapToGrid/>
              <w:rPr>
                <w:color w:val="auto"/>
              </w:rPr>
            </w:pPr>
          </w:p>
        </w:tc>
      </w:tr>
      <w:tr w14:paraId="48CDC6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40C4B3A">
            <w:pPr>
              <w:pStyle w:val="12"/>
              <w:pageBreakBefore w:val="0"/>
              <w:wordWrap/>
              <w:bidi w:val="0"/>
              <w:adjustRightInd/>
              <w:snapToGrid/>
              <w:jc w:val="left"/>
              <w:rPr>
                <w:color w:val="auto"/>
              </w:rPr>
            </w:pPr>
            <w:r>
              <w:rPr>
                <w:b/>
                <w:bCs/>
                <w:color w:val="auto"/>
              </w:rPr>
              <w:t>高级氧化</w:t>
            </w:r>
            <w:r>
              <w:rPr>
                <w:rFonts w:hint="eastAsia"/>
                <w:b/>
                <w:bCs/>
                <w:color w:val="auto"/>
                <w:lang w:val="en-US" w:eastAsia="zh-CN"/>
              </w:rPr>
              <w:t>深度</w:t>
            </w:r>
            <w:r>
              <w:rPr>
                <w:b/>
                <w:bCs/>
                <w:color w:val="auto"/>
              </w:rPr>
              <w:t>处理</w:t>
            </w:r>
          </w:p>
        </w:tc>
      </w:tr>
      <w:tr w14:paraId="54C4DD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C44437">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1A8DFA3">
            <w:pPr>
              <w:pStyle w:val="12"/>
              <w:pageBreakBefore w:val="0"/>
              <w:wordWrap/>
              <w:bidi w:val="0"/>
              <w:adjustRightInd/>
              <w:snapToGrid/>
              <w:rPr>
                <w:color w:val="auto"/>
              </w:rPr>
            </w:pPr>
            <w:r>
              <w:rPr>
                <w:color w:val="auto"/>
              </w:rPr>
              <w:t>高级氧化撬装设备</w:t>
            </w:r>
          </w:p>
        </w:tc>
        <w:tc>
          <w:tcPr>
            <w:tcW w:w="1532" w:type="pct"/>
            <w:tcBorders>
              <w:tl2br w:val="nil"/>
              <w:tr2bl w:val="nil"/>
            </w:tcBorders>
            <w:noWrap w:val="0"/>
            <w:vAlign w:val="center"/>
          </w:tcPr>
          <w:p w14:paraId="5C329645">
            <w:pPr>
              <w:pStyle w:val="12"/>
              <w:pageBreakBefore w:val="0"/>
              <w:wordWrap/>
              <w:bidi w:val="0"/>
              <w:adjustRightInd/>
              <w:snapToGrid/>
              <w:rPr>
                <w:color w:val="auto"/>
              </w:rPr>
            </w:pPr>
            <w:r>
              <w:rPr>
                <w:color w:val="auto"/>
              </w:rPr>
              <w:t>处理水量</w:t>
            </w:r>
            <w:r>
              <w:rPr>
                <w:rFonts w:hint="eastAsia"/>
                <w:color w:val="auto"/>
                <w:lang w:eastAsia="zh-CN"/>
              </w:rPr>
              <w:t>1</w:t>
            </w:r>
            <w:r>
              <w:rPr>
                <w:color w:val="auto"/>
              </w:rPr>
              <w:t>500</w:t>
            </w:r>
            <w:r>
              <w:rPr>
                <w:rFonts w:hint="eastAsia"/>
                <w:color w:val="auto"/>
                <w:lang w:eastAsia="zh-CN"/>
              </w:rPr>
              <w:t>m³</w:t>
            </w:r>
            <w:r>
              <w:rPr>
                <w:color w:val="auto"/>
              </w:rPr>
              <w:t>/d</w:t>
            </w:r>
          </w:p>
        </w:tc>
        <w:tc>
          <w:tcPr>
            <w:tcW w:w="612" w:type="pct"/>
            <w:tcBorders>
              <w:tl2br w:val="nil"/>
              <w:tr2bl w:val="nil"/>
            </w:tcBorders>
            <w:noWrap w:val="0"/>
            <w:vAlign w:val="center"/>
          </w:tcPr>
          <w:p w14:paraId="1BC713AB">
            <w:pPr>
              <w:pStyle w:val="12"/>
              <w:pageBreakBefore w:val="0"/>
              <w:wordWrap/>
              <w:bidi w:val="0"/>
              <w:adjustRightInd/>
              <w:snapToGrid/>
              <w:rPr>
                <w:color w:val="auto"/>
              </w:rPr>
            </w:pPr>
          </w:p>
        </w:tc>
        <w:tc>
          <w:tcPr>
            <w:tcW w:w="279" w:type="pct"/>
            <w:tcBorders>
              <w:tl2br w:val="nil"/>
              <w:tr2bl w:val="nil"/>
            </w:tcBorders>
            <w:noWrap w:val="0"/>
            <w:vAlign w:val="center"/>
          </w:tcPr>
          <w:p w14:paraId="0CBD7AC4">
            <w:pPr>
              <w:pStyle w:val="12"/>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63C3824">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3B99A43">
            <w:pPr>
              <w:pStyle w:val="12"/>
              <w:pageBreakBefore w:val="0"/>
              <w:wordWrap/>
              <w:bidi w:val="0"/>
              <w:adjustRightInd/>
              <w:snapToGrid/>
              <w:rPr>
                <w:color w:val="auto"/>
              </w:rPr>
            </w:pPr>
          </w:p>
        </w:tc>
      </w:tr>
      <w:tr w14:paraId="03E10E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360CE8F">
            <w:pPr>
              <w:pStyle w:val="12"/>
              <w:pageBreakBefore w:val="0"/>
              <w:wordWrap/>
              <w:bidi w:val="0"/>
              <w:adjustRightInd/>
              <w:snapToGrid/>
              <w:jc w:val="left"/>
              <w:rPr>
                <w:color w:val="auto"/>
              </w:rPr>
            </w:pPr>
            <w:r>
              <w:rPr>
                <w:b/>
                <w:bCs/>
                <w:color w:val="auto"/>
              </w:rPr>
              <w:t>变配电室-鼓风机房</w:t>
            </w:r>
          </w:p>
        </w:tc>
      </w:tr>
      <w:tr w14:paraId="1C852A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4E4F1B1">
            <w:pPr>
              <w:pStyle w:val="12"/>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70FDF77C">
            <w:pPr>
              <w:pStyle w:val="12"/>
              <w:pageBreakBefore w:val="0"/>
              <w:wordWrap/>
              <w:bidi w:val="0"/>
              <w:adjustRightInd/>
              <w:snapToGrid/>
              <w:rPr>
                <w:color w:val="auto"/>
              </w:rPr>
            </w:pPr>
            <w:r>
              <w:rPr>
                <w:color w:val="auto"/>
              </w:rPr>
              <w:t>空气悬浮鼓风机</w:t>
            </w:r>
          </w:p>
        </w:tc>
        <w:tc>
          <w:tcPr>
            <w:tcW w:w="1532" w:type="pct"/>
            <w:tcBorders>
              <w:tl2br w:val="nil"/>
              <w:tr2bl w:val="nil"/>
            </w:tcBorders>
            <w:noWrap w:val="0"/>
            <w:vAlign w:val="center"/>
          </w:tcPr>
          <w:p w14:paraId="08A6EBA4">
            <w:pPr>
              <w:pStyle w:val="12"/>
              <w:pageBreakBefore w:val="0"/>
              <w:wordWrap/>
              <w:bidi w:val="0"/>
              <w:adjustRightInd/>
              <w:snapToGrid/>
              <w:rPr>
                <w:color w:val="auto"/>
              </w:rPr>
            </w:pPr>
            <w:r>
              <w:rPr>
                <w:color w:val="auto"/>
              </w:rPr>
              <w:t>Q=4.7m/min</w:t>
            </w:r>
            <w:r>
              <w:rPr>
                <w:rFonts w:hint="eastAsia"/>
                <w:color w:val="auto"/>
                <w:lang w:eastAsia="zh-CN"/>
              </w:rPr>
              <w:t>，</w:t>
            </w:r>
            <w:r>
              <w:rPr>
                <w:color w:val="auto"/>
              </w:rPr>
              <w:t>P=0.06MPa</w:t>
            </w:r>
            <w:r>
              <w:rPr>
                <w:rFonts w:hint="eastAsia"/>
                <w:color w:val="auto"/>
                <w:lang w:eastAsia="zh-CN"/>
              </w:rPr>
              <w:t>，</w:t>
            </w:r>
            <w:r>
              <w:rPr>
                <w:color w:val="auto"/>
              </w:rPr>
              <w:t>整机功率11kW</w:t>
            </w:r>
          </w:p>
        </w:tc>
        <w:tc>
          <w:tcPr>
            <w:tcW w:w="612" w:type="pct"/>
            <w:tcBorders>
              <w:tl2br w:val="nil"/>
              <w:tr2bl w:val="nil"/>
            </w:tcBorders>
            <w:noWrap w:val="0"/>
            <w:vAlign w:val="center"/>
          </w:tcPr>
          <w:p w14:paraId="4232FE39">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3199E56B">
            <w:pPr>
              <w:pStyle w:val="12"/>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015B1DB">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715BD33">
            <w:pPr>
              <w:pStyle w:val="12"/>
              <w:pageBreakBefore w:val="0"/>
              <w:wordWrap/>
              <w:bidi w:val="0"/>
              <w:adjustRightInd/>
              <w:snapToGrid/>
              <w:rPr>
                <w:color w:val="auto"/>
              </w:rPr>
            </w:pPr>
          </w:p>
        </w:tc>
      </w:tr>
      <w:tr w14:paraId="605F1E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1977EF8">
            <w:pPr>
              <w:pStyle w:val="12"/>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798A5022">
            <w:pPr>
              <w:pStyle w:val="12"/>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701E962F">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2349EC05">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779FDD8">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6C09F005">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0384ACE">
            <w:pPr>
              <w:pStyle w:val="12"/>
              <w:pageBreakBefore w:val="0"/>
              <w:wordWrap/>
              <w:bidi w:val="0"/>
              <w:adjustRightInd/>
              <w:snapToGrid/>
              <w:rPr>
                <w:color w:val="auto"/>
              </w:rPr>
            </w:pPr>
          </w:p>
        </w:tc>
      </w:tr>
      <w:tr w14:paraId="3A204F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29BD88">
            <w:pPr>
              <w:pStyle w:val="12"/>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EB235AF">
            <w:pPr>
              <w:pStyle w:val="12"/>
              <w:pageBreakBefore w:val="0"/>
              <w:wordWrap/>
              <w:bidi w:val="0"/>
              <w:adjustRightInd/>
              <w:snapToGrid/>
              <w:rPr>
                <w:color w:val="auto"/>
              </w:rPr>
            </w:pPr>
            <w:r>
              <w:rPr>
                <w:color w:val="auto"/>
              </w:rPr>
              <w:t>柔性接头</w:t>
            </w:r>
          </w:p>
        </w:tc>
        <w:tc>
          <w:tcPr>
            <w:tcW w:w="1532" w:type="pct"/>
            <w:tcBorders>
              <w:tl2br w:val="nil"/>
              <w:tr2bl w:val="nil"/>
            </w:tcBorders>
            <w:noWrap w:val="0"/>
            <w:vAlign w:val="center"/>
          </w:tcPr>
          <w:p w14:paraId="69EB94D1">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76E8FEB7">
            <w:pPr>
              <w:pStyle w:val="12"/>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28C2A051">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743A43BD">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B7936F0">
            <w:pPr>
              <w:pStyle w:val="12"/>
              <w:pageBreakBefore w:val="0"/>
              <w:wordWrap/>
              <w:bidi w:val="0"/>
              <w:adjustRightInd/>
              <w:snapToGrid/>
              <w:rPr>
                <w:color w:val="auto"/>
              </w:rPr>
            </w:pPr>
          </w:p>
        </w:tc>
      </w:tr>
      <w:tr w14:paraId="545466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4B97C1A">
            <w:pPr>
              <w:pStyle w:val="12"/>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0721FC1E">
            <w:pPr>
              <w:pStyle w:val="12"/>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5AF8E12F">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1C98235A">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35CCFFF9">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43BF088">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C0D8A0C">
            <w:pPr>
              <w:pStyle w:val="12"/>
              <w:pageBreakBefore w:val="0"/>
              <w:wordWrap/>
              <w:bidi w:val="0"/>
              <w:adjustRightInd/>
              <w:snapToGrid/>
              <w:rPr>
                <w:color w:val="auto"/>
              </w:rPr>
            </w:pPr>
          </w:p>
        </w:tc>
      </w:tr>
      <w:tr w14:paraId="6561FC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B78D39C">
            <w:pPr>
              <w:pStyle w:val="12"/>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38EB6D10">
            <w:pPr>
              <w:pStyle w:val="12"/>
              <w:pageBreakBefore w:val="0"/>
              <w:wordWrap/>
              <w:bidi w:val="0"/>
              <w:adjustRightInd/>
              <w:snapToGrid/>
              <w:rPr>
                <w:color w:val="auto"/>
              </w:rPr>
            </w:pPr>
            <w:r>
              <w:rPr>
                <w:color w:val="auto"/>
              </w:rPr>
              <w:t>电动蝶阀</w:t>
            </w:r>
          </w:p>
        </w:tc>
        <w:tc>
          <w:tcPr>
            <w:tcW w:w="1532" w:type="pct"/>
            <w:tcBorders>
              <w:tl2br w:val="nil"/>
              <w:tr2bl w:val="nil"/>
            </w:tcBorders>
            <w:noWrap w:val="0"/>
            <w:vAlign w:val="center"/>
          </w:tcPr>
          <w:p w14:paraId="21CBB1D0">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5A2BCCAE">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5536D84">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0FFCF556">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26DC533">
            <w:pPr>
              <w:pStyle w:val="12"/>
              <w:pageBreakBefore w:val="0"/>
              <w:wordWrap/>
              <w:bidi w:val="0"/>
              <w:adjustRightInd/>
              <w:snapToGrid/>
              <w:rPr>
                <w:color w:val="auto"/>
              </w:rPr>
            </w:pPr>
          </w:p>
        </w:tc>
      </w:tr>
      <w:tr w14:paraId="1B6FA9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F8BB68D">
            <w:pPr>
              <w:pStyle w:val="12"/>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61FEB737">
            <w:pPr>
              <w:pStyle w:val="12"/>
              <w:pageBreakBefore w:val="0"/>
              <w:wordWrap/>
              <w:bidi w:val="0"/>
              <w:adjustRightInd/>
              <w:snapToGrid/>
              <w:rPr>
                <w:color w:val="auto"/>
              </w:rPr>
            </w:pPr>
            <w:r>
              <w:rPr>
                <w:color w:val="auto"/>
              </w:rPr>
              <w:t>消音器</w:t>
            </w:r>
          </w:p>
        </w:tc>
        <w:tc>
          <w:tcPr>
            <w:tcW w:w="1532" w:type="pct"/>
            <w:tcBorders>
              <w:tl2br w:val="nil"/>
              <w:tr2bl w:val="nil"/>
            </w:tcBorders>
            <w:noWrap w:val="0"/>
            <w:vAlign w:val="center"/>
          </w:tcPr>
          <w:p w14:paraId="1192E442">
            <w:pPr>
              <w:pStyle w:val="12"/>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4ADD996E">
            <w:pPr>
              <w:pStyle w:val="12"/>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0B2A7794">
            <w:pPr>
              <w:pStyle w:val="12"/>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E9EB7F1">
            <w:pPr>
              <w:pStyle w:val="12"/>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8D52A26">
            <w:pPr>
              <w:pStyle w:val="12"/>
              <w:pageBreakBefore w:val="0"/>
              <w:wordWrap/>
              <w:bidi w:val="0"/>
              <w:adjustRightInd/>
              <w:snapToGrid/>
              <w:rPr>
                <w:color w:val="auto"/>
              </w:rPr>
            </w:pPr>
          </w:p>
        </w:tc>
      </w:tr>
    </w:tbl>
    <w:p w14:paraId="1653B5C7">
      <w:pPr>
        <w:pStyle w:val="15"/>
        <w:numPr>
          <w:ilvl w:val="0"/>
          <w:numId w:val="13"/>
        </w:numPr>
        <w:bidi w:val="0"/>
        <w:ind w:left="0" w:leftChars="0" w:firstLine="0" w:firstLineChars="0"/>
        <w:rPr>
          <w:color w:val="auto"/>
        </w:rPr>
      </w:pPr>
      <w:r>
        <w:rPr>
          <w:rFonts w:hint="eastAsia"/>
          <w:color w:val="auto"/>
          <w:lang w:val="en-US" w:eastAsia="zh-CN"/>
        </w:rPr>
        <w:t>园区环境监测站</w:t>
      </w:r>
      <w:r>
        <w:rPr>
          <w:color w:val="auto"/>
        </w:rPr>
        <w:t>主要设备清单一览表</w:t>
      </w:r>
    </w:p>
    <w:tbl>
      <w:tblPr>
        <w:tblStyle w:val="703"/>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280"/>
        <w:gridCol w:w="2678"/>
        <w:gridCol w:w="443"/>
        <w:gridCol w:w="443"/>
        <w:gridCol w:w="6856"/>
        <w:gridCol w:w="1250"/>
      </w:tblGrid>
      <w:tr w14:paraId="3F4D18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6ED24755">
            <w:pPr>
              <w:pStyle w:val="12"/>
              <w:pageBreakBefore w:val="0"/>
              <w:wordWrap/>
              <w:bidi w:val="0"/>
              <w:adjustRightInd/>
              <w:snapToGrid/>
              <w:rPr>
                <w:b/>
                <w:bCs/>
                <w:color w:val="auto"/>
              </w:rPr>
            </w:pPr>
            <w:r>
              <w:rPr>
                <w:b/>
                <w:bCs/>
                <w:color w:val="auto"/>
              </w:rPr>
              <w:t>名称</w:t>
            </w:r>
          </w:p>
        </w:tc>
        <w:tc>
          <w:tcPr>
            <w:tcW w:w="0" w:type="auto"/>
            <w:tcBorders>
              <w:tl2br w:val="nil"/>
              <w:tr2bl w:val="nil"/>
            </w:tcBorders>
            <w:vAlign w:val="center"/>
          </w:tcPr>
          <w:p w14:paraId="77FB8249">
            <w:pPr>
              <w:pStyle w:val="12"/>
              <w:pageBreakBefore w:val="0"/>
              <w:wordWrap/>
              <w:bidi w:val="0"/>
              <w:adjustRightInd/>
              <w:snapToGrid/>
              <w:rPr>
                <w:b/>
                <w:bCs/>
                <w:color w:val="auto"/>
              </w:rPr>
            </w:pPr>
            <w:r>
              <w:rPr>
                <w:b/>
                <w:bCs/>
                <w:color w:val="auto"/>
              </w:rPr>
              <w:t>单位</w:t>
            </w:r>
          </w:p>
        </w:tc>
        <w:tc>
          <w:tcPr>
            <w:tcW w:w="0" w:type="auto"/>
            <w:tcBorders>
              <w:tl2br w:val="nil"/>
              <w:tr2bl w:val="nil"/>
            </w:tcBorders>
            <w:vAlign w:val="center"/>
          </w:tcPr>
          <w:p w14:paraId="4CA3DA97">
            <w:pPr>
              <w:pStyle w:val="12"/>
              <w:pageBreakBefore w:val="0"/>
              <w:wordWrap/>
              <w:bidi w:val="0"/>
              <w:adjustRightInd/>
              <w:snapToGrid/>
              <w:rPr>
                <w:b/>
                <w:bCs/>
                <w:color w:val="auto"/>
              </w:rPr>
            </w:pPr>
            <w:r>
              <w:rPr>
                <w:b/>
                <w:bCs/>
                <w:color w:val="auto"/>
              </w:rPr>
              <w:t>数量</w:t>
            </w:r>
          </w:p>
        </w:tc>
        <w:tc>
          <w:tcPr>
            <w:tcW w:w="2457" w:type="pct"/>
            <w:tcBorders>
              <w:tl2br w:val="nil"/>
              <w:tr2bl w:val="nil"/>
            </w:tcBorders>
            <w:vAlign w:val="center"/>
          </w:tcPr>
          <w:p w14:paraId="757E2A18">
            <w:pPr>
              <w:pStyle w:val="12"/>
              <w:pageBreakBefore w:val="0"/>
              <w:wordWrap/>
              <w:bidi w:val="0"/>
              <w:adjustRightInd/>
              <w:snapToGrid/>
              <w:rPr>
                <w:b/>
                <w:bCs/>
                <w:color w:val="auto"/>
              </w:rPr>
            </w:pPr>
            <w:r>
              <w:rPr>
                <w:b/>
                <w:bCs/>
                <w:color w:val="auto"/>
              </w:rPr>
              <w:t>用途</w:t>
            </w:r>
          </w:p>
        </w:tc>
        <w:tc>
          <w:tcPr>
            <w:tcW w:w="448" w:type="pct"/>
            <w:tcBorders>
              <w:tl2br w:val="nil"/>
              <w:tr2bl w:val="nil"/>
            </w:tcBorders>
            <w:vAlign w:val="center"/>
          </w:tcPr>
          <w:p w14:paraId="6C9E04CE">
            <w:pPr>
              <w:pStyle w:val="12"/>
              <w:pageBreakBefore w:val="0"/>
              <w:wordWrap/>
              <w:bidi w:val="0"/>
              <w:adjustRightInd/>
              <w:snapToGrid/>
              <w:rPr>
                <w:b/>
                <w:bCs/>
                <w:color w:val="auto"/>
              </w:rPr>
            </w:pPr>
            <w:r>
              <w:rPr>
                <w:b/>
                <w:bCs/>
                <w:color w:val="auto"/>
              </w:rPr>
              <w:t>备注</w:t>
            </w:r>
          </w:p>
        </w:tc>
      </w:tr>
      <w:tr w14:paraId="0612D3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72F32651">
            <w:pPr>
              <w:pStyle w:val="12"/>
              <w:pageBreakBefore w:val="0"/>
              <w:wordWrap/>
              <w:bidi w:val="0"/>
              <w:adjustRightInd/>
              <w:snapToGrid/>
              <w:rPr>
                <w:color w:val="auto"/>
              </w:rPr>
            </w:pPr>
            <w:r>
              <w:rPr>
                <w:color w:val="auto"/>
              </w:rPr>
              <w:t>环境空气质量监测系统</w:t>
            </w:r>
          </w:p>
        </w:tc>
        <w:tc>
          <w:tcPr>
            <w:tcW w:w="0" w:type="auto"/>
            <w:tcBorders>
              <w:tl2br w:val="nil"/>
              <w:tr2bl w:val="nil"/>
            </w:tcBorders>
            <w:vAlign w:val="center"/>
          </w:tcPr>
          <w:p w14:paraId="62FC8A9A">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71A33406">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23BFF524">
            <w:pPr>
              <w:pStyle w:val="12"/>
              <w:pageBreakBefore w:val="0"/>
              <w:wordWrap/>
              <w:bidi w:val="0"/>
              <w:adjustRightInd/>
              <w:snapToGrid/>
              <w:rPr>
                <w:color w:val="auto"/>
              </w:rPr>
            </w:pPr>
            <w:r>
              <w:rPr>
                <w:color w:val="auto"/>
              </w:rPr>
              <w:t>SO</w:t>
            </w:r>
            <w:r>
              <w:rPr>
                <w:color w:val="auto"/>
                <w:vertAlign w:val="subscript"/>
              </w:rPr>
              <w:t>2</w:t>
            </w:r>
            <w:r>
              <w:rPr>
                <w:color w:val="auto"/>
              </w:rPr>
              <w:t>、NOx、CO、O</w:t>
            </w:r>
            <w:r>
              <w:rPr>
                <w:color w:val="auto"/>
                <w:vertAlign w:val="subscript"/>
              </w:rPr>
              <w:t>3</w:t>
            </w:r>
            <w:r>
              <w:rPr>
                <w:color w:val="auto"/>
              </w:rPr>
              <w:t>、PM</w:t>
            </w:r>
            <w:r>
              <w:rPr>
                <w:color w:val="auto"/>
                <w:vertAlign w:val="subscript"/>
              </w:rPr>
              <w:t>2.5</w:t>
            </w:r>
            <w:r>
              <w:rPr>
                <w:color w:val="auto"/>
              </w:rPr>
              <w:t>、PM</w:t>
            </w:r>
            <w:r>
              <w:rPr>
                <w:color w:val="auto"/>
                <w:vertAlign w:val="subscript"/>
              </w:rPr>
              <w:t>10</w:t>
            </w:r>
            <w:r>
              <w:rPr>
                <w:rFonts w:hint="eastAsia"/>
                <w:color w:val="auto"/>
                <w:lang w:eastAsia="zh-CN"/>
              </w:rPr>
              <w:t>，</w:t>
            </w:r>
            <w:r>
              <w:rPr>
                <w:color w:val="auto"/>
              </w:rPr>
              <w:t>气象多参数</w:t>
            </w:r>
          </w:p>
        </w:tc>
        <w:tc>
          <w:tcPr>
            <w:tcW w:w="448" w:type="pct"/>
            <w:tcBorders>
              <w:tl2br w:val="nil"/>
              <w:tr2bl w:val="nil"/>
            </w:tcBorders>
            <w:vAlign w:val="center"/>
          </w:tcPr>
          <w:p w14:paraId="32778CD0">
            <w:pPr>
              <w:pStyle w:val="12"/>
              <w:pageBreakBefore w:val="0"/>
              <w:wordWrap/>
              <w:bidi w:val="0"/>
              <w:adjustRightInd/>
              <w:snapToGrid/>
              <w:rPr>
                <w:color w:val="auto"/>
              </w:rPr>
            </w:pPr>
            <w:r>
              <w:rPr>
                <w:color w:val="auto"/>
              </w:rPr>
              <w:t>本次新建</w:t>
            </w:r>
          </w:p>
        </w:tc>
      </w:tr>
      <w:tr w14:paraId="61C8B7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609F7EFF">
            <w:pPr>
              <w:pStyle w:val="12"/>
              <w:pageBreakBefore w:val="0"/>
              <w:wordWrap/>
              <w:bidi w:val="0"/>
              <w:adjustRightInd/>
              <w:snapToGrid/>
              <w:rPr>
                <w:color w:val="auto"/>
              </w:rPr>
            </w:pPr>
            <w:r>
              <w:rPr>
                <w:color w:val="auto"/>
              </w:rPr>
              <w:t>颗粒物组分监测</w:t>
            </w:r>
          </w:p>
        </w:tc>
        <w:tc>
          <w:tcPr>
            <w:tcW w:w="0" w:type="auto"/>
            <w:tcBorders>
              <w:tl2br w:val="nil"/>
              <w:tr2bl w:val="nil"/>
            </w:tcBorders>
            <w:vAlign w:val="center"/>
          </w:tcPr>
          <w:p w14:paraId="25827D26">
            <w:pPr>
              <w:pStyle w:val="12"/>
              <w:pageBreakBefore w:val="0"/>
              <w:wordWrap/>
              <w:bidi w:val="0"/>
              <w:adjustRightInd/>
              <w:snapToGrid/>
              <w:rPr>
                <w:color w:val="auto"/>
              </w:rPr>
            </w:pPr>
            <w:r>
              <w:rPr>
                <w:color w:val="auto"/>
              </w:rPr>
              <w:t>碳组分分析仪</w:t>
            </w:r>
          </w:p>
        </w:tc>
        <w:tc>
          <w:tcPr>
            <w:tcW w:w="0" w:type="auto"/>
            <w:tcBorders>
              <w:tl2br w:val="nil"/>
              <w:tr2bl w:val="nil"/>
            </w:tcBorders>
            <w:vAlign w:val="center"/>
          </w:tcPr>
          <w:p w14:paraId="355B6BDA">
            <w:pPr>
              <w:pStyle w:val="12"/>
              <w:pageBreakBefore w:val="0"/>
              <w:wordWrap/>
              <w:bidi w:val="0"/>
              <w:adjustRightInd/>
              <w:snapToGrid/>
              <w:rPr>
                <w:color w:val="auto"/>
              </w:rPr>
            </w:pPr>
            <w:r>
              <w:rPr>
                <w:color w:val="auto"/>
              </w:rPr>
              <w:t>台</w:t>
            </w:r>
          </w:p>
        </w:tc>
        <w:tc>
          <w:tcPr>
            <w:tcW w:w="0" w:type="auto"/>
            <w:tcBorders>
              <w:tl2br w:val="nil"/>
              <w:tr2bl w:val="nil"/>
            </w:tcBorders>
            <w:vAlign w:val="center"/>
          </w:tcPr>
          <w:p w14:paraId="571D0F3A">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6EF7E210">
            <w:pPr>
              <w:pStyle w:val="12"/>
              <w:pageBreakBefore w:val="0"/>
              <w:wordWrap/>
              <w:bidi w:val="0"/>
              <w:adjustRightInd/>
              <w:snapToGrid/>
              <w:rPr>
                <w:color w:val="auto"/>
              </w:rPr>
            </w:pPr>
            <w:r>
              <w:rPr>
                <w:color w:val="auto"/>
              </w:rPr>
              <w:t>测量PM</w:t>
            </w:r>
            <w:r>
              <w:rPr>
                <w:color w:val="auto"/>
                <w:vertAlign w:val="subscript"/>
              </w:rPr>
              <w:t>2.5</w:t>
            </w:r>
            <w:r>
              <w:rPr>
                <w:color w:val="auto"/>
              </w:rPr>
              <w:t>中的元素碳有机碳组分</w:t>
            </w:r>
          </w:p>
        </w:tc>
        <w:tc>
          <w:tcPr>
            <w:tcW w:w="448" w:type="pct"/>
            <w:tcBorders>
              <w:tl2br w:val="nil"/>
              <w:tr2bl w:val="nil"/>
            </w:tcBorders>
            <w:vAlign w:val="center"/>
          </w:tcPr>
          <w:p w14:paraId="14955002">
            <w:pPr>
              <w:pStyle w:val="12"/>
              <w:pageBreakBefore w:val="0"/>
              <w:wordWrap/>
              <w:bidi w:val="0"/>
              <w:adjustRightInd/>
              <w:snapToGrid/>
              <w:rPr>
                <w:color w:val="auto"/>
              </w:rPr>
            </w:pPr>
            <w:r>
              <w:rPr>
                <w:color w:val="auto"/>
              </w:rPr>
              <w:t>本次新建</w:t>
            </w:r>
          </w:p>
        </w:tc>
      </w:tr>
      <w:tr w14:paraId="3EA2123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restart"/>
            <w:tcBorders>
              <w:tl2br w:val="nil"/>
              <w:tr2bl w:val="nil"/>
            </w:tcBorders>
            <w:vAlign w:val="center"/>
          </w:tcPr>
          <w:p w14:paraId="1084E83A">
            <w:pPr>
              <w:pStyle w:val="12"/>
              <w:pageBreakBefore w:val="0"/>
              <w:wordWrap/>
              <w:bidi w:val="0"/>
              <w:adjustRightInd/>
              <w:snapToGrid/>
              <w:rPr>
                <w:rFonts w:hint="eastAsia" w:eastAsia="宋体"/>
                <w:color w:val="auto"/>
                <w:lang w:eastAsia="zh-CN"/>
              </w:rPr>
            </w:pPr>
            <w:r>
              <w:rPr>
                <w:color w:val="auto"/>
              </w:rPr>
              <w:t>VOCs组分</w:t>
            </w:r>
            <w:r>
              <w:rPr>
                <w:rFonts w:hint="eastAsia"/>
                <w:color w:val="auto"/>
                <w:lang w:eastAsia="zh-CN"/>
              </w:rPr>
              <w:t>（</w:t>
            </w:r>
            <w:r>
              <w:rPr>
                <w:color w:val="auto"/>
              </w:rPr>
              <w:t>117组分</w:t>
            </w:r>
            <w:r>
              <w:rPr>
                <w:rFonts w:hint="eastAsia"/>
                <w:color w:val="auto"/>
                <w:lang w:eastAsia="zh-CN"/>
              </w:rPr>
              <w:t>）</w:t>
            </w:r>
          </w:p>
        </w:tc>
        <w:tc>
          <w:tcPr>
            <w:tcW w:w="0" w:type="auto"/>
            <w:tcBorders>
              <w:tl2br w:val="nil"/>
              <w:tr2bl w:val="nil"/>
            </w:tcBorders>
            <w:vAlign w:val="center"/>
          </w:tcPr>
          <w:p w14:paraId="5E264FC9">
            <w:pPr>
              <w:pStyle w:val="12"/>
              <w:pageBreakBefore w:val="0"/>
              <w:wordWrap/>
              <w:bidi w:val="0"/>
              <w:adjustRightInd/>
              <w:snapToGrid/>
              <w:rPr>
                <w:color w:val="auto"/>
              </w:rPr>
            </w:pPr>
            <w:r>
              <w:rPr>
                <w:color w:val="auto"/>
              </w:rPr>
              <w:t>挥发性有机物在线监测系统</w:t>
            </w:r>
          </w:p>
        </w:tc>
        <w:tc>
          <w:tcPr>
            <w:tcW w:w="0" w:type="auto"/>
            <w:tcBorders>
              <w:tl2br w:val="nil"/>
              <w:tr2bl w:val="nil"/>
            </w:tcBorders>
            <w:vAlign w:val="center"/>
          </w:tcPr>
          <w:p w14:paraId="20CCCEC5">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4A30436A">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1678CF84">
            <w:pPr>
              <w:pStyle w:val="12"/>
              <w:pageBreakBefore w:val="0"/>
              <w:wordWrap/>
              <w:bidi w:val="0"/>
              <w:adjustRightInd/>
              <w:snapToGrid/>
              <w:rPr>
                <w:color w:val="auto"/>
              </w:rPr>
            </w:pPr>
            <w:r>
              <w:rPr>
                <w:color w:val="auto"/>
              </w:rPr>
              <w:t>测量116种VOCs组分</w:t>
            </w:r>
          </w:p>
        </w:tc>
        <w:tc>
          <w:tcPr>
            <w:tcW w:w="448" w:type="pct"/>
            <w:tcBorders>
              <w:tl2br w:val="nil"/>
              <w:tr2bl w:val="nil"/>
            </w:tcBorders>
            <w:vAlign w:val="center"/>
          </w:tcPr>
          <w:p w14:paraId="73962497">
            <w:pPr>
              <w:pStyle w:val="12"/>
              <w:pageBreakBefore w:val="0"/>
              <w:wordWrap/>
              <w:bidi w:val="0"/>
              <w:adjustRightInd/>
              <w:snapToGrid/>
              <w:rPr>
                <w:color w:val="auto"/>
              </w:rPr>
            </w:pPr>
            <w:r>
              <w:rPr>
                <w:color w:val="auto"/>
              </w:rPr>
              <w:t>本次新建</w:t>
            </w:r>
          </w:p>
        </w:tc>
      </w:tr>
      <w:tr w14:paraId="3A683E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382F30EE">
            <w:pPr>
              <w:pStyle w:val="12"/>
              <w:pageBreakBefore w:val="0"/>
              <w:wordWrap/>
              <w:bidi w:val="0"/>
              <w:adjustRightInd/>
              <w:snapToGrid/>
              <w:rPr>
                <w:color w:val="auto"/>
              </w:rPr>
            </w:pPr>
          </w:p>
        </w:tc>
        <w:tc>
          <w:tcPr>
            <w:tcW w:w="0" w:type="auto"/>
            <w:tcBorders>
              <w:tl2br w:val="nil"/>
              <w:tr2bl w:val="nil"/>
            </w:tcBorders>
            <w:vAlign w:val="center"/>
          </w:tcPr>
          <w:p w14:paraId="773E17DD">
            <w:pPr>
              <w:pStyle w:val="12"/>
              <w:pageBreakBefore w:val="0"/>
              <w:wordWrap/>
              <w:bidi w:val="0"/>
              <w:adjustRightInd/>
              <w:snapToGrid/>
              <w:rPr>
                <w:color w:val="auto"/>
              </w:rPr>
            </w:pPr>
            <w:r>
              <w:rPr>
                <w:color w:val="auto"/>
              </w:rPr>
              <w:t>甲醛监测仪</w:t>
            </w:r>
          </w:p>
        </w:tc>
        <w:tc>
          <w:tcPr>
            <w:tcW w:w="0" w:type="auto"/>
            <w:tcBorders>
              <w:tl2br w:val="nil"/>
              <w:tr2bl w:val="nil"/>
            </w:tcBorders>
            <w:vAlign w:val="center"/>
          </w:tcPr>
          <w:p w14:paraId="3E407C7D">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5AA2620C">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216EB33E">
            <w:pPr>
              <w:pStyle w:val="12"/>
              <w:pageBreakBefore w:val="0"/>
              <w:wordWrap/>
              <w:bidi w:val="0"/>
              <w:adjustRightInd/>
              <w:snapToGrid/>
              <w:rPr>
                <w:color w:val="auto"/>
              </w:rPr>
            </w:pPr>
            <w:r>
              <w:rPr>
                <w:color w:val="auto"/>
              </w:rPr>
              <w:t>测量甲醛</w:t>
            </w:r>
          </w:p>
        </w:tc>
        <w:tc>
          <w:tcPr>
            <w:tcW w:w="448" w:type="pct"/>
            <w:tcBorders>
              <w:tl2br w:val="nil"/>
              <w:tr2bl w:val="nil"/>
            </w:tcBorders>
            <w:vAlign w:val="center"/>
          </w:tcPr>
          <w:p w14:paraId="626817CC">
            <w:pPr>
              <w:pStyle w:val="12"/>
              <w:pageBreakBefore w:val="0"/>
              <w:wordWrap/>
              <w:bidi w:val="0"/>
              <w:adjustRightInd/>
              <w:snapToGrid/>
              <w:rPr>
                <w:color w:val="auto"/>
              </w:rPr>
            </w:pPr>
            <w:r>
              <w:rPr>
                <w:color w:val="auto"/>
              </w:rPr>
              <w:t>本次新建</w:t>
            </w:r>
          </w:p>
        </w:tc>
      </w:tr>
      <w:tr w14:paraId="78FB6BC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192BC8F7">
            <w:pPr>
              <w:pStyle w:val="12"/>
              <w:pageBreakBefore w:val="0"/>
              <w:wordWrap/>
              <w:bidi w:val="0"/>
              <w:adjustRightInd/>
              <w:snapToGrid/>
              <w:rPr>
                <w:color w:val="auto"/>
              </w:rPr>
            </w:pPr>
          </w:p>
        </w:tc>
        <w:tc>
          <w:tcPr>
            <w:tcW w:w="0" w:type="auto"/>
            <w:tcBorders>
              <w:tl2br w:val="nil"/>
              <w:tr2bl w:val="nil"/>
            </w:tcBorders>
            <w:vAlign w:val="center"/>
          </w:tcPr>
          <w:p w14:paraId="2B51CBFC">
            <w:pPr>
              <w:pStyle w:val="12"/>
              <w:pageBreakBefore w:val="0"/>
              <w:wordWrap/>
              <w:bidi w:val="0"/>
              <w:adjustRightInd/>
              <w:snapToGrid/>
              <w:rPr>
                <w:color w:val="auto"/>
              </w:rPr>
            </w:pPr>
            <w:r>
              <w:rPr>
                <w:color w:val="auto"/>
              </w:rPr>
              <w:t>甲烷/非甲烷总烃在线分析仪</w:t>
            </w:r>
          </w:p>
        </w:tc>
        <w:tc>
          <w:tcPr>
            <w:tcW w:w="0" w:type="auto"/>
            <w:tcBorders>
              <w:tl2br w:val="nil"/>
              <w:tr2bl w:val="nil"/>
            </w:tcBorders>
            <w:vAlign w:val="center"/>
          </w:tcPr>
          <w:p w14:paraId="1025FFA4">
            <w:pPr>
              <w:pStyle w:val="12"/>
              <w:pageBreakBefore w:val="0"/>
              <w:wordWrap/>
              <w:bidi w:val="0"/>
              <w:adjustRightInd/>
              <w:snapToGrid/>
              <w:rPr>
                <w:color w:val="auto"/>
              </w:rPr>
            </w:pPr>
            <w:r>
              <w:rPr>
                <w:color w:val="auto"/>
              </w:rPr>
              <w:t>台</w:t>
            </w:r>
          </w:p>
        </w:tc>
        <w:tc>
          <w:tcPr>
            <w:tcW w:w="0" w:type="auto"/>
            <w:tcBorders>
              <w:tl2br w:val="nil"/>
              <w:tr2bl w:val="nil"/>
            </w:tcBorders>
            <w:vAlign w:val="center"/>
          </w:tcPr>
          <w:p w14:paraId="69353479">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510BC7AA">
            <w:pPr>
              <w:pStyle w:val="12"/>
              <w:pageBreakBefore w:val="0"/>
              <w:wordWrap/>
              <w:bidi w:val="0"/>
              <w:adjustRightInd/>
              <w:snapToGrid/>
              <w:rPr>
                <w:color w:val="auto"/>
              </w:rPr>
            </w:pPr>
            <w:r>
              <w:rPr>
                <w:color w:val="auto"/>
              </w:rPr>
              <w:t>测量甲烷/非甲烷总烃</w:t>
            </w:r>
          </w:p>
        </w:tc>
        <w:tc>
          <w:tcPr>
            <w:tcW w:w="448" w:type="pct"/>
            <w:tcBorders>
              <w:tl2br w:val="nil"/>
              <w:tr2bl w:val="nil"/>
            </w:tcBorders>
            <w:vAlign w:val="center"/>
          </w:tcPr>
          <w:p w14:paraId="2A1A9C49">
            <w:pPr>
              <w:pStyle w:val="12"/>
              <w:pageBreakBefore w:val="0"/>
              <w:wordWrap/>
              <w:bidi w:val="0"/>
              <w:adjustRightInd/>
              <w:snapToGrid/>
              <w:rPr>
                <w:color w:val="auto"/>
              </w:rPr>
            </w:pPr>
            <w:r>
              <w:rPr>
                <w:color w:val="auto"/>
              </w:rPr>
              <w:t>本次新建</w:t>
            </w:r>
          </w:p>
        </w:tc>
      </w:tr>
      <w:tr w14:paraId="080C9C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581CC1B8">
            <w:pPr>
              <w:pStyle w:val="12"/>
              <w:pageBreakBefore w:val="0"/>
              <w:wordWrap/>
              <w:bidi w:val="0"/>
              <w:adjustRightInd/>
              <w:snapToGrid/>
              <w:rPr>
                <w:color w:val="auto"/>
              </w:rPr>
            </w:pPr>
            <w:r>
              <w:rPr>
                <w:color w:val="auto"/>
              </w:rPr>
              <w:t>数据分析系统</w:t>
            </w:r>
          </w:p>
        </w:tc>
        <w:tc>
          <w:tcPr>
            <w:tcW w:w="0" w:type="auto"/>
            <w:tcBorders>
              <w:tl2br w:val="nil"/>
              <w:tr2bl w:val="nil"/>
            </w:tcBorders>
            <w:vAlign w:val="center"/>
          </w:tcPr>
          <w:p w14:paraId="5A8912F2">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4C165D17">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6ED65EBE">
            <w:pPr>
              <w:pStyle w:val="12"/>
              <w:pageBreakBefore w:val="0"/>
              <w:wordWrap/>
              <w:bidi w:val="0"/>
              <w:adjustRightInd/>
              <w:snapToGrid/>
              <w:rPr>
                <w:color w:val="auto"/>
              </w:rPr>
            </w:pPr>
            <w:r>
              <w:rPr>
                <w:color w:val="auto"/>
              </w:rPr>
              <w:t>/</w:t>
            </w:r>
          </w:p>
        </w:tc>
        <w:tc>
          <w:tcPr>
            <w:tcW w:w="448" w:type="pct"/>
            <w:tcBorders>
              <w:tl2br w:val="nil"/>
              <w:tr2bl w:val="nil"/>
            </w:tcBorders>
            <w:vAlign w:val="center"/>
          </w:tcPr>
          <w:p w14:paraId="4C08E430">
            <w:pPr>
              <w:pStyle w:val="12"/>
              <w:pageBreakBefore w:val="0"/>
              <w:wordWrap/>
              <w:bidi w:val="0"/>
              <w:adjustRightInd/>
              <w:snapToGrid/>
              <w:rPr>
                <w:color w:val="auto"/>
              </w:rPr>
            </w:pPr>
            <w:r>
              <w:rPr>
                <w:color w:val="auto"/>
              </w:rPr>
              <w:t>本次新建</w:t>
            </w:r>
          </w:p>
        </w:tc>
      </w:tr>
      <w:tr w14:paraId="427C9D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5B2920FC">
            <w:pPr>
              <w:pStyle w:val="12"/>
              <w:pageBreakBefore w:val="0"/>
              <w:wordWrap/>
              <w:bidi w:val="0"/>
              <w:adjustRightInd/>
              <w:snapToGrid/>
              <w:rPr>
                <w:color w:val="auto"/>
              </w:rPr>
            </w:pPr>
            <w:r>
              <w:rPr>
                <w:color w:val="auto"/>
              </w:rPr>
              <w:t>监测站房</w:t>
            </w:r>
          </w:p>
        </w:tc>
        <w:tc>
          <w:tcPr>
            <w:tcW w:w="0" w:type="auto"/>
            <w:tcBorders>
              <w:tl2br w:val="nil"/>
              <w:tr2bl w:val="nil"/>
            </w:tcBorders>
            <w:vAlign w:val="center"/>
          </w:tcPr>
          <w:p w14:paraId="3B1D9C6C">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7D2E67C9">
            <w:pPr>
              <w:pStyle w:val="12"/>
              <w:pageBreakBefore w:val="0"/>
              <w:wordWrap/>
              <w:bidi w:val="0"/>
              <w:adjustRightInd/>
              <w:snapToGrid/>
              <w:rPr>
                <w:color w:val="auto"/>
              </w:rPr>
            </w:pPr>
            <w:r>
              <w:rPr>
                <w:color w:val="auto"/>
              </w:rPr>
              <w:t>1</w:t>
            </w:r>
          </w:p>
        </w:tc>
        <w:tc>
          <w:tcPr>
            <w:tcW w:w="2457" w:type="pct"/>
            <w:tcBorders>
              <w:tl2br w:val="nil"/>
              <w:tr2bl w:val="nil"/>
            </w:tcBorders>
            <w:vAlign w:val="center"/>
          </w:tcPr>
          <w:p w14:paraId="1952A332">
            <w:pPr>
              <w:pStyle w:val="12"/>
              <w:pageBreakBefore w:val="0"/>
              <w:wordWrap/>
              <w:bidi w:val="0"/>
              <w:adjustRightInd/>
              <w:snapToGrid/>
              <w:rPr>
                <w:color w:val="auto"/>
              </w:rPr>
            </w:pPr>
            <w:r>
              <w:rPr>
                <w:color w:val="auto"/>
              </w:rPr>
              <w:t>新建30m</w:t>
            </w:r>
            <w:r>
              <w:rPr>
                <w:color w:val="auto"/>
                <w:vertAlign w:val="superscript"/>
              </w:rPr>
              <w:t>2</w:t>
            </w:r>
          </w:p>
        </w:tc>
        <w:tc>
          <w:tcPr>
            <w:tcW w:w="448" w:type="pct"/>
            <w:tcBorders>
              <w:tl2br w:val="nil"/>
              <w:tr2bl w:val="nil"/>
            </w:tcBorders>
            <w:vAlign w:val="center"/>
          </w:tcPr>
          <w:p w14:paraId="43EDD0EC">
            <w:pPr>
              <w:pStyle w:val="12"/>
              <w:pageBreakBefore w:val="0"/>
              <w:wordWrap/>
              <w:bidi w:val="0"/>
              <w:adjustRightInd/>
              <w:snapToGrid/>
              <w:rPr>
                <w:color w:val="auto"/>
              </w:rPr>
            </w:pPr>
            <w:r>
              <w:rPr>
                <w:color w:val="auto"/>
              </w:rPr>
              <w:t>本次新建</w:t>
            </w:r>
          </w:p>
        </w:tc>
      </w:tr>
      <w:tr w14:paraId="0201E1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vMerge w:val="restart"/>
            <w:tcBorders>
              <w:tl2br w:val="nil"/>
              <w:tr2bl w:val="nil"/>
            </w:tcBorders>
            <w:vAlign w:val="center"/>
          </w:tcPr>
          <w:p w14:paraId="2675FEBF">
            <w:pPr>
              <w:pStyle w:val="12"/>
              <w:pageBreakBefore w:val="0"/>
              <w:wordWrap/>
              <w:bidi w:val="0"/>
              <w:adjustRightInd/>
              <w:snapToGrid/>
              <w:rPr>
                <w:color w:val="auto"/>
              </w:rPr>
            </w:pPr>
            <w:r>
              <w:rPr>
                <w:color w:val="auto"/>
              </w:rPr>
              <w:t>水质自动监测系统</w:t>
            </w:r>
          </w:p>
        </w:tc>
        <w:tc>
          <w:tcPr>
            <w:tcW w:w="0" w:type="auto"/>
            <w:vMerge w:val="restart"/>
            <w:tcBorders>
              <w:tl2br w:val="nil"/>
              <w:tr2bl w:val="nil"/>
            </w:tcBorders>
            <w:vAlign w:val="center"/>
          </w:tcPr>
          <w:p w14:paraId="352CC13A">
            <w:pPr>
              <w:pStyle w:val="12"/>
              <w:pageBreakBefore w:val="0"/>
              <w:wordWrap/>
              <w:bidi w:val="0"/>
              <w:adjustRightInd/>
              <w:snapToGrid/>
              <w:rPr>
                <w:color w:val="auto"/>
              </w:rPr>
            </w:pPr>
            <w:r>
              <w:rPr>
                <w:color w:val="auto"/>
              </w:rPr>
              <w:t>套</w:t>
            </w:r>
          </w:p>
        </w:tc>
        <w:tc>
          <w:tcPr>
            <w:tcW w:w="0" w:type="auto"/>
            <w:tcBorders>
              <w:tl2br w:val="nil"/>
              <w:tr2bl w:val="nil"/>
            </w:tcBorders>
            <w:vAlign w:val="center"/>
          </w:tcPr>
          <w:p w14:paraId="6C51B5F7">
            <w:pPr>
              <w:pStyle w:val="12"/>
              <w:pageBreakBefore w:val="0"/>
              <w:wordWrap/>
              <w:bidi w:val="0"/>
              <w:adjustRightInd/>
              <w:snapToGrid/>
              <w:rPr>
                <w:color w:val="auto"/>
              </w:rPr>
            </w:pPr>
            <w:r>
              <w:rPr>
                <w:color w:val="auto"/>
              </w:rPr>
              <w:t>3</w:t>
            </w:r>
          </w:p>
        </w:tc>
        <w:tc>
          <w:tcPr>
            <w:tcW w:w="2457" w:type="pct"/>
            <w:tcBorders>
              <w:tl2br w:val="nil"/>
              <w:tr2bl w:val="nil"/>
            </w:tcBorders>
            <w:vAlign w:val="center"/>
          </w:tcPr>
          <w:p w14:paraId="78FC80F2">
            <w:pPr>
              <w:pStyle w:val="12"/>
              <w:pageBreakBefore w:val="0"/>
              <w:wordWrap/>
              <w:bidi w:val="0"/>
              <w:adjustRightInd/>
              <w:snapToGrid/>
              <w:rPr>
                <w:color w:val="auto"/>
              </w:rPr>
            </w:pPr>
            <w:r>
              <w:rPr>
                <w:color w:val="auto"/>
              </w:rPr>
              <w:t>水温、PH、溶解氧、电导率、浊度、高锰酸盐、氨氮、总磷、总氮</w:t>
            </w:r>
          </w:p>
        </w:tc>
        <w:tc>
          <w:tcPr>
            <w:tcW w:w="448" w:type="pct"/>
            <w:tcBorders>
              <w:tl2br w:val="nil"/>
              <w:tr2bl w:val="nil"/>
            </w:tcBorders>
            <w:vAlign w:val="center"/>
          </w:tcPr>
          <w:p w14:paraId="1B18F0AD">
            <w:pPr>
              <w:pStyle w:val="12"/>
              <w:pageBreakBefore w:val="0"/>
              <w:wordWrap/>
              <w:bidi w:val="0"/>
              <w:adjustRightInd/>
              <w:snapToGrid/>
              <w:rPr>
                <w:color w:val="auto"/>
              </w:rPr>
            </w:pPr>
            <w:r>
              <w:rPr>
                <w:color w:val="auto"/>
              </w:rPr>
              <w:t>本次新建</w:t>
            </w:r>
          </w:p>
        </w:tc>
      </w:tr>
      <w:tr w14:paraId="27C62FC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vMerge w:val="continue"/>
            <w:tcBorders>
              <w:tl2br w:val="nil"/>
              <w:tr2bl w:val="nil"/>
            </w:tcBorders>
            <w:vAlign w:val="center"/>
          </w:tcPr>
          <w:p w14:paraId="35DAE2C5">
            <w:pPr>
              <w:pStyle w:val="12"/>
              <w:pageBreakBefore w:val="0"/>
              <w:wordWrap/>
              <w:bidi w:val="0"/>
              <w:adjustRightInd/>
              <w:snapToGrid/>
              <w:rPr>
                <w:color w:val="auto"/>
              </w:rPr>
            </w:pPr>
          </w:p>
        </w:tc>
        <w:tc>
          <w:tcPr>
            <w:tcW w:w="0" w:type="auto"/>
            <w:vMerge w:val="continue"/>
            <w:tcBorders>
              <w:tl2br w:val="nil"/>
              <w:tr2bl w:val="nil"/>
            </w:tcBorders>
            <w:vAlign w:val="center"/>
          </w:tcPr>
          <w:p w14:paraId="2F111BF9">
            <w:pPr>
              <w:pStyle w:val="12"/>
              <w:pageBreakBefore w:val="0"/>
              <w:wordWrap/>
              <w:bidi w:val="0"/>
              <w:adjustRightInd/>
              <w:snapToGrid/>
              <w:rPr>
                <w:color w:val="auto"/>
              </w:rPr>
            </w:pPr>
          </w:p>
        </w:tc>
        <w:tc>
          <w:tcPr>
            <w:tcW w:w="0" w:type="auto"/>
            <w:tcBorders>
              <w:tl2br w:val="nil"/>
              <w:tr2bl w:val="nil"/>
            </w:tcBorders>
            <w:vAlign w:val="center"/>
          </w:tcPr>
          <w:p w14:paraId="2437BFA9">
            <w:pPr>
              <w:pStyle w:val="12"/>
              <w:pageBreakBefore w:val="0"/>
              <w:wordWrap/>
              <w:bidi w:val="0"/>
              <w:adjustRightInd/>
              <w:snapToGrid/>
              <w:rPr>
                <w:color w:val="auto"/>
              </w:rPr>
            </w:pPr>
            <w:r>
              <w:rPr>
                <w:color w:val="auto"/>
              </w:rPr>
              <w:t>2</w:t>
            </w:r>
          </w:p>
        </w:tc>
        <w:tc>
          <w:tcPr>
            <w:tcW w:w="2457" w:type="pct"/>
            <w:tcBorders>
              <w:tl2br w:val="nil"/>
              <w:tr2bl w:val="nil"/>
            </w:tcBorders>
            <w:vAlign w:val="center"/>
          </w:tcPr>
          <w:p w14:paraId="782788B9">
            <w:pPr>
              <w:pStyle w:val="12"/>
              <w:pageBreakBefore w:val="0"/>
              <w:wordWrap/>
              <w:bidi w:val="0"/>
              <w:adjustRightInd/>
              <w:snapToGrid/>
              <w:rPr>
                <w:color w:val="auto"/>
              </w:rPr>
            </w:pPr>
            <w:r>
              <w:rPr>
                <w:color w:val="auto"/>
              </w:rPr>
              <w:t>水温、PH、化学需氧量、氨氮、总磷、总氮</w:t>
            </w:r>
          </w:p>
        </w:tc>
        <w:tc>
          <w:tcPr>
            <w:tcW w:w="448" w:type="pct"/>
            <w:tcBorders>
              <w:tl2br w:val="nil"/>
              <w:tr2bl w:val="nil"/>
            </w:tcBorders>
            <w:vAlign w:val="center"/>
          </w:tcPr>
          <w:p w14:paraId="08174ECB">
            <w:pPr>
              <w:pStyle w:val="12"/>
              <w:pageBreakBefore w:val="0"/>
              <w:wordWrap/>
              <w:bidi w:val="0"/>
              <w:adjustRightInd/>
              <w:snapToGrid/>
              <w:rPr>
                <w:color w:val="auto"/>
              </w:rPr>
            </w:pPr>
            <w:r>
              <w:rPr>
                <w:color w:val="auto"/>
              </w:rPr>
              <w:t>本次新建</w:t>
            </w:r>
          </w:p>
        </w:tc>
      </w:tr>
    </w:tbl>
    <w:p w14:paraId="2745195B">
      <w:pPr>
        <w:pStyle w:val="531"/>
        <w:pageBreakBefore w:val="0"/>
        <w:wordWrap/>
        <w:bidi w:val="0"/>
        <w:adjustRightInd/>
        <w:snapToGrid/>
        <w:ind w:firstLine="480"/>
        <w:jc w:val="center"/>
        <w:rPr>
          <w:color w:val="auto"/>
          <w:sz w:val="24"/>
        </w:rPr>
      </w:pPr>
    </w:p>
    <w:p w14:paraId="02F451B2">
      <w:pPr>
        <w:pStyle w:val="531"/>
        <w:pageBreakBefore w:val="0"/>
        <w:wordWrap/>
        <w:bidi w:val="0"/>
        <w:adjustRightInd/>
        <w:snapToGrid/>
        <w:ind w:firstLine="480"/>
        <w:rPr>
          <w:color w:val="auto"/>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7CE2596">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原辅材料来源及消耗</w:t>
      </w:r>
    </w:p>
    <w:p w14:paraId="729F41AE">
      <w:pPr>
        <w:pStyle w:val="189"/>
        <w:pageBreakBefore w:val="0"/>
        <w:wordWrap/>
        <w:bidi w:val="0"/>
        <w:adjustRightInd/>
        <w:snapToGrid/>
        <w:spacing w:line="540" w:lineRule="exact"/>
        <w:rPr>
          <w:rFonts w:ascii="Times New Roman" w:hAnsi="Times New Roman"/>
          <w:color w:val="auto"/>
          <w:kern w:val="2"/>
          <w:szCs w:val="24"/>
        </w:rPr>
      </w:pPr>
      <w:r>
        <w:rPr>
          <w:rFonts w:ascii="Times New Roman" w:hAnsi="Times New Roman"/>
          <w:color w:val="auto"/>
          <w:kern w:val="2"/>
          <w:szCs w:val="24"/>
        </w:rPr>
        <w:t>本项目建成主要原辅材料及动力消耗情况见下表所示。</w:t>
      </w:r>
    </w:p>
    <w:p w14:paraId="0B39E83D">
      <w:pPr>
        <w:pStyle w:val="15"/>
        <w:numPr>
          <w:ilvl w:val="0"/>
          <w:numId w:val="13"/>
        </w:numPr>
        <w:bidi w:val="0"/>
        <w:ind w:left="0" w:leftChars="0" w:firstLine="0" w:firstLineChars="0"/>
        <w:rPr>
          <w:color w:val="auto"/>
        </w:rPr>
      </w:pPr>
      <w:r>
        <w:rPr>
          <w:color w:val="auto"/>
        </w:rPr>
        <w:t>项目主要原辅材料及动力消耗表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28" w:type="dxa"/>
          <w:bottom w:w="0" w:type="dxa"/>
          <w:right w:w="28" w:type="dxa"/>
        </w:tblCellMar>
      </w:tblPr>
      <w:tblGrid>
        <w:gridCol w:w="552"/>
        <w:gridCol w:w="518"/>
        <w:gridCol w:w="906"/>
        <w:gridCol w:w="1062"/>
        <w:gridCol w:w="1296"/>
        <w:gridCol w:w="736"/>
        <w:gridCol w:w="1017"/>
        <w:gridCol w:w="1015"/>
        <w:gridCol w:w="1255"/>
      </w:tblGrid>
      <w:tr w14:paraId="0FF0347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tcBorders>
              <w:tl2br w:val="nil"/>
              <w:tr2bl w:val="nil"/>
            </w:tcBorders>
            <w:noWrap w:val="0"/>
            <w:vAlign w:val="center"/>
          </w:tcPr>
          <w:p w14:paraId="4DCDD3A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序号</w:t>
            </w:r>
          </w:p>
        </w:tc>
        <w:tc>
          <w:tcPr>
            <w:tcW w:w="852" w:type="pct"/>
            <w:gridSpan w:val="2"/>
            <w:tcBorders>
              <w:tl2br w:val="nil"/>
              <w:tr2bl w:val="nil"/>
            </w:tcBorders>
            <w:noWrap w:val="0"/>
            <w:vAlign w:val="center"/>
          </w:tcPr>
          <w:p w14:paraId="1C6AEB8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原料名称</w:t>
            </w:r>
          </w:p>
        </w:tc>
        <w:tc>
          <w:tcPr>
            <w:tcW w:w="635" w:type="pct"/>
            <w:tcBorders>
              <w:tl2br w:val="nil"/>
              <w:tr2bl w:val="nil"/>
            </w:tcBorders>
            <w:noWrap w:val="0"/>
            <w:vAlign w:val="center"/>
          </w:tcPr>
          <w:p w14:paraId="65FE7F0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消耗量t/a</w:t>
            </w:r>
          </w:p>
        </w:tc>
        <w:tc>
          <w:tcPr>
            <w:tcW w:w="775" w:type="pct"/>
            <w:tcBorders>
              <w:tl2br w:val="nil"/>
              <w:tr2bl w:val="nil"/>
            </w:tcBorders>
            <w:noWrap w:val="0"/>
            <w:vAlign w:val="center"/>
          </w:tcPr>
          <w:p w14:paraId="0B64301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最大储存量t</w:t>
            </w:r>
          </w:p>
        </w:tc>
        <w:tc>
          <w:tcPr>
            <w:tcW w:w="440" w:type="pct"/>
            <w:tcBorders>
              <w:tl2br w:val="nil"/>
              <w:tr2bl w:val="nil"/>
            </w:tcBorders>
            <w:noWrap w:val="0"/>
            <w:vAlign w:val="center"/>
          </w:tcPr>
          <w:p w14:paraId="6FC5D70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形态</w:t>
            </w:r>
          </w:p>
        </w:tc>
        <w:tc>
          <w:tcPr>
            <w:tcW w:w="608" w:type="pct"/>
            <w:tcBorders>
              <w:tl2br w:val="nil"/>
              <w:tr2bl w:val="nil"/>
            </w:tcBorders>
            <w:noWrap w:val="0"/>
            <w:vAlign w:val="center"/>
          </w:tcPr>
          <w:p w14:paraId="0283BD6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储存方式</w:t>
            </w:r>
          </w:p>
        </w:tc>
        <w:tc>
          <w:tcPr>
            <w:tcW w:w="607" w:type="pct"/>
            <w:tcBorders>
              <w:tl2br w:val="nil"/>
              <w:tr2bl w:val="nil"/>
            </w:tcBorders>
            <w:noWrap w:val="0"/>
            <w:vAlign w:val="center"/>
          </w:tcPr>
          <w:p w14:paraId="3438804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储存地点</w:t>
            </w:r>
          </w:p>
        </w:tc>
        <w:tc>
          <w:tcPr>
            <w:tcW w:w="750" w:type="pct"/>
            <w:tcBorders>
              <w:tl2br w:val="nil"/>
              <w:tr2bl w:val="nil"/>
            </w:tcBorders>
            <w:noWrap w:val="0"/>
            <w:vAlign w:val="center"/>
          </w:tcPr>
          <w:p w14:paraId="4D20D31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用途</w:t>
            </w:r>
          </w:p>
        </w:tc>
      </w:tr>
      <w:tr w14:paraId="5CA373C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restart"/>
            <w:tcBorders>
              <w:tl2br w:val="nil"/>
              <w:tr2bl w:val="nil"/>
            </w:tcBorders>
            <w:noWrap w:val="0"/>
            <w:vAlign w:val="center"/>
          </w:tcPr>
          <w:p w14:paraId="4E6D0E12">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310" w:type="pct"/>
            <w:vMerge w:val="restart"/>
            <w:tcBorders>
              <w:tl2br w:val="nil"/>
              <w:tr2bl w:val="nil"/>
            </w:tcBorders>
            <w:noWrap w:val="0"/>
            <w:vAlign w:val="center"/>
          </w:tcPr>
          <w:p w14:paraId="09CAA22C">
            <w:pPr>
              <w:pageBreakBefore w:val="0"/>
              <w:wordWrap/>
              <w:bidi w:val="0"/>
              <w:adjustRightInd/>
              <w:snapToGrid/>
              <w:spacing w:line="240" w:lineRule="auto"/>
              <w:ind w:firstLine="0" w:firstLineChars="0"/>
              <w:jc w:val="center"/>
              <w:rPr>
                <w:color w:val="auto"/>
                <w:sz w:val="21"/>
                <w:szCs w:val="21"/>
              </w:rPr>
            </w:pPr>
            <w:r>
              <w:rPr>
                <w:color w:val="auto"/>
                <w:sz w:val="21"/>
                <w:szCs w:val="21"/>
              </w:rPr>
              <w:t>主要原辅料</w:t>
            </w:r>
          </w:p>
        </w:tc>
        <w:tc>
          <w:tcPr>
            <w:tcW w:w="541" w:type="pct"/>
            <w:tcBorders>
              <w:tl2br w:val="nil"/>
              <w:tr2bl w:val="nil"/>
            </w:tcBorders>
            <w:noWrap w:val="0"/>
            <w:vAlign w:val="center"/>
          </w:tcPr>
          <w:p w14:paraId="250CA645">
            <w:pPr>
              <w:pageBreakBefore w:val="0"/>
              <w:wordWrap/>
              <w:bidi w:val="0"/>
              <w:adjustRightInd/>
              <w:snapToGrid/>
              <w:spacing w:line="240" w:lineRule="auto"/>
              <w:ind w:firstLine="0" w:firstLineChars="0"/>
              <w:jc w:val="center"/>
              <w:rPr>
                <w:color w:val="auto"/>
                <w:sz w:val="21"/>
                <w:szCs w:val="21"/>
              </w:rPr>
            </w:pPr>
            <w:r>
              <w:rPr>
                <w:color w:val="auto"/>
                <w:sz w:val="21"/>
                <w:szCs w:val="21"/>
              </w:rPr>
              <w:t>PAC</w:t>
            </w:r>
          </w:p>
        </w:tc>
        <w:tc>
          <w:tcPr>
            <w:tcW w:w="635" w:type="pct"/>
            <w:tcBorders>
              <w:tl2br w:val="nil"/>
              <w:tr2bl w:val="nil"/>
            </w:tcBorders>
            <w:noWrap w:val="0"/>
            <w:vAlign w:val="center"/>
          </w:tcPr>
          <w:p w14:paraId="2245CEB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43.8</w:t>
            </w:r>
          </w:p>
        </w:tc>
        <w:tc>
          <w:tcPr>
            <w:tcW w:w="775" w:type="pct"/>
            <w:tcBorders>
              <w:tl2br w:val="nil"/>
              <w:tr2bl w:val="nil"/>
            </w:tcBorders>
            <w:noWrap w:val="0"/>
            <w:vAlign w:val="center"/>
          </w:tcPr>
          <w:p w14:paraId="66C4182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w:t>
            </w:r>
          </w:p>
        </w:tc>
        <w:tc>
          <w:tcPr>
            <w:tcW w:w="440" w:type="pct"/>
            <w:tcBorders>
              <w:tl2br w:val="nil"/>
              <w:tr2bl w:val="nil"/>
            </w:tcBorders>
            <w:noWrap w:val="0"/>
            <w:vAlign w:val="center"/>
          </w:tcPr>
          <w:p w14:paraId="31205755">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7ADFDEEC">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16D6A6D6">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5195A49A">
            <w:pPr>
              <w:pageBreakBefore w:val="0"/>
              <w:wordWrap/>
              <w:bidi w:val="0"/>
              <w:adjustRightInd/>
              <w:snapToGrid/>
              <w:spacing w:line="240" w:lineRule="auto"/>
              <w:ind w:firstLine="0" w:firstLineChars="0"/>
              <w:jc w:val="center"/>
              <w:rPr>
                <w:color w:val="auto"/>
                <w:sz w:val="21"/>
                <w:szCs w:val="21"/>
              </w:rPr>
            </w:pPr>
            <w:r>
              <w:rPr>
                <w:color w:val="auto"/>
                <w:sz w:val="21"/>
                <w:szCs w:val="21"/>
              </w:rPr>
              <w:t>污水絮凝剂</w:t>
            </w:r>
          </w:p>
        </w:tc>
      </w:tr>
      <w:tr w14:paraId="2C2E85C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3F5131E4">
            <w:pPr>
              <w:pageBreakBefore w:val="0"/>
              <w:wordWrap/>
              <w:bidi w:val="0"/>
              <w:adjustRightInd/>
              <w:snapToGrid/>
              <w:spacing w:line="240" w:lineRule="auto"/>
              <w:ind w:firstLine="0" w:firstLineChars="0"/>
              <w:jc w:val="center"/>
              <w:rPr>
                <w:color w:val="auto"/>
                <w:sz w:val="21"/>
                <w:szCs w:val="21"/>
              </w:rPr>
            </w:pPr>
          </w:p>
        </w:tc>
        <w:tc>
          <w:tcPr>
            <w:tcW w:w="310" w:type="pct"/>
            <w:vMerge w:val="continue"/>
            <w:tcBorders>
              <w:tl2br w:val="nil"/>
              <w:tr2bl w:val="nil"/>
            </w:tcBorders>
            <w:noWrap w:val="0"/>
            <w:vAlign w:val="center"/>
          </w:tcPr>
          <w:p w14:paraId="20F56E1A">
            <w:pPr>
              <w:pageBreakBefore w:val="0"/>
              <w:wordWrap/>
              <w:bidi w:val="0"/>
              <w:adjustRightInd/>
              <w:snapToGrid/>
              <w:spacing w:line="240" w:lineRule="auto"/>
              <w:ind w:firstLine="0" w:firstLineChars="0"/>
              <w:jc w:val="center"/>
              <w:rPr>
                <w:color w:val="auto"/>
                <w:sz w:val="21"/>
                <w:szCs w:val="21"/>
              </w:rPr>
            </w:pPr>
          </w:p>
        </w:tc>
        <w:tc>
          <w:tcPr>
            <w:tcW w:w="541" w:type="pct"/>
            <w:tcBorders>
              <w:tl2br w:val="nil"/>
              <w:tr2bl w:val="nil"/>
            </w:tcBorders>
            <w:noWrap w:val="0"/>
            <w:vAlign w:val="center"/>
          </w:tcPr>
          <w:p w14:paraId="344FE518">
            <w:pPr>
              <w:pageBreakBefore w:val="0"/>
              <w:wordWrap/>
              <w:bidi w:val="0"/>
              <w:adjustRightInd/>
              <w:snapToGrid/>
              <w:spacing w:line="240" w:lineRule="auto"/>
              <w:ind w:firstLine="0" w:firstLineChars="0"/>
              <w:jc w:val="center"/>
              <w:rPr>
                <w:color w:val="auto"/>
                <w:sz w:val="21"/>
                <w:szCs w:val="21"/>
              </w:rPr>
            </w:pPr>
            <w:r>
              <w:rPr>
                <w:color w:val="auto"/>
                <w:sz w:val="21"/>
                <w:szCs w:val="21"/>
              </w:rPr>
              <w:t>PAM</w:t>
            </w:r>
          </w:p>
        </w:tc>
        <w:tc>
          <w:tcPr>
            <w:tcW w:w="635" w:type="pct"/>
            <w:tcBorders>
              <w:tl2br w:val="nil"/>
              <w:tr2bl w:val="nil"/>
            </w:tcBorders>
            <w:noWrap w:val="0"/>
            <w:vAlign w:val="center"/>
          </w:tcPr>
          <w:p w14:paraId="749B6D2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1.095</w:t>
            </w:r>
          </w:p>
        </w:tc>
        <w:tc>
          <w:tcPr>
            <w:tcW w:w="775" w:type="pct"/>
            <w:tcBorders>
              <w:tl2br w:val="nil"/>
              <w:tr2bl w:val="nil"/>
            </w:tcBorders>
            <w:noWrap w:val="0"/>
            <w:vAlign w:val="center"/>
          </w:tcPr>
          <w:p w14:paraId="612B9C4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w:t>
            </w:r>
          </w:p>
        </w:tc>
        <w:tc>
          <w:tcPr>
            <w:tcW w:w="440" w:type="pct"/>
            <w:tcBorders>
              <w:tl2br w:val="nil"/>
              <w:tr2bl w:val="nil"/>
            </w:tcBorders>
            <w:noWrap w:val="0"/>
            <w:vAlign w:val="center"/>
          </w:tcPr>
          <w:p w14:paraId="0E5F7CB6">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28958A67">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37B8F627">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34F6B697">
            <w:pPr>
              <w:pageBreakBefore w:val="0"/>
              <w:wordWrap/>
              <w:bidi w:val="0"/>
              <w:adjustRightInd/>
              <w:snapToGrid/>
              <w:spacing w:line="240" w:lineRule="auto"/>
              <w:ind w:firstLine="0" w:firstLineChars="0"/>
              <w:jc w:val="center"/>
              <w:rPr>
                <w:color w:val="auto"/>
                <w:sz w:val="21"/>
                <w:szCs w:val="21"/>
              </w:rPr>
            </w:pPr>
            <w:r>
              <w:rPr>
                <w:color w:val="auto"/>
                <w:sz w:val="21"/>
                <w:szCs w:val="21"/>
              </w:rPr>
              <w:t>污水絮凝剂</w:t>
            </w:r>
          </w:p>
        </w:tc>
      </w:tr>
      <w:tr w14:paraId="3DEE475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18595109">
            <w:pPr>
              <w:pageBreakBefore w:val="0"/>
              <w:wordWrap/>
              <w:bidi w:val="0"/>
              <w:adjustRightInd/>
              <w:snapToGrid/>
              <w:spacing w:line="240" w:lineRule="auto"/>
              <w:ind w:firstLine="0" w:firstLineChars="0"/>
              <w:jc w:val="center"/>
              <w:rPr>
                <w:color w:val="auto"/>
                <w:sz w:val="21"/>
                <w:szCs w:val="21"/>
              </w:rPr>
            </w:pPr>
            <w:bookmarkStart w:id="77" w:name="_Hlk462127392"/>
            <w:bookmarkStart w:id="78" w:name="OLE_LINK2" w:colFirst="2" w:colLast="2"/>
          </w:p>
        </w:tc>
        <w:tc>
          <w:tcPr>
            <w:tcW w:w="310" w:type="pct"/>
            <w:vMerge w:val="continue"/>
            <w:tcBorders>
              <w:tl2br w:val="nil"/>
              <w:tr2bl w:val="nil"/>
            </w:tcBorders>
            <w:noWrap w:val="0"/>
            <w:vAlign w:val="center"/>
          </w:tcPr>
          <w:p w14:paraId="406B42B5">
            <w:pPr>
              <w:pageBreakBefore w:val="0"/>
              <w:wordWrap/>
              <w:bidi w:val="0"/>
              <w:adjustRightInd/>
              <w:snapToGrid/>
              <w:spacing w:line="240" w:lineRule="auto"/>
              <w:ind w:firstLine="0" w:firstLineChars="0"/>
              <w:jc w:val="center"/>
              <w:rPr>
                <w:color w:val="auto"/>
                <w:sz w:val="21"/>
                <w:szCs w:val="21"/>
              </w:rPr>
            </w:pPr>
          </w:p>
        </w:tc>
        <w:tc>
          <w:tcPr>
            <w:tcW w:w="541" w:type="pct"/>
            <w:tcBorders>
              <w:tl2br w:val="nil"/>
              <w:tr2bl w:val="nil"/>
            </w:tcBorders>
            <w:noWrap w:val="0"/>
            <w:vAlign w:val="center"/>
          </w:tcPr>
          <w:p w14:paraId="1CA20AF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NaAc</w:t>
            </w:r>
          </w:p>
        </w:tc>
        <w:tc>
          <w:tcPr>
            <w:tcW w:w="635" w:type="pct"/>
            <w:tcBorders>
              <w:tl2br w:val="nil"/>
              <w:tr2bl w:val="nil"/>
            </w:tcBorders>
            <w:noWrap w:val="0"/>
            <w:vAlign w:val="center"/>
          </w:tcPr>
          <w:p w14:paraId="4A1D1CD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775" w:type="pct"/>
            <w:tcBorders>
              <w:tl2br w:val="nil"/>
              <w:tr2bl w:val="nil"/>
            </w:tcBorders>
            <w:noWrap w:val="0"/>
            <w:vAlign w:val="center"/>
          </w:tcPr>
          <w:p w14:paraId="12F88160">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440" w:type="pct"/>
            <w:tcBorders>
              <w:tl2br w:val="nil"/>
              <w:tr2bl w:val="nil"/>
            </w:tcBorders>
            <w:noWrap w:val="0"/>
            <w:vAlign w:val="center"/>
          </w:tcPr>
          <w:p w14:paraId="3E7489B6">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020151D8">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6C544250">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066AC19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补充碳源</w:t>
            </w:r>
          </w:p>
        </w:tc>
      </w:tr>
      <w:tr w14:paraId="628D86F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4466BC50">
            <w:pPr>
              <w:pageBreakBefore w:val="0"/>
              <w:wordWrap/>
              <w:bidi w:val="0"/>
              <w:adjustRightInd/>
              <w:snapToGrid/>
              <w:spacing w:line="240" w:lineRule="auto"/>
              <w:ind w:firstLine="0" w:firstLineChars="0"/>
              <w:jc w:val="center"/>
              <w:rPr>
                <w:color w:val="auto"/>
                <w:sz w:val="21"/>
                <w:szCs w:val="21"/>
              </w:rPr>
            </w:pPr>
          </w:p>
        </w:tc>
        <w:tc>
          <w:tcPr>
            <w:tcW w:w="310" w:type="pct"/>
            <w:vMerge w:val="continue"/>
            <w:tcBorders>
              <w:tl2br w:val="nil"/>
              <w:tr2bl w:val="nil"/>
            </w:tcBorders>
            <w:noWrap w:val="0"/>
            <w:vAlign w:val="center"/>
          </w:tcPr>
          <w:p w14:paraId="7ACD38D8">
            <w:pPr>
              <w:pageBreakBefore w:val="0"/>
              <w:wordWrap/>
              <w:bidi w:val="0"/>
              <w:adjustRightInd/>
              <w:snapToGrid/>
              <w:spacing w:line="240" w:lineRule="auto"/>
              <w:ind w:firstLine="0" w:firstLineChars="0"/>
              <w:jc w:val="center"/>
              <w:rPr>
                <w:color w:val="auto"/>
                <w:sz w:val="21"/>
                <w:szCs w:val="21"/>
              </w:rPr>
            </w:pPr>
          </w:p>
        </w:tc>
        <w:tc>
          <w:tcPr>
            <w:tcW w:w="541" w:type="pct"/>
            <w:tcBorders>
              <w:tl2br w:val="nil"/>
              <w:tr2bl w:val="nil"/>
            </w:tcBorders>
            <w:noWrap w:val="0"/>
            <w:vAlign w:val="center"/>
          </w:tcPr>
          <w:p w14:paraId="4880A48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磁粉</w:t>
            </w:r>
          </w:p>
        </w:tc>
        <w:tc>
          <w:tcPr>
            <w:tcW w:w="635" w:type="pct"/>
            <w:tcBorders>
              <w:tl2br w:val="nil"/>
              <w:tr2bl w:val="nil"/>
            </w:tcBorders>
            <w:noWrap w:val="0"/>
            <w:vAlign w:val="center"/>
          </w:tcPr>
          <w:p w14:paraId="1CC53EC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4.38</w:t>
            </w:r>
          </w:p>
        </w:tc>
        <w:tc>
          <w:tcPr>
            <w:tcW w:w="775" w:type="pct"/>
            <w:tcBorders>
              <w:tl2br w:val="nil"/>
              <w:tr2bl w:val="nil"/>
            </w:tcBorders>
            <w:noWrap w:val="0"/>
            <w:vAlign w:val="center"/>
          </w:tcPr>
          <w:p w14:paraId="0962368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w:t>
            </w:r>
          </w:p>
        </w:tc>
        <w:tc>
          <w:tcPr>
            <w:tcW w:w="440" w:type="pct"/>
            <w:tcBorders>
              <w:tl2br w:val="nil"/>
              <w:tr2bl w:val="nil"/>
            </w:tcBorders>
            <w:noWrap w:val="0"/>
            <w:vAlign w:val="center"/>
          </w:tcPr>
          <w:p w14:paraId="447A272F">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2B780F48">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29A0EFE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磁混凝沉淀池</w:t>
            </w:r>
          </w:p>
        </w:tc>
        <w:tc>
          <w:tcPr>
            <w:tcW w:w="750" w:type="pct"/>
            <w:tcBorders>
              <w:tl2br w:val="nil"/>
              <w:tr2bl w:val="nil"/>
            </w:tcBorders>
            <w:noWrap w:val="0"/>
            <w:vAlign w:val="center"/>
          </w:tcPr>
          <w:p w14:paraId="6D6E09B2">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磁混凝沉淀</w:t>
            </w:r>
          </w:p>
        </w:tc>
      </w:tr>
      <w:tr w14:paraId="04F93C2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28F3A6FF">
            <w:pPr>
              <w:pageBreakBefore w:val="0"/>
              <w:wordWrap/>
              <w:bidi w:val="0"/>
              <w:adjustRightInd/>
              <w:snapToGrid/>
              <w:spacing w:line="240" w:lineRule="auto"/>
              <w:ind w:firstLine="0" w:firstLineChars="0"/>
              <w:jc w:val="center"/>
              <w:rPr>
                <w:color w:val="auto"/>
                <w:sz w:val="21"/>
                <w:szCs w:val="21"/>
              </w:rPr>
            </w:pPr>
          </w:p>
        </w:tc>
        <w:tc>
          <w:tcPr>
            <w:tcW w:w="310" w:type="pct"/>
            <w:vMerge w:val="continue"/>
            <w:tcBorders>
              <w:tl2br w:val="nil"/>
              <w:tr2bl w:val="nil"/>
            </w:tcBorders>
            <w:noWrap w:val="0"/>
            <w:vAlign w:val="center"/>
          </w:tcPr>
          <w:p w14:paraId="73AF3635">
            <w:pPr>
              <w:pageBreakBefore w:val="0"/>
              <w:wordWrap/>
              <w:bidi w:val="0"/>
              <w:adjustRightInd/>
              <w:snapToGrid/>
              <w:spacing w:line="240" w:lineRule="auto"/>
              <w:ind w:firstLine="0" w:firstLineChars="0"/>
              <w:jc w:val="center"/>
              <w:rPr>
                <w:color w:val="auto"/>
                <w:sz w:val="21"/>
                <w:szCs w:val="21"/>
              </w:rPr>
            </w:pPr>
          </w:p>
        </w:tc>
        <w:tc>
          <w:tcPr>
            <w:tcW w:w="541" w:type="pct"/>
            <w:tcBorders>
              <w:tl2br w:val="nil"/>
              <w:tr2bl w:val="nil"/>
            </w:tcBorders>
            <w:noWrap w:val="0"/>
            <w:vAlign w:val="center"/>
          </w:tcPr>
          <w:p w14:paraId="0EFFA10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次氯酸钠</w:t>
            </w:r>
          </w:p>
        </w:tc>
        <w:tc>
          <w:tcPr>
            <w:tcW w:w="635" w:type="pct"/>
            <w:tcBorders>
              <w:tl2br w:val="nil"/>
              <w:tr2bl w:val="nil"/>
            </w:tcBorders>
            <w:noWrap w:val="0"/>
            <w:vAlign w:val="center"/>
          </w:tcPr>
          <w:p w14:paraId="7D86FDE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2.19</w:t>
            </w:r>
          </w:p>
        </w:tc>
        <w:tc>
          <w:tcPr>
            <w:tcW w:w="775" w:type="pct"/>
            <w:tcBorders>
              <w:tl2br w:val="nil"/>
              <w:tr2bl w:val="nil"/>
            </w:tcBorders>
            <w:noWrap w:val="0"/>
            <w:vAlign w:val="center"/>
          </w:tcPr>
          <w:p w14:paraId="1AA62DD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w:t>
            </w:r>
          </w:p>
        </w:tc>
        <w:tc>
          <w:tcPr>
            <w:tcW w:w="753" w:type="dxa"/>
            <w:tcBorders>
              <w:tl2br w:val="nil"/>
              <w:tr2bl w:val="nil"/>
            </w:tcBorders>
            <w:noWrap w:val="0"/>
            <w:vAlign w:val="center"/>
          </w:tcPr>
          <w:p w14:paraId="175923A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1041" w:type="dxa"/>
            <w:tcBorders>
              <w:tl2br w:val="nil"/>
              <w:tr2bl w:val="nil"/>
            </w:tcBorders>
            <w:noWrap w:val="0"/>
            <w:vAlign w:val="center"/>
          </w:tcPr>
          <w:p w14:paraId="2161C2E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袋装</w:t>
            </w:r>
          </w:p>
        </w:tc>
        <w:tc>
          <w:tcPr>
            <w:tcW w:w="607" w:type="pct"/>
            <w:tcBorders>
              <w:tl2br w:val="nil"/>
              <w:tr2bl w:val="nil"/>
            </w:tcBorders>
            <w:noWrap w:val="0"/>
            <w:vAlign w:val="center"/>
          </w:tcPr>
          <w:p w14:paraId="5CADD9CC">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加药间</w:t>
            </w:r>
          </w:p>
        </w:tc>
        <w:tc>
          <w:tcPr>
            <w:tcW w:w="750" w:type="pct"/>
            <w:tcBorders>
              <w:tl2br w:val="nil"/>
              <w:tr2bl w:val="nil"/>
            </w:tcBorders>
            <w:noWrap w:val="0"/>
            <w:vAlign w:val="center"/>
          </w:tcPr>
          <w:p w14:paraId="7BBEA6D0">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消毒、杀菌</w:t>
            </w:r>
          </w:p>
        </w:tc>
      </w:tr>
      <w:bookmarkEnd w:id="77"/>
      <w:bookmarkEnd w:id="78"/>
      <w:tr w14:paraId="6220A0A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restart"/>
            <w:tcBorders>
              <w:tl2br w:val="nil"/>
              <w:tr2bl w:val="nil"/>
            </w:tcBorders>
            <w:noWrap w:val="0"/>
            <w:vAlign w:val="center"/>
          </w:tcPr>
          <w:p w14:paraId="56256D54">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310" w:type="pct"/>
            <w:vMerge w:val="restart"/>
            <w:tcBorders>
              <w:tl2br w:val="nil"/>
              <w:tr2bl w:val="nil"/>
            </w:tcBorders>
            <w:noWrap w:val="0"/>
            <w:vAlign w:val="center"/>
          </w:tcPr>
          <w:p w14:paraId="363DE451">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能耗</w:t>
            </w:r>
          </w:p>
        </w:tc>
        <w:tc>
          <w:tcPr>
            <w:tcW w:w="541" w:type="pct"/>
            <w:tcBorders>
              <w:tl2br w:val="nil"/>
              <w:tr2bl w:val="nil"/>
            </w:tcBorders>
            <w:noWrap w:val="0"/>
            <w:vAlign w:val="center"/>
          </w:tcPr>
          <w:p w14:paraId="3B01B90F">
            <w:pPr>
              <w:pageBreakBefore w:val="0"/>
              <w:wordWrap/>
              <w:bidi w:val="0"/>
              <w:adjustRightInd/>
              <w:snapToGrid/>
              <w:spacing w:line="240" w:lineRule="auto"/>
              <w:ind w:firstLine="0" w:firstLineChars="0"/>
              <w:jc w:val="center"/>
              <w:rPr>
                <w:color w:val="auto"/>
                <w:kern w:val="0"/>
                <w:sz w:val="21"/>
                <w:szCs w:val="21"/>
              </w:rPr>
            </w:pPr>
            <w:r>
              <w:rPr>
                <w:color w:val="auto"/>
                <w:sz w:val="21"/>
                <w:szCs w:val="21"/>
              </w:rPr>
              <w:t>新水</w:t>
            </w:r>
          </w:p>
        </w:tc>
        <w:tc>
          <w:tcPr>
            <w:tcW w:w="635" w:type="pct"/>
            <w:tcBorders>
              <w:tl2br w:val="nil"/>
              <w:tr2bl w:val="nil"/>
            </w:tcBorders>
            <w:noWrap w:val="0"/>
            <w:vAlign w:val="top"/>
          </w:tcPr>
          <w:p w14:paraId="241B02BE">
            <w:pPr>
              <w:pageBreakBefore w:val="0"/>
              <w:wordWrap/>
              <w:bidi w:val="0"/>
              <w:adjustRightInd/>
              <w:snapToGrid/>
              <w:spacing w:line="240" w:lineRule="auto"/>
              <w:ind w:firstLine="0" w:firstLineChars="0"/>
              <w:jc w:val="center"/>
              <w:rPr>
                <w:color w:val="auto"/>
                <w:sz w:val="21"/>
                <w:szCs w:val="21"/>
              </w:rPr>
            </w:pPr>
            <w:r>
              <w:rPr>
                <w:color w:val="auto"/>
                <w:sz w:val="21"/>
                <w:szCs w:val="21"/>
              </w:rPr>
              <w:t>1980</w:t>
            </w:r>
            <w:r>
              <w:rPr>
                <w:rFonts w:hint="eastAsia"/>
                <w:color w:val="auto"/>
                <w:sz w:val="21"/>
                <w:szCs w:val="21"/>
                <w:lang w:eastAsia="zh-CN"/>
              </w:rPr>
              <w:t>m³</w:t>
            </w:r>
            <w:r>
              <w:rPr>
                <w:color w:val="auto"/>
                <w:sz w:val="21"/>
                <w:szCs w:val="21"/>
              </w:rPr>
              <w:t>/a</w:t>
            </w:r>
          </w:p>
        </w:tc>
        <w:tc>
          <w:tcPr>
            <w:tcW w:w="775" w:type="pct"/>
            <w:tcBorders>
              <w:tl2br w:val="nil"/>
              <w:tr2bl w:val="nil"/>
            </w:tcBorders>
            <w:noWrap w:val="0"/>
            <w:vAlign w:val="center"/>
          </w:tcPr>
          <w:p w14:paraId="5CE31D2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440" w:type="pct"/>
            <w:tcBorders>
              <w:tl2br w:val="nil"/>
              <w:tr2bl w:val="nil"/>
            </w:tcBorders>
            <w:noWrap w:val="0"/>
            <w:vAlign w:val="center"/>
          </w:tcPr>
          <w:p w14:paraId="38950ED3">
            <w:pPr>
              <w:pageBreakBefore w:val="0"/>
              <w:wordWrap/>
              <w:bidi w:val="0"/>
              <w:adjustRightInd/>
              <w:snapToGrid/>
              <w:spacing w:line="240" w:lineRule="auto"/>
              <w:jc w:val="center"/>
              <w:rPr>
                <w:color w:val="auto"/>
                <w:sz w:val="21"/>
                <w:szCs w:val="21"/>
              </w:rPr>
            </w:pPr>
            <w:r>
              <w:rPr>
                <w:color w:val="auto"/>
                <w:sz w:val="21"/>
                <w:szCs w:val="21"/>
              </w:rPr>
              <w:t>/</w:t>
            </w:r>
          </w:p>
        </w:tc>
        <w:tc>
          <w:tcPr>
            <w:tcW w:w="608" w:type="pct"/>
            <w:tcBorders>
              <w:tl2br w:val="nil"/>
              <w:tr2bl w:val="nil"/>
            </w:tcBorders>
            <w:noWrap w:val="0"/>
            <w:vAlign w:val="center"/>
          </w:tcPr>
          <w:p w14:paraId="6E985AE1">
            <w:pPr>
              <w:pageBreakBefore w:val="0"/>
              <w:wordWrap/>
              <w:bidi w:val="0"/>
              <w:adjustRightInd/>
              <w:snapToGrid/>
              <w:spacing w:line="240" w:lineRule="auto"/>
              <w:jc w:val="center"/>
              <w:rPr>
                <w:color w:val="auto"/>
                <w:sz w:val="21"/>
                <w:szCs w:val="21"/>
              </w:rPr>
            </w:pPr>
            <w:r>
              <w:rPr>
                <w:color w:val="auto"/>
                <w:sz w:val="21"/>
                <w:szCs w:val="21"/>
              </w:rPr>
              <w:t>/</w:t>
            </w:r>
          </w:p>
        </w:tc>
        <w:tc>
          <w:tcPr>
            <w:tcW w:w="607" w:type="pct"/>
            <w:tcBorders>
              <w:tl2br w:val="nil"/>
              <w:tr2bl w:val="nil"/>
            </w:tcBorders>
            <w:noWrap w:val="0"/>
            <w:vAlign w:val="center"/>
          </w:tcPr>
          <w:p w14:paraId="397AB685">
            <w:pPr>
              <w:pageBreakBefore w:val="0"/>
              <w:wordWrap/>
              <w:bidi w:val="0"/>
              <w:adjustRightInd/>
              <w:snapToGrid/>
              <w:spacing w:line="240" w:lineRule="auto"/>
              <w:jc w:val="center"/>
              <w:rPr>
                <w:color w:val="auto"/>
                <w:sz w:val="21"/>
                <w:szCs w:val="21"/>
              </w:rPr>
            </w:pPr>
            <w:r>
              <w:rPr>
                <w:color w:val="auto"/>
                <w:sz w:val="21"/>
                <w:szCs w:val="21"/>
              </w:rPr>
              <w:t>/</w:t>
            </w:r>
          </w:p>
        </w:tc>
        <w:tc>
          <w:tcPr>
            <w:tcW w:w="750" w:type="pct"/>
            <w:tcBorders>
              <w:tl2br w:val="nil"/>
              <w:tr2bl w:val="nil"/>
            </w:tcBorders>
            <w:noWrap w:val="0"/>
            <w:vAlign w:val="center"/>
          </w:tcPr>
          <w:p w14:paraId="012B7434">
            <w:pPr>
              <w:pageBreakBefore w:val="0"/>
              <w:wordWrap/>
              <w:bidi w:val="0"/>
              <w:adjustRightInd/>
              <w:snapToGrid/>
              <w:spacing w:line="240" w:lineRule="auto"/>
              <w:ind w:firstLine="0" w:firstLineChars="0"/>
              <w:jc w:val="center"/>
              <w:rPr>
                <w:color w:val="auto"/>
                <w:sz w:val="21"/>
                <w:szCs w:val="21"/>
              </w:rPr>
            </w:pPr>
            <w:r>
              <w:rPr>
                <w:color w:val="auto"/>
                <w:sz w:val="21"/>
                <w:szCs w:val="21"/>
              </w:rPr>
              <w:t>市政管网</w:t>
            </w:r>
          </w:p>
        </w:tc>
      </w:tr>
      <w:tr w14:paraId="50AF058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48AFAE28">
            <w:pPr>
              <w:pageBreakBefore w:val="0"/>
              <w:wordWrap/>
              <w:bidi w:val="0"/>
              <w:adjustRightInd/>
              <w:snapToGrid/>
              <w:spacing w:line="240" w:lineRule="auto"/>
              <w:ind w:firstLine="0" w:firstLineChars="0"/>
              <w:jc w:val="center"/>
              <w:rPr>
                <w:color w:val="auto"/>
                <w:sz w:val="21"/>
                <w:szCs w:val="21"/>
              </w:rPr>
            </w:pPr>
          </w:p>
        </w:tc>
        <w:tc>
          <w:tcPr>
            <w:tcW w:w="310" w:type="pct"/>
            <w:vMerge w:val="continue"/>
            <w:tcBorders>
              <w:tl2br w:val="nil"/>
              <w:tr2bl w:val="nil"/>
            </w:tcBorders>
            <w:noWrap w:val="0"/>
            <w:vAlign w:val="center"/>
          </w:tcPr>
          <w:p w14:paraId="57E58561">
            <w:pPr>
              <w:pageBreakBefore w:val="0"/>
              <w:wordWrap/>
              <w:bidi w:val="0"/>
              <w:adjustRightInd/>
              <w:snapToGrid/>
              <w:spacing w:line="240" w:lineRule="auto"/>
              <w:ind w:firstLine="0" w:firstLineChars="0"/>
              <w:jc w:val="center"/>
              <w:rPr>
                <w:color w:val="auto"/>
                <w:sz w:val="21"/>
                <w:szCs w:val="21"/>
              </w:rPr>
            </w:pPr>
          </w:p>
        </w:tc>
        <w:tc>
          <w:tcPr>
            <w:tcW w:w="541" w:type="pct"/>
            <w:tcBorders>
              <w:tl2br w:val="nil"/>
              <w:tr2bl w:val="nil"/>
            </w:tcBorders>
            <w:noWrap w:val="0"/>
            <w:vAlign w:val="center"/>
          </w:tcPr>
          <w:p w14:paraId="38E2D664">
            <w:pPr>
              <w:pageBreakBefore w:val="0"/>
              <w:wordWrap/>
              <w:bidi w:val="0"/>
              <w:adjustRightInd/>
              <w:snapToGrid/>
              <w:spacing w:line="240" w:lineRule="auto"/>
              <w:ind w:firstLine="0" w:firstLineChars="0"/>
              <w:jc w:val="center"/>
              <w:rPr>
                <w:color w:val="auto"/>
                <w:sz w:val="21"/>
                <w:szCs w:val="21"/>
              </w:rPr>
            </w:pPr>
            <w:r>
              <w:rPr>
                <w:color w:val="auto"/>
                <w:sz w:val="21"/>
                <w:szCs w:val="21"/>
              </w:rPr>
              <w:t>电</w:t>
            </w:r>
          </w:p>
        </w:tc>
        <w:tc>
          <w:tcPr>
            <w:tcW w:w="635" w:type="pct"/>
            <w:tcBorders>
              <w:tl2br w:val="nil"/>
              <w:tr2bl w:val="nil"/>
            </w:tcBorders>
            <w:noWrap w:val="0"/>
            <w:vAlign w:val="top"/>
          </w:tcPr>
          <w:p w14:paraId="465345B0">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1484</w:t>
            </w:r>
            <w:r>
              <w:rPr>
                <w:color w:val="auto"/>
                <w:sz w:val="21"/>
                <w:szCs w:val="21"/>
              </w:rPr>
              <w:t>万度/年</w:t>
            </w:r>
          </w:p>
        </w:tc>
        <w:tc>
          <w:tcPr>
            <w:tcW w:w="775" w:type="pct"/>
            <w:tcBorders>
              <w:tl2br w:val="nil"/>
              <w:tr2bl w:val="nil"/>
            </w:tcBorders>
            <w:noWrap w:val="0"/>
            <w:vAlign w:val="center"/>
          </w:tcPr>
          <w:p w14:paraId="1939285C">
            <w:pPr>
              <w:pageBreakBefore w:val="0"/>
              <w:wordWrap/>
              <w:bidi w:val="0"/>
              <w:adjustRightInd/>
              <w:snapToGrid/>
              <w:spacing w:line="240" w:lineRule="auto"/>
              <w:jc w:val="center"/>
              <w:rPr>
                <w:color w:val="auto"/>
                <w:sz w:val="21"/>
                <w:szCs w:val="21"/>
              </w:rPr>
            </w:pPr>
            <w:r>
              <w:rPr>
                <w:color w:val="auto"/>
                <w:sz w:val="21"/>
                <w:szCs w:val="21"/>
              </w:rPr>
              <w:t>/</w:t>
            </w:r>
          </w:p>
        </w:tc>
        <w:tc>
          <w:tcPr>
            <w:tcW w:w="440" w:type="pct"/>
            <w:tcBorders>
              <w:tl2br w:val="nil"/>
              <w:tr2bl w:val="nil"/>
            </w:tcBorders>
            <w:noWrap w:val="0"/>
            <w:vAlign w:val="center"/>
          </w:tcPr>
          <w:p w14:paraId="08B863C3">
            <w:pPr>
              <w:pageBreakBefore w:val="0"/>
              <w:wordWrap/>
              <w:bidi w:val="0"/>
              <w:adjustRightInd/>
              <w:snapToGrid/>
              <w:spacing w:line="240" w:lineRule="auto"/>
              <w:jc w:val="center"/>
              <w:rPr>
                <w:color w:val="auto"/>
                <w:sz w:val="21"/>
                <w:szCs w:val="21"/>
              </w:rPr>
            </w:pPr>
            <w:r>
              <w:rPr>
                <w:color w:val="auto"/>
                <w:sz w:val="21"/>
                <w:szCs w:val="21"/>
              </w:rPr>
              <w:t>/</w:t>
            </w:r>
          </w:p>
        </w:tc>
        <w:tc>
          <w:tcPr>
            <w:tcW w:w="608" w:type="pct"/>
            <w:tcBorders>
              <w:tl2br w:val="nil"/>
              <w:tr2bl w:val="nil"/>
            </w:tcBorders>
            <w:noWrap w:val="0"/>
            <w:vAlign w:val="center"/>
          </w:tcPr>
          <w:p w14:paraId="14999E3E">
            <w:pPr>
              <w:pageBreakBefore w:val="0"/>
              <w:wordWrap/>
              <w:bidi w:val="0"/>
              <w:adjustRightInd/>
              <w:snapToGrid/>
              <w:spacing w:line="240" w:lineRule="auto"/>
              <w:jc w:val="center"/>
              <w:rPr>
                <w:color w:val="auto"/>
                <w:sz w:val="21"/>
                <w:szCs w:val="21"/>
              </w:rPr>
            </w:pPr>
            <w:r>
              <w:rPr>
                <w:color w:val="auto"/>
                <w:sz w:val="21"/>
                <w:szCs w:val="21"/>
              </w:rPr>
              <w:t>/</w:t>
            </w:r>
          </w:p>
        </w:tc>
        <w:tc>
          <w:tcPr>
            <w:tcW w:w="607" w:type="pct"/>
            <w:tcBorders>
              <w:tl2br w:val="nil"/>
              <w:tr2bl w:val="nil"/>
            </w:tcBorders>
            <w:noWrap w:val="0"/>
            <w:vAlign w:val="center"/>
          </w:tcPr>
          <w:p w14:paraId="6150A953">
            <w:pPr>
              <w:pageBreakBefore w:val="0"/>
              <w:wordWrap/>
              <w:bidi w:val="0"/>
              <w:adjustRightInd/>
              <w:snapToGrid/>
              <w:spacing w:line="240" w:lineRule="auto"/>
              <w:jc w:val="center"/>
              <w:rPr>
                <w:color w:val="auto"/>
                <w:sz w:val="21"/>
                <w:szCs w:val="21"/>
              </w:rPr>
            </w:pPr>
            <w:r>
              <w:rPr>
                <w:color w:val="auto"/>
                <w:sz w:val="21"/>
                <w:szCs w:val="21"/>
              </w:rPr>
              <w:t>/</w:t>
            </w:r>
          </w:p>
        </w:tc>
        <w:tc>
          <w:tcPr>
            <w:tcW w:w="750" w:type="pct"/>
            <w:tcBorders>
              <w:tl2br w:val="nil"/>
              <w:tr2bl w:val="nil"/>
            </w:tcBorders>
            <w:noWrap w:val="0"/>
            <w:vAlign w:val="center"/>
          </w:tcPr>
          <w:p w14:paraId="0F91EF34">
            <w:pPr>
              <w:pageBreakBefore w:val="0"/>
              <w:wordWrap/>
              <w:bidi w:val="0"/>
              <w:adjustRightInd/>
              <w:snapToGrid/>
              <w:spacing w:line="240" w:lineRule="auto"/>
              <w:ind w:firstLine="0" w:firstLineChars="0"/>
              <w:jc w:val="center"/>
              <w:rPr>
                <w:color w:val="auto"/>
                <w:sz w:val="21"/>
                <w:szCs w:val="21"/>
              </w:rPr>
            </w:pPr>
            <w:r>
              <w:rPr>
                <w:color w:val="auto"/>
                <w:sz w:val="21"/>
                <w:szCs w:val="21"/>
              </w:rPr>
              <w:t>市政电网</w:t>
            </w:r>
          </w:p>
        </w:tc>
      </w:tr>
    </w:tbl>
    <w:p w14:paraId="17F7F25D">
      <w:pPr>
        <w:bidi w:val="0"/>
        <w:rPr>
          <w:color w:val="auto"/>
        </w:rPr>
      </w:pPr>
      <w:r>
        <w:rPr>
          <w:color w:val="auto"/>
        </w:rPr>
        <w:t>（1）PAC（聚合氯化铝）</w:t>
      </w:r>
    </w:p>
    <w:p w14:paraId="6BFA645A">
      <w:pPr>
        <w:pageBreakBefore w:val="0"/>
        <w:wordWrap/>
        <w:bidi w:val="0"/>
        <w:adjustRightInd/>
        <w:snapToGrid/>
        <w:ind w:firstLine="480"/>
        <w:rPr>
          <w:color w:val="auto"/>
        </w:rPr>
      </w:pPr>
      <w:r>
        <w:rPr>
          <w:color w:val="auto"/>
        </w:rPr>
        <w:t>液体产品为无色、淡黄色、淡灰色或棕褐色透明或半透明液体，无沉淀。固体产品是白色、淡灰色、淡黄色或棕褐色晶粒或粉末。是一种无机高分子混凝剂。主要通过压缩双层，吸附电中和、吸附架桥、沉淀物网捕等机理作用，使水中细微悬浮粒子和胶体离子脱稳，聚集、絮凝、混凝、沉淀，达到净化处理效果。聚合氯化铝</w:t>
      </w:r>
      <w:r>
        <w:rPr>
          <w:rFonts w:hint="eastAsia"/>
          <w:color w:val="auto"/>
          <w:lang w:eastAsia="zh-CN"/>
        </w:rPr>
        <w:t>与其他</w:t>
      </w:r>
      <w:r>
        <w:rPr>
          <w:color w:val="auto"/>
        </w:rPr>
        <w:t>混凝剂相比，具有以下优点：应用范围广，适应</w:t>
      </w:r>
      <w:r>
        <w:rPr>
          <w:rFonts w:hint="eastAsia"/>
          <w:color w:val="auto"/>
          <w:lang w:eastAsia="zh-CN"/>
        </w:rPr>
        <w:t>性</w:t>
      </w:r>
      <w:r>
        <w:rPr>
          <w:color w:val="auto"/>
        </w:rPr>
        <w:t>广泛。易快速形成大的矾花，沉淀性能好。适宜的</w:t>
      </w:r>
      <w:r>
        <w:rPr>
          <w:rFonts w:hint="eastAsia"/>
          <w:color w:val="auto"/>
          <w:lang w:eastAsia="zh-CN"/>
        </w:rPr>
        <w:t>pH值</w:t>
      </w:r>
      <w:r>
        <w:rPr>
          <w:color w:val="auto"/>
        </w:rPr>
        <w:t>范围较宽（5~9），且处理后水的</w:t>
      </w:r>
      <w:r>
        <w:rPr>
          <w:rFonts w:hint="eastAsia"/>
          <w:color w:val="auto"/>
          <w:lang w:eastAsia="zh-CN"/>
        </w:rPr>
        <w:t>pH值</w:t>
      </w:r>
      <w:r>
        <w:rPr>
          <w:color w:val="auto"/>
        </w:rPr>
        <w:t>和碱度下降小。水温低时，仍可保持稳定的沉淀效果。碱化度</w:t>
      </w:r>
      <w:r>
        <w:rPr>
          <w:rFonts w:hint="eastAsia"/>
          <w:color w:val="auto"/>
          <w:lang w:eastAsia="zh-CN"/>
        </w:rPr>
        <w:t>比其他</w:t>
      </w:r>
      <w:r>
        <w:rPr>
          <w:color w:val="auto"/>
        </w:rPr>
        <w:t>铝盐、铁盐高，对设备侵蚀作用小。</w:t>
      </w:r>
    </w:p>
    <w:p w14:paraId="016A6356">
      <w:pPr>
        <w:pageBreakBefore w:val="0"/>
        <w:wordWrap/>
        <w:bidi w:val="0"/>
        <w:adjustRightInd/>
        <w:snapToGrid/>
        <w:ind w:firstLine="480"/>
        <w:rPr>
          <w:color w:val="auto"/>
        </w:rPr>
      </w:pPr>
      <w:r>
        <w:rPr>
          <w:color w:val="auto"/>
        </w:rPr>
        <w:t>（2）PAM（聚丙烯酰胺）</w:t>
      </w:r>
    </w:p>
    <w:p w14:paraId="4BA364AC">
      <w:pPr>
        <w:pageBreakBefore w:val="0"/>
        <w:wordWrap/>
        <w:bidi w:val="0"/>
        <w:adjustRightInd/>
        <w:snapToGrid/>
        <w:ind w:firstLine="480"/>
        <w:rPr>
          <w:color w:val="auto"/>
        </w:rPr>
      </w:pPr>
      <w:r>
        <w:rPr>
          <w:color w:val="auto"/>
        </w:rPr>
        <w:t>分为胶体和粉剂，根据品种又分为非离子型和阴离子型，胶体产品为无色透明、无毒、无腐蚀。粉剂为白色粒状。两者均能溶于水。不溶于有机溶剂。聚丙烯酰胺（PAM）分子量高达（103-107），水溶性好，可调节分子量并可引入各种离子基团以得到特定的性能，是水溶性高分子中用量最大、用途最广泛的一种。</w:t>
      </w:r>
    </w:p>
    <w:p w14:paraId="5EC26F2C">
      <w:pPr>
        <w:pageBreakBefore w:val="0"/>
        <w:wordWrap/>
        <w:bidi w:val="0"/>
        <w:adjustRightInd/>
        <w:snapToGrid/>
        <w:ind w:firstLine="480"/>
        <w:rPr>
          <w:rFonts w:hint="default" w:eastAsia="宋体"/>
          <w:color w:val="auto"/>
          <w:lang w:val="en-US" w:eastAsia="zh-CN"/>
        </w:rPr>
      </w:pPr>
      <w:r>
        <w:rPr>
          <w:color w:val="auto"/>
        </w:rPr>
        <w:t>（3）</w:t>
      </w:r>
      <w:r>
        <w:rPr>
          <w:rFonts w:hint="eastAsia"/>
          <w:color w:val="auto"/>
          <w:lang w:val="en-US" w:eastAsia="zh-CN"/>
        </w:rPr>
        <w:t>NaAc（乙酸钠）</w:t>
      </w:r>
    </w:p>
    <w:p w14:paraId="073F8EFF">
      <w:pPr>
        <w:bidi w:val="0"/>
        <w:rPr>
          <w:rFonts w:hint="eastAsia"/>
          <w:color w:val="auto"/>
        </w:rPr>
      </w:pPr>
      <w:r>
        <w:rPr>
          <w:rFonts w:hint="eastAsia"/>
          <w:color w:val="auto"/>
        </w:rPr>
        <w:t>乙酸钠，又称醋酸钠，是一种有机物，分子式为CH</w:t>
      </w:r>
      <w:r>
        <w:rPr>
          <w:rFonts w:hint="eastAsia"/>
          <w:color w:val="auto"/>
          <w:vertAlign w:val="subscript"/>
        </w:rPr>
        <w:t>3</w:t>
      </w:r>
      <w:r>
        <w:rPr>
          <w:rFonts w:hint="eastAsia"/>
          <w:color w:val="auto"/>
        </w:rPr>
        <w:t>COONa，分子量为82.03。三水合物乙酸钠性状为白色结晶体，相对密度1.45，熔点为58℃，在干燥空气中风化，在120℃时失去结晶水，温度再高时分解；无水乙酸钠为无色透明结晶体，熔点324℃。易溶于水。</w:t>
      </w:r>
    </w:p>
    <w:p w14:paraId="1C248508">
      <w:pPr>
        <w:bidi w:val="0"/>
        <w:rPr>
          <w:rFonts w:hint="eastAsia"/>
          <w:color w:val="auto"/>
        </w:rPr>
      </w:pPr>
      <w:r>
        <w:rPr>
          <w:rFonts w:hint="eastAsia"/>
          <w:color w:val="auto"/>
        </w:rPr>
        <w:t>醋酸钠可用于作缓冲剂、媒染剂，用于铅铜镍铁的测定，培养基配制，有机合成，影片洗印等。</w:t>
      </w:r>
      <w:r>
        <w:rPr>
          <w:rFonts w:hint="eastAsia"/>
          <w:color w:val="auto"/>
          <w:lang w:val="en-US" w:eastAsia="zh-CN"/>
        </w:rPr>
        <w:t>在污水处理中可以</w:t>
      </w:r>
      <w:r>
        <w:rPr>
          <w:rFonts w:hint="eastAsia"/>
          <w:color w:val="auto"/>
        </w:rPr>
        <w:t>为细菌提供充足营养和碳源，利用其分解污水中的有机物。</w:t>
      </w:r>
    </w:p>
    <w:p w14:paraId="0BD7D7C3">
      <w:pPr>
        <w:pageBreakBefore w:val="0"/>
        <w:wordWrap/>
        <w:bidi w:val="0"/>
        <w:adjustRightInd/>
        <w:snapToGrid/>
        <w:ind w:firstLine="480"/>
        <w:rPr>
          <w:rFonts w:hint="eastAsia" w:eastAsia="宋体"/>
          <w:color w:val="auto"/>
          <w:lang w:eastAsia="zh-CN"/>
        </w:rPr>
      </w:pPr>
      <w:r>
        <w:rPr>
          <w:color w:val="auto"/>
        </w:rPr>
        <w:t>（</w:t>
      </w:r>
      <w:r>
        <w:rPr>
          <w:rFonts w:hint="eastAsia"/>
          <w:color w:val="auto"/>
        </w:rPr>
        <w:t>4</w:t>
      </w:r>
      <w:r>
        <w:rPr>
          <w:color w:val="auto"/>
        </w:rPr>
        <w:t>）</w:t>
      </w:r>
      <w:r>
        <w:rPr>
          <w:rFonts w:hint="eastAsia"/>
          <w:color w:val="auto"/>
          <w:lang w:val="en-US" w:eastAsia="zh-CN"/>
        </w:rPr>
        <w:t>磁粉</w:t>
      </w:r>
    </w:p>
    <w:p w14:paraId="687D9FE2">
      <w:pPr>
        <w:bidi w:val="0"/>
        <w:rPr>
          <w:rFonts w:hint="eastAsia"/>
          <w:color w:val="auto"/>
        </w:rPr>
      </w:pPr>
      <w:r>
        <w:rPr>
          <w:rFonts w:hint="eastAsia"/>
          <w:color w:val="auto"/>
        </w:rPr>
        <w:t>所谓磁混凝沉淀技术就是在普通的混凝沉淀工艺中同步加入磁粉，使之与污染物絮凝结合成一体，以加强混凝、絮凝的效果，使生成的絮体密度更大、更结实，从而达到高速沉降的目的。磁粉可以通过磁鼓回收循环使用。</w:t>
      </w:r>
    </w:p>
    <w:p w14:paraId="4DDA3FDB">
      <w:pPr>
        <w:bidi w:val="0"/>
        <w:rPr>
          <w:color w:val="auto"/>
        </w:rPr>
      </w:pPr>
      <w:r>
        <w:rPr>
          <w:rFonts w:hint="eastAsia"/>
          <w:color w:val="auto"/>
        </w:rPr>
        <w:t>整个工艺的停留时间很短，因此对包括TP在内的大部分污染物，出现反溶解过程的</w:t>
      </w:r>
      <w:r>
        <w:rPr>
          <w:rFonts w:hint="eastAsia"/>
          <w:color w:val="auto"/>
          <w:lang w:eastAsia="zh-CN"/>
        </w:rPr>
        <w:t>概率非常小</w:t>
      </w:r>
      <w:r>
        <w:rPr>
          <w:rFonts w:hint="eastAsia"/>
          <w:color w:val="auto"/>
        </w:rPr>
        <w:t>，另外系统中投加的磁粉和絮凝剂对细菌、病毒、油及多种微小粒子都有很好的吸附作用，因此对该类污染物的去除效果比传统工艺要好。同时由于其高速沉淀的性能，使其与传统工艺相比，具有速度快、效率高、占地面积小、投资小等诸多优点。</w:t>
      </w:r>
    </w:p>
    <w:p w14:paraId="0573890B">
      <w:pPr>
        <w:pageBreakBefore w:val="0"/>
        <w:wordWrap/>
        <w:bidi w:val="0"/>
        <w:adjustRightInd/>
        <w:snapToGrid/>
        <w:ind w:firstLine="480"/>
        <w:rPr>
          <w:rFonts w:hint="eastAsia"/>
          <w:b w:val="0"/>
          <w:bCs w:val="0"/>
          <w:color w:val="auto"/>
        </w:rPr>
      </w:pPr>
      <w:r>
        <w:rPr>
          <w:b w:val="0"/>
          <w:bCs w:val="0"/>
          <w:color w:val="auto"/>
        </w:rPr>
        <w:t>（</w:t>
      </w:r>
      <w:r>
        <w:rPr>
          <w:rFonts w:hint="eastAsia"/>
          <w:b w:val="0"/>
          <w:bCs w:val="0"/>
          <w:color w:val="auto"/>
          <w:lang w:val="en-US" w:eastAsia="zh-CN"/>
        </w:rPr>
        <w:t>5</w:t>
      </w:r>
      <w:r>
        <w:rPr>
          <w:b w:val="0"/>
          <w:bCs w:val="0"/>
          <w:color w:val="auto"/>
        </w:rPr>
        <w:t>）</w:t>
      </w:r>
      <w:r>
        <w:rPr>
          <w:rFonts w:hint="eastAsia"/>
          <w:b w:val="0"/>
          <w:bCs w:val="0"/>
          <w:color w:val="auto"/>
        </w:rPr>
        <w:t>次氯酸钠</w:t>
      </w:r>
    </w:p>
    <w:p w14:paraId="1B376402">
      <w:pPr>
        <w:bidi w:val="0"/>
        <w:rPr>
          <w:rFonts w:hint="eastAsia"/>
          <w:color w:val="auto"/>
        </w:rPr>
      </w:pPr>
      <w:r>
        <w:rPr>
          <w:rFonts w:hint="eastAsia"/>
          <w:color w:val="auto"/>
        </w:rPr>
        <w:t>白色粉末，有潮解性。在空气中不稳定，受热后分解。工业品则是浅黄色透明液体。俗称漂白水，是不稳定化合物，能逐渐释放出氧气。碱性次氯酸钠溶液比较稳定，俗称安替福明。能溶于冷水，受热到35℃以上或遇酸则分解，有氧化性。由电解冷的</w:t>
      </w:r>
      <w:r>
        <w:rPr>
          <w:rFonts w:hint="eastAsia"/>
          <w:color w:val="auto"/>
          <w:lang w:eastAsia="zh-CN"/>
        </w:rPr>
        <w:t>烯酸</w:t>
      </w:r>
      <w:r>
        <w:rPr>
          <w:rFonts w:hint="eastAsia"/>
          <w:color w:val="auto"/>
        </w:rPr>
        <w:t>盐溶液或由漂白粉与纯碱作用后滤去碳酸钙而制得。</w:t>
      </w:r>
    </w:p>
    <w:p w14:paraId="4DA60496">
      <w:pPr>
        <w:bidi w:val="0"/>
        <w:rPr>
          <w:rFonts w:hint="eastAsia"/>
          <w:color w:val="auto"/>
        </w:rPr>
      </w:pPr>
      <w:r>
        <w:rPr>
          <w:rFonts w:hint="eastAsia"/>
          <w:color w:val="auto"/>
        </w:rPr>
        <w:t>无机工业用于制造</w:t>
      </w:r>
      <w:r>
        <w:rPr>
          <w:rFonts w:hint="eastAsia"/>
          <w:color w:val="auto"/>
          <w:lang w:eastAsia="zh-CN"/>
        </w:rPr>
        <w:t>硫酸铅</w:t>
      </w:r>
      <w:r>
        <w:rPr>
          <w:rFonts w:hint="eastAsia"/>
          <w:color w:val="auto"/>
        </w:rPr>
        <w:t>、氧化铅等。染料工业用于制造硫化宝蓝等。油脂工业用作油脂的漂白剂。医药工业用于制造水合阱、双氯胺、单氯氛胺等。冶金工业用作制取钴、镍的氧化剂。造纸工业用作纸浆的漂白剂。水处理中作为净水剂、消毒剂、杀菌剂。纺织工业用作对布匹、</w:t>
      </w:r>
      <w:r>
        <w:rPr>
          <w:rFonts w:hint="eastAsia"/>
          <w:color w:val="auto"/>
          <w:lang w:eastAsia="zh-CN"/>
        </w:rPr>
        <w:t>毛巾</w:t>
      </w:r>
      <w:r>
        <w:rPr>
          <w:rFonts w:hint="eastAsia"/>
          <w:color w:val="auto"/>
        </w:rPr>
        <w:t>、袜子、汗衫等棉织物，化纤及淀粉的高效漂白剂。有机工业用于制造电石水合制乙炔的清净剂。农业和畜牧业中用作蔬菜、果物、饲养场、</w:t>
      </w:r>
      <w:r>
        <w:rPr>
          <w:rFonts w:hint="eastAsia"/>
          <w:color w:val="auto"/>
          <w:lang w:eastAsia="zh-CN"/>
        </w:rPr>
        <w:t>畜禽</w:t>
      </w:r>
      <w:r>
        <w:rPr>
          <w:rFonts w:hint="eastAsia"/>
          <w:color w:val="auto"/>
        </w:rPr>
        <w:t>等消毒剂、去臭剂。分析化学中用于检验唾液中结核菌和进行细菌研究等。</w:t>
      </w:r>
    </w:p>
    <w:p w14:paraId="0AD11ECE">
      <w:pPr>
        <w:pStyle w:val="5"/>
        <w:pageBreakBefore w:val="0"/>
        <w:wordWrap/>
        <w:bidi w:val="0"/>
        <w:adjustRightInd/>
        <w:snapToGrid/>
        <w:spacing w:before="62" w:after="62"/>
        <w:ind w:left="0"/>
        <w:rPr>
          <w:rFonts w:hint="default"/>
          <w:b/>
          <w:bCs/>
          <w:color w:val="auto"/>
          <w:lang w:val="en-US" w:eastAsia="zh-CN"/>
        </w:rPr>
      </w:pPr>
      <w:r>
        <w:rPr>
          <w:rFonts w:hint="eastAsia" w:eastAsia="宋体"/>
          <w:color w:val="auto"/>
        </w:rPr>
        <w:t xml:space="preserve"> </w:t>
      </w:r>
      <w:r>
        <w:rPr>
          <w:rFonts w:hint="eastAsia"/>
          <w:b/>
          <w:bCs/>
          <w:color w:val="auto"/>
          <w:lang w:val="en-US" w:eastAsia="zh-CN"/>
        </w:rPr>
        <w:t>项目公辅工程</w:t>
      </w:r>
    </w:p>
    <w:p w14:paraId="567FB88C">
      <w:pPr>
        <w:pageBreakBefore w:val="0"/>
        <w:wordWrap/>
        <w:bidi w:val="0"/>
        <w:adjustRightInd/>
        <w:snapToGrid/>
        <w:rPr>
          <w:rFonts w:hint="default"/>
          <w:b/>
          <w:bCs/>
          <w:color w:val="auto"/>
          <w:lang w:val="en-US" w:eastAsia="zh-CN"/>
        </w:rPr>
      </w:pPr>
      <w:r>
        <w:rPr>
          <w:rFonts w:hint="eastAsia"/>
          <w:b/>
          <w:bCs/>
          <w:color w:val="auto"/>
          <w:lang w:val="en-US" w:eastAsia="zh-CN"/>
        </w:rPr>
        <w:t>1、给水</w:t>
      </w:r>
    </w:p>
    <w:p w14:paraId="320D3A40">
      <w:pPr>
        <w:pageBreakBefore w:val="0"/>
        <w:wordWrap/>
        <w:bidi w:val="0"/>
        <w:adjustRightInd/>
        <w:snapToGrid/>
        <w:rPr>
          <w:rFonts w:hint="eastAsia"/>
          <w:color w:val="auto"/>
          <w:lang w:val="en-US" w:eastAsia="zh-CN"/>
        </w:rPr>
      </w:pPr>
      <w:r>
        <w:rPr>
          <w:rFonts w:hint="eastAsia"/>
          <w:color w:val="auto"/>
          <w:lang w:val="en-US" w:eastAsia="zh-CN"/>
        </w:rPr>
        <w:t>厂区给水由市政供水管网提供，来自周边供水干管。厂区给水主要用于生活、消防、绿化，构筑物及设备冲洗等。引入总管管径为DN150，给水管网在厂区内形成环网以利于消防。</w:t>
      </w:r>
    </w:p>
    <w:p w14:paraId="54841C4E">
      <w:pPr>
        <w:pageBreakBefore w:val="0"/>
        <w:wordWrap/>
        <w:bidi w:val="0"/>
        <w:adjustRightInd/>
        <w:snapToGrid/>
        <w:rPr>
          <w:rFonts w:hint="eastAsia"/>
          <w:color w:val="auto"/>
          <w:lang w:val="en-US" w:eastAsia="zh-CN"/>
        </w:rPr>
      </w:pPr>
      <w:r>
        <w:rPr>
          <w:rFonts w:hint="eastAsia"/>
          <w:color w:val="auto"/>
          <w:lang w:val="en-US" w:eastAsia="zh-CN"/>
        </w:rPr>
        <w:t>园区规划在曾口区块西北部新建自来水厂一处，占地面积2.08公顷。供水规模为6.1万吨/日。</w:t>
      </w:r>
    </w:p>
    <w:p w14:paraId="6F860BF1">
      <w:pPr>
        <w:pageBreakBefore w:val="0"/>
        <w:wordWrap/>
        <w:bidi w:val="0"/>
        <w:adjustRightInd/>
        <w:snapToGrid/>
        <w:rPr>
          <w:rFonts w:hint="default"/>
          <w:b/>
          <w:bCs/>
          <w:color w:val="auto"/>
          <w:lang w:val="en-US" w:eastAsia="zh-CN"/>
        </w:rPr>
      </w:pPr>
      <w:r>
        <w:rPr>
          <w:rFonts w:hint="eastAsia"/>
          <w:b/>
          <w:bCs/>
          <w:color w:val="auto"/>
          <w:lang w:val="en-US" w:eastAsia="zh-CN"/>
        </w:rPr>
        <w:t>2、排水</w:t>
      </w:r>
    </w:p>
    <w:p w14:paraId="1E5737F1">
      <w:pPr>
        <w:pageBreakBefore w:val="0"/>
        <w:wordWrap/>
        <w:bidi w:val="0"/>
        <w:adjustRightInd/>
        <w:snapToGrid/>
        <w:rPr>
          <w:rFonts w:hint="eastAsia"/>
          <w:color w:val="auto"/>
          <w:lang w:val="en-US" w:eastAsia="zh-CN"/>
        </w:rPr>
      </w:pPr>
      <w:r>
        <w:rPr>
          <w:rFonts w:hint="eastAsia"/>
          <w:color w:val="auto"/>
          <w:lang w:val="en-US" w:eastAsia="zh-CN"/>
        </w:rPr>
        <w:t>厂区排水采用雨污分流制。厂区雨水由道路雨水口收集后汇入厂区雨水管道。厂区生活污水、生产污水、清洗水池污水、构筑物放空水、滤液等经厂内污水管道收集后进入厂区污水格栅渠与进厂污水一并处理。</w:t>
      </w:r>
    </w:p>
    <w:p w14:paraId="18B8CDD3">
      <w:pPr>
        <w:pageBreakBefore w:val="0"/>
        <w:wordWrap/>
        <w:bidi w:val="0"/>
        <w:adjustRightInd/>
        <w:snapToGrid/>
        <w:rPr>
          <w:rFonts w:hint="eastAsia"/>
          <w:color w:val="auto"/>
          <w:lang w:val="en-US" w:eastAsia="zh-CN"/>
        </w:rPr>
      </w:pPr>
      <w:r>
        <w:rPr>
          <w:rFonts w:hint="eastAsia"/>
          <w:color w:val="auto"/>
          <w:lang w:val="en-US" w:eastAsia="zh-CN"/>
        </w:rPr>
        <w:t>同时，服务范围内的园区拟入驻项目正常生产运行过程中产生的废水由各企业自行预处理，达标后排入市政污水管进入本项目污水处理厂处理，处理后的尾水通过污水管道排入巴河。</w:t>
      </w:r>
    </w:p>
    <w:p w14:paraId="56A5B940">
      <w:pPr>
        <w:pageBreakBefore w:val="0"/>
        <w:wordWrap/>
        <w:bidi w:val="0"/>
        <w:adjustRightInd/>
        <w:snapToGrid/>
        <w:rPr>
          <w:rFonts w:hint="default"/>
          <w:b/>
          <w:bCs/>
          <w:color w:val="auto"/>
          <w:lang w:val="en-US" w:eastAsia="zh-CN"/>
        </w:rPr>
      </w:pPr>
      <w:r>
        <w:rPr>
          <w:rFonts w:hint="eastAsia"/>
          <w:b/>
          <w:bCs/>
          <w:color w:val="auto"/>
          <w:lang w:val="en-US" w:eastAsia="zh-CN"/>
        </w:rPr>
        <w:t>3、供电</w:t>
      </w:r>
    </w:p>
    <w:p w14:paraId="56E7C018">
      <w:pPr>
        <w:pageBreakBefore w:val="0"/>
        <w:wordWrap/>
        <w:bidi w:val="0"/>
        <w:adjustRightInd/>
        <w:snapToGrid/>
        <w:rPr>
          <w:rFonts w:hint="eastAsia"/>
          <w:color w:val="auto"/>
          <w:lang w:val="en-US" w:eastAsia="zh-CN"/>
        </w:rPr>
      </w:pPr>
      <w:r>
        <w:rPr>
          <w:rFonts w:hint="eastAsia"/>
          <w:color w:val="auto"/>
          <w:lang w:val="en-US" w:eastAsia="zh-CN"/>
        </w:rPr>
        <w:t>从项目区附近变压器将电源引到项目区，本次设计新增一座10kV、0.4kV变（配）电站，与鼓风机房合建，位于负荷中心，高低压室合建。变压器按二期设计，预留二期负荷配电柜安装位置。</w:t>
      </w:r>
    </w:p>
    <w:p w14:paraId="4F920163">
      <w:pPr>
        <w:pageBreakBefore w:val="0"/>
        <w:wordWrap/>
        <w:bidi w:val="0"/>
        <w:adjustRightInd/>
        <w:snapToGrid/>
        <w:rPr>
          <w:rFonts w:hint="eastAsia"/>
          <w:color w:val="auto"/>
          <w:lang w:val="en-US" w:eastAsia="zh-CN"/>
        </w:rPr>
      </w:pPr>
      <w:r>
        <w:rPr>
          <w:rFonts w:hint="eastAsia"/>
          <w:color w:val="auto"/>
          <w:lang w:val="en-US" w:eastAsia="zh-CN"/>
        </w:rPr>
        <w:t>（1）系统供电电压采用10kV，供（配）电采用380V/220。本工程低压带电导体型式为三相四线制。</w:t>
      </w:r>
    </w:p>
    <w:p w14:paraId="2726028D">
      <w:pPr>
        <w:pageBreakBefore w:val="0"/>
        <w:wordWrap/>
        <w:bidi w:val="0"/>
        <w:adjustRightInd/>
        <w:snapToGrid/>
        <w:rPr>
          <w:rFonts w:hint="eastAsia"/>
          <w:color w:val="auto"/>
          <w:lang w:val="en-US" w:eastAsia="zh-CN"/>
        </w:rPr>
      </w:pPr>
      <w:r>
        <w:rPr>
          <w:rFonts w:hint="eastAsia"/>
          <w:color w:val="auto"/>
          <w:lang w:val="en-US" w:eastAsia="zh-CN"/>
        </w:rPr>
        <w:t>（2）高压部分设置10kV中置柜5个（2台进线柜、1台PT柜，2台出线柜），低压部分设置GCS低压柜14个（2台进线柜、2台补偿柜、6台出线柜、2台滤波柜，1台联络柜）</w:t>
      </w:r>
    </w:p>
    <w:p w14:paraId="22FC928C">
      <w:pPr>
        <w:pageBreakBefore w:val="0"/>
        <w:wordWrap/>
        <w:bidi w:val="0"/>
        <w:adjustRightInd/>
        <w:snapToGrid/>
        <w:rPr>
          <w:rFonts w:hint="eastAsia"/>
          <w:color w:val="auto"/>
          <w:lang w:val="en-US" w:eastAsia="zh-CN"/>
        </w:rPr>
      </w:pPr>
      <w:r>
        <w:rPr>
          <w:rFonts w:hint="eastAsia"/>
          <w:color w:val="auto"/>
          <w:lang w:val="en-US" w:eastAsia="zh-CN"/>
        </w:rPr>
        <w:t>（3）设置2台变压器容量1000kVA，2台变压器独立运行，互为备用，单台变压器负荷率为48%，单台变压器能够承担全厂二级负荷的使用。</w:t>
      </w:r>
    </w:p>
    <w:p w14:paraId="5EF12D96">
      <w:pPr>
        <w:pageBreakBefore w:val="0"/>
        <w:wordWrap/>
        <w:bidi w:val="0"/>
        <w:adjustRightInd/>
        <w:snapToGrid/>
        <w:rPr>
          <w:rFonts w:hint="eastAsia"/>
          <w:color w:val="auto"/>
          <w:lang w:val="en-US" w:eastAsia="zh-CN"/>
        </w:rPr>
      </w:pPr>
      <w:r>
        <w:rPr>
          <w:rFonts w:hint="eastAsia"/>
          <w:color w:val="auto"/>
          <w:lang w:val="en-US" w:eastAsia="zh-CN"/>
        </w:rPr>
        <w:t>（4）10kV系统供电方式采用单回路放射式供电，单母线不分段接线方式，系统操作电源采用DC110V。两路进线电源同时接入母线采用联锁方式互为备用。</w:t>
      </w:r>
    </w:p>
    <w:p w14:paraId="1F1C2B26">
      <w:pPr>
        <w:pageBreakBefore w:val="0"/>
        <w:wordWrap/>
        <w:bidi w:val="0"/>
        <w:adjustRightInd/>
        <w:snapToGrid/>
        <w:rPr>
          <w:rFonts w:hint="eastAsia"/>
          <w:color w:val="auto"/>
          <w:lang w:val="en-US" w:eastAsia="zh-CN"/>
        </w:rPr>
      </w:pPr>
      <w:r>
        <w:rPr>
          <w:rFonts w:hint="eastAsia"/>
          <w:color w:val="auto"/>
          <w:lang w:val="en-US" w:eastAsia="zh-CN"/>
        </w:rPr>
        <w:t>（5）低压配电系统单母线分段接线方式，并通过联络柜联络两段母线互为备用。系统通过向设置在各单体的动力柜进行放射式供电，由各单体动力柜直接对现场设备配电和控制。</w:t>
      </w:r>
    </w:p>
    <w:p w14:paraId="46E508D6">
      <w:pPr>
        <w:pageBreakBefore w:val="0"/>
        <w:wordWrap/>
        <w:bidi w:val="0"/>
        <w:adjustRightInd/>
        <w:snapToGrid/>
        <w:rPr>
          <w:rFonts w:hint="default" w:eastAsia="宋体"/>
          <w:b/>
          <w:bCs/>
          <w:color w:val="auto"/>
          <w:lang w:val="en-US" w:eastAsia="zh-CN"/>
        </w:rPr>
      </w:pPr>
      <w:r>
        <w:rPr>
          <w:rFonts w:hint="eastAsia"/>
          <w:b/>
          <w:bCs/>
          <w:color w:val="auto"/>
          <w:lang w:val="en-US" w:eastAsia="zh-CN"/>
        </w:rPr>
        <w:t>4、消防</w:t>
      </w:r>
    </w:p>
    <w:p w14:paraId="495A993A">
      <w:pPr>
        <w:pageBreakBefore w:val="0"/>
        <w:wordWrap/>
        <w:bidi w:val="0"/>
        <w:adjustRightInd/>
        <w:snapToGrid/>
        <w:rPr>
          <w:rFonts w:hint="eastAsia" w:eastAsia="宋体"/>
          <w:color w:val="auto"/>
          <w:lang w:eastAsia="zh-CN"/>
        </w:rPr>
      </w:pPr>
      <w:r>
        <w:rPr>
          <w:rFonts w:hint="eastAsia"/>
          <w:color w:val="auto"/>
        </w:rPr>
        <w:t>厂区内部分构</w:t>
      </w:r>
      <w:r>
        <w:rPr>
          <w:rFonts w:hint="eastAsia"/>
          <w:color w:val="auto"/>
          <w:lang w:eastAsia="zh-CN"/>
        </w:rPr>
        <w:t>（</w:t>
      </w:r>
      <w:r>
        <w:rPr>
          <w:rFonts w:hint="eastAsia"/>
          <w:color w:val="auto"/>
        </w:rPr>
        <w:t>建</w:t>
      </w:r>
      <w:r>
        <w:rPr>
          <w:rFonts w:hint="eastAsia"/>
          <w:color w:val="auto"/>
          <w:lang w:eastAsia="zh-CN"/>
        </w:rPr>
        <w:t>）</w:t>
      </w:r>
      <w:r>
        <w:rPr>
          <w:rFonts w:hint="eastAsia"/>
          <w:color w:val="auto"/>
        </w:rPr>
        <w:t>筑物的耐火等级、防火间距、消防给水、采暖通风、空调及电力设备的选型和保护等级均按《建筑设计防火规范》</w:t>
      </w:r>
      <w:r>
        <w:rPr>
          <w:rFonts w:hint="eastAsia"/>
          <w:color w:val="auto"/>
          <w:lang w:eastAsia="zh-CN"/>
        </w:rPr>
        <w:t>（</w:t>
      </w:r>
      <w:r>
        <w:rPr>
          <w:rFonts w:hint="eastAsia"/>
          <w:color w:val="auto"/>
        </w:rPr>
        <w:t>GB50016-2014</w:t>
      </w:r>
      <w:r>
        <w:rPr>
          <w:rFonts w:hint="eastAsia"/>
          <w:color w:val="auto"/>
          <w:lang w:eastAsia="zh-CN"/>
        </w:rPr>
        <w:t>）（</w:t>
      </w:r>
      <w:r>
        <w:rPr>
          <w:rFonts w:hint="eastAsia"/>
          <w:color w:val="auto"/>
        </w:rPr>
        <w:t>2018版</w:t>
      </w:r>
      <w:r>
        <w:rPr>
          <w:rFonts w:hint="eastAsia"/>
          <w:color w:val="auto"/>
          <w:lang w:eastAsia="zh-CN"/>
        </w:rPr>
        <w:t>）</w:t>
      </w:r>
      <w:r>
        <w:rPr>
          <w:rFonts w:hint="eastAsia"/>
          <w:color w:val="auto"/>
        </w:rPr>
        <w:t>及《消防给水及消火栓系统技术规范》</w:t>
      </w:r>
      <w:r>
        <w:rPr>
          <w:rFonts w:hint="eastAsia"/>
          <w:color w:val="auto"/>
          <w:lang w:eastAsia="zh-CN"/>
        </w:rPr>
        <w:t>（</w:t>
      </w:r>
      <w:r>
        <w:rPr>
          <w:rFonts w:hint="eastAsia"/>
          <w:color w:val="auto"/>
        </w:rPr>
        <w:t>GB50974-2014</w:t>
      </w:r>
      <w:r>
        <w:rPr>
          <w:rFonts w:hint="eastAsia"/>
          <w:color w:val="auto"/>
          <w:lang w:eastAsia="zh-CN"/>
        </w:rPr>
        <w:t>）</w:t>
      </w:r>
      <w:r>
        <w:rPr>
          <w:rFonts w:hint="eastAsia"/>
          <w:color w:val="auto"/>
        </w:rPr>
        <w:t>有关条款执行</w:t>
      </w:r>
      <w:r>
        <w:rPr>
          <w:rFonts w:hint="eastAsia"/>
          <w:color w:val="auto"/>
          <w:lang w:eastAsia="zh-CN"/>
        </w:rPr>
        <w:t>污水处理厂</w:t>
      </w:r>
      <w:r>
        <w:rPr>
          <w:rFonts w:hint="eastAsia"/>
          <w:color w:val="auto"/>
        </w:rPr>
        <w:t>同一时间内的火灾次数按1次计</w:t>
      </w:r>
      <w:r>
        <w:rPr>
          <w:rFonts w:hint="eastAsia"/>
          <w:color w:val="auto"/>
          <w:lang w:eastAsia="zh-CN"/>
        </w:rPr>
        <w:t>，</w:t>
      </w:r>
      <w:r>
        <w:rPr>
          <w:rFonts w:hint="eastAsia"/>
          <w:color w:val="auto"/>
        </w:rPr>
        <w:t>一次灭火用水量为15L/s</w:t>
      </w:r>
      <w:r>
        <w:rPr>
          <w:rFonts w:hint="eastAsia"/>
          <w:color w:val="auto"/>
          <w:lang w:eastAsia="zh-CN"/>
        </w:rPr>
        <w:t>。</w:t>
      </w:r>
    </w:p>
    <w:p w14:paraId="1486C6D0">
      <w:pPr>
        <w:pageBreakBefore w:val="0"/>
        <w:wordWrap/>
        <w:bidi w:val="0"/>
        <w:adjustRightInd/>
        <w:snapToGrid/>
        <w:rPr>
          <w:rFonts w:hint="eastAsia" w:eastAsia="宋体"/>
          <w:color w:val="auto"/>
          <w:lang w:eastAsia="zh-CN"/>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厂区消防采用自来水</w:t>
      </w:r>
      <w:r>
        <w:rPr>
          <w:rFonts w:hint="eastAsia"/>
          <w:color w:val="auto"/>
          <w:lang w:eastAsia="zh-CN"/>
        </w:rPr>
        <w:t>，</w:t>
      </w:r>
      <w:r>
        <w:rPr>
          <w:rFonts w:hint="eastAsia"/>
          <w:color w:val="auto"/>
        </w:rPr>
        <w:t>厂区设室外消火栓</w:t>
      </w:r>
      <w:r>
        <w:rPr>
          <w:rFonts w:hint="eastAsia"/>
          <w:color w:val="auto"/>
          <w:lang w:eastAsia="zh-CN"/>
        </w:rPr>
        <w:t>；</w:t>
      </w:r>
    </w:p>
    <w:p w14:paraId="7F690DE8">
      <w:pPr>
        <w:pageBreakBefore w:val="0"/>
        <w:wordWrap/>
        <w:bidi w:val="0"/>
        <w:adjustRightInd/>
        <w:snapToGrid/>
        <w:rPr>
          <w:rFonts w:hint="eastAsia" w:eastAsia="宋体"/>
          <w:color w:val="auto"/>
          <w:lang w:eastAsia="zh-CN"/>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主要建筑物</w:t>
      </w:r>
      <w:r>
        <w:rPr>
          <w:rFonts w:hint="eastAsia"/>
          <w:color w:val="auto"/>
          <w:lang w:eastAsia="zh-CN"/>
        </w:rPr>
        <w:t>，</w:t>
      </w:r>
      <w:r>
        <w:rPr>
          <w:rFonts w:hint="eastAsia"/>
          <w:color w:val="auto"/>
        </w:rPr>
        <w:t>设置灭火器</w:t>
      </w:r>
      <w:r>
        <w:rPr>
          <w:rFonts w:hint="eastAsia"/>
          <w:color w:val="auto"/>
          <w:lang w:eastAsia="zh-CN"/>
        </w:rPr>
        <w:t>；</w:t>
      </w:r>
    </w:p>
    <w:p w14:paraId="32D205F7">
      <w:pPr>
        <w:pageBreakBefore w:val="0"/>
        <w:wordWrap/>
        <w:bidi w:val="0"/>
        <w:adjustRightInd/>
        <w:snapToGrid/>
        <w:rPr>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厂内道路呈环形布置，保证消防通道畅通，厂内主干道宽6.0 m，次干道宽4.0 m，道路净空高度不小于4.5 m，污水处理厂设1个主出入口及1个次出入口，均与厂外道路相连，满足消防车对道路的要求。</w:t>
      </w:r>
    </w:p>
    <w:p w14:paraId="2E9FF2C8">
      <w:pPr>
        <w:pageBreakBefore w:val="0"/>
        <w:wordWrap/>
        <w:bidi w:val="0"/>
        <w:adjustRightInd/>
        <w:snapToGrid/>
        <w:rPr>
          <w:b/>
          <w:bCs/>
          <w:color w:val="auto"/>
        </w:rPr>
      </w:pPr>
      <w:r>
        <w:rPr>
          <w:rFonts w:hint="eastAsia"/>
          <w:b/>
          <w:bCs/>
          <w:color w:val="auto"/>
          <w:lang w:val="en-US" w:eastAsia="zh-CN"/>
        </w:rPr>
        <w:t>5</w:t>
      </w:r>
      <w:r>
        <w:rPr>
          <w:b/>
          <w:bCs/>
          <w:color w:val="auto"/>
        </w:rPr>
        <w:t>、厂区绿化</w:t>
      </w:r>
    </w:p>
    <w:p w14:paraId="6BBEB3D2">
      <w:pPr>
        <w:pageBreakBefore w:val="0"/>
        <w:wordWrap/>
        <w:bidi w:val="0"/>
        <w:adjustRightInd/>
        <w:snapToGrid/>
        <w:rPr>
          <w:rFonts w:hint="eastAsia"/>
          <w:color w:val="auto"/>
        </w:rPr>
      </w:pPr>
      <w:r>
        <w:rPr>
          <w:rFonts w:hint="eastAsia"/>
          <w:color w:val="auto"/>
          <w:lang w:val="en-US" w:eastAsia="zh-CN"/>
        </w:rPr>
        <w:t>厂区建</w:t>
      </w:r>
      <w:r>
        <w:rPr>
          <w:rFonts w:hint="eastAsia"/>
          <w:color w:val="auto"/>
        </w:rPr>
        <w:t>、构筑物与道路及围墙之间的空地进行绿化，绿化布置方式采用自然式布置和沿道路规则式布置两种方式。自然式布置运用于办公楼及食堂宿舍楼区域，沿道路规则式布置运用于厂区设计道路两侧。</w:t>
      </w:r>
    </w:p>
    <w:p w14:paraId="589C41E9">
      <w:pPr>
        <w:pageBreakBefore w:val="0"/>
        <w:wordWrap/>
        <w:bidi w:val="0"/>
        <w:adjustRightInd/>
        <w:snapToGrid/>
        <w:rPr>
          <w:rFonts w:hint="eastAsia"/>
          <w:color w:val="auto"/>
          <w:lang w:eastAsia="zh-CN"/>
        </w:rPr>
      </w:pPr>
      <w:r>
        <w:rPr>
          <w:rFonts w:hint="eastAsia"/>
          <w:color w:val="auto"/>
        </w:rPr>
        <w:t>自然式布置主要选用适合当地气候的树木、乔木、花草进行</w:t>
      </w:r>
      <w:r>
        <w:rPr>
          <w:rFonts w:hint="eastAsia"/>
          <w:color w:val="auto"/>
          <w:lang w:eastAsia="zh-CN"/>
        </w:rPr>
        <w:t>搭配</w:t>
      </w:r>
      <w:r>
        <w:rPr>
          <w:rFonts w:hint="eastAsia"/>
          <w:color w:val="auto"/>
        </w:rPr>
        <w:t>营造出不同的氛围，同时采用灌木修剪成绿进行绿地边缘的围合，在自然中寻求统一感和整体感</w:t>
      </w:r>
      <w:r>
        <w:rPr>
          <w:rFonts w:hint="eastAsia"/>
          <w:color w:val="auto"/>
          <w:lang w:eastAsia="zh-CN"/>
        </w:rPr>
        <w:t>。</w:t>
      </w:r>
    </w:p>
    <w:p w14:paraId="671B92B9">
      <w:pPr>
        <w:pageBreakBefore w:val="0"/>
        <w:wordWrap/>
        <w:bidi w:val="0"/>
        <w:adjustRightInd/>
        <w:snapToGrid/>
        <w:rPr>
          <w:rFonts w:hint="eastAsia"/>
          <w:color w:val="auto"/>
        </w:rPr>
      </w:pPr>
      <w:r>
        <w:rPr>
          <w:rFonts w:hint="eastAsia"/>
          <w:color w:val="auto"/>
        </w:rPr>
        <w:t>规则式布置主要安排在狭长的围墙道路侧，由树木的高低排列分成不同的层次</w:t>
      </w:r>
      <w:r>
        <w:rPr>
          <w:rFonts w:hint="eastAsia"/>
          <w:color w:val="auto"/>
          <w:lang w:eastAsia="zh-CN"/>
        </w:rPr>
        <w:t>，</w:t>
      </w:r>
      <w:r>
        <w:rPr>
          <w:rFonts w:hint="eastAsia"/>
          <w:color w:val="auto"/>
        </w:rPr>
        <w:t>乔灌搭配合理</w:t>
      </w:r>
      <w:r>
        <w:rPr>
          <w:rFonts w:hint="eastAsia"/>
          <w:color w:val="auto"/>
          <w:lang w:eastAsia="zh-CN"/>
        </w:rPr>
        <w:t>，</w:t>
      </w:r>
      <w:r>
        <w:rPr>
          <w:rFonts w:hint="eastAsia"/>
          <w:color w:val="auto"/>
        </w:rPr>
        <w:t>在平面布置上也采取一定的曲线变化规则式的布局不显得生硬。地被植物及草花采用色彩简洁、明快的种类，增添一定的观赏性。</w:t>
      </w:r>
    </w:p>
    <w:p w14:paraId="5AD4DEF8">
      <w:pPr>
        <w:pageBreakBefore w:val="0"/>
        <w:wordWrap/>
        <w:bidi w:val="0"/>
        <w:adjustRightInd/>
        <w:snapToGrid/>
        <w:rPr>
          <w:color w:val="auto"/>
        </w:rPr>
      </w:pPr>
      <w:r>
        <w:rPr>
          <w:rFonts w:hint="eastAsia"/>
          <w:color w:val="auto"/>
        </w:rPr>
        <w:t>整个绿化用地面积为6842</w:t>
      </w:r>
      <w:r>
        <w:rPr>
          <w:rFonts w:hint="eastAsia"/>
          <w:color w:val="auto"/>
          <w:lang w:val="en-US" w:eastAsia="zh-CN"/>
        </w:rPr>
        <w:t>m³</w:t>
      </w:r>
      <w:r>
        <w:rPr>
          <w:rFonts w:hint="eastAsia"/>
          <w:color w:val="auto"/>
        </w:rPr>
        <w:t>，绿地率为16.89%。</w:t>
      </w:r>
    </w:p>
    <w:p w14:paraId="4388645B">
      <w:pPr>
        <w:pageBreakBefore w:val="0"/>
        <w:wordWrap/>
        <w:bidi w:val="0"/>
        <w:adjustRightInd/>
        <w:snapToGrid/>
        <w:rPr>
          <w:b/>
          <w:bCs/>
          <w:color w:val="auto"/>
        </w:rPr>
      </w:pPr>
      <w:r>
        <w:rPr>
          <w:rFonts w:hint="eastAsia"/>
          <w:b/>
          <w:bCs/>
          <w:color w:val="auto"/>
          <w:lang w:val="en-US" w:eastAsia="zh-CN"/>
        </w:rPr>
        <w:t>6</w:t>
      </w:r>
      <w:r>
        <w:rPr>
          <w:b/>
          <w:bCs/>
          <w:color w:val="auto"/>
        </w:rPr>
        <w:t>、通讯</w:t>
      </w:r>
    </w:p>
    <w:p w14:paraId="14EF201C">
      <w:pPr>
        <w:pageBreakBefore w:val="0"/>
        <w:wordWrap/>
        <w:bidi w:val="0"/>
        <w:adjustRightInd/>
        <w:snapToGrid/>
        <w:rPr>
          <w:color w:val="auto"/>
        </w:rPr>
      </w:pPr>
      <w:r>
        <w:rPr>
          <w:color w:val="auto"/>
        </w:rPr>
        <w:t>厂内部与外界的通讯采用网络、电话联络形式，在综合用房办公室设电话及网络终端设备，预留弱电电缆接入手孔井，由运营商接入。此外，为方便生产管理和调度，厂区还考虑设置</w:t>
      </w:r>
      <w:r>
        <w:rPr>
          <w:rFonts w:hint="eastAsia"/>
          <w:color w:val="auto"/>
          <w:lang w:eastAsia="zh-CN"/>
        </w:rPr>
        <w:t>对讲通信</w:t>
      </w:r>
      <w:r>
        <w:rPr>
          <w:color w:val="auto"/>
        </w:rPr>
        <w:t>系统。</w:t>
      </w:r>
    </w:p>
    <w:p w14:paraId="5B729879">
      <w:pPr>
        <w:pageBreakBefore w:val="0"/>
        <w:wordWrap/>
        <w:bidi w:val="0"/>
        <w:adjustRightInd/>
        <w:snapToGrid/>
        <w:rPr>
          <w:rFonts w:hint="default"/>
          <w:b/>
          <w:bCs/>
          <w:color w:val="auto"/>
          <w:lang w:val="en-US" w:eastAsia="zh-CN"/>
        </w:rPr>
      </w:pPr>
      <w:r>
        <w:rPr>
          <w:rFonts w:hint="eastAsia"/>
          <w:b/>
          <w:bCs/>
          <w:color w:val="auto"/>
          <w:lang w:val="en-US" w:eastAsia="zh-CN"/>
        </w:rPr>
        <w:t>7、自动化控制</w:t>
      </w:r>
    </w:p>
    <w:p w14:paraId="6A4C27B1">
      <w:pPr>
        <w:pageBreakBefore w:val="0"/>
        <w:wordWrap/>
        <w:bidi w:val="0"/>
        <w:adjustRightInd/>
        <w:snapToGrid/>
        <w:rPr>
          <w:rFonts w:hint="eastAsia"/>
          <w:color w:val="auto"/>
          <w:lang w:val="en-US" w:eastAsia="zh-CN"/>
        </w:rPr>
      </w:pPr>
      <w:r>
        <w:rPr>
          <w:rFonts w:hint="eastAsia"/>
          <w:color w:val="auto"/>
          <w:lang w:val="en-US" w:eastAsia="zh-CN"/>
        </w:rPr>
        <w:t>厂内共设5个PLC控制站：根据现场电控设备的布置和工艺功能，每个部分分别设置PLC站进行控制，其功能是完成其区域内的工艺设备的控制功能：磁介质混凝反应器、PAM制备加药装置、孔板格栅、除臭系统和高级氧化为第三方成套设备厂家成套的工艺包或设备，由设备厂家配置PLC控制系统完成其设备或工艺包的控制功能。</w:t>
      </w:r>
    </w:p>
    <w:p w14:paraId="6D94E3BE">
      <w:pPr>
        <w:pStyle w:val="5"/>
        <w:pageBreakBefore w:val="0"/>
        <w:wordWrap/>
        <w:bidi w:val="0"/>
        <w:adjustRightInd/>
        <w:snapToGrid/>
        <w:spacing w:before="62" w:after="62"/>
        <w:ind w:left="0"/>
        <w:rPr>
          <w:rFonts w:hint="default"/>
          <w:b/>
          <w:bCs/>
          <w:color w:val="auto"/>
          <w:lang w:val="en-US" w:eastAsia="zh-CN"/>
        </w:rPr>
      </w:pPr>
      <w:r>
        <w:rPr>
          <w:rFonts w:hint="eastAsia" w:eastAsia="宋体"/>
          <w:color w:val="auto"/>
        </w:rPr>
        <w:t xml:space="preserve"> </w:t>
      </w:r>
      <w:r>
        <w:rPr>
          <w:rFonts w:hint="eastAsia"/>
          <w:b/>
          <w:bCs/>
          <w:color w:val="auto"/>
          <w:lang w:val="en-US" w:eastAsia="zh-CN"/>
        </w:rPr>
        <w:t>劳动定员及工作制度</w:t>
      </w:r>
    </w:p>
    <w:p w14:paraId="42479DF0">
      <w:pPr>
        <w:pageBreakBefore w:val="0"/>
        <w:wordWrap/>
        <w:bidi w:val="0"/>
        <w:adjustRightInd/>
        <w:snapToGrid/>
        <w:rPr>
          <w:color w:val="auto"/>
        </w:rPr>
      </w:pPr>
      <w:r>
        <w:rPr>
          <w:color w:val="auto"/>
        </w:rPr>
        <w:t>劳动定员</w:t>
      </w:r>
      <w:r>
        <w:rPr>
          <w:rFonts w:hint="eastAsia"/>
          <w:color w:val="auto"/>
          <w:lang w:eastAsia="zh-CN"/>
        </w:rPr>
        <w:t>：</w:t>
      </w:r>
      <w:r>
        <w:rPr>
          <w:color w:val="auto"/>
        </w:rPr>
        <w:t>本项目定员</w:t>
      </w:r>
      <w:r>
        <w:rPr>
          <w:rFonts w:hint="eastAsia"/>
          <w:color w:val="auto"/>
          <w:lang w:val="en-US" w:eastAsia="zh-CN"/>
        </w:rPr>
        <w:t>18</w:t>
      </w:r>
      <w:r>
        <w:rPr>
          <w:color w:val="auto"/>
        </w:rPr>
        <w:t>人，包括管理、技术、生产岗位。</w:t>
      </w:r>
    </w:p>
    <w:p w14:paraId="5BDB3C98">
      <w:pPr>
        <w:pageBreakBefore w:val="0"/>
        <w:wordWrap/>
        <w:bidi w:val="0"/>
        <w:adjustRightInd/>
        <w:snapToGrid/>
        <w:rPr>
          <w:color w:val="auto"/>
        </w:rPr>
      </w:pPr>
      <w:r>
        <w:rPr>
          <w:rFonts w:hint="eastAsia"/>
          <w:color w:val="auto"/>
          <w:lang w:val="en-US" w:eastAsia="zh-CN"/>
        </w:rPr>
        <w:t>工作制度：</w:t>
      </w:r>
      <w:r>
        <w:rPr>
          <w:color w:val="auto"/>
        </w:rPr>
        <w:t>项目全年运行时间为365天，每天24小时运行。</w:t>
      </w:r>
    </w:p>
    <w:p w14:paraId="6D4B49BF">
      <w:pPr>
        <w:pStyle w:val="5"/>
        <w:pageBreakBefore w:val="0"/>
        <w:wordWrap/>
        <w:bidi w:val="0"/>
        <w:adjustRightInd/>
        <w:snapToGrid/>
        <w:spacing w:before="62" w:after="62"/>
        <w:ind w:left="0"/>
        <w:rPr>
          <w:color w:val="auto"/>
        </w:rPr>
      </w:pPr>
      <w:r>
        <w:rPr>
          <w:rFonts w:hint="eastAsia" w:eastAsia="宋体"/>
          <w:color w:val="auto"/>
        </w:rPr>
        <w:t xml:space="preserve"> </w:t>
      </w:r>
      <w:r>
        <w:rPr>
          <w:color w:val="auto"/>
        </w:rPr>
        <w:t>建设工期</w:t>
      </w:r>
    </w:p>
    <w:p w14:paraId="47506673">
      <w:pPr>
        <w:pageBreakBefore w:val="0"/>
        <w:wordWrap/>
        <w:bidi w:val="0"/>
        <w:adjustRightInd/>
        <w:snapToGrid/>
        <w:rPr>
          <w:rFonts w:hint="eastAsia"/>
          <w:color w:val="auto"/>
        </w:rPr>
      </w:pPr>
      <w:r>
        <w:rPr>
          <w:rFonts w:hint="eastAsia"/>
          <w:color w:val="auto"/>
        </w:rPr>
        <w:t>前期阶段：2024年6月前，完成前期准备工作。</w:t>
      </w:r>
    </w:p>
    <w:p w14:paraId="0D91DD28">
      <w:pPr>
        <w:pageBreakBefore w:val="0"/>
        <w:wordWrap/>
        <w:bidi w:val="0"/>
        <w:adjustRightInd/>
        <w:snapToGrid/>
        <w:rPr>
          <w:rFonts w:hint="eastAsia"/>
          <w:color w:val="auto"/>
        </w:rPr>
      </w:pPr>
      <w:r>
        <w:rPr>
          <w:rFonts w:hint="eastAsia"/>
          <w:color w:val="auto"/>
        </w:rPr>
        <w:t>施工阶段：2024年6月-2026年4月，完成施工建设工程。</w:t>
      </w:r>
    </w:p>
    <w:p w14:paraId="7029CA8E">
      <w:pPr>
        <w:pageBreakBefore w:val="0"/>
        <w:wordWrap/>
        <w:bidi w:val="0"/>
        <w:adjustRightInd/>
        <w:snapToGrid/>
        <w:rPr>
          <w:rFonts w:hint="eastAsia"/>
          <w:color w:val="auto"/>
        </w:rPr>
      </w:pPr>
      <w:r>
        <w:rPr>
          <w:rFonts w:hint="eastAsia"/>
          <w:color w:val="auto"/>
        </w:rPr>
        <w:t>验收阶段：2026年5月，竣工验收，并投入使用。</w:t>
      </w:r>
    </w:p>
    <w:p w14:paraId="328BBFCC">
      <w:pPr>
        <w:pStyle w:val="4"/>
        <w:bidi w:val="0"/>
        <w:rPr>
          <w:color w:val="auto"/>
        </w:rPr>
      </w:pPr>
      <w:r>
        <w:rPr>
          <w:rFonts w:hint="eastAsia"/>
          <w:color w:val="auto"/>
        </w:rPr>
        <w:t xml:space="preserve"> </w:t>
      </w:r>
      <w:bookmarkEnd w:id="76"/>
      <w:bookmarkStart w:id="79" w:name="_Toc20548"/>
      <w:r>
        <w:rPr>
          <w:rFonts w:hint="eastAsia"/>
          <w:color w:val="auto"/>
          <w:lang w:val="en-US" w:eastAsia="zh-CN"/>
        </w:rPr>
        <w:t>相关合理性分析</w:t>
      </w:r>
      <w:bookmarkEnd w:id="79"/>
    </w:p>
    <w:p w14:paraId="118F0EE1">
      <w:pPr>
        <w:pStyle w:val="5"/>
        <w:pageBreakBefore w:val="0"/>
        <w:wordWrap/>
        <w:bidi w:val="0"/>
        <w:adjustRightInd/>
        <w:snapToGrid/>
        <w:rPr>
          <w:rFonts w:hint="eastAsia"/>
          <w:color w:val="auto"/>
          <w:lang w:val="en-US" w:eastAsia="zh-CN"/>
        </w:rPr>
      </w:pPr>
      <w:r>
        <w:rPr>
          <w:rFonts w:hint="eastAsia"/>
          <w:color w:val="auto"/>
          <w:lang w:val="en-US" w:eastAsia="zh-CN"/>
        </w:rPr>
        <w:t xml:space="preserve"> 项目总平面布置的合理性分析</w:t>
      </w:r>
    </w:p>
    <w:p w14:paraId="1D750542">
      <w:pPr>
        <w:pageBreakBefore w:val="0"/>
        <w:wordWrap/>
        <w:bidi w:val="0"/>
        <w:adjustRightInd/>
        <w:snapToGrid/>
        <w:rPr>
          <w:rFonts w:hint="default" w:eastAsia="宋体"/>
          <w:b/>
          <w:bCs/>
          <w:color w:val="auto"/>
          <w:lang w:val="en-US" w:eastAsia="zh-CN"/>
        </w:rPr>
      </w:pPr>
      <w:r>
        <w:rPr>
          <w:rFonts w:hint="eastAsia"/>
          <w:b/>
          <w:bCs/>
          <w:color w:val="auto"/>
          <w:lang w:val="en-US" w:eastAsia="zh-CN"/>
        </w:rPr>
        <w:t>1、污水处理厂总平面布置合理性</w:t>
      </w:r>
    </w:p>
    <w:p w14:paraId="1ECF42D6">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总平面布置</w:t>
      </w:r>
    </w:p>
    <w:p w14:paraId="5FA88C4B">
      <w:pPr>
        <w:pageBreakBefore w:val="0"/>
        <w:wordWrap/>
        <w:bidi w:val="0"/>
        <w:adjustRightInd/>
        <w:snapToGrid/>
        <w:rPr>
          <w:rFonts w:hint="eastAsia"/>
          <w:color w:val="auto"/>
        </w:rPr>
      </w:pPr>
      <w:r>
        <w:rPr>
          <w:rFonts w:hint="eastAsia"/>
          <w:color w:val="auto"/>
        </w:rPr>
        <w:t>本工程布置的主要有</w:t>
      </w:r>
      <w:r>
        <w:rPr>
          <w:rFonts w:hint="eastAsia"/>
          <w:color w:val="auto"/>
          <w:lang w:eastAsia="zh-CN"/>
        </w:rPr>
        <w:t>污水处理厂</w:t>
      </w:r>
      <w:r>
        <w:rPr>
          <w:rFonts w:hint="eastAsia"/>
          <w:color w:val="auto"/>
        </w:rPr>
        <w:t>调节池-应急事故池、超细格栅、高级氧化预处理、水解酸化池及生化池、反硝化深床滤池、污泥脱水车间-磁混凝沉淀池、高级氧化深度处理、紫外线消毒-出水计量渠、污泥池、园区应急事故池、除臭设备、回用水池及泵房、变配电室及鼓风机房、进出水在线监测间、机修间及危废间、综合楼、值班室、门卫室。具体有关尺寸见总平面布置图及土建结构图。</w:t>
      </w:r>
    </w:p>
    <w:p w14:paraId="7754B289">
      <w:pPr>
        <w:pageBreakBefore w:val="0"/>
        <w:wordWrap/>
        <w:bidi w:val="0"/>
        <w:adjustRightInd/>
        <w:snapToGrid/>
        <w:rPr>
          <w:rFonts w:hint="eastAsia" w:eastAsia="宋体"/>
          <w:color w:val="auto"/>
          <w:lang w:eastAsia="zh-CN"/>
        </w:rPr>
      </w:pPr>
      <w:r>
        <w:rPr>
          <w:rFonts w:hint="eastAsia"/>
          <w:color w:val="auto"/>
        </w:rPr>
        <w:t>结合工艺要求，进水口设置于西侧围墙，出水设置于西南角，场地主要划分为五个区域，其中进水分配井、粗格栅及提升泵房、细格栅间及曝气沉砂池、水解酸化池、</w:t>
      </w:r>
      <w:r>
        <w:rPr>
          <w:rFonts w:hint="eastAsia"/>
          <w:color w:val="auto"/>
          <w:lang w:val="en-US" w:eastAsia="zh-CN"/>
        </w:rPr>
        <w:t>生化池</w:t>
      </w:r>
      <w:r>
        <w:rPr>
          <w:rFonts w:hint="eastAsia"/>
          <w:color w:val="auto"/>
        </w:rPr>
        <w:t>、二沉池、二沉池配水井及污泥泵房为第一个区域，调节池及提升泵房、</w:t>
      </w:r>
      <w:r>
        <w:rPr>
          <w:rFonts w:hint="eastAsia"/>
          <w:color w:val="auto"/>
          <w:lang w:eastAsia="zh-CN"/>
        </w:rPr>
        <w:t>磁混凝沉淀池</w:t>
      </w:r>
      <w:r>
        <w:rPr>
          <w:rFonts w:hint="eastAsia"/>
          <w:color w:val="auto"/>
        </w:rPr>
        <w:t>、滤布滤池、污泥贮池、污泥脱水间、鼓风机房、加药间、生物除臭间、变配电室等为第二个区域，辅助设备间、出水在线监测间、热力站、接触消毒池、出水计量槽等为第三个区域，综合办公楼、食堂及宿舍为第四个区域，出进水在线监测间、预留绿化区为第五个区域。五个区域由道路分割而成</w:t>
      </w:r>
      <w:r>
        <w:rPr>
          <w:rFonts w:hint="eastAsia"/>
          <w:color w:val="auto"/>
          <w:lang w:eastAsia="zh-CN"/>
        </w:rPr>
        <w:t>，</w:t>
      </w:r>
      <w:r>
        <w:rPr>
          <w:rFonts w:hint="eastAsia"/>
          <w:color w:val="auto"/>
        </w:rPr>
        <w:t>各自区域内建、构筑物呈南北向或东西向平行布置</w:t>
      </w:r>
      <w:r>
        <w:rPr>
          <w:rFonts w:hint="eastAsia"/>
          <w:color w:val="auto"/>
          <w:lang w:eastAsia="zh-CN"/>
        </w:rPr>
        <w:t>并在</w:t>
      </w:r>
      <w:r>
        <w:rPr>
          <w:rFonts w:hint="eastAsia"/>
          <w:color w:val="auto"/>
        </w:rPr>
        <w:t>第四区域内布置停车场以满足临时停车及员工上班停车需要，具体布置详见总平面布置图</w:t>
      </w:r>
      <w:r>
        <w:rPr>
          <w:rFonts w:hint="eastAsia"/>
          <w:color w:val="auto"/>
          <w:lang w:eastAsia="zh-CN"/>
        </w:rPr>
        <w:t>。</w:t>
      </w:r>
    </w:p>
    <w:p w14:paraId="3963D689">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竖向设计</w:t>
      </w:r>
    </w:p>
    <w:p w14:paraId="723E5C58">
      <w:pPr>
        <w:pageBreakBefore w:val="0"/>
        <w:wordWrap/>
        <w:bidi w:val="0"/>
        <w:adjustRightInd/>
        <w:snapToGrid/>
        <w:rPr>
          <w:color w:val="auto"/>
        </w:rPr>
      </w:pPr>
      <w:r>
        <w:rPr>
          <w:rFonts w:hint="eastAsia"/>
          <w:color w:val="auto"/>
        </w:rPr>
        <w:t>结合场地现状竖向，整个厂区整体呈一个台地，台地东北角高，西南角低，场地竖向坡度东西向为3%</w:t>
      </w:r>
      <w:r>
        <w:rPr>
          <w:rFonts w:hint="eastAsia"/>
          <w:color w:val="auto"/>
          <w:lang w:eastAsia="zh-CN"/>
        </w:rPr>
        <w:t>～</w:t>
      </w:r>
      <w:r>
        <w:rPr>
          <w:rFonts w:hint="eastAsia"/>
          <w:color w:val="auto"/>
        </w:rPr>
        <w:t>1.37%</w:t>
      </w:r>
      <w:r>
        <w:rPr>
          <w:rFonts w:hint="eastAsia"/>
          <w:color w:val="auto"/>
          <w:lang w:eastAsia="zh-CN"/>
        </w:rPr>
        <w:t>，</w:t>
      </w:r>
      <w:r>
        <w:rPr>
          <w:rFonts w:hint="eastAsia"/>
          <w:color w:val="auto"/>
        </w:rPr>
        <w:t>南北向坡度为3%。场平最大设计标高为1420.20m</w:t>
      </w:r>
      <w:r>
        <w:rPr>
          <w:rFonts w:hint="eastAsia"/>
          <w:color w:val="auto"/>
          <w:lang w:eastAsia="zh-CN"/>
        </w:rPr>
        <w:t>，</w:t>
      </w:r>
      <w:r>
        <w:rPr>
          <w:rFonts w:hint="eastAsia"/>
          <w:color w:val="auto"/>
        </w:rPr>
        <w:t>最小设计标高为1418.20m。建筑物室内地坪与室外场坪之间高差0.15m</w:t>
      </w:r>
      <w:r>
        <w:rPr>
          <w:rFonts w:hint="eastAsia"/>
          <w:color w:val="auto"/>
          <w:lang w:eastAsia="zh-CN"/>
        </w:rPr>
        <w:t>～</w:t>
      </w:r>
      <w:r>
        <w:rPr>
          <w:rFonts w:hint="eastAsia"/>
          <w:color w:val="auto"/>
        </w:rPr>
        <w:t>0.45m。</w:t>
      </w:r>
    </w:p>
    <w:p w14:paraId="6117EE6D">
      <w:pPr>
        <w:pageBreakBefore w:val="0"/>
        <w:wordWrap/>
        <w:bidi w:val="0"/>
        <w:adjustRightInd/>
        <w:snapToGrid/>
        <w:rPr>
          <w:color w:val="auto"/>
        </w:rPr>
      </w:pPr>
      <w:r>
        <w:rPr>
          <w:rFonts w:hint="eastAsia"/>
          <w:color w:val="auto"/>
        </w:rPr>
        <w:t>综上所述，本项目污水处理厂在横向设计上布局合理紧凑，分区明确，在竖向设计上也结合自然地形高程分布，尽量使废水在各构筑物间实现重力流，总图已从环境角度优化，对外环境影响不明显。项目总图布置从环保角度可行。</w:t>
      </w:r>
    </w:p>
    <w:p w14:paraId="212487F5">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hint="eastAsia" w:eastAsia="宋体"/>
          <w:color w:val="auto"/>
          <w:lang w:val="en-US" w:eastAsia="zh-CN"/>
        </w:rPr>
        <w:t>污水处理厂设计规模的合理性分析</w:t>
      </w:r>
    </w:p>
    <w:p w14:paraId="69FEDE4C">
      <w:pPr>
        <w:pageBreakBefore w:val="0"/>
        <w:wordWrap/>
        <w:bidi w:val="0"/>
        <w:adjustRightInd/>
        <w:snapToGrid/>
        <w:ind w:firstLine="480"/>
        <w:rPr>
          <w:color w:val="auto"/>
        </w:rPr>
      </w:pPr>
      <w:r>
        <w:rPr>
          <w:color w:val="auto"/>
        </w:rPr>
        <w:t>据</w:t>
      </w:r>
      <w:r>
        <w:rPr>
          <w:rFonts w:hint="eastAsia"/>
          <w:color w:val="auto"/>
          <w:lang w:eastAsia="zh-CN"/>
        </w:rPr>
        <w:t>《</w:t>
      </w:r>
      <w:r>
        <w:rPr>
          <w:rFonts w:hint="eastAsia"/>
          <w:color w:val="auto"/>
          <w:lang w:val="en-US" w:eastAsia="zh-CN"/>
        </w:rPr>
        <w:t>四川巴中经济开发区规划修编环境影响报告书</w:t>
      </w:r>
      <w:r>
        <w:rPr>
          <w:rFonts w:hint="eastAsia"/>
          <w:color w:val="auto"/>
          <w:lang w:eastAsia="zh-CN"/>
        </w:rPr>
        <w:t>》</w:t>
      </w:r>
      <w:r>
        <w:rPr>
          <w:rFonts w:hint="eastAsia"/>
          <w:color w:val="auto"/>
          <w:lang w:val="en-US" w:eastAsia="zh-CN"/>
        </w:rPr>
        <w:t>和</w:t>
      </w:r>
      <w:r>
        <w:rPr>
          <w:color w:val="auto"/>
        </w:rPr>
        <w:t>项目</w:t>
      </w:r>
      <w:r>
        <w:rPr>
          <w:rFonts w:hint="eastAsia"/>
          <w:color w:val="auto"/>
          <w:lang w:val="en-US" w:eastAsia="zh-CN"/>
        </w:rPr>
        <w:t>初设</w:t>
      </w:r>
      <w:r>
        <w:rPr>
          <w:color w:val="auto"/>
        </w:rPr>
        <w:t>可知，本工程服务范围为</w:t>
      </w:r>
      <w:r>
        <w:rPr>
          <w:rFonts w:hint="eastAsia"/>
          <w:color w:val="auto"/>
          <w:lang w:val="en-US" w:eastAsia="zh-CN"/>
        </w:rPr>
        <w:t>四川巴中经济开发区-曾口区块</w:t>
      </w:r>
      <w:r>
        <w:rPr>
          <w:color w:val="auto"/>
        </w:rPr>
        <w:t>，</w:t>
      </w:r>
      <w:r>
        <w:rPr>
          <w:rFonts w:hint="eastAsia"/>
          <w:color w:val="auto"/>
          <w:lang w:val="en-US" w:eastAsia="zh-CN"/>
        </w:rPr>
        <w:t>规划区块未规划居住人口，</w:t>
      </w:r>
      <w:r>
        <w:rPr>
          <w:rFonts w:hint="eastAsia"/>
          <w:color w:val="auto"/>
        </w:rPr>
        <w:t>本工程主要解决巴中经开化工园区</w:t>
      </w:r>
      <w:r>
        <w:rPr>
          <w:rFonts w:hint="eastAsia"/>
          <w:color w:val="auto"/>
          <w:lang w:val="en-US" w:eastAsia="zh-CN"/>
        </w:rPr>
        <w:t>-</w:t>
      </w:r>
      <w:r>
        <w:rPr>
          <w:rFonts w:hint="eastAsia"/>
          <w:color w:val="auto"/>
        </w:rPr>
        <w:t>曾口片区的工业污水处理</w:t>
      </w:r>
      <w:r>
        <w:rPr>
          <w:rFonts w:hint="eastAsia"/>
          <w:color w:val="auto"/>
          <w:lang w:eastAsia="zh-CN"/>
        </w:rPr>
        <w:t>，</w:t>
      </w:r>
      <w:r>
        <w:rPr>
          <w:rFonts w:hint="eastAsia"/>
          <w:color w:val="auto"/>
        </w:rPr>
        <w:t>工程设计应按远期规划</w:t>
      </w:r>
      <w:r>
        <w:rPr>
          <w:rFonts w:hint="eastAsia"/>
          <w:color w:val="auto"/>
          <w:lang w:eastAsia="zh-CN"/>
        </w:rPr>
        <w:t>、</w:t>
      </w:r>
      <w:r>
        <w:rPr>
          <w:rFonts w:hint="eastAsia"/>
          <w:color w:val="auto"/>
        </w:rPr>
        <w:t>近远期结合</w:t>
      </w:r>
      <w:r>
        <w:rPr>
          <w:rFonts w:hint="eastAsia"/>
          <w:color w:val="auto"/>
          <w:lang w:eastAsia="zh-CN"/>
        </w:rPr>
        <w:t>、</w:t>
      </w:r>
      <w:r>
        <w:rPr>
          <w:rFonts w:hint="eastAsia"/>
          <w:color w:val="auto"/>
        </w:rPr>
        <w:t>以近期为主的原则</w:t>
      </w:r>
      <w:r>
        <w:rPr>
          <w:color w:val="auto"/>
        </w:rPr>
        <w:t>。</w:t>
      </w:r>
    </w:p>
    <w:p w14:paraId="0A3FFDFF">
      <w:pPr>
        <w:pageBreakBefore w:val="0"/>
        <w:wordWrap/>
        <w:bidi w:val="0"/>
        <w:adjustRightInd/>
        <w:snapToGrid/>
        <w:ind w:firstLine="480"/>
        <w:rPr>
          <w:rFonts w:hint="eastAsia"/>
          <w:color w:val="auto"/>
          <w:lang w:eastAsia="zh-CN"/>
        </w:rPr>
      </w:pPr>
      <w:r>
        <w:rPr>
          <w:rFonts w:hint="eastAsia"/>
          <w:color w:val="auto"/>
        </w:rPr>
        <w:t>巴中经开化工园区总体规划的规划期限为2022年</w:t>
      </w:r>
      <w:r>
        <w:rPr>
          <w:rFonts w:hint="eastAsia"/>
          <w:color w:val="auto"/>
          <w:lang w:val="en-US" w:eastAsia="zh-CN"/>
        </w:rPr>
        <w:t>-</w:t>
      </w:r>
      <w:r>
        <w:rPr>
          <w:rFonts w:hint="eastAsia"/>
          <w:color w:val="auto"/>
        </w:rPr>
        <w:t>2035年</w:t>
      </w:r>
      <w:r>
        <w:rPr>
          <w:rFonts w:hint="eastAsia"/>
          <w:color w:val="auto"/>
          <w:lang w:eastAsia="zh-CN"/>
        </w:rPr>
        <w:t>，</w:t>
      </w:r>
      <w:r>
        <w:rPr>
          <w:rFonts w:hint="eastAsia"/>
          <w:color w:val="auto"/>
        </w:rPr>
        <w:t>其中近期2022-2025年</w:t>
      </w:r>
      <w:r>
        <w:rPr>
          <w:rFonts w:hint="eastAsia"/>
          <w:color w:val="auto"/>
          <w:lang w:eastAsia="zh-CN"/>
        </w:rPr>
        <w:t>，</w:t>
      </w:r>
      <w:r>
        <w:rPr>
          <w:rFonts w:hint="eastAsia"/>
          <w:color w:val="auto"/>
        </w:rPr>
        <w:t>远期2026-2035年</w:t>
      </w:r>
      <w:r>
        <w:rPr>
          <w:rFonts w:hint="eastAsia"/>
          <w:color w:val="auto"/>
          <w:lang w:eastAsia="zh-CN"/>
        </w:rPr>
        <w:t>。产业园区分期统一规划建设公用污水处理厂，做到一次规划、逐步开发、分期建设、滚动发展，本污水处理厂一次规划，分三期逐步建设。</w:t>
      </w:r>
    </w:p>
    <w:p w14:paraId="4833258B">
      <w:pPr>
        <w:pStyle w:val="2"/>
        <w:pageBreakBefore w:val="0"/>
        <w:wordWrap/>
        <w:bidi w:val="0"/>
        <w:adjustRightInd/>
        <w:snapToGrid/>
        <w:ind w:firstLine="0" w:firstLineChars="0"/>
        <w:rPr>
          <w:b/>
          <w:bCs/>
          <w:color w:val="auto"/>
          <w:sz w:val="24"/>
        </w:rPr>
      </w:pPr>
      <w:r>
        <w:rPr>
          <w:b/>
          <w:bCs/>
          <w:color w:val="auto"/>
          <w:sz w:val="24"/>
        </w:rPr>
        <w:t>2.</w:t>
      </w:r>
      <w:r>
        <w:rPr>
          <w:rFonts w:hint="eastAsia"/>
          <w:b/>
          <w:bCs/>
          <w:color w:val="auto"/>
          <w:sz w:val="24"/>
          <w:lang w:val="en-US" w:eastAsia="zh-CN"/>
        </w:rPr>
        <w:t>2</w:t>
      </w:r>
      <w:r>
        <w:rPr>
          <w:b/>
          <w:bCs/>
          <w:color w:val="auto"/>
          <w:sz w:val="24"/>
        </w:rPr>
        <w:t>.2.</w:t>
      </w:r>
      <w:r>
        <w:rPr>
          <w:rFonts w:hint="eastAsia"/>
          <w:b/>
          <w:bCs/>
          <w:color w:val="auto"/>
          <w:sz w:val="24"/>
          <w:lang w:eastAsia="zh-CN"/>
        </w:rPr>
        <w:t>1</w:t>
      </w:r>
      <w:r>
        <w:rPr>
          <w:rFonts w:hint="eastAsia"/>
          <w:b/>
          <w:bCs/>
          <w:color w:val="auto"/>
          <w:sz w:val="24"/>
        </w:rPr>
        <w:t>排水分区</w:t>
      </w:r>
      <w:r>
        <w:rPr>
          <w:b/>
          <w:bCs/>
          <w:color w:val="auto"/>
          <w:sz w:val="24"/>
        </w:rPr>
        <w:t>内污水量预测</w:t>
      </w:r>
    </w:p>
    <w:p w14:paraId="6ACBE163">
      <w:pPr>
        <w:pageBreakBefore w:val="0"/>
        <w:wordWrap/>
        <w:bidi w:val="0"/>
        <w:adjustRightInd/>
        <w:snapToGrid/>
        <w:rPr>
          <w:rFonts w:hint="default"/>
          <w:color w:val="auto"/>
          <w:lang w:val="en-US" w:eastAsia="zh-CN"/>
        </w:rPr>
      </w:pPr>
      <w:r>
        <w:rPr>
          <w:rFonts w:hint="eastAsia"/>
          <w:color w:val="auto"/>
          <w:lang w:val="en-US" w:eastAsia="zh-CN"/>
        </w:rPr>
        <w:t>根据《四川巴中经济开发区规划修编环境影响报告书》和《巴中市巴州区曾口片区污水处理厂、环境监测站建设项目可行性研究报告》，曾口区块未规划居住人口，生活污水产生量为0m³/d，本污水处理厂主要考虑工业废水。</w:t>
      </w:r>
    </w:p>
    <w:p w14:paraId="3059DBFC">
      <w:pPr>
        <w:pageBreakBefore w:val="0"/>
        <w:wordWrap/>
        <w:bidi w:val="0"/>
        <w:adjustRightInd/>
        <w:snapToGrid/>
        <w:rPr>
          <w:rFonts w:hint="default" w:eastAsia="宋体"/>
          <w:color w:val="auto"/>
          <w:lang w:val="en-US" w:eastAsia="zh-CN"/>
        </w:rPr>
      </w:pPr>
      <w:r>
        <w:rPr>
          <w:rFonts w:hint="eastAsia"/>
          <w:color w:val="auto"/>
          <w:lang w:val="en-US" w:eastAsia="zh-CN"/>
        </w:rPr>
        <w:t>根据《巴中市巴州区曾口片区污水处理厂、环境监测站建设项目初步设计说明书》，废水产生量预测如下。</w:t>
      </w:r>
    </w:p>
    <w:p w14:paraId="2A5763C1">
      <w:pPr>
        <w:pageBreakBefore w:val="0"/>
        <w:wordWrap/>
        <w:bidi w:val="0"/>
        <w:adjustRightInd/>
        <w:snapToGrid/>
        <w:rPr>
          <w:rFonts w:hint="eastAsia" w:eastAsia="宋体"/>
          <w:b/>
          <w:bCs/>
          <w:color w:val="auto"/>
          <w:lang w:val="en-US" w:eastAsia="zh-CN"/>
        </w:rPr>
      </w:pPr>
      <w:r>
        <w:rPr>
          <w:rFonts w:hint="eastAsia"/>
          <w:b/>
          <w:bCs/>
          <w:color w:val="auto"/>
          <w:lang w:val="en-US" w:eastAsia="zh-CN"/>
        </w:rPr>
        <w:t>1、工业废水量预测</w:t>
      </w:r>
    </w:p>
    <w:p w14:paraId="6958D01D">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给水量预测</w:t>
      </w:r>
    </w:p>
    <w:p w14:paraId="13ED25A4">
      <w:pPr>
        <w:pageBreakBefore w:val="0"/>
        <w:wordWrap/>
        <w:bidi w:val="0"/>
        <w:adjustRightInd/>
        <w:snapToGrid/>
        <w:rPr>
          <w:rFonts w:hint="eastAsia"/>
          <w:color w:val="auto"/>
          <w:lang w:eastAsia="zh-CN"/>
        </w:rPr>
      </w:pPr>
      <w:r>
        <w:rPr>
          <w:rFonts w:hint="eastAsia"/>
          <w:color w:val="auto"/>
        </w:rPr>
        <w:t>参考</w:t>
      </w:r>
      <w:r>
        <w:rPr>
          <w:rFonts w:hint="eastAsia"/>
          <w:color w:val="auto"/>
          <w:lang w:eastAsia="zh-CN"/>
        </w:rPr>
        <w:t>《</w:t>
      </w:r>
      <w:r>
        <w:rPr>
          <w:rFonts w:hint="eastAsia"/>
          <w:color w:val="auto"/>
        </w:rPr>
        <w:t>城市给水工程规划规范</w:t>
      </w:r>
      <w:r>
        <w:rPr>
          <w:rFonts w:hint="eastAsia"/>
          <w:color w:val="auto"/>
          <w:lang w:eastAsia="zh-CN"/>
        </w:rPr>
        <w:t>》（</w:t>
      </w:r>
      <w:r>
        <w:rPr>
          <w:rFonts w:hint="eastAsia"/>
          <w:color w:val="auto"/>
        </w:rPr>
        <w:t>GB50282-2016</w:t>
      </w:r>
      <w:r>
        <w:rPr>
          <w:rFonts w:hint="eastAsia"/>
          <w:color w:val="auto"/>
          <w:lang w:eastAsia="zh-CN"/>
        </w:rPr>
        <w:t>），</w:t>
      </w:r>
      <w:r>
        <w:rPr>
          <w:rFonts w:hint="eastAsia"/>
          <w:color w:val="auto"/>
        </w:rPr>
        <w:t>单项建设用地用水指标最高值计算规划区用水量</w:t>
      </w:r>
      <w:r>
        <w:rPr>
          <w:rFonts w:hint="eastAsia"/>
          <w:color w:val="auto"/>
          <w:lang w:eastAsia="zh-CN"/>
        </w:rPr>
        <w:t>，</w:t>
      </w:r>
      <w:r>
        <w:rPr>
          <w:rFonts w:hint="eastAsia"/>
          <w:color w:val="auto"/>
        </w:rPr>
        <w:t>见下表</w:t>
      </w:r>
      <w:r>
        <w:rPr>
          <w:rFonts w:hint="eastAsia"/>
          <w:color w:val="auto"/>
          <w:lang w:eastAsia="zh-CN"/>
        </w:rPr>
        <w:t>。</w:t>
      </w:r>
    </w:p>
    <w:p w14:paraId="7EC8AAF4">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规划区用水及排水量预测情况</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73"/>
        <w:gridCol w:w="2239"/>
        <w:gridCol w:w="1273"/>
        <w:gridCol w:w="1623"/>
        <w:gridCol w:w="975"/>
        <w:gridCol w:w="976"/>
      </w:tblGrid>
      <w:tr w14:paraId="52192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tcBorders>
              <w:tl2br w:val="nil"/>
              <w:tr2bl w:val="nil"/>
            </w:tcBorders>
            <w:noWrap w:val="0"/>
            <w:vAlign w:val="center"/>
          </w:tcPr>
          <w:p w14:paraId="3F25ADEE">
            <w:pPr>
              <w:pStyle w:val="12"/>
              <w:pageBreakBefore w:val="0"/>
              <w:wordWrap/>
              <w:bidi w:val="0"/>
              <w:adjustRightInd/>
              <w:snapToGrid/>
              <w:rPr>
                <w:rFonts w:hint="eastAsia"/>
                <w:b/>
                <w:bCs/>
                <w:color w:val="auto"/>
                <w:sz w:val="21"/>
                <w:szCs w:val="21"/>
                <w:lang w:val="en-US" w:eastAsia="zh-CN"/>
              </w:rPr>
            </w:pPr>
            <w:r>
              <w:rPr>
                <w:rFonts w:hint="eastAsia"/>
                <w:b/>
                <w:bCs/>
                <w:color w:val="auto"/>
                <w:sz w:val="21"/>
                <w:szCs w:val="21"/>
                <w:lang w:val="en-US" w:eastAsia="zh-CN"/>
              </w:rPr>
              <w:t>规划片区</w:t>
            </w:r>
          </w:p>
        </w:tc>
        <w:tc>
          <w:tcPr>
            <w:tcW w:w="1338" w:type="pct"/>
            <w:tcBorders>
              <w:tl2br w:val="nil"/>
              <w:tr2bl w:val="nil"/>
            </w:tcBorders>
            <w:noWrap w:val="0"/>
            <w:vAlign w:val="center"/>
          </w:tcPr>
          <w:p w14:paraId="1958AB33">
            <w:pPr>
              <w:pStyle w:val="12"/>
              <w:pageBreakBefore w:val="0"/>
              <w:wordWrap/>
              <w:bidi w:val="0"/>
              <w:adjustRightInd/>
              <w:snapToGrid/>
              <w:rPr>
                <w:b/>
                <w:bCs/>
                <w:color w:val="auto"/>
                <w:sz w:val="21"/>
                <w:szCs w:val="21"/>
              </w:rPr>
            </w:pPr>
            <w:r>
              <w:rPr>
                <w:rFonts w:hint="eastAsia"/>
                <w:b/>
                <w:bCs/>
                <w:color w:val="auto"/>
                <w:sz w:val="21"/>
                <w:szCs w:val="21"/>
              </w:rPr>
              <w:t>用地类型</w:t>
            </w:r>
          </w:p>
        </w:tc>
        <w:tc>
          <w:tcPr>
            <w:tcW w:w="761" w:type="pct"/>
            <w:tcBorders>
              <w:tl2br w:val="nil"/>
              <w:tr2bl w:val="nil"/>
            </w:tcBorders>
            <w:noWrap w:val="0"/>
            <w:vAlign w:val="center"/>
          </w:tcPr>
          <w:p w14:paraId="2D47C059">
            <w:pPr>
              <w:pStyle w:val="12"/>
              <w:pageBreakBefore w:val="0"/>
              <w:wordWrap/>
              <w:bidi w:val="0"/>
              <w:adjustRightInd/>
              <w:snapToGrid/>
              <w:rPr>
                <w:rFonts w:hint="eastAsia" w:eastAsia="宋体"/>
                <w:b/>
                <w:bCs/>
                <w:color w:val="auto"/>
                <w:sz w:val="21"/>
                <w:szCs w:val="21"/>
                <w:lang w:eastAsia="zh-CN"/>
              </w:rPr>
            </w:pPr>
            <w:r>
              <w:rPr>
                <w:rFonts w:hint="eastAsia"/>
                <w:b/>
                <w:bCs/>
                <w:color w:val="auto"/>
                <w:sz w:val="21"/>
                <w:szCs w:val="21"/>
              </w:rPr>
              <w:t>用地面积</w:t>
            </w:r>
            <w:r>
              <w:rPr>
                <w:rFonts w:hint="eastAsia"/>
                <w:b/>
                <w:bCs/>
                <w:color w:val="auto"/>
                <w:sz w:val="21"/>
                <w:szCs w:val="21"/>
                <w:lang w:eastAsia="zh-CN"/>
              </w:rPr>
              <w:t>（</w:t>
            </w:r>
            <w:r>
              <w:rPr>
                <w:rFonts w:hint="eastAsia"/>
                <w:b/>
                <w:bCs/>
                <w:color w:val="auto"/>
                <w:sz w:val="21"/>
                <w:szCs w:val="21"/>
              </w:rPr>
              <w:t>hm</w:t>
            </w:r>
            <w:r>
              <w:rPr>
                <w:rFonts w:hint="eastAsia"/>
                <w:b/>
                <w:bCs/>
                <w:color w:val="auto"/>
                <w:sz w:val="21"/>
                <w:szCs w:val="21"/>
                <w:lang w:val="en-US" w:eastAsia="zh-CN"/>
              </w:rPr>
              <w:t>²</w:t>
            </w:r>
            <w:r>
              <w:rPr>
                <w:rFonts w:hint="eastAsia"/>
                <w:b/>
                <w:bCs/>
                <w:color w:val="auto"/>
                <w:sz w:val="21"/>
                <w:szCs w:val="21"/>
                <w:lang w:eastAsia="zh-CN"/>
              </w:rPr>
              <w:t>）</w:t>
            </w:r>
          </w:p>
        </w:tc>
        <w:tc>
          <w:tcPr>
            <w:tcW w:w="970" w:type="pct"/>
            <w:tcBorders>
              <w:tl2br w:val="nil"/>
              <w:tr2bl w:val="nil"/>
            </w:tcBorders>
            <w:noWrap w:val="0"/>
            <w:vAlign w:val="center"/>
          </w:tcPr>
          <w:p w14:paraId="06ABC420">
            <w:pPr>
              <w:pStyle w:val="12"/>
              <w:pageBreakBefore w:val="0"/>
              <w:wordWrap/>
              <w:bidi w:val="0"/>
              <w:adjustRightInd/>
              <w:snapToGrid/>
              <w:rPr>
                <w:rFonts w:hint="eastAsia"/>
                <w:b/>
                <w:bCs/>
                <w:color w:val="auto"/>
                <w:sz w:val="21"/>
                <w:szCs w:val="21"/>
              </w:rPr>
            </w:pPr>
            <w:r>
              <w:rPr>
                <w:rFonts w:hint="eastAsia"/>
                <w:b/>
                <w:bCs/>
                <w:color w:val="auto"/>
                <w:sz w:val="21"/>
                <w:szCs w:val="21"/>
              </w:rPr>
              <w:t>用水量指标</w:t>
            </w:r>
          </w:p>
          <w:p w14:paraId="0FF10612">
            <w:pPr>
              <w:pStyle w:val="12"/>
              <w:pageBreakBefore w:val="0"/>
              <w:wordWrap/>
              <w:bidi w:val="0"/>
              <w:adjustRightInd/>
              <w:snapToGrid/>
              <w:rPr>
                <w:rFonts w:hint="eastAsia"/>
                <w:b/>
                <w:bCs/>
                <w:color w:val="auto"/>
                <w:sz w:val="21"/>
                <w:szCs w:val="21"/>
                <w:lang w:eastAsia="zh-CN"/>
              </w:rPr>
            </w:pPr>
            <w:r>
              <w:rPr>
                <w:rFonts w:hint="eastAsia"/>
                <w:b/>
                <w:bCs/>
                <w:color w:val="auto"/>
                <w:sz w:val="21"/>
                <w:szCs w:val="21"/>
                <w:lang w:eastAsia="zh-CN"/>
              </w:rPr>
              <w:t>（m³</w:t>
            </w:r>
            <w:r>
              <w:rPr>
                <w:rFonts w:hint="eastAsia"/>
                <w:b/>
                <w:bCs/>
                <w:color w:val="auto"/>
                <w:sz w:val="21"/>
                <w:szCs w:val="21"/>
              </w:rPr>
              <w:t>/hm.d</w:t>
            </w:r>
            <w:r>
              <w:rPr>
                <w:rFonts w:hint="eastAsia"/>
                <w:b/>
                <w:bCs/>
                <w:color w:val="auto"/>
                <w:sz w:val="21"/>
                <w:szCs w:val="21"/>
                <w:lang w:eastAsia="zh-CN"/>
              </w:rPr>
              <w:t>）</w:t>
            </w:r>
          </w:p>
        </w:tc>
        <w:tc>
          <w:tcPr>
            <w:tcW w:w="583" w:type="pct"/>
            <w:tcBorders>
              <w:tl2br w:val="nil"/>
              <w:tr2bl w:val="nil"/>
            </w:tcBorders>
            <w:noWrap w:val="0"/>
            <w:vAlign w:val="center"/>
          </w:tcPr>
          <w:p w14:paraId="57A32190">
            <w:pPr>
              <w:pStyle w:val="12"/>
              <w:pageBreakBefore w:val="0"/>
              <w:wordWrap/>
              <w:bidi w:val="0"/>
              <w:adjustRightInd/>
              <w:snapToGrid/>
              <w:rPr>
                <w:rFonts w:hint="eastAsia"/>
                <w:b/>
                <w:bCs/>
                <w:color w:val="auto"/>
                <w:sz w:val="21"/>
                <w:szCs w:val="21"/>
              </w:rPr>
            </w:pPr>
            <w:r>
              <w:rPr>
                <w:rFonts w:hint="eastAsia"/>
                <w:b/>
                <w:bCs/>
                <w:color w:val="auto"/>
                <w:sz w:val="21"/>
                <w:szCs w:val="21"/>
              </w:rPr>
              <w:t>用水量</w:t>
            </w:r>
          </w:p>
          <w:p w14:paraId="54CA572C">
            <w:pPr>
              <w:pStyle w:val="12"/>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（m³</w:t>
            </w:r>
            <w:r>
              <w:rPr>
                <w:rFonts w:hint="eastAsia"/>
                <w:b/>
                <w:bCs/>
                <w:color w:val="auto"/>
                <w:sz w:val="21"/>
                <w:szCs w:val="21"/>
              </w:rPr>
              <w:t>/d</w:t>
            </w:r>
            <w:r>
              <w:rPr>
                <w:rFonts w:hint="eastAsia"/>
                <w:b/>
                <w:bCs/>
                <w:color w:val="auto"/>
                <w:sz w:val="21"/>
                <w:szCs w:val="21"/>
                <w:lang w:eastAsia="zh-CN"/>
              </w:rPr>
              <w:t>）</w:t>
            </w:r>
          </w:p>
        </w:tc>
        <w:tc>
          <w:tcPr>
            <w:tcW w:w="583" w:type="pct"/>
            <w:tcBorders>
              <w:tl2br w:val="nil"/>
              <w:tr2bl w:val="nil"/>
            </w:tcBorders>
            <w:noWrap w:val="0"/>
            <w:vAlign w:val="center"/>
          </w:tcPr>
          <w:p w14:paraId="3B0EAEA6">
            <w:pPr>
              <w:pStyle w:val="12"/>
              <w:pageBreakBefore w:val="0"/>
              <w:wordWrap/>
              <w:bidi w:val="0"/>
              <w:adjustRightInd/>
              <w:snapToGrid/>
              <w:rPr>
                <w:rFonts w:hint="eastAsia"/>
                <w:b/>
                <w:bCs/>
                <w:color w:val="auto"/>
                <w:sz w:val="21"/>
                <w:szCs w:val="21"/>
              </w:rPr>
            </w:pPr>
            <w:r>
              <w:rPr>
                <w:rFonts w:hint="eastAsia"/>
                <w:b/>
                <w:bCs/>
                <w:color w:val="auto"/>
                <w:sz w:val="21"/>
                <w:szCs w:val="21"/>
              </w:rPr>
              <w:t>废水量</w:t>
            </w:r>
          </w:p>
          <w:p w14:paraId="6FCDCBAB">
            <w:pPr>
              <w:pStyle w:val="12"/>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w:t>
            </w:r>
            <w:r>
              <w:rPr>
                <w:rFonts w:hint="eastAsia"/>
                <w:b/>
                <w:bCs/>
                <w:color w:val="auto"/>
                <w:sz w:val="21"/>
                <w:szCs w:val="21"/>
                <w:lang w:val="en-US" w:eastAsia="zh-CN"/>
              </w:rPr>
              <w:t>m³</w:t>
            </w:r>
            <w:r>
              <w:rPr>
                <w:rFonts w:hint="eastAsia"/>
                <w:b/>
                <w:bCs/>
                <w:color w:val="auto"/>
                <w:sz w:val="21"/>
                <w:szCs w:val="21"/>
              </w:rPr>
              <w:t>/d</w:t>
            </w:r>
            <w:r>
              <w:rPr>
                <w:rFonts w:hint="eastAsia"/>
                <w:b/>
                <w:bCs/>
                <w:color w:val="auto"/>
                <w:sz w:val="21"/>
                <w:szCs w:val="21"/>
                <w:lang w:eastAsia="zh-CN"/>
              </w:rPr>
              <w:t>）</w:t>
            </w:r>
          </w:p>
        </w:tc>
      </w:tr>
      <w:tr w14:paraId="72683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restart"/>
            <w:tcBorders>
              <w:tl2br w:val="nil"/>
              <w:tr2bl w:val="nil"/>
            </w:tcBorders>
            <w:noWrap w:val="0"/>
            <w:vAlign w:val="center"/>
          </w:tcPr>
          <w:p w14:paraId="6F1D3FCB">
            <w:pPr>
              <w:pStyle w:val="12"/>
              <w:pageBreakBefore w:val="0"/>
              <w:wordWrap/>
              <w:bidi w:val="0"/>
              <w:adjustRightInd/>
              <w:snapToGrid/>
              <w:rPr>
                <w:color w:val="auto"/>
                <w:sz w:val="21"/>
                <w:szCs w:val="21"/>
              </w:rPr>
            </w:pPr>
            <w:r>
              <w:rPr>
                <w:rFonts w:hint="eastAsia"/>
                <w:color w:val="auto"/>
                <w:sz w:val="21"/>
                <w:szCs w:val="21"/>
              </w:rPr>
              <w:t>曾口区块</w:t>
            </w:r>
          </w:p>
        </w:tc>
        <w:tc>
          <w:tcPr>
            <w:tcW w:w="1338" w:type="pct"/>
            <w:tcBorders>
              <w:tl2br w:val="nil"/>
              <w:tr2bl w:val="nil"/>
            </w:tcBorders>
            <w:noWrap w:val="0"/>
            <w:vAlign w:val="center"/>
          </w:tcPr>
          <w:p w14:paraId="742652AE">
            <w:pPr>
              <w:pStyle w:val="12"/>
              <w:pageBreakBefore w:val="0"/>
              <w:wordWrap/>
              <w:bidi w:val="0"/>
              <w:adjustRightInd/>
              <w:snapToGrid/>
              <w:rPr>
                <w:color w:val="auto"/>
                <w:sz w:val="21"/>
                <w:szCs w:val="21"/>
              </w:rPr>
            </w:pPr>
            <w:r>
              <w:rPr>
                <w:rFonts w:hint="eastAsia"/>
                <w:color w:val="auto"/>
                <w:sz w:val="21"/>
                <w:szCs w:val="21"/>
              </w:rPr>
              <w:t>M工业用地</w:t>
            </w:r>
          </w:p>
        </w:tc>
        <w:tc>
          <w:tcPr>
            <w:tcW w:w="761" w:type="pct"/>
            <w:tcBorders>
              <w:tl2br w:val="nil"/>
              <w:tr2bl w:val="nil"/>
            </w:tcBorders>
            <w:noWrap w:val="0"/>
            <w:vAlign w:val="center"/>
          </w:tcPr>
          <w:p w14:paraId="0F433AF7">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144.78</w:t>
            </w:r>
          </w:p>
        </w:tc>
        <w:tc>
          <w:tcPr>
            <w:tcW w:w="970" w:type="pct"/>
            <w:tcBorders>
              <w:tl2br w:val="nil"/>
              <w:tr2bl w:val="nil"/>
            </w:tcBorders>
            <w:noWrap w:val="0"/>
            <w:vAlign w:val="center"/>
          </w:tcPr>
          <w:p w14:paraId="4FD484E6">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150</w:t>
            </w:r>
          </w:p>
        </w:tc>
        <w:tc>
          <w:tcPr>
            <w:tcW w:w="583" w:type="pct"/>
            <w:tcBorders>
              <w:tl2br w:val="nil"/>
              <w:tr2bl w:val="nil"/>
            </w:tcBorders>
            <w:noWrap w:val="0"/>
            <w:vAlign w:val="center"/>
          </w:tcPr>
          <w:p w14:paraId="7AE0953B">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21717</w:t>
            </w:r>
          </w:p>
        </w:tc>
        <w:tc>
          <w:tcPr>
            <w:tcW w:w="583" w:type="pct"/>
            <w:tcBorders>
              <w:tl2br w:val="nil"/>
              <w:tr2bl w:val="nil"/>
            </w:tcBorders>
            <w:noWrap w:val="0"/>
            <w:vAlign w:val="center"/>
          </w:tcPr>
          <w:p w14:paraId="6D64E7F9">
            <w:pPr>
              <w:pStyle w:val="12"/>
              <w:pageBreakBefore w:val="0"/>
              <w:wordWrap/>
              <w:bidi w:val="0"/>
              <w:adjustRightInd/>
              <w:snapToGrid/>
              <w:rPr>
                <w:color w:val="auto"/>
                <w:sz w:val="21"/>
                <w:szCs w:val="21"/>
              </w:rPr>
            </w:pPr>
          </w:p>
        </w:tc>
      </w:tr>
      <w:tr w14:paraId="48CC3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387714E6">
            <w:pPr>
              <w:pStyle w:val="12"/>
              <w:pageBreakBefore w:val="0"/>
              <w:wordWrap/>
              <w:bidi w:val="0"/>
              <w:adjustRightInd/>
              <w:snapToGrid/>
              <w:rPr>
                <w:color w:val="auto"/>
                <w:sz w:val="21"/>
                <w:szCs w:val="21"/>
              </w:rPr>
            </w:pPr>
          </w:p>
        </w:tc>
        <w:tc>
          <w:tcPr>
            <w:tcW w:w="1338" w:type="pct"/>
            <w:tcBorders>
              <w:tl2br w:val="nil"/>
              <w:tr2bl w:val="nil"/>
            </w:tcBorders>
            <w:noWrap w:val="0"/>
            <w:vAlign w:val="center"/>
          </w:tcPr>
          <w:p w14:paraId="4DFAC6F0">
            <w:pPr>
              <w:pStyle w:val="12"/>
              <w:pageBreakBefore w:val="0"/>
              <w:wordWrap/>
              <w:bidi w:val="0"/>
              <w:adjustRightInd/>
              <w:snapToGrid/>
              <w:rPr>
                <w:color w:val="auto"/>
                <w:sz w:val="21"/>
                <w:szCs w:val="21"/>
              </w:rPr>
            </w:pPr>
            <w:r>
              <w:rPr>
                <w:rFonts w:hint="eastAsia"/>
                <w:color w:val="auto"/>
                <w:sz w:val="21"/>
                <w:szCs w:val="21"/>
              </w:rPr>
              <w:t>U公用设施用地</w:t>
            </w:r>
          </w:p>
        </w:tc>
        <w:tc>
          <w:tcPr>
            <w:tcW w:w="761" w:type="pct"/>
            <w:tcBorders>
              <w:tl2br w:val="nil"/>
              <w:tr2bl w:val="nil"/>
            </w:tcBorders>
            <w:noWrap w:val="0"/>
            <w:vAlign w:val="center"/>
          </w:tcPr>
          <w:p w14:paraId="50333D2D">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2.08</w:t>
            </w:r>
          </w:p>
        </w:tc>
        <w:tc>
          <w:tcPr>
            <w:tcW w:w="970" w:type="pct"/>
            <w:tcBorders>
              <w:tl2br w:val="nil"/>
              <w:tr2bl w:val="nil"/>
            </w:tcBorders>
            <w:noWrap w:val="0"/>
            <w:vAlign w:val="center"/>
          </w:tcPr>
          <w:p w14:paraId="7822F945">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50</w:t>
            </w:r>
          </w:p>
        </w:tc>
        <w:tc>
          <w:tcPr>
            <w:tcW w:w="583" w:type="pct"/>
            <w:tcBorders>
              <w:tl2br w:val="nil"/>
              <w:tr2bl w:val="nil"/>
            </w:tcBorders>
            <w:noWrap w:val="0"/>
            <w:vAlign w:val="center"/>
          </w:tcPr>
          <w:p w14:paraId="0E9FDE2F">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104</w:t>
            </w:r>
          </w:p>
        </w:tc>
        <w:tc>
          <w:tcPr>
            <w:tcW w:w="583" w:type="pct"/>
            <w:tcBorders>
              <w:tl2br w:val="nil"/>
              <w:tr2bl w:val="nil"/>
            </w:tcBorders>
            <w:noWrap w:val="0"/>
            <w:vAlign w:val="center"/>
          </w:tcPr>
          <w:p w14:paraId="48261D9F">
            <w:pPr>
              <w:pStyle w:val="12"/>
              <w:pageBreakBefore w:val="0"/>
              <w:wordWrap/>
              <w:bidi w:val="0"/>
              <w:adjustRightInd/>
              <w:snapToGrid/>
              <w:rPr>
                <w:color w:val="auto"/>
                <w:sz w:val="21"/>
                <w:szCs w:val="21"/>
              </w:rPr>
            </w:pPr>
          </w:p>
        </w:tc>
      </w:tr>
      <w:tr w14:paraId="0962A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62ECACCD">
            <w:pPr>
              <w:pStyle w:val="12"/>
              <w:pageBreakBefore w:val="0"/>
              <w:wordWrap/>
              <w:bidi w:val="0"/>
              <w:adjustRightInd/>
              <w:snapToGrid/>
              <w:rPr>
                <w:color w:val="auto"/>
                <w:sz w:val="21"/>
                <w:szCs w:val="21"/>
              </w:rPr>
            </w:pPr>
          </w:p>
        </w:tc>
        <w:tc>
          <w:tcPr>
            <w:tcW w:w="1338" w:type="pct"/>
            <w:tcBorders>
              <w:tl2br w:val="nil"/>
              <w:tr2bl w:val="nil"/>
            </w:tcBorders>
            <w:noWrap w:val="0"/>
            <w:vAlign w:val="center"/>
          </w:tcPr>
          <w:p w14:paraId="699AF30B">
            <w:pPr>
              <w:pStyle w:val="12"/>
              <w:pageBreakBefore w:val="0"/>
              <w:wordWrap/>
              <w:bidi w:val="0"/>
              <w:adjustRightInd/>
              <w:snapToGrid/>
              <w:rPr>
                <w:color w:val="auto"/>
                <w:sz w:val="21"/>
                <w:szCs w:val="21"/>
              </w:rPr>
            </w:pPr>
            <w:r>
              <w:rPr>
                <w:rFonts w:hint="eastAsia"/>
                <w:color w:val="auto"/>
                <w:sz w:val="21"/>
                <w:szCs w:val="21"/>
              </w:rPr>
              <w:t>G绿地与广场</w:t>
            </w:r>
          </w:p>
        </w:tc>
        <w:tc>
          <w:tcPr>
            <w:tcW w:w="761" w:type="pct"/>
            <w:tcBorders>
              <w:tl2br w:val="nil"/>
              <w:tr2bl w:val="nil"/>
            </w:tcBorders>
            <w:noWrap w:val="0"/>
            <w:vAlign w:val="center"/>
          </w:tcPr>
          <w:p w14:paraId="052D256A">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23.85</w:t>
            </w:r>
          </w:p>
        </w:tc>
        <w:tc>
          <w:tcPr>
            <w:tcW w:w="970" w:type="pct"/>
            <w:tcBorders>
              <w:tl2br w:val="nil"/>
              <w:tr2bl w:val="nil"/>
            </w:tcBorders>
            <w:noWrap w:val="0"/>
            <w:vAlign w:val="center"/>
          </w:tcPr>
          <w:p w14:paraId="67BD0A96">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30</w:t>
            </w:r>
          </w:p>
        </w:tc>
        <w:tc>
          <w:tcPr>
            <w:tcW w:w="583" w:type="pct"/>
            <w:tcBorders>
              <w:tl2br w:val="nil"/>
              <w:tr2bl w:val="nil"/>
            </w:tcBorders>
            <w:noWrap w:val="0"/>
            <w:vAlign w:val="center"/>
          </w:tcPr>
          <w:p w14:paraId="3BDD54E0">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716</w:t>
            </w:r>
          </w:p>
        </w:tc>
        <w:tc>
          <w:tcPr>
            <w:tcW w:w="583" w:type="pct"/>
            <w:tcBorders>
              <w:tl2br w:val="nil"/>
              <w:tr2bl w:val="nil"/>
            </w:tcBorders>
            <w:noWrap w:val="0"/>
            <w:vAlign w:val="center"/>
          </w:tcPr>
          <w:p w14:paraId="677FC668">
            <w:pPr>
              <w:pStyle w:val="12"/>
              <w:pageBreakBefore w:val="0"/>
              <w:wordWrap/>
              <w:bidi w:val="0"/>
              <w:adjustRightInd/>
              <w:snapToGrid/>
              <w:rPr>
                <w:color w:val="auto"/>
                <w:sz w:val="21"/>
                <w:szCs w:val="21"/>
              </w:rPr>
            </w:pPr>
          </w:p>
        </w:tc>
      </w:tr>
      <w:tr w14:paraId="5C823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04D4888A">
            <w:pPr>
              <w:pStyle w:val="12"/>
              <w:pageBreakBefore w:val="0"/>
              <w:wordWrap/>
              <w:bidi w:val="0"/>
              <w:adjustRightInd/>
              <w:snapToGrid/>
              <w:rPr>
                <w:color w:val="auto"/>
                <w:sz w:val="21"/>
                <w:szCs w:val="21"/>
              </w:rPr>
            </w:pPr>
          </w:p>
        </w:tc>
        <w:tc>
          <w:tcPr>
            <w:tcW w:w="1338" w:type="pct"/>
            <w:tcBorders>
              <w:tl2br w:val="nil"/>
              <w:tr2bl w:val="nil"/>
            </w:tcBorders>
            <w:noWrap w:val="0"/>
            <w:vAlign w:val="center"/>
          </w:tcPr>
          <w:p w14:paraId="4B298640">
            <w:pPr>
              <w:pStyle w:val="12"/>
              <w:pageBreakBefore w:val="0"/>
              <w:wordWrap/>
              <w:bidi w:val="0"/>
              <w:adjustRightInd/>
              <w:snapToGrid/>
              <w:rPr>
                <w:color w:val="auto"/>
                <w:sz w:val="21"/>
                <w:szCs w:val="21"/>
              </w:rPr>
            </w:pPr>
            <w:r>
              <w:rPr>
                <w:rFonts w:hint="eastAsia"/>
                <w:color w:val="auto"/>
                <w:sz w:val="21"/>
                <w:szCs w:val="21"/>
              </w:rPr>
              <w:t>S道路与交通设施用地</w:t>
            </w:r>
          </w:p>
        </w:tc>
        <w:tc>
          <w:tcPr>
            <w:tcW w:w="761" w:type="pct"/>
            <w:tcBorders>
              <w:tl2br w:val="nil"/>
              <w:tr2bl w:val="nil"/>
            </w:tcBorders>
            <w:noWrap w:val="0"/>
            <w:vAlign w:val="center"/>
          </w:tcPr>
          <w:p w14:paraId="12C1A5CC">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21.1</w:t>
            </w:r>
          </w:p>
        </w:tc>
        <w:tc>
          <w:tcPr>
            <w:tcW w:w="970" w:type="pct"/>
            <w:tcBorders>
              <w:tl2br w:val="nil"/>
              <w:tr2bl w:val="nil"/>
            </w:tcBorders>
            <w:noWrap w:val="0"/>
            <w:vAlign w:val="center"/>
          </w:tcPr>
          <w:p w14:paraId="668E7D4C">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583" w:type="pct"/>
            <w:tcBorders>
              <w:tl2br w:val="nil"/>
              <w:tr2bl w:val="nil"/>
            </w:tcBorders>
            <w:noWrap w:val="0"/>
            <w:vAlign w:val="center"/>
          </w:tcPr>
          <w:p w14:paraId="5AF88C61">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1688</w:t>
            </w:r>
          </w:p>
        </w:tc>
        <w:tc>
          <w:tcPr>
            <w:tcW w:w="583" w:type="pct"/>
            <w:tcBorders>
              <w:tl2br w:val="nil"/>
              <w:tr2bl w:val="nil"/>
            </w:tcBorders>
            <w:noWrap w:val="0"/>
            <w:vAlign w:val="center"/>
          </w:tcPr>
          <w:p w14:paraId="5DD50B25">
            <w:pPr>
              <w:pStyle w:val="12"/>
              <w:pageBreakBefore w:val="0"/>
              <w:wordWrap/>
              <w:bidi w:val="0"/>
              <w:adjustRightInd/>
              <w:snapToGrid/>
              <w:rPr>
                <w:color w:val="auto"/>
                <w:sz w:val="21"/>
                <w:szCs w:val="21"/>
              </w:rPr>
            </w:pPr>
          </w:p>
        </w:tc>
      </w:tr>
      <w:tr w14:paraId="3146A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37F09F17">
            <w:pPr>
              <w:pStyle w:val="12"/>
              <w:pageBreakBefore w:val="0"/>
              <w:wordWrap/>
              <w:bidi w:val="0"/>
              <w:adjustRightInd/>
              <w:snapToGrid/>
              <w:rPr>
                <w:color w:val="auto"/>
                <w:sz w:val="21"/>
                <w:szCs w:val="21"/>
              </w:rPr>
            </w:pPr>
          </w:p>
        </w:tc>
        <w:tc>
          <w:tcPr>
            <w:tcW w:w="1338" w:type="pct"/>
            <w:tcBorders>
              <w:tl2br w:val="nil"/>
              <w:tr2bl w:val="nil"/>
            </w:tcBorders>
            <w:noWrap w:val="0"/>
            <w:vAlign w:val="center"/>
          </w:tcPr>
          <w:p w14:paraId="39E1A878">
            <w:pPr>
              <w:pStyle w:val="12"/>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小计</w:t>
            </w:r>
          </w:p>
        </w:tc>
        <w:tc>
          <w:tcPr>
            <w:tcW w:w="761" w:type="pct"/>
            <w:tcBorders>
              <w:tl2br w:val="nil"/>
              <w:tr2bl w:val="nil"/>
            </w:tcBorders>
            <w:noWrap w:val="0"/>
            <w:vAlign w:val="center"/>
          </w:tcPr>
          <w:p w14:paraId="0E1F4280">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191.81</w:t>
            </w:r>
          </w:p>
        </w:tc>
        <w:tc>
          <w:tcPr>
            <w:tcW w:w="970" w:type="pct"/>
            <w:tcBorders>
              <w:tl2br w:val="nil"/>
              <w:tr2bl w:val="nil"/>
            </w:tcBorders>
            <w:noWrap w:val="0"/>
            <w:vAlign w:val="center"/>
          </w:tcPr>
          <w:p w14:paraId="290AFB1B">
            <w:pPr>
              <w:pStyle w:val="12"/>
              <w:pageBreakBefore w:val="0"/>
              <w:wordWrap/>
              <w:bidi w:val="0"/>
              <w:adjustRightInd/>
              <w:snapToGrid/>
              <w:rPr>
                <w:color w:val="auto"/>
                <w:sz w:val="21"/>
                <w:szCs w:val="21"/>
              </w:rPr>
            </w:pPr>
          </w:p>
        </w:tc>
        <w:tc>
          <w:tcPr>
            <w:tcW w:w="583" w:type="pct"/>
            <w:tcBorders>
              <w:tl2br w:val="nil"/>
              <w:tr2bl w:val="nil"/>
            </w:tcBorders>
            <w:noWrap w:val="0"/>
            <w:vAlign w:val="center"/>
          </w:tcPr>
          <w:p w14:paraId="1815C0CC">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24225</w:t>
            </w:r>
          </w:p>
        </w:tc>
        <w:tc>
          <w:tcPr>
            <w:tcW w:w="583" w:type="pct"/>
            <w:tcBorders>
              <w:tl2br w:val="nil"/>
              <w:tr2bl w:val="nil"/>
            </w:tcBorders>
            <w:noWrap w:val="0"/>
            <w:vAlign w:val="center"/>
          </w:tcPr>
          <w:p w14:paraId="3DEAB4F6">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20591</w:t>
            </w:r>
          </w:p>
        </w:tc>
      </w:tr>
    </w:tbl>
    <w:p w14:paraId="0DC58201">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工业污水量预测</w:t>
      </w:r>
    </w:p>
    <w:p w14:paraId="43D9DBEE">
      <w:pPr>
        <w:pageBreakBefore w:val="0"/>
        <w:wordWrap/>
        <w:bidi w:val="0"/>
        <w:adjustRightInd/>
        <w:snapToGrid/>
        <w:rPr>
          <w:rFonts w:hint="eastAsia"/>
          <w:color w:val="auto"/>
          <w:lang w:eastAsia="zh-CN"/>
        </w:rPr>
      </w:pPr>
      <w:r>
        <w:rPr>
          <w:rFonts w:hint="eastAsia"/>
          <w:color w:val="auto"/>
        </w:rPr>
        <w:t>参按工业污水转化率取70%</w:t>
      </w:r>
      <w:r>
        <w:rPr>
          <w:rFonts w:hint="eastAsia"/>
          <w:color w:val="auto"/>
          <w:lang w:eastAsia="zh-CN"/>
        </w:rPr>
        <w:t>，</w:t>
      </w:r>
      <w:r>
        <w:rPr>
          <w:rFonts w:hint="eastAsia"/>
          <w:color w:val="auto"/>
        </w:rPr>
        <w:t>污水收集率取100%</w:t>
      </w:r>
      <w:r>
        <w:rPr>
          <w:rFonts w:hint="eastAsia"/>
          <w:color w:val="auto"/>
          <w:lang w:eastAsia="zh-CN"/>
        </w:rPr>
        <w:t>，</w:t>
      </w:r>
      <w:r>
        <w:rPr>
          <w:rFonts w:hint="eastAsia"/>
          <w:color w:val="auto"/>
        </w:rPr>
        <w:t>地下水渗入系数10%计算</w:t>
      </w:r>
      <w:r>
        <w:rPr>
          <w:rFonts w:hint="eastAsia"/>
          <w:color w:val="auto"/>
          <w:lang w:eastAsia="zh-CN"/>
        </w:rPr>
        <w:t>，</w:t>
      </w:r>
      <w:r>
        <w:rPr>
          <w:rFonts w:hint="eastAsia"/>
          <w:color w:val="auto"/>
        </w:rPr>
        <w:t>见下表</w:t>
      </w:r>
      <w:r>
        <w:rPr>
          <w:rFonts w:hint="eastAsia"/>
          <w:color w:val="auto"/>
          <w:lang w:eastAsia="zh-CN"/>
        </w:rPr>
        <w:t>。</w:t>
      </w:r>
    </w:p>
    <w:p w14:paraId="47F27DC5">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曾口区块工业用水量预测计算结果一览表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180"/>
        <w:gridCol w:w="4179"/>
      </w:tblGrid>
      <w:tr w14:paraId="14DDB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62C86665">
            <w:pPr>
              <w:pStyle w:val="12"/>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2499" w:type="pct"/>
            <w:tcBorders>
              <w:tl2br w:val="nil"/>
              <w:tr2bl w:val="nil"/>
            </w:tcBorders>
            <w:noWrap w:val="0"/>
            <w:vAlign w:val="center"/>
          </w:tcPr>
          <w:p w14:paraId="3B3437A7">
            <w:pPr>
              <w:pStyle w:val="12"/>
              <w:pageBreakBefore w:val="0"/>
              <w:wordWrap/>
              <w:bidi w:val="0"/>
              <w:adjustRightInd/>
              <w:snapToGrid/>
              <w:rPr>
                <w:rFonts w:hint="eastAsia" w:eastAsia="宋体"/>
                <w:b/>
                <w:bCs/>
                <w:color w:val="auto"/>
                <w:sz w:val="21"/>
                <w:szCs w:val="21"/>
                <w:lang w:val="en-US" w:eastAsia="zh-CN"/>
              </w:rPr>
            </w:pPr>
            <w:r>
              <w:rPr>
                <w:rFonts w:hint="eastAsia"/>
                <w:b/>
                <w:bCs/>
                <w:color w:val="auto"/>
                <w:sz w:val="21"/>
                <w:szCs w:val="21"/>
                <w:lang w:val="en-US" w:eastAsia="zh-CN"/>
              </w:rPr>
              <w:t>远期（2035年）</w:t>
            </w:r>
          </w:p>
        </w:tc>
      </w:tr>
      <w:tr w14:paraId="3F4F3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3DA59AC9">
            <w:pPr>
              <w:pStyle w:val="12"/>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工业用地用水量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7F6C5B31">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w:t>
            </w:r>
          </w:p>
        </w:tc>
      </w:tr>
      <w:tr w14:paraId="2089CC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0C1C6D60">
            <w:pPr>
              <w:pStyle w:val="12"/>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污水转化率（%）</w:t>
            </w:r>
          </w:p>
        </w:tc>
        <w:tc>
          <w:tcPr>
            <w:tcW w:w="2499" w:type="pct"/>
            <w:tcBorders>
              <w:tl2br w:val="nil"/>
              <w:tr2bl w:val="nil"/>
            </w:tcBorders>
            <w:noWrap w:val="0"/>
            <w:vAlign w:val="center"/>
          </w:tcPr>
          <w:p w14:paraId="189E055E">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70.00</w:t>
            </w:r>
          </w:p>
        </w:tc>
      </w:tr>
      <w:tr w14:paraId="70591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08DBFED6">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污水收集率（%）</w:t>
            </w:r>
          </w:p>
        </w:tc>
        <w:tc>
          <w:tcPr>
            <w:tcW w:w="2499" w:type="pct"/>
            <w:tcBorders>
              <w:tl2br w:val="nil"/>
              <w:tr2bl w:val="nil"/>
            </w:tcBorders>
            <w:noWrap w:val="0"/>
            <w:vAlign w:val="center"/>
          </w:tcPr>
          <w:p w14:paraId="7B305093">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100.00</w:t>
            </w:r>
          </w:p>
        </w:tc>
      </w:tr>
      <w:tr w14:paraId="62298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59E6163C">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地下水渗入系数（%）</w:t>
            </w:r>
          </w:p>
        </w:tc>
        <w:tc>
          <w:tcPr>
            <w:tcW w:w="2499" w:type="pct"/>
            <w:tcBorders>
              <w:tl2br w:val="nil"/>
              <w:tr2bl w:val="nil"/>
            </w:tcBorders>
            <w:noWrap w:val="0"/>
            <w:vAlign w:val="center"/>
          </w:tcPr>
          <w:p w14:paraId="787E2DF0">
            <w:pPr>
              <w:pStyle w:val="12"/>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w:t>
            </w:r>
          </w:p>
        </w:tc>
      </w:tr>
      <w:tr w14:paraId="5983C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76EEF98C">
            <w:pPr>
              <w:pStyle w:val="12"/>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工业污水量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4D0E4461">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1.57</w:t>
            </w:r>
          </w:p>
        </w:tc>
      </w:tr>
    </w:tbl>
    <w:p w14:paraId="5994BA99">
      <w:pPr>
        <w:pageBreakBefore w:val="0"/>
        <w:wordWrap/>
        <w:bidi w:val="0"/>
        <w:adjustRightInd/>
        <w:snapToGrid/>
        <w:rPr>
          <w:rFonts w:hint="default" w:eastAsia="宋体"/>
          <w:color w:val="auto"/>
          <w:lang w:val="en-US" w:eastAsia="zh-CN"/>
        </w:rPr>
      </w:pPr>
      <w:r>
        <w:rPr>
          <w:rFonts w:hint="eastAsia"/>
          <w:color w:val="auto"/>
          <w:lang w:val="en-US" w:eastAsia="zh-CN"/>
        </w:rPr>
        <w:t>综上所述，曾口片区远期（2035年）污水量为：1.57万。</w:t>
      </w:r>
    </w:p>
    <w:p w14:paraId="7D4C1600">
      <w:pPr>
        <w:pageBreakBefore w:val="0"/>
        <w:wordWrap/>
        <w:bidi w:val="0"/>
        <w:adjustRightInd/>
        <w:snapToGrid/>
        <w:rPr>
          <w:rFonts w:hint="eastAsia" w:eastAsia="宋体"/>
          <w:b/>
          <w:bCs/>
          <w:color w:val="auto"/>
          <w:lang w:val="en-US" w:eastAsia="zh-CN"/>
        </w:rPr>
      </w:pPr>
      <w:r>
        <w:rPr>
          <w:rFonts w:hint="eastAsia"/>
          <w:b/>
          <w:bCs/>
          <w:color w:val="auto"/>
          <w:lang w:val="en-US" w:eastAsia="zh-CN"/>
        </w:rPr>
        <w:t>2、《四川巴中经济开发区规划修编环境影响报告书》对园区污水量的预测</w:t>
      </w:r>
    </w:p>
    <w:p w14:paraId="2AD8681C">
      <w:pPr>
        <w:pageBreakBefore w:val="0"/>
        <w:wordWrap/>
        <w:bidi w:val="0"/>
        <w:adjustRightInd/>
        <w:snapToGrid/>
        <w:rPr>
          <w:rFonts w:hint="eastAsia" w:eastAsia="宋体"/>
          <w:color w:val="auto"/>
          <w:lang w:eastAsia="zh-CN"/>
        </w:rPr>
      </w:pPr>
      <w:r>
        <w:rPr>
          <w:rFonts w:hint="eastAsia"/>
          <w:color w:val="auto"/>
        </w:rPr>
        <w:t>结合经开区内现有企业排放强度</w:t>
      </w:r>
      <w:r>
        <w:rPr>
          <w:rFonts w:hint="eastAsia"/>
          <w:color w:val="auto"/>
          <w:lang w:eastAsia="zh-CN"/>
        </w:rPr>
        <w:t>、《</w:t>
      </w:r>
      <w:r>
        <w:rPr>
          <w:rFonts w:hint="eastAsia"/>
          <w:color w:val="auto"/>
        </w:rPr>
        <w:t>排放源统计调查产排污核算方法和系数手册</w:t>
      </w:r>
      <w:r>
        <w:rPr>
          <w:rFonts w:hint="eastAsia"/>
          <w:color w:val="auto"/>
          <w:lang w:eastAsia="zh-CN"/>
        </w:rPr>
        <w:t>》</w:t>
      </w:r>
      <w:r>
        <w:rPr>
          <w:rFonts w:hint="eastAsia"/>
          <w:color w:val="auto"/>
        </w:rPr>
        <w:t>以及同类项目的验收</w:t>
      </w:r>
      <w:r>
        <w:rPr>
          <w:rFonts w:hint="eastAsia"/>
          <w:color w:val="auto"/>
          <w:lang w:eastAsia="zh-CN"/>
        </w:rPr>
        <w:t>、</w:t>
      </w:r>
      <w:r>
        <w:rPr>
          <w:rFonts w:hint="eastAsia"/>
          <w:color w:val="auto"/>
        </w:rPr>
        <w:t>排污许可及环评数据</w:t>
      </w:r>
      <w:r>
        <w:rPr>
          <w:rFonts w:hint="eastAsia"/>
          <w:color w:val="auto"/>
          <w:lang w:eastAsia="zh-CN"/>
        </w:rPr>
        <w:t>，</w:t>
      </w:r>
      <w:r>
        <w:rPr>
          <w:rFonts w:hint="eastAsia"/>
          <w:color w:val="auto"/>
        </w:rPr>
        <w:t>对规划区规划废水产生情况进行核算</w:t>
      </w:r>
      <w:r>
        <w:rPr>
          <w:rFonts w:hint="eastAsia"/>
          <w:color w:val="auto"/>
          <w:lang w:eastAsia="zh-CN"/>
        </w:rPr>
        <w:t>。</w:t>
      </w:r>
    </w:p>
    <w:p w14:paraId="09F7F009">
      <w:pPr>
        <w:pageBreakBefore w:val="0"/>
        <w:wordWrap/>
        <w:bidi w:val="0"/>
        <w:adjustRightInd/>
        <w:snapToGrid/>
        <w:rPr>
          <w:color w:val="auto"/>
        </w:rPr>
      </w:pPr>
      <w:r>
        <w:rPr>
          <w:rFonts w:hint="eastAsia"/>
          <w:color w:val="auto"/>
        </w:rPr>
        <w:t>情景</w:t>
      </w:r>
      <w:r>
        <w:rPr>
          <w:rFonts w:hint="eastAsia"/>
          <w:color w:val="auto"/>
          <w:lang w:eastAsia="zh-CN"/>
        </w:rPr>
        <w:t>：</w:t>
      </w:r>
      <w:r>
        <w:rPr>
          <w:rFonts w:hint="eastAsia"/>
          <w:color w:val="auto"/>
        </w:rPr>
        <w:t>规划环评建议优化调整方案，即曾口区块BDO装置规模从30万吨/年调整至20万吨/年</w:t>
      </w:r>
      <w:r>
        <w:rPr>
          <w:rFonts w:hint="eastAsia"/>
          <w:color w:val="auto"/>
          <w:lang w:eastAsia="zh-CN"/>
        </w:rPr>
        <w:t>；</w:t>
      </w:r>
      <w:r>
        <w:rPr>
          <w:rFonts w:hint="eastAsia"/>
          <w:color w:val="auto"/>
        </w:rPr>
        <w:t>金堂区块结合天然气开采量和在建天然气调峰发电项目二氧化碳的捕集量，适度发展二氧化碳捕集制合成气及下游产品。</w:t>
      </w:r>
    </w:p>
    <w:p w14:paraId="4235AC83">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规划曾口区块废水产生情况</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01"/>
        <w:gridCol w:w="436"/>
        <w:gridCol w:w="440"/>
        <w:gridCol w:w="440"/>
        <w:gridCol w:w="476"/>
        <w:gridCol w:w="582"/>
        <w:gridCol w:w="4587"/>
      </w:tblGrid>
      <w:tr w14:paraId="2F725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restart"/>
            <w:tcBorders>
              <w:tl2br w:val="nil"/>
              <w:tr2bl w:val="nil"/>
            </w:tcBorders>
            <w:noWrap w:val="0"/>
            <w:vAlign w:val="center"/>
          </w:tcPr>
          <w:p w14:paraId="5497EE24">
            <w:pPr>
              <w:pStyle w:val="12"/>
              <w:pageBreakBefore w:val="0"/>
              <w:wordWrap/>
              <w:bidi w:val="0"/>
              <w:adjustRightInd/>
              <w:snapToGrid/>
              <w:rPr>
                <w:rFonts w:hint="default"/>
                <w:b/>
                <w:bCs/>
                <w:color w:val="auto"/>
                <w:lang w:val="en-US" w:eastAsia="zh-CN"/>
              </w:rPr>
            </w:pPr>
            <w:r>
              <w:rPr>
                <w:rFonts w:hint="eastAsia"/>
                <w:b/>
                <w:bCs/>
                <w:color w:val="auto"/>
                <w:lang w:val="en-US" w:eastAsia="zh-CN"/>
              </w:rPr>
              <w:t>产品名称</w:t>
            </w:r>
          </w:p>
        </w:tc>
        <w:tc>
          <w:tcPr>
            <w:tcW w:w="0" w:type="auto"/>
            <w:gridSpan w:val="3"/>
            <w:tcBorders>
              <w:tl2br w:val="nil"/>
              <w:tr2bl w:val="nil"/>
            </w:tcBorders>
            <w:noWrap w:val="0"/>
            <w:vAlign w:val="center"/>
          </w:tcPr>
          <w:p w14:paraId="72EAF9C8">
            <w:pPr>
              <w:pStyle w:val="12"/>
              <w:pageBreakBefore w:val="0"/>
              <w:wordWrap/>
              <w:bidi w:val="0"/>
              <w:adjustRightInd/>
              <w:snapToGrid/>
              <w:rPr>
                <w:rFonts w:hint="eastAsia"/>
                <w:b/>
                <w:bCs/>
                <w:color w:val="auto"/>
                <w:lang w:val="en-US" w:eastAsia="zh-CN"/>
              </w:rPr>
            </w:pPr>
            <w:r>
              <w:rPr>
                <w:rFonts w:hint="eastAsia"/>
                <w:b/>
                <w:bCs/>
                <w:color w:val="auto"/>
                <w:lang w:val="en-US" w:eastAsia="zh-CN"/>
              </w:rPr>
              <w:t>规划规模</w:t>
            </w:r>
          </w:p>
          <w:p w14:paraId="2C908859">
            <w:pPr>
              <w:pStyle w:val="12"/>
              <w:pageBreakBefore w:val="0"/>
              <w:wordWrap/>
              <w:bidi w:val="0"/>
              <w:adjustRightInd/>
              <w:snapToGrid/>
              <w:rPr>
                <w:rFonts w:hint="default"/>
                <w:b/>
                <w:bCs/>
                <w:color w:val="auto"/>
                <w:lang w:val="en-US" w:eastAsia="zh-CN"/>
              </w:rPr>
            </w:pPr>
            <w:r>
              <w:rPr>
                <w:rFonts w:hint="eastAsia"/>
                <w:b/>
                <w:bCs/>
                <w:color w:val="auto"/>
                <w:lang w:val="en-US" w:eastAsia="zh-CN"/>
              </w:rPr>
              <w:t>（万t/a）</w:t>
            </w:r>
          </w:p>
        </w:tc>
        <w:tc>
          <w:tcPr>
            <w:tcW w:w="0" w:type="auto"/>
            <w:gridSpan w:val="2"/>
            <w:tcBorders>
              <w:tl2br w:val="nil"/>
              <w:tr2bl w:val="nil"/>
            </w:tcBorders>
            <w:noWrap w:val="0"/>
            <w:vAlign w:val="center"/>
          </w:tcPr>
          <w:p w14:paraId="6C2E322C">
            <w:pPr>
              <w:pStyle w:val="12"/>
              <w:pageBreakBefore w:val="0"/>
              <w:wordWrap/>
              <w:bidi w:val="0"/>
              <w:adjustRightInd/>
              <w:snapToGrid/>
              <w:rPr>
                <w:rFonts w:hint="eastAsia"/>
                <w:b/>
                <w:bCs/>
                <w:color w:val="auto"/>
                <w:lang w:val="en-US" w:eastAsia="zh-CN"/>
              </w:rPr>
            </w:pPr>
            <w:r>
              <w:rPr>
                <w:rFonts w:hint="eastAsia"/>
                <w:b/>
                <w:bCs/>
                <w:color w:val="auto"/>
                <w:lang w:val="en-US" w:eastAsia="zh-CN"/>
              </w:rPr>
              <w:t>废水量</w:t>
            </w:r>
          </w:p>
          <w:p w14:paraId="3552B7D9">
            <w:pPr>
              <w:pStyle w:val="12"/>
              <w:pageBreakBefore w:val="0"/>
              <w:wordWrap/>
              <w:bidi w:val="0"/>
              <w:adjustRightInd/>
              <w:snapToGrid/>
              <w:rPr>
                <w:b/>
                <w:bCs/>
                <w:color w:val="auto"/>
              </w:rPr>
            </w:pPr>
            <w:r>
              <w:rPr>
                <w:rFonts w:hint="eastAsia"/>
                <w:b/>
                <w:bCs/>
                <w:color w:val="auto"/>
                <w:lang w:val="en-US" w:eastAsia="zh-CN"/>
              </w:rPr>
              <w:t>（m³/d）</w:t>
            </w:r>
          </w:p>
        </w:tc>
        <w:tc>
          <w:tcPr>
            <w:tcW w:w="0" w:type="auto"/>
            <w:vMerge w:val="restart"/>
            <w:tcBorders>
              <w:tl2br w:val="nil"/>
              <w:tr2bl w:val="nil"/>
            </w:tcBorders>
            <w:noWrap w:val="0"/>
            <w:vAlign w:val="center"/>
          </w:tcPr>
          <w:p w14:paraId="30B2A52B">
            <w:pPr>
              <w:pStyle w:val="12"/>
              <w:pageBreakBefore w:val="0"/>
              <w:wordWrap/>
              <w:bidi w:val="0"/>
              <w:adjustRightInd/>
              <w:snapToGrid/>
              <w:rPr>
                <w:rFonts w:hint="default"/>
                <w:b/>
                <w:bCs/>
                <w:color w:val="auto"/>
                <w:lang w:val="en-US" w:eastAsia="zh-CN"/>
              </w:rPr>
            </w:pPr>
            <w:r>
              <w:rPr>
                <w:rFonts w:hint="eastAsia"/>
                <w:b/>
                <w:bCs/>
                <w:color w:val="auto"/>
                <w:lang w:val="en-US" w:eastAsia="zh-CN"/>
              </w:rPr>
              <w:t>类比项目</w:t>
            </w:r>
          </w:p>
        </w:tc>
      </w:tr>
      <w:tr w14:paraId="190D1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continue"/>
            <w:tcBorders>
              <w:tl2br w:val="nil"/>
              <w:tr2bl w:val="nil"/>
            </w:tcBorders>
            <w:noWrap w:val="0"/>
            <w:vAlign w:val="center"/>
          </w:tcPr>
          <w:p w14:paraId="57ABA7B1">
            <w:pPr>
              <w:pStyle w:val="12"/>
              <w:pageBreakBefore w:val="0"/>
              <w:wordWrap/>
              <w:bidi w:val="0"/>
              <w:adjustRightInd/>
              <w:snapToGrid/>
              <w:rPr>
                <w:color w:val="auto"/>
              </w:rPr>
            </w:pPr>
          </w:p>
        </w:tc>
        <w:tc>
          <w:tcPr>
            <w:tcW w:w="0" w:type="auto"/>
            <w:tcBorders>
              <w:tl2br w:val="nil"/>
              <w:tr2bl w:val="nil"/>
            </w:tcBorders>
            <w:noWrap w:val="0"/>
            <w:vAlign w:val="center"/>
          </w:tcPr>
          <w:p w14:paraId="60F007AF">
            <w:pPr>
              <w:pStyle w:val="12"/>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21EF9FAD">
            <w:pPr>
              <w:pStyle w:val="12"/>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tcBorders>
              <w:tl2br w:val="nil"/>
              <w:tr2bl w:val="nil"/>
            </w:tcBorders>
            <w:noWrap w:val="0"/>
            <w:vAlign w:val="center"/>
          </w:tcPr>
          <w:p w14:paraId="6EF92D10">
            <w:pPr>
              <w:pStyle w:val="12"/>
              <w:pageBreakBefore w:val="0"/>
              <w:wordWrap/>
              <w:bidi w:val="0"/>
              <w:adjustRightInd/>
              <w:snapToGrid/>
              <w:rPr>
                <w:rFonts w:hint="eastAsia"/>
                <w:b/>
                <w:bCs/>
                <w:color w:val="auto"/>
                <w:lang w:val="en-US" w:eastAsia="zh-CN"/>
              </w:rPr>
            </w:pPr>
            <w:r>
              <w:rPr>
                <w:rFonts w:hint="eastAsia"/>
                <w:b/>
                <w:bCs/>
                <w:color w:val="auto"/>
                <w:lang w:val="en-US" w:eastAsia="zh-CN"/>
              </w:rPr>
              <w:t>最终</w:t>
            </w:r>
          </w:p>
        </w:tc>
        <w:tc>
          <w:tcPr>
            <w:tcW w:w="0" w:type="auto"/>
            <w:tcBorders>
              <w:tl2br w:val="nil"/>
              <w:tr2bl w:val="nil"/>
            </w:tcBorders>
            <w:noWrap w:val="0"/>
            <w:vAlign w:val="center"/>
          </w:tcPr>
          <w:p w14:paraId="3FB76EAD">
            <w:pPr>
              <w:pStyle w:val="12"/>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51FDECF4">
            <w:pPr>
              <w:pStyle w:val="12"/>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vMerge w:val="continue"/>
            <w:tcBorders>
              <w:tl2br w:val="nil"/>
              <w:tr2bl w:val="nil"/>
            </w:tcBorders>
            <w:noWrap w:val="0"/>
            <w:vAlign w:val="center"/>
          </w:tcPr>
          <w:p w14:paraId="40710BC9">
            <w:pPr>
              <w:pStyle w:val="12"/>
              <w:pageBreakBefore w:val="0"/>
              <w:wordWrap/>
              <w:bidi w:val="0"/>
              <w:adjustRightInd/>
              <w:snapToGrid/>
              <w:rPr>
                <w:color w:val="auto"/>
              </w:rPr>
            </w:pPr>
          </w:p>
        </w:tc>
      </w:tr>
      <w:tr w14:paraId="02F97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E8EB924">
            <w:pPr>
              <w:pStyle w:val="12"/>
              <w:pageBreakBefore w:val="0"/>
              <w:wordWrap/>
              <w:bidi w:val="0"/>
              <w:adjustRightInd/>
              <w:snapToGrid/>
              <w:rPr>
                <w:color w:val="auto"/>
              </w:rPr>
            </w:pPr>
            <w:r>
              <w:rPr>
                <w:color w:val="auto"/>
              </w:rPr>
              <w:t>石墨烯项目</w:t>
            </w:r>
          </w:p>
        </w:tc>
        <w:tc>
          <w:tcPr>
            <w:tcW w:w="0" w:type="auto"/>
            <w:tcBorders>
              <w:tl2br w:val="nil"/>
              <w:tr2bl w:val="nil"/>
            </w:tcBorders>
            <w:noWrap w:val="0"/>
            <w:vAlign w:val="center"/>
          </w:tcPr>
          <w:p w14:paraId="0C1527E9">
            <w:pPr>
              <w:pStyle w:val="12"/>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61ED6A1D">
            <w:pPr>
              <w:pStyle w:val="12"/>
              <w:pageBreakBefore w:val="0"/>
              <w:wordWrap/>
              <w:bidi w:val="0"/>
              <w:adjustRightInd/>
              <w:snapToGrid/>
              <w:rPr>
                <w:color w:val="auto"/>
              </w:rPr>
            </w:pPr>
          </w:p>
        </w:tc>
        <w:tc>
          <w:tcPr>
            <w:tcW w:w="0" w:type="auto"/>
            <w:tcBorders>
              <w:tl2br w:val="nil"/>
              <w:tr2bl w:val="nil"/>
            </w:tcBorders>
            <w:noWrap w:val="0"/>
            <w:vAlign w:val="center"/>
          </w:tcPr>
          <w:p w14:paraId="06CD0997">
            <w:pPr>
              <w:pStyle w:val="12"/>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3E5E5662">
            <w:pPr>
              <w:pStyle w:val="12"/>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76A0FE65">
            <w:pPr>
              <w:pStyle w:val="12"/>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4B39CEFB">
            <w:pPr>
              <w:pStyle w:val="12"/>
              <w:pageBreakBefore w:val="0"/>
              <w:wordWrap/>
              <w:bidi w:val="0"/>
              <w:adjustRightInd/>
              <w:snapToGrid/>
              <w:rPr>
                <w:color w:val="auto"/>
              </w:rPr>
            </w:pPr>
            <w:r>
              <w:rPr>
                <w:color w:val="auto"/>
              </w:rPr>
              <w:t>青岛华高汇石墨烯碳材料有限公司100吨</w:t>
            </w:r>
            <w:r>
              <w:rPr>
                <w:rFonts w:hint="eastAsia"/>
                <w:color w:val="auto"/>
                <w:lang w:eastAsia="zh-CN"/>
              </w:rPr>
              <w:t>（</w:t>
            </w:r>
            <w:r>
              <w:rPr>
                <w:color w:val="auto"/>
              </w:rPr>
              <w:t>氧化</w:t>
            </w:r>
            <w:r>
              <w:rPr>
                <w:rFonts w:hint="eastAsia"/>
                <w:color w:val="auto"/>
                <w:lang w:eastAsia="zh-CN"/>
              </w:rPr>
              <w:t>）</w:t>
            </w:r>
            <w:r>
              <w:rPr>
                <w:color w:val="auto"/>
              </w:rPr>
              <w:t>石墨烯生产项目</w:t>
            </w:r>
          </w:p>
        </w:tc>
      </w:tr>
      <w:tr w14:paraId="26CBA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500F1074">
            <w:pPr>
              <w:pStyle w:val="12"/>
              <w:pageBreakBefore w:val="0"/>
              <w:wordWrap/>
              <w:bidi w:val="0"/>
              <w:adjustRightInd/>
              <w:snapToGrid/>
              <w:rPr>
                <w:color w:val="auto"/>
              </w:rPr>
            </w:pPr>
            <w:r>
              <w:rPr>
                <w:color w:val="auto"/>
              </w:rPr>
              <w:t>磷酸铁锂项目</w:t>
            </w:r>
          </w:p>
        </w:tc>
        <w:tc>
          <w:tcPr>
            <w:tcW w:w="0" w:type="auto"/>
            <w:tcBorders>
              <w:tl2br w:val="nil"/>
              <w:tr2bl w:val="nil"/>
            </w:tcBorders>
            <w:noWrap w:val="0"/>
            <w:vAlign w:val="center"/>
          </w:tcPr>
          <w:p w14:paraId="40AE8788">
            <w:pPr>
              <w:pStyle w:val="12"/>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42E32AD8">
            <w:pPr>
              <w:pStyle w:val="12"/>
              <w:pageBreakBefore w:val="0"/>
              <w:wordWrap/>
              <w:bidi w:val="0"/>
              <w:adjustRightInd/>
              <w:snapToGrid/>
              <w:rPr>
                <w:color w:val="auto"/>
              </w:rPr>
            </w:pPr>
          </w:p>
        </w:tc>
        <w:tc>
          <w:tcPr>
            <w:tcW w:w="0" w:type="auto"/>
            <w:tcBorders>
              <w:tl2br w:val="nil"/>
              <w:tr2bl w:val="nil"/>
            </w:tcBorders>
            <w:noWrap w:val="0"/>
            <w:vAlign w:val="center"/>
          </w:tcPr>
          <w:p w14:paraId="20B4947A">
            <w:pPr>
              <w:pStyle w:val="12"/>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6862B6E6">
            <w:pPr>
              <w:pStyle w:val="12"/>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0D702AC1">
            <w:pPr>
              <w:pStyle w:val="12"/>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4681E0AB">
            <w:pPr>
              <w:pStyle w:val="12"/>
              <w:pageBreakBefore w:val="0"/>
              <w:wordWrap/>
              <w:bidi w:val="0"/>
              <w:adjustRightInd/>
              <w:snapToGrid/>
              <w:rPr>
                <w:color w:val="auto"/>
              </w:rPr>
            </w:pPr>
            <w:r>
              <w:rPr>
                <w:color w:val="auto"/>
              </w:rPr>
              <w:t>内江融通高科先进材料有限公司16万吨磷酸铁锂锂电池正极材料生产和循环再制造项目</w:t>
            </w:r>
          </w:p>
        </w:tc>
      </w:tr>
      <w:tr w14:paraId="67B2C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078722A">
            <w:pPr>
              <w:pStyle w:val="12"/>
              <w:pageBreakBefore w:val="0"/>
              <w:wordWrap/>
              <w:bidi w:val="0"/>
              <w:adjustRightInd/>
              <w:snapToGrid/>
              <w:rPr>
                <w:color w:val="auto"/>
              </w:rPr>
            </w:pPr>
            <w:r>
              <w:rPr>
                <w:color w:val="auto"/>
              </w:rPr>
              <w:t>天然气液化*</w:t>
            </w:r>
          </w:p>
        </w:tc>
        <w:tc>
          <w:tcPr>
            <w:tcW w:w="0" w:type="auto"/>
            <w:tcBorders>
              <w:tl2br w:val="nil"/>
              <w:tr2bl w:val="nil"/>
            </w:tcBorders>
            <w:noWrap w:val="0"/>
            <w:vAlign w:val="center"/>
          </w:tcPr>
          <w:p w14:paraId="45BBBAFE">
            <w:pPr>
              <w:pStyle w:val="12"/>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37A8F565">
            <w:pPr>
              <w:pStyle w:val="12"/>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4944FE0E">
            <w:pPr>
              <w:pStyle w:val="12"/>
              <w:pageBreakBefore w:val="0"/>
              <w:wordWrap/>
              <w:bidi w:val="0"/>
              <w:adjustRightInd/>
              <w:snapToGrid/>
              <w:rPr>
                <w:color w:val="auto"/>
              </w:rPr>
            </w:pPr>
            <w:r>
              <w:rPr>
                <w:color w:val="auto"/>
              </w:rPr>
              <w:t>100</w:t>
            </w:r>
          </w:p>
        </w:tc>
        <w:tc>
          <w:tcPr>
            <w:tcW w:w="0" w:type="auto"/>
            <w:tcBorders>
              <w:tl2br w:val="nil"/>
              <w:tr2bl w:val="nil"/>
            </w:tcBorders>
            <w:noWrap w:val="0"/>
            <w:vAlign w:val="center"/>
          </w:tcPr>
          <w:p w14:paraId="634E147E">
            <w:pPr>
              <w:pStyle w:val="12"/>
              <w:pageBreakBefore w:val="0"/>
              <w:wordWrap/>
              <w:bidi w:val="0"/>
              <w:adjustRightInd/>
              <w:snapToGrid/>
              <w:rPr>
                <w:color w:val="auto"/>
              </w:rPr>
            </w:pPr>
            <w:r>
              <w:rPr>
                <w:color w:val="auto"/>
              </w:rPr>
              <w:t>840</w:t>
            </w:r>
          </w:p>
        </w:tc>
        <w:tc>
          <w:tcPr>
            <w:tcW w:w="0" w:type="auto"/>
            <w:tcBorders>
              <w:tl2br w:val="nil"/>
              <w:tr2bl w:val="nil"/>
            </w:tcBorders>
            <w:noWrap w:val="0"/>
            <w:vAlign w:val="center"/>
          </w:tcPr>
          <w:p w14:paraId="3CD653C6">
            <w:pPr>
              <w:pStyle w:val="12"/>
              <w:pageBreakBefore w:val="0"/>
              <w:wordWrap/>
              <w:bidi w:val="0"/>
              <w:adjustRightInd/>
              <w:snapToGrid/>
              <w:rPr>
                <w:color w:val="auto"/>
              </w:rPr>
            </w:pPr>
            <w:r>
              <w:rPr>
                <w:color w:val="auto"/>
              </w:rPr>
              <w:t>1680</w:t>
            </w:r>
          </w:p>
        </w:tc>
        <w:tc>
          <w:tcPr>
            <w:tcW w:w="0" w:type="auto"/>
            <w:tcBorders>
              <w:tl2br w:val="nil"/>
              <w:tr2bl w:val="nil"/>
            </w:tcBorders>
            <w:noWrap w:val="0"/>
            <w:vAlign w:val="center"/>
          </w:tcPr>
          <w:p w14:paraId="65A24353">
            <w:pPr>
              <w:pStyle w:val="12"/>
              <w:pageBreakBefore w:val="0"/>
              <w:wordWrap/>
              <w:bidi w:val="0"/>
              <w:adjustRightInd/>
              <w:snapToGrid/>
              <w:rPr>
                <w:rFonts w:hint="eastAsia" w:eastAsia="宋体"/>
                <w:color w:val="auto"/>
                <w:lang w:eastAsia="zh-CN"/>
              </w:rPr>
            </w:pPr>
            <w:r>
              <w:rPr>
                <w:color w:val="auto"/>
              </w:rPr>
              <w:t>四川广能能源有限公司高效清洁燃料气综合利用建设项目</w:t>
            </w:r>
            <w:r>
              <w:rPr>
                <w:rFonts w:hint="eastAsia"/>
                <w:color w:val="auto"/>
                <w:lang w:eastAsia="zh-CN"/>
              </w:rPr>
              <w:t>（</w:t>
            </w:r>
            <w:r>
              <w:rPr>
                <w:color w:val="auto"/>
              </w:rPr>
              <w:t>LNG</w:t>
            </w:r>
            <w:r>
              <w:rPr>
                <w:rFonts w:hint="eastAsia"/>
                <w:color w:val="auto"/>
                <w:lang w:eastAsia="zh-CN"/>
              </w:rPr>
              <w:t>）</w:t>
            </w:r>
          </w:p>
        </w:tc>
      </w:tr>
      <w:tr w14:paraId="54638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97C1B20">
            <w:pPr>
              <w:pStyle w:val="12"/>
              <w:pageBreakBefore w:val="0"/>
              <w:wordWrap/>
              <w:bidi w:val="0"/>
              <w:adjustRightInd/>
              <w:snapToGrid/>
              <w:rPr>
                <w:color w:val="auto"/>
              </w:rPr>
            </w:pPr>
            <w:r>
              <w:rPr>
                <w:color w:val="auto"/>
              </w:rPr>
              <w:t>电解液项目</w:t>
            </w:r>
          </w:p>
        </w:tc>
        <w:tc>
          <w:tcPr>
            <w:tcW w:w="0" w:type="auto"/>
            <w:tcBorders>
              <w:tl2br w:val="nil"/>
              <w:tr2bl w:val="nil"/>
            </w:tcBorders>
            <w:noWrap w:val="0"/>
            <w:vAlign w:val="center"/>
          </w:tcPr>
          <w:p w14:paraId="1C1C3F96">
            <w:pPr>
              <w:pStyle w:val="12"/>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1BCC4F68">
            <w:pPr>
              <w:pStyle w:val="12"/>
              <w:pageBreakBefore w:val="0"/>
              <w:wordWrap/>
              <w:bidi w:val="0"/>
              <w:adjustRightInd/>
              <w:snapToGrid/>
              <w:rPr>
                <w:color w:val="auto"/>
              </w:rPr>
            </w:pPr>
          </w:p>
        </w:tc>
        <w:tc>
          <w:tcPr>
            <w:tcW w:w="0" w:type="auto"/>
            <w:tcBorders>
              <w:tl2br w:val="nil"/>
              <w:tr2bl w:val="nil"/>
            </w:tcBorders>
            <w:noWrap w:val="0"/>
            <w:vAlign w:val="center"/>
          </w:tcPr>
          <w:p w14:paraId="5B8B57CA">
            <w:pPr>
              <w:pStyle w:val="12"/>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1D7F84B3">
            <w:pPr>
              <w:pStyle w:val="12"/>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1F45DD8A">
            <w:pPr>
              <w:pStyle w:val="12"/>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00657618">
            <w:pPr>
              <w:pStyle w:val="12"/>
              <w:pageBreakBefore w:val="0"/>
              <w:wordWrap/>
              <w:bidi w:val="0"/>
              <w:adjustRightInd/>
              <w:snapToGrid/>
              <w:rPr>
                <w:color w:val="auto"/>
              </w:rPr>
            </w:pPr>
            <w:r>
              <w:rPr>
                <w:color w:val="auto"/>
              </w:rPr>
              <w:t>山东航盛新能源材料有限公司年产2万吨锂电池电解液</w:t>
            </w:r>
            <w:r>
              <w:rPr>
                <w:rFonts w:hint="eastAsia"/>
                <w:color w:val="auto"/>
                <w:lang w:eastAsia="zh-CN"/>
              </w:rPr>
              <w:t>项目</w:t>
            </w:r>
          </w:p>
        </w:tc>
      </w:tr>
      <w:tr w14:paraId="7ADCF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6B643C8A">
            <w:pPr>
              <w:pStyle w:val="12"/>
              <w:pageBreakBefore w:val="0"/>
              <w:wordWrap/>
              <w:bidi w:val="0"/>
              <w:adjustRightInd/>
              <w:snapToGrid/>
              <w:rPr>
                <w:color w:val="auto"/>
              </w:rPr>
            </w:pPr>
            <w:r>
              <w:rPr>
                <w:color w:val="auto"/>
              </w:rPr>
              <w:t>天然气制乙炔/甲醛</w:t>
            </w:r>
          </w:p>
        </w:tc>
        <w:tc>
          <w:tcPr>
            <w:tcW w:w="0" w:type="auto"/>
            <w:tcBorders>
              <w:tl2br w:val="nil"/>
              <w:tr2bl w:val="nil"/>
            </w:tcBorders>
            <w:noWrap w:val="0"/>
            <w:vAlign w:val="center"/>
          </w:tcPr>
          <w:p w14:paraId="578EFCDD">
            <w:pPr>
              <w:pStyle w:val="12"/>
              <w:pageBreakBefore w:val="0"/>
              <w:wordWrap/>
              <w:bidi w:val="0"/>
              <w:adjustRightInd/>
              <w:snapToGrid/>
              <w:rPr>
                <w:color w:val="auto"/>
              </w:rPr>
            </w:pPr>
          </w:p>
        </w:tc>
        <w:tc>
          <w:tcPr>
            <w:tcW w:w="0" w:type="auto"/>
            <w:tcBorders>
              <w:tl2br w:val="nil"/>
              <w:tr2bl w:val="nil"/>
            </w:tcBorders>
            <w:noWrap w:val="0"/>
            <w:vAlign w:val="center"/>
          </w:tcPr>
          <w:p w14:paraId="419279CF">
            <w:pPr>
              <w:pStyle w:val="12"/>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760A629C">
            <w:pPr>
              <w:pStyle w:val="12"/>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385D8D07">
            <w:pPr>
              <w:pStyle w:val="12"/>
              <w:pageBreakBefore w:val="0"/>
              <w:wordWrap/>
              <w:bidi w:val="0"/>
              <w:adjustRightInd/>
              <w:snapToGrid/>
              <w:rPr>
                <w:color w:val="auto"/>
              </w:rPr>
            </w:pPr>
          </w:p>
        </w:tc>
        <w:tc>
          <w:tcPr>
            <w:tcW w:w="0" w:type="auto"/>
            <w:tcBorders>
              <w:tl2br w:val="nil"/>
              <w:tr2bl w:val="nil"/>
            </w:tcBorders>
            <w:noWrap w:val="0"/>
            <w:vAlign w:val="center"/>
          </w:tcPr>
          <w:p w14:paraId="0BBEB258">
            <w:pPr>
              <w:pStyle w:val="12"/>
              <w:pageBreakBefore w:val="0"/>
              <w:wordWrap/>
              <w:bidi w:val="0"/>
              <w:adjustRightInd/>
              <w:snapToGrid/>
              <w:rPr>
                <w:color w:val="auto"/>
              </w:rPr>
            </w:pPr>
            <w:r>
              <w:rPr>
                <w:color w:val="auto"/>
              </w:rPr>
              <w:t>4874</w:t>
            </w:r>
          </w:p>
        </w:tc>
        <w:tc>
          <w:tcPr>
            <w:tcW w:w="0" w:type="auto"/>
            <w:vMerge w:val="restart"/>
            <w:tcBorders>
              <w:tl2br w:val="nil"/>
              <w:tr2bl w:val="nil"/>
            </w:tcBorders>
            <w:noWrap w:val="0"/>
            <w:vAlign w:val="center"/>
          </w:tcPr>
          <w:p w14:paraId="37ED36A9">
            <w:pPr>
              <w:pStyle w:val="12"/>
              <w:pageBreakBefore w:val="0"/>
              <w:wordWrap/>
              <w:bidi w:val="0"/>
              <w:adjustRightInd/>
              <w:snapToGrid/>
              <w:rPr>
                <w:color w:val="auto"/>
              </w:rPr>
            </w:pPr>
            <w:r>
              <w:rPr>
                <w:color w:val="auto"/>
              </w:rPr>
              <w:t>《四川永盈新材料有限公司年产80万吨功能性新材料一体化产业链项目一期工程》</w:t>
            </w:r>
          </w:p>
        </w:tc>
      </w:tr>
      <w:tr w14:paraId="1DB55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514BD039">
            <w:pPr>
              <w:pStyle w:val="12"/>
              <w:pageBreakBefore w:val="0"/>
              <w:wordWrap/>
              <w:bidi w:val="0"/>
              <w:adjustRightInd/>
              <w:snapToGrid/>
              <w:rPr>
                <w:rFonts w:hint="eastAsia" w:eastAsia="宋体"/>
                <w:color w:val="auto"/>
                <w:lang w:eastAsia="zh-CN"/>
              </w:rPr>
            </w:pPr>
            <w:r>
              <w:rPr>
                <w:color w:val="auto"/>
              </w:rPr>
              <w:t>1</w:t>
            </w:r>
            <w:r>
              <w:rPr>
                <w:rFonts w:hint="eastAsia"/>
                <w:color w:val="auto"/>
                <w:lang w:eastAsia="zh-CN"/>
              </w:rPr>
              <w:t>，</w:t>
            </w:r>
            <w:r>
              <w:rPr>
                <w:color w:val="auto"/>
              </w:rPr>
              <w:t>4-丁二醇</w:t>
            </w:r>
            <w:r>
              <w:rPr>
                <w:rFonts w:hint="eastAsia"/>
                <w:color w:val="auto"/>
                <w:lang w:eastAsia="zh-CN"/>
              </w:rPr>
              <w:t>（</w:t>
            </w:r>
            <w:r>
              <w:rPr>
                <w:color w:val="auto"/>
              </w:rPr>
              <w:t>BDO</w:t>
            </w:r>
            <w:r>
              <w:rPr>
                <w:rFonts w:hint="eastAsia"/>
                <w:color w:val="auto"/>
                <w:lang w:eastAsia="zh-CN"/>
              </w:rPr>
              <w:t>）</w:t>
            </w:r>
          </w:p>
        </w:tc>
        <w:tc>
          <w:tcPr>
            <w:tcW w:w="0" w:type="auto"/>
            <w:tcBorders>
              <w:tl2br w:val="nil"/>
              <w:tr2bl w:val="nil"/>
            </w:tcBorders>
            <w:noWrap w:val="0"/>
            <w:vAlign w:val="center"/>
          </w:tcPr>
          <w:p w14:paraId="19D11D00">
            <w:pPr>
              <w:pStyle w:val="12"/>
              <w:pageBreakBefore w:val="0"/>
              <w:wordWrap/>
              <w:bidi w:val="0"/>
              <w:adjustRightInd/>
              <w:snapToGrid/>
              <w:rPr>
                <w:color w:val="auto"/>
              </w:rPr>
            </w:pPr>
          </w:p>
        </w:tc>
        <w:tc>
          <w:tcPr>
            <w:tcW w:w="0" w:type="auto"/>
            <w:tcBorders>
              <w:tl2br w:val="nil"/>
              <w:tr2bl w:val="nil"/>
            </w:tcBorders>
            <w:noWrap w:val="0"/>
            <w:vAlign w:val="center"/>
          </w:tcPr>
          <w:p w14:paraId="015AAA9F">
            <w:pPr>
              <w:pStyle w:val="12"/>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2C1A33ED">
            <w:pPr>
              <w:pStyle w:val="12"/>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6374D5D4">
            <w:pPr>
              <w:pStyle w:val="12"/>
              <w:pageBreakBefore w:val="0"/>
              <w:wordWrap/>
              <w:bidi w:val="0"/>
              <w:adjustRightInd/>
              <w:snapToGrid/>
              <w:rPr>
                <w:color w:val="auto"/>
              </w:rPr>
            </w:pPr>
          </w:p>
        </w:tc>
        <w:tc>
          <w:tcPr>
            <w:tcW w:w="0" w:type="auto"/>
            <w:tcBorders>
              <w:tl2br w:val="nil"/>
              <w:tr2bl w:val="nil"/>
            </w:tcBorders>
            <w:noWrap w:val="0"/>
            <w:vAlign w:val="center"/>
          </w:tcPr>
          <w:p w14:paraId="17B12D3F">
            <w:pPr>
              <w:pStyle w:val="12"/>
              <w:pageBreakBefore w:val="0"/>
              <w:wordWrap/>
              <w:bidi w:val="0"/>
              <w:adjustRightInd/>
              <w:snapToGrid/>
              <w:rPr>
                <w:color w:val="auto"/>
              </w:rPr>
            </w:pPr>
            <w:r>
              <w:rPr>
                <w:color w:val="auto"/>
              </w:rPr>
              <w:t>1425</w:t>
            </w:r>
          </w:p>
        </w:tc>
        <w:tc>
          <w:tcPr>
            <w:tcW w:w="0" w:type="auto"/>
            <w:vMerge w:val="continue"/>
            <w:tcBorders>
              <w:tl2br w:val="nil"/>
              <w:tr2bl w:val="nil"/>
            </w:tcBorders>
            <w:noWrap w:val="0"/>
            <w:vAlign w:val="center"/>
          </w:tcPr>
          <w:p w14:paraId="590B2184">
            <w:pPr>
              <w:pStyle w:val="12"/>
              <w:pageBreakBefore w:val="0"/>
              <w:wordWrap/>
              <w:bidi w:val="0"/>
              <w:adjustRightInd/>
              <w:snapToGrid/>
              <w:rPr>
                <w:color w:val="auto"/>
              </w:rPr>
            </w:pPr>
          </w:p>
        </w:tc>
      </w:tr>
      <w:tr w14:paraId="3B2C7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02691D4">
            <w:pPr>
              <w:pStyle w:val="12"/>
              <w:pageBreakBefore w:val="0"/>
              <w:wordWrap/>
              <w:bidi w:val="0"/>
              <w:adjustRightInd/>
              <w:snapToGrid/>
              <w:rPr>
                <w:color w:val="auto"/>
              </w:rPr>
            </w:pPr>
            <w:r>
              <w:rPr>
                <w:color w:val="auto"/>
              </w:rPr>
              <w:t>THF/PTMEG</w:t>
            </w:r>
          </w:p>
        </w:tc>
        <w:tc>
          <w:tcPr>
            <w:tcW w:w="0" w:type="auto"/>
            <w:tcBorders>
              <w:tl2br w:val="nil"/>
              <w:tr2bl w:val="nil"/>
            </w:tcBorders>
            <w:noWrap w:val="0"/>
            <w:vAlign w:val="center"/>
          </w:tcPr>
          <w:p w14:paraId="0467CAB1">
            <w:pPr>
              <w:pStyle w:val="12"/>
              <w:pageBreakBefore w:val="0"/>
              <w:wordWrap/>
              <w:bidi w:val="0"/>
              <w:adjustRightInd/>
              <w:snapToGrid/>
              <w:rPr>
                <w:color w:val="auto"/>
              </w:rPr>
            </w:pPr>
          </w:p>
        </w:tc>
        <w:tc>
          <w:tcPr>
            <w:tcW w:w="0" w:type="auto"/>
            <w:tcBorders>
              <w:tl2br w:val="nil"/>
              <w:tr2bl w:val="nil"/>
            </w:tcBorders>
            <w:noWrap w:val="0"/>
            <w:vAlign w:val="center"/>
          </w:tcPr>
          <w:p w14:paraId="11A9EFAA">
            <w:pPr>
              <w:pStyle w:val="12"/>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2BAE4DB3">
            <w:pPr>
              <w:pStyle w:val="12"/>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660EFC7F">
            <w:pPr>
              <w:pStyle w:val="12"/>
              <w:pageBreakBefore w:val="0"/>
              <w:wordWrap/>
              <w:bidi w:val="0"/>
              <w:adjustRightInd/>
              <w:snapToGrid/>
              <w:rPr>
                <w:color w:val="auto"/>
              </w:rPr>
            </w:pPr>
          </w:p>
        </w:tc>
        <w:tc>
          <w:tcPr>
            <w:tcW w:w="0" w:type="auto"/>
            <w:tcBorders>
              <w:tl2br w:val="nil"/>
              <w:tr2bl w:val="nil"/>
            </w:tcBorders>
            <w:noWrap w:val="0"/>
            <w:vAlign w:val="center"/>
          </w:tcPr>
          <w:p w14:paraId="4CE19133">
            <w:pPr>
              <w:pStyle w:val="12"/>
              <w:pageBreakBefore w:val="0"/>
              <w:wordWrap/>
              <w:bidi w:val="0"/>
              <w:adjustRightInd/>
              <w:snapToGrid/>
              <w:rPr>
                <w:color w:val="auto"/>
              </w:rPr>
            </w:pPr>
            <w:r>
              <w:rPr>
                <w:color w:val="auto"/>
              </w:rPr>
              <w:t>28</w:t>
            </w:r>
          </w:p>
        </w:tc>
        <w:tc>
          <w:tcPr>
            <w:tcW w:w="0" w:type="auto"/>
            <w:vMerge w:val="continue"/>
            <w:tcBorders>
              <w:tl2br w:val="nil"/>
              <w:tr2bl w:val="nil"/>
            </w:tcBorders>
            <w:noWrap w:val="0"/>
            <w:vAlign w:val="center"/>
          </w:tcPr>
          <w:p w14:paraId="5519FF26">
            <w:pPr>
              <w:pStyle w:val="12"/>
              <w:pageBreakBefore w:val="0"/>
              <w:wordWrap/>
              <w:bidi w:val="0"/>
              <w:adjustRightInd/>
              <w:snapToGrid/>
              <w:rPr>
                <w:color w:val="auto"/>
              </w:rPr>
            </w:pPr>
          </w:p>
        </w:tc>
      </w:tr>
      <w:tr w14:paraId="01CB0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1E2189E0">
            <w:pPr>
              <w:pStyle w:val="12"/>
              <w:pageBreakBefore w:val="0"/>
              <w:wordWrap/>
              <w:bidi w:val="0"/>
              <w:adjustRightInd/>
              <w:snapToGrid/>
              <w:rPr>
                <w:color w:val="auto"/>
              </w:rPr>
            </w:pPr>
            <w:r>
              <w:rPr>
                <w:color w:val="auto"/>
              </w:rPr>
              <w:t>差别化氨纶项目</w:t>
            </w:r>
          </w:p>
        </w:tc>
        <w:tc>
          <w:tcPr>
            <w:tcW w:w="0" w:type="auto"/>
            <w:tcBorders>
              <w:tl2br w:val="nil"/>
              <w:tr2bl w:val="nil"/>
            </w:tcBorders>
            <w:noWrap w:val="0"/>
            <w:vAlign w:val="center"/>
          </w:tcPr>
          <w:p w14:paraId="34C142CA">
            <w:pPr>
              <w:pStyle w:val="12"/>
              <w:pageBreakBefore w:val="0"/>
              <w:wordWrap/>
              <w:bidi w:val="0"/>
              <w:adjustRightInd/>
              <w:snapToGrid/>
              <w:rPr>
                <w:color w:val="auto"/>
              </w:rPr>
            </w:pPr>
          </w:p>
        </w:tc>
        <w:tc>
          <w:tcPr>
            <w:tcW w:w="0" w:type="auto"/>
            <w:tcBorders>
              <w:tl2br w:val="nil"/>
              <w:tr2bl w:val="nil"/>
            </w:tcBorders>
            <w:noWrap w:val="0"/>
            <w:vAlign w:val="center"/>
          </w:tcPr>
          <w:p w14:paraId="06AF1A9A">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558CC607">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2B91D3B0">
            <w:pPr>
              <w:pStyle w:val="12"/>
              <w:pageBreakBefore w:val="0"/>
              <w:wordWrap/>
              <w:bidi w:val="0"/>
              <w:adjustRightInd/>
              <w:snapToGrid/>
              <w:rPr>
                <w:color w:val="auto"/>
              </w:rPr>
            </w:pPr>
          </w:p>
        </w:tc>
        <w:tc>
          <w:tcPr>
            <w:tcW w:w="0" w:type="auto"/>
            <w:tcBorders>
              <w:tl2br w:val="nil"/>
              <w:tr2bl w:val="nil"/>
            </w:tcBorders>
            <w:noWrap w:val="0"/>
            <w:vAlign w:val="center"/>
          </w:tcPr>
          <w:p w14:paraId="3380201D">
            <w:pPr>
              <w:pStyle w:val="12"/>
              <w:pageBreakBefore w:val="0"/>
              <w:wordWrap/>
              <w:bidi w:val="0"/>
              <w:adjustRightInd/>
              <w:snapToGrid/>
              <w:rPr>
                <w:color w:val="auto"/>
              </w:rPr>
            </w:pPr>
            <w:r>
              <w:rPr>
                <w:color w:val="auto"/>
              </w:rPr>
              <w:t>802</w:t>
            </w:r>
          </w:p>
        </w:tc>
        <w:tc>
          <w:tcPr>
            <w:tcW w:w="0" w:type="auto"/>
            <w:tcBorders>
              <w:tl2br w:val="nil"/>
              <w:tr2bl w:val="nil"/>
            </w:tcBorders>
            <w:noWrap w:val="0"/>
            <w:vAlign w:val="center"/>
          </w:tcPr>
          <w:p w14:paraId="2527B8E0">
            <w:pPr>
              <w:pStyle w:val="12"/>
              <w:pageBreakBefore w:val="0"/>
              <w:wordWrap/>
              <w:bidi w:val="0"/>
              <w:adjustRightInd/>
              <w:snapToGrid/>
              <w:rPr>
                <w:color w:val="auto"/>
              </w:rPr>
            </w:pPr>
            <w:r>
              <w:rPr>
                <w:color w:val="auto"/>
              </w:rPr>
              <w:t>《排放源统计调查产排污核算方法和系数手册》2826氨纶纤维制造业系数手册</w:t>
            </w:r>
          </w:p>
        </w:tc>
      </w:tr>
      <w:tr w14:paraId="26DA7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8B5FF77">
            <w:pPr>
              <w:pStyle w:val="12"/>
              <w:pageBreakBefore w:val="0"/>
              <w:wordWrap/>
              <w:bidi w:val="0"/>
              <w:adjustRightInd/>
              <w:snapToGrid/>
              <w:rPr>
                <w:color w:val="auto"/>
              </w:rPr>
            </w:pPr>
            <w:r>
              <w:rPr>
                <w:color w:val="auto"/>
              </w:rPr>
              <w:t>PBAT</w:t>
            </w:r>
          </w:p>
        </w:tc>
        <w:tc>
          <w:tcPr>
            <w:tcW w:w="0" w:type="auto"/>
            <w:tcBorders>
              <w:tl2br w:val="nil"/>
              <w:tr2bl w:val="nil"/>
            </w:tcBorders>
            <w:noWrap w:val="0"/>
            <w:vAlign w:val="center"/>
          </w:tcPr>
          <w:p w14:paraId="2A04A409">
            <w:pPr>
              <w:pStyle w:val="12"/>
              <w:pageBreakBefore w:val="0"/>
              <w:wordWrap/>
              <w:bidi w:val="0"/>
              <w:adjustRightInd/>
              <w:snapToGrid/>
              <w:rPr>
                <w:color w:val="auto"/>
              </w:rPr>
            </w:pPr>
          </w:p>
        </w:tc>
        <w:tc>
          <w:tcPr>
            <w:tcW w:w="0" w:type="auto"/>
            <w:tcBorders>
              <w:tl2br w:val="nil"/>
              <w:tr2bl w:val="nil"/>
            </w:tcBorders>
            <w:noWrap w:val="0"/>
            <w:vAlign w:val="center"/>
          </w:tcPr>
          <w:p w14:paraId="70F8BC0C">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387BF49E">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77C6F87A">
            <w:pPr>
              <w:pStyle w:val="12"/>
              <w:pageBreakBefore w:val="0"/>
              <w:wordWrap/>
              <w:bidi w:val="0"/>
              <w:adjustRightInd/>
              <w:snapToGrid/>
              <w:rPr>
                <w:color w:val="auto"/>
              </w:rPr>
            </w:pPr>
          </w:p>
        </w:tc>
        <w:tc>
          <w:tcPr>
            <w:tcW w:w="0" w:type="auto"/>
            <w:tcBorders>
              <w:tl2br w:val="nil"/>
              <w:tr2bl w:val="nil"/>
            </w:tcBorders>
            <w:noWrap w:val="0"/>
            <w:vAlign w:val="center"/>
          </w:tcPr>
          <w:p w14:paraId="32F6FD8C">
            <w:pPr>
              <w:pStyle w:val="12"/>
              <w:pageBreakBefore w:val="0"/>
              <w:wordWrap/>
              <w:bidi w:val="0"/>
              <w:adjustRightInd/>
              <w:snapToGrid/>
              <w:rPr>
                <w:color w:val="auto"/>
              </w:rPr>
            </w:pPr>
            <w:r>
              <w:rPr>
                <w:color w:val="auto"/>
              </w:rPr>
              <w:t>38</w:t>
            </w:r>
          </w:p>
        </w:tc>
        <w:tc>
          <w:tcPr>
            <w:tcW w:w="0" w:type="auto"/>
            <w:tcBorders>
              <w:tl2br w:val="nil"/>
              <w:tr2bl w:val="nil"/>
            </w:tcBorders>
            <w:noWrap w:val="0"/>
            <w:vAlign w:val="center"/>
          </w:tcPr>
          <w:p w14:paraId="4C461A9F">
            <w:pPr>
              <w:pStyle w:val="12"/>
              <w:pageBreakBefore w:val="0"/>
              <w:wordWrap/>
              <w:bidi w:val="0"/>
              <w:adjustRightInd/>
              <w:snapToGrid/>
              <w:rPr>
                <w:color w:val="auto"/>
              </w:rPr>
            </w:pPr>
            <w:r>
              <w:rPr>
                <w:color w:val="auto"/>
              </w:rPr>
              <w:t>《四川永盈新材料有限公司年产80万吨功能性新材料一体化产业链项目一期工程》</w:t>
            </w:r>
          </w:p>
        </w:tc>
      </w:tr>
      <w:tr w14:paraId="2A3CE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5C31DE81">
            <w:pPr>
              <w:pStyle w:val="12"/>
              <w:pageBreakBefore w:val="0"/>
              <w:wordWrap/>
              <w:bidi w:val="0"/>
              <w:adjustRightInd/>
              <w:snapToGrid/>
              <w:rPr>
                <w:color w:val="auto"/>
              </w:rPr>
            </w:pPr>
            <w:r>
              <w:rPr>
                <w:color w:val="auto"/>
              </w:rPr>
              <w:t>NMP项目</w:t>
            </w:r>
          </w:p>
        </w:tc>
        <w:tc>
          <w:tcPr>
            <w:tcW w:w="0" w:type="auto"/>
            <w:tcBorders>
              <w:tl2br w:val="nil"/>
              <w:tr2bl w:val="nil"/>
            </w:tcBorders>
            <w:noWrap w:val="0"/>
            <w:vAlign w:val="center"/>
          </w:tcPr>
          <w:p w14:paraId="4FA72040">
            <w:pPr>
              <w:pStyle w:val="12"/>
              <w:pageBreakBefore w:val="0"/>
              <w:wordWrap/>
              <w:bidi w:val="0"/>
              <w:adjustRightInd/>
              <w:snapToGrid/>
              <w:rPr>
                <w:color w:val="auto"/>
              </w:rPr>
            </w:pPr>
          </w:p>
        </w:tc>
        <w:tc>
          <w:tcPr>
            <w:tcW w:w="0" w:type="auto"/>
            <w:tcBorders>
              <w:tl2br w:val="nil"/>
              <w:tr2bl w:val="nil"/>
            </w:tcBorders>
            <w:noWrap w:val="0"/>
            <w:vAlign w:val="center"/>
          </w:tcPr>
          <w:p w14:paraId="63DF46F0">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47737D06">
            <w:pPr>
              <w:pStyle w:val="12"/>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7DF9495C">
            <w:pPr>
              <w:pStyle w:val="12"/>
              <w:pageBreakBefore w:val="0"/>
              <w:wordWrap/>
              <w:bidi w:val="0"/>
              <w:adjustRightInd/>
              <w:snapToGrid/>
              <w:rPr>
                <w:color w:val="auto"/>
              </w:rPr>
            </w:pPr>
          </w:p>
        </w:tc>
        <w:tc>
          <w:tcPr>
            <w:tcW w:w="0" w:type="auto"/>
            <w:tcBorders>
              <w:tl2br w:val="nil"/>
              <w:tr2bl w:val="nil"/>
            </w:tcBorders>
            <w:noWrap w:val="0"/>
            <w:vAlign w:val="center"/>
          </w:tcPr>
          <w:p w14:paraId="034490FC">
            <w:pPr>
              <w:pStyle w:val="12"/>
              <w:pageBreakBefore w:val="0"/>
              <w:wordWrap/>
              <w:bidi w:val="0"/>
              <w:adjustRightInd/>
              <w:snapToGrid/>
              <w:rPr>
                <w:color w:val="auto"/>
              </w:rPr>
            </w:pPr>
            <w:r>
              <w:rPr>
                <w:color w:val="auto"/>
              </w:rPr>
              <w:t>318</w:t>
            </w:r>
          </w:p>
        </w:tc>
        <w:tc>
          <w:tcPr>
            <w:tcW w:w="0" w:type="auto"/>
            <w:tcBorders>
              <w:tl2br w:val="nil"/>
              <w:tr2bl w:val="nil"/>
            </w:tcBorders>
            <w:noWrap w:val="0"/>
            <w:vAlign w:val="center"/>
          </w:tcPr>
          <w:p w14:paraId="1C250D26">
            <w:pPr>
              <w:pStyle w:val="12"/>
              <w:pageBreakBefore w:val="0"/>
              <w:wordWrap/>
              <w:bidi w:val="0"/>
              <w:adjustRightInd/>
              <w:snapToGrid/>
              <w:rPr>
                <w:color w:val="auto"/>
              </w:rPr>
            </w:pPr>
            <w:r>
              <w:rPr>
                <w:color w:val="auto"/>
              </w:rPr>
              <w:t>陕西煤业化工集团新疆有限责任公司库尔勒天然气制化工新材料项目</w:t>
            </w:r>
          </w:p>
        </w:tc>
      </w:tr>
      <w:tr w14:paraId="625A0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A89566C">
            <w:pPr>
              <w:pStyle w:val="12"/>
              <w:pageBreakBefore w:val="0"/>
              <w:wordWrap/>
              <w:bidi w:val="0"/>
              <w:adjustRightInd/>
              <w:snapToGrid/>
              <w:rPr>
                <w:color w:val="auto"/>
              </w:rPr>
            </w:pPr>
            <w:r>
              <w:rPr>
                <w:color w:val="auto"/>
              </w:rPr>
              <w:t>TPEE项目</w:t>
            </w:r>
          </w:p>
        </w:tc>
        <w:tc>
          <w:tcPr>
            <w:tcW w:w="0" w:type="auto"/>
            <w:tcBorders>
              <w:tl2br w:val="nil"/>
              <w:tr2bl w:val="nil"/>
            </w:tcBorders>
            <w:noWrap w:val="0"/>
            <w:vAlign w:val="center"/>
          </w:tcPr>
          <w:p w14:paraId="56622754">
            <w:pPr>
              <w:pStyle w:val="12"/>
              <w:pageBreakBefore w:val="0"/>
              <w:wordWrap/>
              <w:bidi w:val="0"/>
              <w:adjustRightInd/>
              <w:snapToGrid/>
              <w:rPr>
                <w:color w:val="auto"/>
              </w:rPr>
            </w:pPr>
          </w:p>
        </w:tc>
        <w:tc>
          <w:tcPr>
            <w:tcW w:w="0" w:type="auto"/>
            <w:tcBorders>
              <w:tl2br w:val="nil"/>
              <w:tr2bl w:val="nil"/>
            </w:tcBorders>
            <w:noWrap w:val="0"/>
            <w:vAlign w:val="center"/>
          </w:tcPr>
          <w:p w14:paraId="57CCD058">
            <w:pPr>
              <w:pStyle w:val="12"/>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404F2D26">
            <w:pPr>
              <w:pStyle w:val="12"/>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29F2A4D4">
            <w:pPr>
              <w:pStyle w:val="12"/>
              <w:pageBreakBefore w:val="0"/>
              <w:wordWrap/>
              <w:bidi w:val="0"/>
              <w:adjustRightInd/>
              <w:snapToGrid/>
              <w:rPr>
                <w:color w:val="auto"/>
              </w:rPr>
            </w:pPr>
          </w:p>
        </w:tc>
        <w:tc>
          <w:tcPr>
            <w:tcW w:w="0" w:type="auto"/>
            <w:tcBorders>
              <w:tl2br w:val="nil"/>
              <w:tr2bl w:val="nil"/>
            </w:tcBorders>
            <w:noWrap w:val="0"/>
            <w:vAlign w:val="center"/>
          </w:tcPr>
          <w:p w14:paraId="1C1F6DE5">
            <w:pPr>
              <w:pStyle w:val="12"/>
              <w:pageBreakBefore w:val="0"/>
              <w:wordWrap/>
              <w:bidi w:val="0"/>
              <w:adjustRightInd/>
              <w:snapToGrid/>
              <w:rPr>
                <w:color w:val="auto"/>
              </w:rPr>
            </w:pPr>
            <w:r>
              <w:rPr>
                <w:color w:val="auto"/>
              </w:rPr>
              <w:t>92</w:t>
            </w:r>
          </w:p>
        </w:tc>
        <w:tc>
          <w:tcPr>
            <w:tcW w:w="0" w:type="auto"/>
            <w:tcBorders>
              <w:tl2br w:val="nil"/>
              <w:tr2bl w:val="nil"/>
            </w:tcBorders>
            <w:noWrap w:val="0"/>
            <w:vAlign w:val="center"/>
          </w:tcPr>
          <w:p w14:paraId="4B20C50B">
            <w:pPr>
              <w:pStyle w:val="12"/>
              <w:pageBreakBefore w:val="0"/>
              <w:wordWrap/>
              <w:bidi w:val="0"/>
              <w:adjustRightInd/>
              <w:snapToGrid/>
              <w:rPr>
                <w:color w:val="auto"/>
              </w:rPr>
            </w:pPr>
            <w:r>
              <w:rPr>
                <w:color w:val="auto"/>
              </w:rPr>
              <w:t>南通正盛化工科技有限公司年产6万吨PBT</w:t>
            </w:r>
            <w:r>
              <w:rPr>
                <w:rFonts w:hint="eastAsia"/>
                <w:color w:val="auto"/>
                <w:lang w:eastAsia="zh-CN"/>
              </w:rPr>
              <w:t>（</w:t>
            </w:r>
            <w:r>
              <w:rPr>
                <w:color w:val="auto"/>
              </w:rPr>
              <w:t>其中包含5万吨PBT工程塑料、1万吨PBT纤维</w:t>
            </w:r>
            <w:r>
              <w:rPr>
                <w:rFonts w:hint="eastAsia"/>
                <w:color w:val="auto"/>
                <w:lang w:eastAsia="zh-CN"/>
              </w:rPr>
              <w:t>）</w:t>
            </w:r>
            <w:r>
              <w:rPr>
                <w:color w:val="auto"/>
              </w:rPr>
              <w:t>、4万吨尼龙6切片、1万吨PBAT、1万吨TPEE和副产0.4万吨THF项目</w:t>
            </w:r>
          </w:p>
        </w:tc>
      </w:tr>
      <w:tr w14:paraId="520B1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834E9F1">
            <w:pPr>
              <w:pStyle w:val="12"/>
              <w:pageBreakBefore w:val="0"/>
              <w:wordWrap/>
              <w:bidi w:val="0"/>
              <w:adjustRightInd/>
              <w:snapToGrid/>
              <w:rPr>
                <w:color w:val="auto"/>
              </w:rPr>
            </w:pPr>
            <w:r>
              <w:rPr>
                <w:color w:val="auto"/>
              </w:rPr>
              <w:t>PBS项目</w:t>
            </w:r>
          </w:p>
        </w:tc>
        <w:tc>
          <w:tcPr>
            <w:tcW w:w="0" w:type="auto"/>
            <w:tcBorders>
              <w:tl2br w:val="nil"/>
              <w:tr2bl w:val="nil"/>
            </w:tcBorders>
            <w:noWrap w:val="0"/>
            <w:vAlign w:val="center"/>
          </w:tcPr>
          <w:p w14:paraId="3B591A5E">
            <w:pPr>
              <w:pStyle w:val="12"/>
              <w:pageBreakBefore w:val="0"/>
              <w:wordWrap/>
              <w:bidi w:val="0"/>
              <w:adjustRightInd/>
              <w:snapToGrid/>
              <w:rPr>
                <w:color w:val="auto"/>
              </w:rPr>
            </w:pPr>
          </w:p>
        </w:tc>
        <w:tc>
          <w:tcPr>
            <w:tcW w:w="0" w:type="auto"/>
            <w:tcBorders>
              <w:tl2br w:val="nil"/>
              <w:tr2bl w:val="nil"/>
            </w:tcBorders>
            <w:noWrap w:val="0"/>
            <w:vAlign w:val="center"/>
          </w:tcPr>
          <w:p w14:paraId="0883F571">
            <w:pPr>
              <w:pStyle w:val="12"/>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60C16307">
            <w:pPr>
              <w:pStyle w:val="12"/>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4EEC3C59">
            <w:pPr>
              <w:pStyle w:val="12"/>
              <w:pageBreakBefore w:val="0"/>
              <w:wordWrap/>
              <w:bidi w:val="0"/>
              <w:adjustRightInd/>
              <w:snapToGrid/>
              <w:rPr>
                <w:color w:val="auto"/>
              </w:rPr>
            </w:pPr>
          </w:p>
        </w:tc>
        <w:tc>
          <w:tcPr>
            <w:tcW w:w="0" w:type="auto"/>
            <w:tcBorders>
              <w:tl2br w:val="nil"/>
              <w:tr2bl w:val="nil"/>
            </w:tcBorders>
            <w:noWrap w:val="0"/>
            <w:vAlign w:val="center"/>
          </w:tcPr>
          <w:p w14:paraId="26A11665">
            <w:pPr>
              <w:pStyle w:val="12"/>
              <w:pageBreakBefore w:val="0"/>
              <w:wordWrap/>
              <w:bidi w:val="0"/>
              <w:adjustRightInd/>
              <w:snapToGrid/>
              <w:rPr>
                <w:color w:val="auto"/>
              </w:rPr>
            </w:pPr>
            <w:r>
              <w:rPr>
                <w:color w:val="auto"/>
              </w:rPr>
              <w:t>377</w:t>
            </w:r>
          </w:p>
        </w:tc>
        <w:tc>
          <w:tcPr>
            <w:tcW w:w="0" w:type="auto"/>
            <w:tcBorders>
              <w:tl2br w:val="nil"/>
              <w:tr2bl w:val="nil"/>
            </w:tcBorders>
            <w:noWrap w:val="0"/>
            <w:vAlign w:val="center"/>
          </w:tcPr>
          <w:p w14:paraId="37DF96FB">
            <w:pPr>
              <w:pStyle w:val="12"/>
              <w:pageBreakBefore w:val="0"/>
              <w:wordWrap/>
              <w:bidi w:val="0"/>
              <w:adjustRightInd/>
              <w:snapToGrid/>
              <w:rPr>
                <w:color w:val="auto"/>
              </w:rPr>
            </w:pPr>
            <w:r>
              <w:rPr>
                <w:color w:val="auto"/>
              </w:rPr>
              <w:t>内蒙古东景生物环保科技有限公司年产20万吨可降解聚酯</w:t>
            </w:r>
            <w:r>
              <w:rPr>
                <w:rFonts w:hint="eastAsia"/>
                <w:color w:val="auto"/>
                <w:lang w:eastAsia="zh-CN"/>
              </w:rPr>
              <w:t>（</w:t>
            </w:r>
            <w:r>
              <w:rPr>
                <w:color w:val="auto"/>
              </w:rPr>
              <w:t>PBS/PBAT</w:t>
            </w:r>
            <w:r>
              <w:rPr>
                <w:rFonts w:hint="eastAsia"/>
                <w:color w:val="auto"/>
                <w:lang w:eastAsia="zh-CN"/>
              </w:rPr>
              <w:t>）</w:t>
            </w:r>
            <w:r>
              <w:rPr>
                <w:color w:val="auto"/>
              </w:rPr>
              <w:t>项目</w:t>
            </w:r>
          </w:p>
        </w:tc>
      </w:tr>
      <w:tr w14:paraId="44DAD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7E0E9D7">
            <w:pPr>
              <w:pStyle w:val="12"/>
              <w:pageBreakBefore w:val="0"/>
              <w:wordWrap/>
              <w:bidi w:val="0"/>
              <w:adjustRightInd/>
              <w:snapToGrid/>
              <w:rPr>
                <w:color w:val="auto"/>
              </w:rPr>
            </w:pPr>
            <w:r>
              <w:rPr>
                <w:color w:val="auto"/>
              </w:rPr>
              <w:t>PBT项目</w:t>
            </w:r>
          </w:p>
        </w:tc>
        <w:tc>
          <w:tcPr>
            <w:tcW w:w="0" w:type="auto"/>
            <w:tcBorders>
              <w:tl2br w:val="nil"/>
              <w:tr2bl w:val="nil"/>
            </w:tcBorders>
            <w:noWrap w:val="0"/>
            <w:vAlign w:val="center"/>
          </w:tcPr>
          <w:p w14:paraId="0A5CE249">
            <w:pPr>
              <w:pStyle w:val="12"/>
              <w:pageBreakBefore w:val="0"/>
              <w:wordWrap/>
              <w:bidi w:val="0"/>
              <w:adjustRightInd/>
              <w:snapToGrid/>
              <w:rPr>
                <w:color w:val="auto"/>
              </w:rPr>
            </w:pPr>
          </w:p>
        </w:tc>
        <w:tc>
          <w:tcPr>
            <w:tcW w:w="0" w:type="auto"/>
            <w:tcBorders>
              <w:tl2br w:val="nil"/>
              <w:tr2bl w:val="nil"/>
            </w:tcBorders>
            <w:noWrap w:val="0"/>
            <w:vAlign w:val="center"/>
          </w:tcPr>
          <w:p w14:paraId="08CC4834">
            <w:pPr>
              <w:pStyle w:val="12"/>
              <w:pageBreakBefore w:val="0"/>
              <w:wordWrap/>
              <w:bidi w:val="0"/>
              <w:adjustRightInd/>
              <w:snapToGrid/>
              <w:rPr>
                <w:rFonts w:hint="eastAsia" w:eastAsia="宋体"/>
                <w:color w:val="auto"/>
                <w:lang w:val="en-US" w:eastAsia="zh-CN"/>
              </w:rPr>
            </w:pPr>
            <w:r>
              <w:rPr>
                <w:rFonts w:hint="eastAsia"/>
                <w:color w:val="auto"/>
                <w:lang w:val="en-US" w:eastAsia="zh-CN"/>
              </w:rPr>
              <w:t>5</w:t>
            </w:r>
          </w:p>
        </w:tc>
        <w:tc>
          <w:tcPr>
            <w:tcW w:w="0" w:type="auto"/>
            <w:tcBorders>
              <w:tl2br w:val="nil"/>
              <w:tr2bl w:val="nil"/>
            </w:tcBorders>
            <w:noWrap w:val="0"/>
            <w:vAlign w:val="center"/>
          </w:tcPr>
          <w:p w14:paraId="67D4EA1C">
            <w:pPr>
              <w:pStyle w:val="12"/>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3FF8883D">
            <w:pPr>
              <w:pStyle w:val="12"/>
              <w:pageBreakBefore w:val="0"/>
              <w:wordWrap/>
              <w:bidi w:val="0"/>
              <w:adjustRightInd/>
              <w:snapToGrid/>
              <w:rPr>
                <w:color w:val="auto"/>
              </w:rPr>
            </w:pPr>
          </w:p>
        </w:tc>
        <w:tc>
          <w:tcPr>
            <w:tcW w:w="0" w:type="auto"/>
            <w:tcBorders>
              <w:tl2br w:val="nil"/>
              <w:tr2bl w:val="nil"/>
            </w:tcBorders>
            <w:noWrap w:val="0"/>
            <w:vAlign w:val="center"/>
          </w:tcPr>
          <w:p w14:paraId="315FEF96">
            <w:pPr>
              <w:pStyle w:val="12"/>
              <w:pageBreakBefore w:val="0"/>
              <w:wordWrap/>
              <w:bidi w:val="0"/>
              <w:adjustRightInd/>
              <w:snapToGrid/>
              <w:rPr>
                <w:color w:val="auto"/>
              </w:rPr>
            </w:pPr>
            <w:r>
              <w:rPr>
                <w:color w:val="auto"/>
              </w:rPr>
              <w:t>32</w:t>
            </w:r>
          </w:p>
        </w:tc>
        <w:tc>
          <w:tcPr>
            <w:tcW w:w="0" w:type="auto"/>
            <w:tcBorders>
              <w:tl2br w:val="nil"/>
              <w:tr2bl w:val="nil"/>
            </w:tcBorders>
            <w:noWrap w:val="0"/>
            <w:vAlign w:val="center"/>
          </w:tcPr>
          <w:p w14:paraId="01F70D61">
            <w:pPr>
              <w:pStyle w:val="12"/>
              <w:pageBreakBefore w:val="0"/>
              <w:wordWrap/>
              <w:bidi w:val="0"/>
              <w:adjustRightInd/>
              <w:snapToGrid/>
              <w:rPr>
                <w:rFonts w:hint="eastAsia" w:eastAsia="宋体"/>
                <w:color w:val="auto"/>
                <w:lang w:eastAsia="zh-CN"/>
              </w:rPr>
            </w:pPr>
            <w:r>
              <w:rPr>
                <w:color w:val="auto"/>
              </w:rPr>
              <w:t>宁夏冠能新材料科技有限公司NMP、PBT/PBTA、PTMEG等高分子材料、生物可降解材料及上游配套产业链项目</w:t>
            </w:r>
            <w:r>
              <w:rPr>
                <w:rFonts w:hint="eastAsia"/>
                <w:color w:val="auto"/>
                <w:lang w:eastAsia="zh-CN"/>
              </w:rPr>
              <w:t>（</w:t>
            </w:r>
            <w:r>
              <w:rPr>
                <w:color w:val="auto"/>
              </w:rPr>
              <w:t>一期工程</w:t>
            </w:r>
            <w:r>
              <w:rPr>
                <w:rFonts w:hint="eastAsia"/>
                <w:color w:val="auto"/>
                <w:lang w:eastAsia="zh-CN"/>
              </w:rPr>
              <w:t>）</w:t>
            </w:r>
          </w:p>
        </w:tc>
      </w:tr>
      <w:tr w14:paraId="18597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4956CA9">
            <w:pPr>
              <w:pStyle w:val="12"/>
              <w:pageBreakBefore w:val="0"/>
              <w:wordWrap/>
              <w:bidi w:val="0"/>
              <w:adjustRightInd/>
              <w:snapToGrid/>
              <w:rPr>
                <w:color w:val="auto"/>
              </w:rPr>
            </w:pPr>
            <w:r>
              <w:rPr>
                <w:color w:val="auto"/>
              </w:rPr>
              <w:t>公辅设施排水</w:t>
            </w:r>
          </w:p>
        </w:tc>
        <w:tc>
          <w:tcPr>
            <w:tcW w:w="0" w:type="auto"/>
            <w:tcBorders>
              <w:tl2br w:val="nil"/>
              <w:tr2bl w:val="nil"/>
            </w:tcBorders>
            <w:noWrap w:val="0"/>
            <w:vAlign w:val="center"/>
          </w:tcPr>
          <w:p w14:paraId="483991A3">
            <w:pPr>
              <w:pStyle w:val="12"/>
              <w:pageBreakBefore w:val="0"/>
              <w:wordWrap/>
              <w:bidi w:val="0"/>
              <w:adjustRightInd/>
              <w:snapToGrid/>
              <w:rPr>
                <w:color w:val="auto"/>
              </w:rPr>
            </w:pPr>
          </w:p>
        </w:tc>
        <w:tc>
          <w:tcPr>
            <w:tcW w:w="0" w:type="auto"/>
            <w:tcBorders>
              <w:tl2br w:val="nil"/>
              <w:tr2bl w:val="nil"/>
            </w:tcBorders>
            <w:noWrap w:val="0"/>
            <w:vAlign w:val="center"/>
          </w:tcPr>
          <w:p w14:paraId="138B7CD5">
            <w:pPr>
              <w:pStyle w:val="12"/>
              <w:pageBreakBefore w:val="0"/>
              <w:wordWrap/>
              <w:bidi w:val="0"/>
              <w:adjustRightInd/>
              <w:snapToGrid/>
              <w:rPr>
                <w:color w:val="auto"/>
              </w:rPr>
            </w:pPr>
          </w:p>
        </w:tc>
        <w:tc>
          <w:tcPr>
            <w:tcW w:w="0" w:type="auto"/>
            <w:tcBorders>
              <w:tl2br w:val="nil"/>
              <w:tr2bl w:val="nil"/>
            </w:tcBorders>
            <w:noWrap w:val="0"/>
            <w:vAlign w:val="center"/>
          </w:tcPr>
          <w:p w14:paraId="43E093CC">
            <w:pPr>
              <w:pStyle w:val="12"/>
              <w:pageBreakBefore w:val="0"/>
              <w:wordWrap/>
              <w:bidi w:val="0"/>
              <w:adjustRightInd/>
              <w:snapToGrid/>
              <w:rPr>
                <w:color w:val="auto"/>
              </w:rPr>
            </w:pPr>
          </w:p>
        </w:tc>
        <w:tc>
          <w:tcPr>
            <w:tcW w:w="0" w:type="auto"/>
            <w:tcBorders>
              <w:tl2br w:val="nil"/>
              <w:tr2bl w:val="nil"/>
            </w:tcBorders>
            <w:noWrap w:val="0"/>
            <w:vAlign w:val="center"/>
          </w:tcPr>
          <w:p w14:paraId="2D47BF6D">
            <w:pPr>
              <w:pStyle w:val="12"/>
              <w:pageBreakBefore w:val="0"/>
              <w:wordWrap/>
              <w:bidi w:val="0"/>
              <w:adjustRightInd/>
              <w:snapToGrid/>
              <w:rPr>
                <w:color w:val="auto"/>
              </w:rPr>
            </w:pPr>
          </w:p>
        </w:tc>
        <w:tc>
          <w:tcPr>
            <w:tcW w:w="0" w:type="auto"/>
            <w:tcBorders>
              <w:tl2br w:val="nil"/>
              <w:tr2bl w:val="nil"/>
            </w:tcBorders>
            <w:noWrap w:val="0"/>
            <w:vAlign w:val="center"/>
          </w:tcPr>
          <w:p w14:paraId="2A8ECA59">
            <w:pPr>
              <w:pStyle w:val="12"/>
              <w:pageBreakBefore w:val="0"/>
              <w:wordWrap/>
              <w:bidi w:val="0"/>
              <w:adjustRightInd/>
              <w:snapToGrid/>
              <w:rPr>
                <w:color w:val="auto"/>
              </w:rPr>
            </w:pPr>
            <w:r>
              <w:rPr>
                <w:color w:val="auto"/>
              </w:rPr>
              <w:t>4181</w:t>
            </w:r>
          </w:p>
        </w:tc>
        <w:tc>
          <w:tcPr>
            <w:tcW w:w="0" w:type="auto"/>
            <w:tcBorders>
              <w:tl2br w:val="nil"/>
              <w:tr2bl w:val="nil"/>
            </w:tcBorders>
            <w:noWrap w:val="0"/>
            <w:vAlign w:val="center"/>
          </w:tcPr>
          <w:p w14:paraId="188C8395">
            <w:pPr>
              <w:pStyle w:val="12"/>
              <w:pageBreakBefore w:val="0"/>
              <w:wordWrap/>
              <w:bidi w:val="0"/>
              <w:adjustRightInd/>
              <w:snapToGrid/>
              <w:rPr>
                <w:color w:val="auto"/>
              </w:rPr>
            </w:pPr>
            <w:r>
              <w:rPr>
                <w:color w:val="auto"/>
              </w:rPr>
              <w:t>《四川永盈新材料有限公司年产80万吨功能性新材料一体化产业链项目一期工程》</w:t>
            </w:r>
          </w:p>
        </w:tc>
      </w:tr>
      <w:tr w14:paraId="68907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gridSpan w:val="4"/>
            <w:tcBorders>
              <w:tl2br w:val="nil"/>
              <w:tr2bl w:val="nil"/>
            </w:tcBorders>
            <w:noWrap w:val="0"/>
            <w:vAlign w:val="center"/>
          </w:tcPr>
          <w:p w14:paraId="4F579F5F">
            <w:pPr>
              <w:pStyle w:val="12"/>
              <w:pageBreakBefore w:val="0"/>
              <w:wordWrap/>
              <w:bidi w:val="0"/>
              <w:adjustRightInd/>
              <w:snapToGrid/>
              <w:rPr>
                <w:color w:val="auto"/>
              </w:rPr>
            </w:pPr>
            <w:r>
              <w:rPr>
                <w:color w:val="auto"/>
              </w:rPr>
              <w:t>合计</w:t>
            </w:r>
          </w:p>
        </w:tc>
        <w:tc>
          <w:tcPr>
            <w:tcW w:w="0" w:type="auto"/>
            <w:tcBorders>
              <w:tl2br w:val="nil"/>
              <w:tr2bl w:val="nil"/>
            </w:tcBorders>
            <w:noWrap w:val="0"/>
            <w:vAlign w:val="center"/>
          </w:tcPr>
          <w:p w14:paraId="6E1BAF7D">
            <w:pPr>
              <w:pStyle w:val="12"/>
              <w:pageBreakBefore w:val="0"/>
              <w:wordWrap/>
              <w:bidi w:val="0"/>
              <w:adjustRightInd/>
              <w:snapToGrid/>
              <w:rPr>
                <w:color w:val="auto"/>
              </w:rPr>
            </w:pPr>
            <w:r>
              <w:rPr>
                <w:color w:val="auto"/>
              </w:rPr>
              <w:t>2393</w:t>
            </w:r>
          </w:p>
        </w:tc>
        <w:tc>
          <w:tcPr>
            <w:tcW w:w="0" w:type="auto"/>
            <w:tcBorders>
              <w:tl2br w:val="nil"/>
              <w:tr2bl w:val="nil"/>
            </w:tcBorders>
            <w:noWrap w:val="0"/>
            <w:vAlign w:val="center"/>
          </w:tcPr>
          <w:p w14:paraId="013883C9">
            <w:pPr>
              <w:pStyle w:val="12"/>
              <w:pageBreakBefore w:val="0"/>
              <w:wordWrap/>
              <w:bidi w:val="0"/>
              <w:adjustRightInd/>
              <w:snapToGrid/>
              <w:rPr>
                <w:color w:val="auto"/>
              </w:rPr>
            </w:pPr>
            <w:r>
              <w:rPr>
                <w:color w:val="auto"/>
              </w:rPr>
              <w:t>15400</w:t>
            </w:r>
          </w:p>
        </w:tc>
        <w:tc>
          <w:tcPr>
            <w:tcW w:w="0" w:type="auto"/>
            <w:tcBorders>
              <w:tl2br w:val="nil"/>
              <w:tr2bl w:val="nil"/>
            </w:tcBorders>
            <w:noWrap w:val="0"/>
            <w:vAlign w:val="center"/>
          </w:tcPr>
          <w:p w14:paraId="3AE7A30E">
            <w:pPr>
              <w:pStyle w:val="12"/>
              <w:pageBreakBefore w:val="0"/>
              <w:wordWrap/>
              <w:bidi w:val="0"/>
              <w:adjustRightInd/>
              <w:snapToGrid/>
              <w:rPr>
                <w:color w:val="auto"/>
              </w:rPr>
            </w:pPr>
          </w:p>
        </w:tc>
      </w:tr>
    </w:tbl>
    <w:p w14:paraId="71E0BA54">
      <w:pPr>
        <w:pageBreakBefore w:val="0"/>
        <w:wordWrap/>
        <w:bidi w:val="0"/>
        <w:adjustRightInd/>
        <w:snapToGrid/>
        <w:rPr>
          <w:rFonts w:hint="eastAsia"/>
          <w:b/>
          <w:bCs/>
          <w:color w:val="auto"/>
          <w:sz w:val="21"/>
          <w:szCs w:val="21"/>
          <w:lang w:eastAsia="zh-CN"/>
        </w:rPr>
      </w:pPr>
      <w:r>
        <w:rPr>
          <w:rFonts w:hint="eastAsia"/>
          <w:b/>
          <w:bCs/>
          <w:color w:val="auto"/>
          <w:sz w:val="21"/>
          <w:szCs w:val="21"/>
        </w:rPr>
        <w:t>注</w:t>
      </w:r>
      <w:r>
        <w:rPr>
          <w:rFonts w:hint="eastAsia"/>
          <w:b/>
          <w:bCs/>
          <w:color w:val="auto"/>
          <w:sz w:val="21"/>
          <w:szCs w:val="21"/>
          <w:lang w:eastAsia="zh-CN"/>
        </w:rPr>
        <w:t>：“</w:t>
      </w:r>
      <w:r>
        <w:rPr>
          <w:rFonts w:hint="eastAsia"/>
          <w:b/>
          <w:bCs/>
          <w:color w:val="auto"/>
          <w:sz w:val="21"/>
          <w:szCs w:val="21"/>
        </w:rPr>
        <w:t>*</w:t>
      </w:r>
      <w:r>
        <w:rPr>
          <w:rFonts w:hint="eastAsia"/>
          <w:b/>
          <w:bCs/>
          <w:color w:val="auto"/>
          <w:sz w:val="21"/>
          <w:szCs w:val="21"/>
          <w:lang w:eastAsia="zh-CN"/>
        </w:rPr>
        <w:t>”</w:t>
      </w:r>
      <w:r>
        <w:rPr>
          <w:rFonts w:hint="eastAsia"/>
          <w:b/>
          <w:bCs/>
          <w:color w:val="auto"/>
          <w:sz w:val="21"/>
          <w:szCs w:val="21"/>
        </w:rPr>
        <w:t>单位万方/年</w:t>
      </w:r>
      <w:r>
        <w:rPr>
          <w:rFonts w:hint="eastAsia"/>
          <w:b/>
          <w:bCs/>
          <w:color w:val="auto"/>
          <w:sz w:val="21"/>
          <w:szCs w:val="21"/>
          <w:lang w:eastAsia="zh-CN"/>
        </w:rPr>
        <w:t>。</w:t>
      </w:r>
    </w:p>
    <w:p w14:paraId="77CBA66B">
      <w:pPr>
        <w:pageBreakBefore w:val="0"/>
        <w:wordWrap/>
        <w:bidi w:val="0"/>
        <w:adjustRightInd/>
        <w:snapToGrid/>
        <w:rPr>
          <w:rFonts w:hint="eastAsia"/>
          <w:color w:val="auto"/>
          <w:lang w:eastAsia="zh-CN"/>
        </w:rPr>
      </w:pPr>
      <w:r>
        <w:rPr>
          <w:rFonts w:hint="eastAsia"/>
          <w:color w:val="auto"/>
          <w:lang w:eastAsia="zh-CN"/>
        </w:rPr>
        <w:t>根据规划环评预测数据，近期2025年，曾口区块污水量约0.24万</w:t>
      </w:r>
      <w:r>
        <w:rPr>
          <w:rFonts w:hint="eastAsia"/>
          <w:color w:val="auto"/>
          <w:lang w:val="en-US" w:eastAsia="zh-CN"/>
        </w:rPr>
        <w:t>m³</w:t>
      </w:r>
      <w:r>
        <w:rPr>
          <w:rFonts w:hint="eastAsia"/>
          <w:color w:val="auto"/>
          <w:lang w:eastAsia="zh-CN"/>
        </w:rPr>
        <w:t>/d；</w:t>
      </w:r>
      <w:r>
        <w:rPr>
          <w:rFonts w:hint="eastAsia"/>
          <w:color w:val="auto"/>
          <w:lang w:val="en-US" w:eastAsia="zh-CN"/>
        </w:rPr>
        <w:t>远期</w:t>
      </w:r>
      <w:r>
        <w:rPr>
          <w:rFonts w:hint="eastAsia"/>
          <w:color w:val="auto"/>
          <w:lang w:eastAsia="zh-CN"/>
        </w:rPr>
        <w:t>2035年，曾口区块污水量约1.54万</w:t>
      </w:r>
      <w:r>
        <w:rPr>
          <w:rFonts w:hint="eastAsia"/>
          <w:color w:val="auto"/>
          <w:lang w:val="en-US" w:eastAsia="zh-CN"/>
        </w:rPr>
        <w:t>m³</w:t>
      </w:r>
      <w:r>
        <w:rPr>
          <w:rFonts w:hint="eastAsia"/>
          <w:color w:val="auto"/>
          <w:lang w:eastAsia="zh-CN"/>
        </w:rPr>
        <w:t>/d。</w:t>
      </w:r>
    </w:p>
    <w:p w14:paraId="29C0B429">
      <w:pPr>
        <w:pageBreakBefore w:val="0"/>
        <w:wordWrap/>
        <w:bidi w:val="0"/>
        <w:adjustRightInd/>
        <w:snapToGrid/>
        <w:rPr>
          <w:rFonts w:hint="eastAsia" w:eastAsia="宋体"/>
          <w:b/>
          <w:bCs/>
          <w:color w:val="auto"/>
          <w:lang w:val="en-US" w:eastAsia="zh-CN"/>
        </w:rPr>
      </w:pPr>
      <w:r>
        <w:rPr>
          <w:rFonts w:hint="eastAsia"/>
          <w:b/>
          <w:bCs/>
          <w:color w:val="auto"/>
          <w:lang w:val="en-US" w:eastAsia="zh-CN"/>
        </w:rPr>
        <w:t>3、污水处理厂规模预测</w:t>
      </w:r>
    </w:p>
    <w:p w14:paraId="672A5382">
      <w:pPr>
        <w:pStyle w:val="318"/>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通过上述预测，同时考虑到曾口片区目前尚未有企业入驻，在规划期内企业污水量增长情况很可能变化，因此，</w:t>
      </w:r>
      <w:r>
        <w:rPr>
          <w:rFonts w:hint="eastAsia" w:cs="Times New Roman"/>
          <w:color w:val="auto"/>
          <w:lang w:eastAsia="zh-CN"/>
        </w:rPr>
        <w:t>按照“</w:t>
      </w:r>
      <w:r>
        <w:rPr>
          <w:rFonts w:hint="eastAsia" w:cs="Times New Roman"/>
          <w:color w:val="auto"/>
        </w:rPr>
        <w:t>一次规划、逐步开发、分期建设、滚动发展</w:t>
      </w:r>
      <w:r>
        <w:rPr>
          <w:rFonts w:hint="eastAsia" w:cs="Times New Roman"/>
          <w:color w:val="auto"/>
          <w:lang w:eastAsia="zh-CN"/>
        </w:rPr>
        <w:t>”</w:t>
      </w:r>
      <w:r>
        <w:rPr>
          <w:rFonts w:hint="eastAsia" w:cs="Times New Roman"/>
          <w:color w:val="auto"/>
        </w:rPr>
        <w:t>的原则，对污水处理规模进行适当分期以下为分期污水预测表</w:t>
      </w:r>
      <w:r>
        <w:rPr>
          <w:rFonts w:hint="eastAsia" w:cs="Times New Roman"/>
          <w:color w:val="auto"/>
          <w:lang w:eastAsia="zh-CN"/>
        </w:rPr>
        <w:t>：</w:t>
      </w:r>
    </w:p>
    <w:p w14:paraId="4BF28FDF">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污水处理厂规模预测一览表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84"/>
        <w:gridCol w:w="2786"/>
        <w:gridCol w:w="2789"/>
      </w:tblGrid>
      <w:tr w14:paraId="14EC2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665" w:type="pct"/>
            <w:tcBorders>
              <w:tl2br w:val="nil"/>
              <w:tr2bl w:val="nil"/>
            </w:tcBorders>
            <w:noWrap w:val="0"/>
            <w:vAlign w:val="center"/>
          </w:tcPr>
          <w:p w14:paraId="397636E7">
            <w:pPr>
              <w:pStyle w:val="12"/>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1666" w:type="pct"/>
            <w:tcBorders>
              <w:tl2br w:val="nil"/>
              <w:tr2bl w:val="nil"/>
            </w:tcBorders>
            <w:noWrap w:val="0"/>
            <w:vAlign w:val="center"/>
          </w:tcPr>
          <w:p w14:paraId="002D8F58">
            <w:pPr>
              <w:pStyle w:val="12"/>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近期（2025年）</w:t>
            </w:r>
          </w:p>
        </w:tc>
        <w:tc>
          <w:tcPr>
            <w:tcW w:w="1668" w:type="pct"/>
            <w:tcBorders>
              <w:tl2br w:val="nil"/>
              <w:tr2bl w:val="nil"/>
            </w:tcBorders>
            <w:noWrap w:val="0"/>
            <w:vAlign w:val="center"/>
          </w:tcPr>
          <w:p w14:paraId="5BC27524">
            <w:pPr>
              <w:pStyle w:val="12"/>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远期（2035年）</w:t>
            </w:r>
          </w:p>
        </w:tc>
      </w:tr>
      <w:tr w14:paraId="38404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305AF186">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工业污水量（万</w:t>
            </w:r>
            <w:r>
              <w:rPr>
                <w:rFonts w:hint="eastAsia"/>
                <w:color w:val="auto"/>
                <w:sz w:val="21"/>
                <w:szCs w:val="21"/>
                <w:lang w:val="en-US" w:eastAsia="zh-CN"/>
              </w:rPr>
              <w:t>m³</w:t>
            </w:r>
            <w:r>
              <w:rPr>
                <w:rFonts w:hint="eastAsia" w:eastAsia="宋体"/>
                <w:color w:val="auto"/>
                <w:sz w:val="21"/>
                <w:szCs w:val="21"/>
                <w:lang w:val="en-US" w:eastAsia="zh-CN"/>
              </w:rPr>
              <w:t>/d）</w:t>
            </w:r>
          </w:p>
        </w:tc>
        <w:tc>
          <w:tcPr>
            <w:tcW w:w="1666" w:type="pct"/>
            <w:tcBorders>
              <w:tl2br w:val="nil"/>
              <w:tr2bl w:val="nil"/>
            </w:tcBorders>
            <w:noWrap w:val="0"/>
            <w:vAlign w:val="center"/>
          </w:tcPr>
          <w:p w14:paraId="41B9E860">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0.24</w:t>
            </w:r>
          </w:p>
        </w:tc>
        <w:tc>
          <w:tcPr>
            <w:tcW w:w="1668" w:type="pct"/>
            <w:tcBorders>
              <w:tl2br w:val="nil"/>
              <w:tr2bl w:val="nil"/>
            </w:tcBorders>
            <w:noWrap w:val="0"/>
            <w:vAlign w:val="center"/>
          </w:tcPr>
          <w:p w14:paraId="3CC688B0">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1.54</w:t>
            </w:r>
          </w:p>
        </w:tc>
      </w:tr>
      <w:tr w14:paraId="43359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6B37D161">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处理规模</w:t>
            </w:r>
          </w:p>
        </w:tc>
        <w:tc>
          <w:tcPr>
            <w:tcW w:w="1666" w:type="pct"/>
            <w:tcBorders>
              <w:tl2br w:val="nil"/>
              <w:tr2bl w:val="nil"/>
            </w:tcBorders>
            <w:noWrap w:val="0"/>
            <w:vAlign w:val="center"/>
          </w:tcPr>
          <w:p w14:paraId="1D03D166">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0.3</w:t>
            </w:r>
          </w:p>
        </w:tc>
        <w:tc>
          <w:tcPr>
            <w:tcW w:w="1668" w:type="pct"/>
            <w:tcBorders>
              <w:tl2br w:val="nil"/>
              <w:tr2bl w:val="nil"/>
            </w:tcBorders>
            <w:noWrap w:val="0"/>
            <w:vAlign w:val="center"/>
          </w:tcPr>
          <w:p w14:paraId="0571C266">
            <w:pPr>
              <w:pStyle w:val="12"/>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1.6</w:t>
            </w:r>
          </w:p>
        </w:tc>
      </w:tr>
    </w:tbl>
    <w:p w14:paraId="709ABDD5">
      <w:pPr>
        <w:pStyle w:val="318"/>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结合曾口园区规划资料和规划环评资料，初步设计推荐本工程设计规模如下</w:t>
      </w:r>
      <w:r>
        <w:rPr>
          <w:rFonts w:hint="eastAsia" w:cs="Times New Roman"/>
          <w:color w:val="auto"/>
          <w:lang w:eastAsia="zh-CN"/>
        </w:rPr>
        <w:t>：</w:t>
      </w:r>
    </w:p>
    <w:p w14:paraId="7B84BF48">
      <w:pPr>
        <w:pStyle w:val="318"/>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近期</w:t>
      </w:r>
      <w:r>
        <w:rPr>
          <w:rFonts w:hint="eastAsia" w:cs="Times New Roman"/>
          <w:color w:val="auto"/>
          <w:lang w:eastAsia="zh-CN"/>
        </w:rPr>
        <w:t>（</w:t>
      </w:r>
      <w:r>
        <w:rPr>
          <w:rFonts w:hint="eastAsia" w:cs="Times New Roman"/>
          <w:color w:val="auto"/>
        </w:rPr>
        <w:t>2025年</w:t>
      </w:r>
      <w:r>
        <w:rPr>
          <w:rFonts w:hint="eastAsia" w:cs="Times New Roman"/>
          <w:color w:val="auto"/>
          <w:lang w:eastAsia="zh-CN"/>
        </w:rPr>
        <w:t>）：</w:t>
      </w:r>
      <w:r>
        <w:rPr>
          <w:rFonts w:hint="eastAsia" w:cs="Times New Roman"/>
          <w:color w:val="auto"/>
        </w:rPr>
        <w:t>设计规模0.3万</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p>
    <w:p w14:paraId="0F9DB027">
      <w:pPr>
        <w:pStyle w:val="318"/>
        <w:pageBreakBefore w:val="0"/>
        <w:wordWrap/>
        <w:bidi w:val="0"/>
        <w:adjustRightInd/>
        <w:snapToGrid/>
        <w:spacing w:line="360" w:lineRule="auto"/>
        <w:rPr>
          <w:rFonts w:hint="eastAsia" w:cs="Times New Roman"/>
          <w:color w:val="auto"/>
        </w:rPr>
      </w:pPr>
      <w:r>
        <w:rPr>
          <w:rFonts w:hint="eastAsia" w:cs="Times New Roman"/>
          <w:color w:val="auto"/>
        </w:rPr>
        <w:t>远期</w:t>
      </w:r>
      <w:r>
        <w:rPr>
          <w:rFonts w:hint="eastAsia" w:cs="Times New Roman"/>
          <w:color w:val="auto"/>
          <w:lang w:eastAsia="zh-CN"/>
        </w:rPr>
        <w:t>（</w:t>
      </w:r>
      <w:r>
        <w:rPr>
          <w:rFonts w:hint="eastAsia" w:cs="Times New Roman"/>
          <w:color w:val="auto"/>
        </w:rPr>
        <w:t>2035年</w:t>
      </w:r>
      <w:r>
        <w:rPr>
          <w:rFonts w:hint="eastAsia" w:cs="Times New Roman"/>
          <w:color w:val="auto"/>
          <w:lang w:eastAsia="zh-CN"/>
        </w:rPr>
        <w:t>）：</w:t>
      </w:r>
      <w:r>
        <w:rPr>
          <w:rFonts w:hint="eastAsia" w:cs="Times New Roman"/>
          <w:color w:val="auto"/>
        </w:rPr>
        <w:t>设计规模为</w:t>
      </w:r>
      <w:r>
        <w:rPr>
          <w:rFonts w:hint="eastAsia" w:cs="Times New Roman"/>
          <w:color w:val="auto"/>
          <w:lang w:eastAsia="zh-CN"/>
        </w:rPr>
        <w:t>1</w:t>
      </w:r>
      <w:r>
        <w:rPr>
          <w:rFonts w:hint="eastAsia" w:cs="Times New Roman"/>
          <w:color w:val="auto"/>
        </w:rPr>
        <w:t>.6万</w:t>
      </w:r>
      <w:r>
        <w:rPr>
          <w:rFonts w:hint="eastAsia" w:cs="Times New Roman"/>
          <w:color w:val="auto"/>
          <w:lang w:eastAsia="zh-CN"/>
        </w:rPr>
        <w:t>m³</w:t>
      </w:r>
      <w:r>
        <w:rPr>
          <w:rFonts w:hint="eastAsia" w:cs="Times New Roman"/>
          <w:color w:val="auto"/>
        </w:rPr>
        <w:t>/d。</w:t>
      </w:r>
    </w:p>
    <w:p w14:paraId="33A70E7A">
      <w:pPr>
        <w:bidi w:val="0"/>
        <w:rPr>
          <w:color w:val="auto"/>
        </w:rPr>
      </w:pPr>
      <w:r>
        <w:rPr>
          <w:rFonts w:hint="eastAsia"/>
          <w:color w:val="auto"/>
        </w:rPr>
        <w:t>综上，本项目新建园区污水处理厂，对各企业排出的废水进行去除有机物、脱盐处理，部分废水进行循环利用，总建设规模为16000</w:t>
      </w:r>
      <w:r>
        <w:rPr>
          <w:rFonts w:hint="eastAsia"/>
          <w:color w:val="auto"/>
          <w:lang w:eastAsia="zh-CN"/>
        </w:rPr>
        <w:t>m³</w:t>
      </w:r>
      <w:r>
        <w:rPr>
          <w:rFonts w:hint="eastAsia"/>
          <w:color w:val="auto"/>
        </w:rPr>
        <w:t>/d，为稳步推进</w:t>
      </w:r>
      <w:r>
        <w:rPr>
          <w:rFonts w:hint="eastAsia"/>
          <w:color w:val="auto"/>
          <w:lang w:eastAsia="zh-CN"/>
        </w:rPr>
        <w:t>污水处理厂</w:t>
      </w:r>
      <w:r>
        <w:rPr>
          <w:rFonts w:hint="eastAsia"/>
          <w:color w:val="auto"/>
        </w:rPr>
        <w:t>建设与园区建设进度匹配，</w:t>
      </w:r>
      <w:r>
        <w:rPr>
          <w:rFonts w:hint="eastAsia"/>
          <w:color w:val="auto"/>
          <w:lang w:eastAsia="zh-CN"/>
        </w:rPr>
        <w:t>污水处理厂</w:t>
      </w:r>
      <w:r>
        <w:rPr>
          <w:rFonts w:hint="eastAsia"/>
          <w:color w:val="auto"/>
        </w:rPr>
        <w:t>建设规模又分为一期一阶段1500</w:t>
      </w:r>
      <w:r>
        <w:rPr>
          <w:rFonts w:hint="eastAsia"/>
          <w:color w:val="auto"/>
          <w:lang w:val="en-US" w:eastAsia="zh-CN"/>
        </w:rPr>
        <w:t>m³</w:t>
      </w:r>
      <w:r>
        <w:rPr>
          <w:rFonts w:hint="eastAsia"/>
          <w:color w:val="auto"/>
        </w:rPr>
        <w:t>/d，一期二阶段1500</w:t>
      </w:r>
      <w:r>
        <w:rPr>
          <w:rFonts w:hint="eastAsia"/>
          <w:color w:val="auto"/>
          <w:lang w:eastAsia="zh-CN"/>
        </w:rPr>
        <w:t>m³</w:t>
      </w:r>
      <w:r>
        <w:rPr>
          <w:rFonts w:hint="eastAsia"/>
          <w:color w:val="auto"/>
        </w:rPr>
        <w:t>/d，二期3000</w:t>
      </w:r>
      <w:r>
        <w:rPr>
          <w:rFonts w:hint="eastAsia"/>
          <w:color w:val="auto"/>
          <w:lang w:eastAsia="zh-CN"/>
        </w:rPr>
        <w:t>m³</w:t>
      </w:r>
      <w:r>
        <w:rPr>
          <w:rFonts w:hint="eastAsia"/>
          <w:color w:val="auto"/>
        </w:rPr>
        <w:t>/d，三期</w:t>
      </w:r>
      <w:r>
        <w:rPr>
          <w:rFonts w:hint="eastAsia"/>
          <w:color w:val="auto"/>
          <w:lang w:eastAsia="zh-CN"/>
        </w:rPr>
        <w:t>1</w:t>
      </w:r>
      <w:r>
        <w:rPr>
          <w:rFonts w:hint="eastAsia"/>
          <w:color w:val="auto"/>
        </w:rPr>
        <w:t>0000</w:t>
      </w:r>
      <w:r>
        <w:rPr>
          <w:rFonts w:hint="eastAsia"/>
          <w:color w:val="auto"/>
          <w:lang w:eastAsia="zh-CN"/>
        </w:rPr>
        <w:t>m³</w:t>
      </w:r>
      <w:r>
        <w:rPr>
          <w:rFonts w:hint="eastAsia"/>
          <w:color w:val="auto"/>
        </w:rPr>
        <w:t>/d。</w:t>
      </w:r>
    </w:p>
    <w:p w14:paraId="5C0F4B98">
      <w:pPr>
        <w:pStyle w:val="318"/>
        <w:pageBreakBefore w:val="0"/>
        <w:wordWrap/>
        <w:bidi w:val="0"/>
        <w:adjustRightInd/>
        <w:snapToGrid/>
        <w:spacing w:line="360" w:lineRule="auto"/>
        <w:rPr>
          <w:rFonts w:hint="eastAsia" w:eastAsia="宋体" w:cs="Times New Roman"/>
          <w:color w:val="auto"/>
          <w:lang w:val="en-US" w:eastAsia="zh-CN"/>
        </w:rPr>
      </w:pPr>
      <w:r>
        <w:rPr>
          <w:rFonts w:hint="eastAsia" w:cs="Times New Roman"/>
          <w:color w:val="auto"/>
          <w:lang w:val="en-US" w:eastAsia="zh-CN"/>
        </w:rPr>
        <w:t>本次环评污水处理厂处理规模为一期3000</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r>
        <w:rPr>
          <w:rFonts w:hint="eastAsia"/>
          <w:color w:val="auto"/>
          <w:lang w:val="en-US" w:eastAsia="zh-CN"/>
        </w:rPr>
        <w:t>能够满足近期污水处理实际要求</w:t>
      </w:r>
      <w:r>
        <w:rPr>
          <w:color w:val="auto"/>
        </w:rPr>
        <w:t>。</w:t>
      </w:r>
    </w:p>
    <w:p w14:paraId="3D26944A">
      <w:pPr>
        <w:pageBreakBefore w:val="0"/>
        <w:wordWrap/>
        <w:bidi w:val="0"/>
        <w:adjustRightInd/>
        <w:snapToGrid/>
        <w:ind w:firstLine="480"/>
        <w:rPr>
          <w:color w:val="auto"/>
        </w:rPr>
      </w:pPr>
      <w:r>
        <w:rPr>
          <w:color w:val="auto"/>
        </w:rPr>
        <w:t>根据污水量预测和污水调配分析，为满足片区不断发展的需求，确定</w:t>
      </w:r>
      <w:r>
        <w:rPr>
          <w:rFonts w:hint="eastAsia"/>
          <w:color w:val="auto"/>
          <w:lang w:eastAsia="zh-CN"/>
        </w:rPr>
        <w:t>巴中市巴州区曾口片区污水处理厂</w:t>
      </w:r>
      <w:r>
        <w:rPr>
          <w:color w:val="auto"/>
        </w:rPr>
        <w:t>处理规模为</w:t>
      </w:r>
      <w:r>
        <w:rPr>
          <w:rFonts w:hint="eastAsia"/>
          <w:color w:val="auto"/>
          <w:lang w:eastAsia="zh-CN"/>
        </w:rPr>
        <w:t>1.6万m³</w:t>
      </w:r>
      <w:r>
        <w:rPr>
          <w:color w:val="auto"/>
        </w:rPr>
        <w:t>/d。到203</w:t>
      </w:r>
      <w:r>
        <w:rPr>
          <w:rFonts w:hint="eastAsia"/>
          <w:color w:val="auto"/>
          <w:lang w:val="en-US" w:eastAsia="zh-CN"/>
        </w:rPr>
        <w:t>5</w:t>
      </w:r>
      <w:r>
        <w:rPr>
          <w:color w:val="auto"/>
        </w:rPr>
        <w:t>年整个片区污水量将达到</w:t>
      </w:r>
      <w:r>
        <w:rPr>
          <w:rFonts w:hint="eastAsia"/>
          <w:color w:val="auto"/>
          <w:lang w:val="en-US" w:eastAsia="zh-CN"/>
        </w:rPr>
        <w:t>1.54</w:t>
      </w:r>
      <w:r>
        <w:rPr>
          <w:color w:val="auto"/>
        </w:rPr>
        <w:t>万</w:t>
      </w:r>
      <w:r>
        <w:rPr>
          <w:rFonts w:hint="eastAsia"/>
          <w:color w:val="auto"/>
          <w:lang w:eastAsia="zh-CN"/>
        </w:rPr>
        <w:t>m³</w:t>
      </w:r>
      <w:r>
        <w:rPr>
          <w:color w:val="auto"/>
        </w:rPr>
        <w:t>/d。</w:t>
      </w:r>
    </w:p>
    <w:p w14:paraId="60658F84">
      <w:pPr>
        <w:pageBreakBefore w:val="0"/>
        <w:wordWrap/>
        <w:bidi w:val="0"/>
        <w:adjustRightInd/>
        <w:snapToGrid/>
        <w:ind w:firstLine="480"/>
        <w:rPr>
          <w:color w:val="auto"/>
        </w:rPr>
      </w:pPr>
      <w:r>
        <w:rPr>
          <w:color w:val="auto"/>
        </w:rPr>
        <w:t>综上所述，</w:t>
      </w:r>
      <w:r>
        <w:rPr>
          <w:rFonts w:hint="eastAsia"/>
          <w:color w:val="auto"/>
          <w:lang w:eastAsia="zh-CN"/>
        </w:rPr>
        <w:t>巴中市巴州区曾口片区污水处理厂</w:t>
      </w:r>
      <w:r>
        <w:rPr>
          <w:color w:val="auto"/>
        </w:rPr>
        <w:t>的规模为</w:t>
      </w:r>
      <w:r>
        <w:rPr>
          <w:rFonts w:hint="eastAsia"/>
          <w:color w:val="auto"/>
          <w:lang w:eastAsia="zh-CN"/>
        </w:rPr>
        <w:t>1.6万m³</w:t>
      </w:r>
      <w:r>
        <w:rPr>
          <w:color w:val="auto"/>
        </w:rPr>
        <w:t>/d</w:t>
      </w:r>
      <w:r>
        <w:rPr>
          <w:rFonts w:hint="eastAsia"/>
          <w:color w:val="auto"/>
          <w:lang w:eastAsia="zh-CN"/>
        </w:rPr>
        <w:t>，</w:t>
      </w:r>
      <w:r>
        <w:rPr>
          <w:rFonts w:hint="eastAsia"/>
          <w:color w:val="auto"/>
          <w:lang w:val="en-US" w:eastAsia="zh-CN"/>
        </w:rPr>
        <w:t>能够满足远期污水处理实际要求</w:t>
      </w:r>
      <w:r>
        <w:rPr>
          <w:color w:val="auto"/>
        </w:rPr>
        <w:t>。</w:t>
      </w:r>
    </w:p>
    <w:p w14:paraId="0BD49226">
      <w:pPr>
        <w:pStyle w:val="5"/>
        <w:pageBreakBefore w:val="0"/>
        <w:wordWrap/>
        <w:bidi w:val="0"/>
        <w:adjustRightInd/>
        <w:snapToGrid/>
        <w:rPr>
          <w:color w:val="auto"/>
        </w:rPr>
      </w:pPr>
      <w:r>
        <w:rPr>
          <w:rFonts w:hint="eastAsia"/>
          <w:color w:val="auto"/>
        </w:rPr>
        <w:t xml:space="preserve"> </w:t>
      </w:r>
      <w:r>
        <w:rPr>
          <w:rFonts w:hint="eastAsia"/>
          <w:color w:val="auto"/>
          <w:lang w:eastAsia="zh-CN"/>
        </w:rPr>
        <w:t>污水处理厂</w:t>
      </w:r>
      <w:r>
        <w:rPr>
          <w:rFonts w:hint="eastAsia"/>
          <w:color w:val="auto"/>
          <w:lang w:val="en-US" w:eastAsia="zh-CN"/>
        </w:rPr>
        <w:t>进出水水质确定的合理性分析</w:t>
      </w:r>
    </w:p>
    <w:p w14:paraId="52260493">
      <w:pPr>
        <w:pStyle w:val="6"/>
        <w:pageBreakBefore w:val="0"/>
        <w:wordWrap/>
        <w:bidi w:val="0"/>
        <w:adjustRightInd/>
        <w:snapToGrid/>
        <w:rPr>
          <w:color w:val="auto"/>
        </w:rPr>
      </w:pPr>
      <w:bookmarkStart w:id="80" w:name="_Toc29597"/>
      <w:r>
        <w:rPr>
          <w:rFonts w:hint="eastAsia"/>
          <w:color w:val="auto"/>
        </w:rPr>
        <w:t xml:space="preserve"> </w:t>
      </w:r>
      <w:r>
        <w:rPr>
          <w:color w:val="auto"/>
        </w:rPr>
        <w:t>设计进水水质</w:t>
      </w:r>
    </w:p>
    <w:p w14:paraId="3448DA18">
      <w:pPr>
        <w:pageBreakBefore w:val="0"/>
        <w:wordWrap/>
        <w:bidi w:val="0"/>
        <w:adjustRightInd/>
        <w:snapToGrid/>
        <w:rPr>
          <w:rFonts w:hint="default"/>
          <w:b/>
          <w:bCs/>
          <w:color w:val="auto"/>
          <w:lang w:val="en-US" w:eastAsia="zh-CN"/>
        </w:rPr>
      </w:pPr>
      <w:r>
        <w:rPr>
          <w:b/>
          <w:bCs/>
          <w:color w:val="auto"/>
        </w:rPr>
        <w:t>（1）</w:t>
      </w:r>
      <w:r>
        <w:rPr>
          <w:rFonts w:hint="eastAsia"/>
          <w:b/>
          <w:bCs/>
          <w:color w:val="auto"/>
          <w:lang w:val="en-US" w:eastAsia="zh-CN"/>
        </w:rPr>
        <w:t>曾口片区规划企业进水水质</w:t>
      </w:r>
    </w:p>
    <w:p w14:paraId="065F51A2">
      <w:pPr>
        <w:pageBreakBefore w:val="0"/>
        <w:wordWrap/>
        <w:bidi w:val="0"/>
        <w:adjustRightInd/>
        <w:snapToGrid/>
        <w:rPr>
          <w:rFonts w:hint="eastAsia" w:eastAsia="宋体"/>
          <w:color w:val="auto"/>
          <w:lang w:val="en-US" w:eastAsia="zh-CN"/>
        </w:rPr>
      </w:pPr>
      <w:r>
        <w:rPr>
          <w:color w:val="auto"/>
        </w:rPr>
        <w:t>本项目服务范围主要为</w:t>
      </w:r>
      <w:r>
        <w:rPr>
          <w:rFonts w:hint="eastAsia"/>
          <w:color w:val="auto"/>
          <w:lang w:val="en-US" w:eastAsia="zh-CN"/>
        </w:rPr>
        <w:t>四川巴中经济开发区-曾口区块</w:t>
      </w:r>
      <w:r>
        <w:rPr>
          <w:color w:val="auto"/>
        </w:rPr>
        <w:t>，</w:t>
      </w:r>
      <w:r>
        <w:rPr>
          <w:rFonts w:hint="eastAsia"/>
          <w:color w:val="auto"/>
          <w:lang w:val="en-US" w:eastAsia="zh-CN"/>
        </w:rPr>
        <w:t>根据《四川巴中经济开发区规划修编环境影响报告书》要求，由于规划曾口、金堂区块目前处于未开发状态，无工业企业入驻。在无实测进水水质的情况下，结合规划产业和《污水综合排放标准》（GB8978-1996）三级标准、《石油化学工业污染物排放标准》（GB31571-2015）间接排放标准要求以及后续存在中水回用的需求。建议曾口、金堂规划污水处理厂设计考虑对Cl</w:t>
      </w:r>
      <w:r>
        <w:rPr>
          <w:rFonts w:hint="eastAsia"/>
          <w:color w:val="auto"/>
          <w:vertAlign w:val="superscript"/>
          <w:lang w:val="en-US" w:eastAsia="zh-CN"/>
        </w:rPr>
        <w:t>-</w:t>
      </w:r>
      <w:r>
        <w:rPr>
          <w:rFonts w:hint="eastAsia"/>
          <w:color w:val="auto"/>
          <w:lang w:val="en-US" w:eastAsia="zh-CN"/>
        </w:rPr>
        <w:t>、SO</w:t>
      </w:r>
      <w:r>
        <w:rPr>
          <w:rFonts w:hint="eastAsia"/>
          <w:color w:val="auto"/>
          <w:vertAlign w:val="subscript"/>
          <w:lang w:val="en-US" w:eastAsia="zh-CN"/>
        </w:rPr>
        <w:t>4</w:t>
      </w:r>
      <w:r>
        <w:rPr>
          <w:rFonts w:hint="eastAsia"/>
          <w:color w:val="auto"/>
          <w:vertAlign w:val="superscript"/>
          <w:lang w:val="en-US" w:eastAsia="zh-CN"/>
        </w:rPr>
        <w:t>2-</w:t>
      </w:r>
      <w:r>
        <w:rPr>
          <w:rFonts w:hint="eastAsia"/>
          <w:color w:val="auto"/>
          <w:lang w:val="en-US" w:eastAsia="zh-CN"/>
        </w:rPr>
        <w:t>、TDS等指标进行限制，如下表所示：</w:t>
      </w:r>
    </w:p>
    <w:p w14:paraId="50B6BCF2">
      <w:pPr>
        <w:pStyle w:val="15"/>
        <w:numPr>
          <w:ilvl w:val="0"/>
          <w:numId w:val="16"/>
        </w:numPr>
        <w:bidi w:val="0"/>
        <w:ind w:left="0" w:leftChars="0" w:firstLine="0" w:firstLineChars="0"/>
        <w:rPr>
          <w:color w:val="auto"/>
        </w:rPr>
      </w:pPr>
      <w:r>
        <w:rPr>
          <w:rFonts w:hint="eastAsia"/>
          <w:color w:val="auto"/>
        </w:rPr>
        <w:t>建议规划区新建污水处理厂设计进水水质表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3"/>
      </w:tblGrid>
      <w:tr w14:paraId="2977B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61D3F7E0">
            <w:pPr>
              <w:pStyle w:val="12"/>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项目</w:t>
            </w:r>
          </w:p>
        </w:tc>
        <w:tc>
          <w:tcPr>
            <w:tcW w:w="833" w:type="pct"/>
            <w:tcBorders>
              <w:tl2br w:val="nil"/>
              <w:tr2bl w:val="nil"/>
            </w:tcBorders>
            <w:vAlign w:val="center"/>
          </w:tcPr>
          <w:p w14:paraId="336578B8">
            <w:pPr>
              <w:pStyle w:val="12"/>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单位</w:t>
            </w:r>
          </w:p>
        </w:tc>
        <w:tc>
          <w:tcPr>
            <w:tcW w:w="833" w:type="pct"/>
            <w:tcBorders>
              <w:tl2br w:val="nil"/>
              <w:tr2bl w:val="nil"/>
            </w:tcBorders>
            <w:vAlign w:val="center"/>
          </w:tcPr>
          <w:p w14:paraId="2778A9D6">
            <w:pPr>
              <w:pStyle w:val="12"/>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浓度值</w:t>
            </w:r>
          </w:p>
        </w:tc>
        <w:tc>
          <w:tcPr>
            <w:tcW w:w="1420" w:type="dxa"/>
            <w:tcBorders>
              <w:tl2br w:val="nil"/>
              <w:tr2bl w:val="nil"/>
            </w:tcBorders>
            <w:vAlign w:val="center"/>
          </w:tcPr>
          <w:p w14:paraId="5D99120C">
            <w:pPr>
              <w:pStyle w:val="12"/>
              <w:pageBreakBefore w:val="0"/>
              <w:wordWrap/>
              <w:bidi w:val="0"/>
              <w:adjustRightInd/>
              <w:snapToGrid/>
              <w:ind w:left="0" w:leftChars="0" w:firstLine="0" w:firstLineChars="0"/>
              <w:rPr>
                <w:b/>
                <w:bCs w:val="0"/>
                <w:color w:val="auto"/>
              </w:rPr>
            </w:pPr>
            <w:r>
              <w:rPr>
                <w:rFonts w:hint="eastAsia"/>
                <w:b/>
                <w:bCs w:val="0"/>
                <w:color w:val="auto"/>
                <w:lang w:val="en-US" w:eastAsia="zh-CN"/>
              </w:rPr>
              <w:t>项目</w:t>
            </w:r>
          </w:p>
        </w:tc>
        <w:tc>
          <w:tcPr>
            <w:tcW w:w="1421" w:type="dxa"/>
            <w:tcBorders>
              <w:tl2br w:val="nil"/>
              <w:tr2bl w:val="nil"/>
            </w:tcBorders>
            <w:vAlign w:val="center"/>
          </w:tcPr>
          <w:p w14:paraId="5979CE97">
            <w:pPr>
              <w:pStyle w:val="12"/>
              <w:pageBreakBefore w:val="0"/>
              <w:wordWrap/>
              <w:bidi w:val="0"/>
              <w:adjustRightInd/>
              <w:snapToGrid/>
              <w:ind w:left="0" w:leftChars="0" w:firstLine="0" w:firstLineChars="0"/>
              <w:rPr>
                <w:b/>
                <w:bCs w:val="0"/>
                <w:color w:val="auto"/>
              </w:rPr>
            </w:pPr>
            <w:r>
              <w:rPr>
                <w:rFonts w:hint="eastAsia"/>
                <w:b/>
                <w:bCs w:val="0"/>
                <w:color w:val="auto"/>
                <w:lang w:val="en-US" w:eastAsia="zh-CN"/>
              </w:rPr>
              <w:t>单位</w:t>
            </w:r>
          </w:p>
        </w:tc>
        <w:tc>
          <w:tcPr>
            <w:tcW w:w="1421" w:type="dxa"/>
            <w:tcBorders>
              <w:tl2br w:val="nil"/>
              <w:tr2bl w:val="nil"/>
            </w:tcBorders>
            <w:vAlign w:val="center"/>
          </w:tcPr>
          <w:p w14:paraId="226E9165">
            <w:pPr>
              <w:pStyle w:val="12"/>
              <w:pageBreakBefore w:val="0"/>
              <w:wordWrap/>
              <w:bidi w:val="0"/>
              <w:adjustRightInd/>
              <w:snapToGrid/>
              <w:ind w:left="0" w:leftChars="0" w:firstLine="0" w:firstLineChars="0"/>
              <w:rPr>
                <w:b/>
                <w:bCs w:val="0"/>
                <w:color w:val="auto"/>
              </w:rPr>
            </w:pPr>
            <w:r>
              <w:rPr>
                <w:rFonts w:hint="eastAsia"/>
                <w:b/>
                <w:bCs w:val="0"/>
                <w:color w:val="auto"/>
                <w:lang w:val="en-US" w:eastAsia="zh-CN"/>
              </w:rPr>
              <w:t>浓度值</w:t>
            </w:r>
          </w:p>
        </w:tc>
      </w:tr>
      <w:tr w14:paraId="39728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51248A9F">
            <w:pPr>
              <w:pStyle w:val="12"/>
              <w:pageBreakBefore w:val="0"/>
              <w:wordWrap/>
              <w:bidi w:val="0"/>
              <w:adjustRightInd/>
              <w:snapToGrid/>
              <w:rPr>
                <w:rFonts w:hint="default"/>
                <w:color w:val="auto"/>
                <w:lang w:val="en-US" w:eastAsia="zh-CN"/>
              </w:rPr>
            </w:pPr>
            <w:r>
              <w:rPr>
                <w:rFonts w:hint="eastAsia"/>
                <w:color w:val="auto"/>
                <w:lang w:val="en-US" w:eastAsia="zh-CN"/>
              </w:rPr>
              <w:t>pH值</w:t>
            </w:r>
          </w:p>
        </w:tc>
        <w:tc>
          <w:tcPr>
            <w:tcW w:w="833" w:type="pct"/>
            <w:tcBorders>
              <w:tl2br w:val="nil"/>
              <w:tr2bl w:val="nil"/>
            </w:tcBorders>
            <w:vAlign w:val="center"/>
          </w:tcPr>
          <w:p w14:paraId="16716075">
            <w:pPr>
              <w:pStyle w:val="12"/>
              <w:pageBreakBefore w:val="0"/>
              <w:wordWrap/>
              <w:bidi w:val="0"/>
              <w:adjustRightInd/>
              <w:snapToGrid/>
              <w:rPr>
                <w:rFonts w:hint="eastAsia"/>
                <w:color w:val="auto"/>
                <w:lang w:val="en-US" w:eastAsia="zh-CN"/>
              </w:rPr>
            </w:pPr>
            <w:r>
              <w:rPr>
                <w:rFonts w:hint="eastAsia"/>
                <w:color w:val="auto"/>
                <w:lang w:val="en-US" w:eastAsia="zh-CN"/>
              </w:rPr>
              <w:t>无量纲</w:t>
            </w:r>
          </w:p>
        </w:tc>
        <w:tc>
          <w:tcPr>
            <w:tcW w:w="833" w:type="pct"/>
            <w:tcBorders>
              <w:tl2br w:val="nil"/>
              <w:tr2bl w:val="nil"/>
            </w:tcBorders>
            <w:vAlign w:val="center"/>
          </w:tcPr>
          <w:p w14:paraId="6A73DD54">
            <w:pPr>
              <w:pStyle w:val="12"/>
              <w:pageBreakBefore w:val="0"/>
              <w:wordWrap/>
              <w:bidi w:val="0"/>
              <w:adjustRightInd/>
              <w:snapToGrid/>
              <w:rPr>
                <w:rFonts w:hint="default" w:eastAsia="宋体"/>
                <w:color w:val="auto"/>
                <w:lang w:val="en-US" w:eastAsia="zh-CN"/>
              </w:rPr>
            </w:pPr>
            <w:r>
              <w:rPr>
                <w:rFonts w:hint="eastAsia"/>
                <w:color w:val="auto"/>
                <w:lang w:val="en-US" w:eastAsia="zh-CN"/>
              </w:rPr>
              <w:t>6-9</w:t>
            </w:r>
          </w:p>
        </w:tc>
        <w:tc>
          <w:tcPr>
            <w:tcW w:w="833" w:type="pct"/>
            <w:tcBorders>
              <w:tl2br w:val="nil"/>
              <w:tr2bl w:val="nil"/>
            </w:tcBorders>
            <w:vAlign w:val="center"/>
          </w:tcPr>
          <w:p w14:paraId="36C03286">
            <w:pPr>
              <w:pStyle w:val="12"/>
              <w:pageBreakBefore w:val="0"/>
              <w:wordWrap/>
              <w:bidi w:val="0"/>
              <w:adjustRightInd/>
              <w:snapToGrid/>
              <w:rPr>
                <w:rFonts w:hint="eastAsia"/>
                <w:color w:val="auto"/>
                <w:lang w:val="en-US" w:eastAsia="zh-CN"/>
              </w:rPr>
            </w:pPr>
            <w:r>
              <w:rPr>
                <w:rFonts w:hint="eastAsia"/>
                <w:color w:val="auto"/>
                <w:lang w:val="en-US" w:eastAsia="zh-CN"/>
              </w:rPr>
              <w:t>石油类</w:t>
            </w:r>
          </w:p>
        </w:tc>
        <w:tc>
          <w:tcPr>
            <w:tcW w:w="833" w:type="pct"/>
            <w:tcBorders>
              <w:tl2br w:val="nil"/>
              <w:tr2bl w:val="nil"/>
            </w:tcBorders>
            <w:vAlign w:val="center"/>
          </w:tcPr>
          <w:p w14:paraId="04BE6F09">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757CC1CB">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7715A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014C0716">
            <w:pPr>
              <w:pStyle w:val="12"/>
              <w:pageBreakBefore w:val="0"/>
              <w:wordWrap/>
              <w:bidi w:val="0"/>
              <w:adjustRightInd/>
              <w:snapToGrid/>
              <w:rPr>
                <w:rFonts w:hint="eastAsia"/>
                <w:color w:val="auto"/>
                <w:lang w:val="en-US" w:eastAsia="zh-CN"/>
              </w:rPr>
            </w:pPr>
            <w:r>
              <w:rPr>
                <w:rFonts w:hint="eastAsia"/>
                <w:color w:val="auto"/>
                <w:lang w:val="en-US" w:eastAsia="zh-CN"/>
              </w:rPr>
              <w:t>悬浮物</w:t>
            </w:r>
          </w:p>
        </w:tc>
        <w:tc>
          <w:tcPr>
            <w:tcW w:w="833" w:type="pct"/>
            <w:tcBorders>
              <w:tl2br w:val="nil"/>
              <w:tr2bl w:val="nil"/>
            </w:tcBorders>
            <w:vAlign w:val="center"/>
          </w:tcPr>
          <w:p w14:paraId="3049B7C7">
            <w:pPr>
              <w:pStyle w:val="12"/>
              <w:pageBreakBefore w:val="0"/>
              <w:wordWrap/>
              <w:bidi w:val="0"/>
              <w:adjustRightInd/>
              <w:snapToGrid/>
              <w:rPr>
                <w:rFonts w:hint="default"/>
                <w:color w:val="auto"/>
                <w:lang w:val="en-US" w:eastAsia="zh-CN"/>
              </w:rPr>
            </w:pPr>
            <w:r>
              <w:rPr>
                <w:rFonts w:hint="eastAsia"/>
                <w:color w:val="auto"/>
                <w:lang w:val="en-US" w:eastAsia="zh-CN"/>
              </w:rPr>
              <w:t>mg/L</w:t>
            </w:r>
          </w:p>
        </w:tc>
        <w:tc>
          <w:tcPr>
            <w:tcW w:w="833" w:type="pct"/>
            <w:tcBorders>
              <w:tl2br w:val="nil"/>
              <w:tr2bl w:val="nil"/>
            </w:tcBorders>
            <w:vAlign w:val="center"/>
          </w:tcPr>
          <w:p w14:paraId="69128C05">
            <w:pPr>
              <w:pStyle w:val="12"/>
              <w:pageBreakBefore w:val="0"/>
              <w:wordWrap/>
              <w:bidi w:val="0"/>
              <w:adjustRightInd/>
              <w:snapToGrid/>
              <w:rPr>
                <w:rFonts w:hint="default" w:eastAsia="宋体"/>
                <w:color w:val="auto"/>
                <w:lang w:val="en-US" w:eastAsia="zh-CN"/>
              </w:rPr>
            </w:pPr>
            <w:r>
              <w:rPr>
                <w:rFonts w:hint="eastAsia"/>
                <w:color w:val="auto"/>
                <w:lang w:val="en-US" w:eastAsia="zh-CN"/>
              </w:rPr>
              <w:t>≤400</w:t>
            </w:r>
          </w:p>
        </w:tc>
        <w:tc>
          <w:tcPr>
            <w:tcW w:w="833" w:type="pct"/>
            <w:tcBorders>
              <w:tl2br w:val="nil"/>
              <w:tr2bl w:val="nil"/>
            </w:tcBorders>
            <w:vAlign w:val="center"/>
          </w:tcPr>
          <w:p w14:paraId="5ABE60C3">
            <w:pPr>
              <w:pStyle w:val="12"/>
              <w:pageBreakBefore w:val="0"/>
              <w:wordWrap/>
              <w:bidi w:val="0"/>
              <w:adjustRightInd/>
              <w:snapToGrid/>
              <w:rPr>
                <w:rFonts w:hint="eastAsia"/>
                <w:color w:val="auto"/>
                <w:lang w:val="en-US" w:eastAsia="zh-CN"/>
              </w:rPr>
            </w:pPr>
            <w:r>
              <w:rPr>
                <w:rFonts w:hint="eastAsia"/>
                <w:color w:val="auto"/>
                <w:lang w:val="en-US" w:eastAsia="zh-CN"/>
              </w:rPr>
              <w:t>挥发酚</w:t>
            </w:r>
          </w:p>
        </w:tc>
        <w:tc>
          <w:tcPr>
            <w:tcW w:w="833" w:type="pct"/>
            <w:tcBorders>
              <w:tl2br w:val="nil"/>
              <w:tr2bl w:val="nil"/>
            </w:tcBorders>
            <w:vAlign w:val="center"/>
          </w:tcPr>
          <w:p w14:paraId="16C2E6F1">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5DA1D092">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≤0.5</w:t>
            </w:r>
          </w:p>
        </w:tc>
      </w:tr>
      <w:tr w14:paraId="34017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178A7D80">
            <w:pPr>
              <w:pStyle w:val="12"/>
              <w:pageBreakBefore w:val="0"/>
              <w:wordWrap/>
              <w:bidi w:val="0"/>
              <w:adjustRightInd/>
              <w:snapToGrid/>
              <w:rPr>
                <w:rFonts w:hint="eastAsia"/>
                <w:color w:val="auto"/>
                <w:lang w:val="en-US" w:eastAsia="zh-CN"/>
              </w:rPr>
            </w:pPr>
            <w:r>
              <w:rPr>
                <w:rFonts w:hint="eastAsia"/>
                <w:color w:val="auto"/>
                <w:lang w:val="en-US" w:eastAsia="zh-CN"/>
              </w:rPr>
              <w:t>化学需氧量</w:t>
            </w:r>
          </w:p>
        </w:tc>
        <w:tc>
          <w:tcPr>
            <w:tcW w:w="833" w:type="pct"/>
            <w:tcBorders>
              <w:tl2br w:val="nil"/>
              <w:tr2bl w:val="nil"/>
            </w:tcBorders>
            <w:vAlign w:val="center"/>
          </w:tcPr>
          <w:p w14:paraId="71578CB5">
            <w:pPr>
              <w:pStyle w:val="12"/>
              <w:pageBreakBefore w:val="0"/>
              <w:wordWrap/>
              <w:bidi w:val="0"/>
              <w:adjustRightInd/>
              <w:snapToGrid/>
              <w:rPr>
                <w:color w:val="auto"/>
              </w:rPr>
            </w:pPr>
            <w:r>
              <w:rPr>
                <w:rFonts w:hint="eastAsia"/>
                <w:color w:val="auto"/>
                <w:lang w:val="en-US" w:eastAsia="zh-CN"/>
              </w:rPr>
              <w:t>mg/L</w:t>
            </w:r>
          </w:p>
        </w:tc>
        <w:tc>
          <w:tcPr>
            <w:tcW w:w="833" w:type="pct"/>
            <w:tcBorders>
              <w:tl2br w:val="nil"/>
              <w:tr2bl w:val="nil"/>
            </w:tcBorders>
            <w:vAlign w:val="center"/>
          </w:tcPr>
          <w:p w14:paraId="2F540401">
            <w:pPr>
              <w:pStyle w:val="12"/>
              <w:pageBreakBefore w:val="0"/>
              <w:wordWrap/>
              <w:bidi w:val="0"/>
              <w:adjustRightInd/>
              <w:snapToGrid/>
              <w:rPr>
                <w:rFonts w:hint="default"/>
                <w:color w:val="auto"/>
                <w:lang w:val="en-US"/>
              </w:rPr>
            </w:pPr>
            <w:r>
              <w:rPr>
                <w:rFonts w:hint="eastAsia"/>
                <w:color w:val="auto"/>
                <w:lang w:val="en-US" w:eastAsia="zh-CN"/>
              </w:rPr>
              <w:t>≤350</w:t>
            </w:r>
          </w:p>
        </w:tc>
        <w:tc>
          <w:tcPr>
            <w:tcW w:w="833" w:type="pct"/>
            <w:tcBorders>
              <w:tl2br w:val="nil"/>
              <w:tr2bl w:val="nil"/>
            </w:tcBorders>
            <w:vAlign w:val="center"/>
          </w:tcPr>
          <w:p w14:paraId="06C772D6">
            <w:pPr>
              <w:pStyle w:val="12"/>
              <w:pageBreakBefore w:val="0"/>
              <w:wordWrap/>
              <w:bidi w:val="0"/>
              <w:adjustRightInd/>
              <w:snapToGrid/>
              <w:rPr>
                <w:rFonts w:hint="eastAsia"/>
                <w:color w:val="auto"/>
                <w:lang w:val="en-US" w:eastAsia="zh-CN"/>
              </w:rPr>
            </w:pPr>
            <w:r>
              <w:rPr>
                <w:rFonts w:hint="eastAsia"/>
                <w:color w:val="auto"/>
                <w:lang w:val="en-US" w:eastAsia="zh-CN"/>
              </w:rPr>
              <w:t>硫化物</w:t>
            </w:r>
          </w:p>
        </w:tc>
        <w:tc>
          <w:tcPr>
            <w:tcW w:w="833" w:type="pct"/>
            <w:tcBorders>
              <w:tl2br w:val="nil"/>
              <w:tr2bl w:val="nil"/>
            </w:tcBorders>
            <w:vAlign w:val="center"/>
          </w:tcPr>
          <w:p w14:paraId="1DB9CE32">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13FB2182">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66A24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41477EE2">
            <w:pPr>
              <w:pStyle w:val="12"/>
              <w:pageBreakBefore w:val="0"/>
              <w:wordWrap/>
              <w:bidi w:val="0"/>
              <w:adjustRightInd/>
              <w:snapToGrid/>
              <w:rPr>
                <w:rFonts w:hint="eastAsia"/>
                <w:color w:val="auto"/>
                <w:lang w:val="en-US" w:eastAsia="zh-CN"/>
              </w:rPr>
            </w:pPr>
            <w:r>
              <w:rPr>
                <w:rFonts w:hint="eastAsia"/>
                <w:color w:val="auto"/>
                <w:lang w:val="en-US" w:eastAsia="zh-CN"/>
              </w:rPr>
              <w:t>氨氮</w:t>
            </w:r>
          </w:p>
        </w:tc>
        <w:tc>
          <w:tcPr>
            <w:tcW w:w="833" w:type="pct"/>
            <w:tcBorders>
              <w:tl2br w:val="nil"/>
              <w:tr2bl w:val="nil"/>
            </w:tcBorders>
            <w:vAlign w:val="center"/>
          </w:tcPr>
          <w:p w14:paraId="370C0081">
            <w:pPr>
              <w:pStyle w:val="12"/>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24FED901">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≤50</w:t>
            </w:r>
          </w:p>
        </w:tc>
        <w:tc>
          <w:tcPr>
            <w:tcW w:w="833" w:type="pct"/>
            <w:tcBorders>
              <w:tl2br w:val="nil"/>
              <w:tr2bl w:val="nil"/>
            </w:tcBorders>
            <w:vAlign w:val="center"/>
          </w:tcPr>
          <w:p w14:paraId="18CBA91B">
            <w:pPr>
              <w:pStyle w:val="12"/>
              <w:pageBreakBefore w:val="0"/>
              <w:wordWrap/>
              <w:bidi w:val="0"/>
              <w:adjustRightInd/>
              <w:snapToGrid/>
              <w:rPr>
                <w:rFonts w:hint="eastAsia"/>
                <w:color w:val="auto"/>
                <w:lang w:val="en-US" w:eastAsia="zh-CN"/>
              </w:rPr>
            </w:pPr>
            <w:r>
              <w:rPr>
                <w:rFonts w:hint="eastAsia"/>
                <w:color w:val="auto"/>
                <w:lang w:val="en-US" w:eastAsia="zh-CN"/>
              </w:rPr>
              <w:t>苯</w:t>
            </w:r>
          </w:p>
        </w:tc>
        <w:tc>
          <w:tcPr>
            <w:tcW w:w="833" w:type="pct"/>
            <w:tcBorders>
              <w:tl2br w:val="nil"/>
              <w:tr2bl w:val="nil"/>
            </w:tcBorders>
            <w:vAlign w:val="center"/>
          </w:tcPr>
          <w:p w14:paraId="3779B982">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1E82B8AA">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≤0.1</w:t>
            </w:r>
          </w:p>
        </w:tc>
      </w:tr>
      <w:tr w14:paraId="2DAE0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1A430DC3">
            <w:pPr>
              <w:pStyle w:val="12"/>
              <w:pageBreakBefore w:val="0"/>
              <w:wordWrap/>
              <w:bidi w:val="0"/>
              <w:adjustRightInd/>
              <w:snapToGrid/>
              <w:rPr>
                <w:rFonts w:hint="eastAsia"/>
                <w:color w:val="auto"/>
                <w:lang w:val="en-US" w:eastAsia="zh-CN"/>
              </w:rPr>
            </w:pPr>
            <w:r>
              <w:rPr>
                <w:rFonts w:hint="eastAsia"/>
                <w:color w:val="auto"/>
                <w:lang w:val="en-US" w:eastAsia="zh-CN"/>
              </w:rPr>
              <w:t>总氮</w:t>
            </w:r>
          </w:p>
        </w:tc>
        <w:tc>
          <w:tcPr>
            <w:tcW w:w="833" w:type="pct"/>
            <w:tcBorders>
              <w:tl2br w:val="nil"/>
              <w:tr2bl w:val="nil"/>
            </w:tcBorders>
            <w:vAlign w:val="center"/>
          </w:tcPr>
          <w:p w14:paraId="7A3ED30A">
            <w:pPr>
              <w:pStyle w:val="12"/>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3E3C1188">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≤80</w:t>
            </w:r>
          </w:p>
        </w:tc>
        <w:tc>
          <w:tcPr>
            <w:tcW w:w="833" w:type="pct"/>
            <w:tcBorders>
              <w:tl2br w:val="nil"/>
              <w:tr2bl w:val="nil"/>
            </w:tcBorders>
            <w:vAlign w:val="center"/>
          </w:tcPr>
          <w:p w14:paraId="5D1EB116">
            <w:pPr>
              <w:pStyle w:val="12"/>
              <w:pageBreakBefore w:val="0"/>
              <w:wordWrap/>
              <w:bidi w:val="0"/>
              <w:adjustRightInd/>
              <w:snapToGrid/>
              <w:rPr>
                <w:rFonts w:hint="eastAsia"/>
                <w:color w:val="auto"/>
                <w:lang w:val="en-US" w:eastAsia="zh-CN"/>
              </w:rPr>
            </w:pPr>
            <w:r>
              <w:rPr>
                <w:rFonts w:hint="eastAsia"/>
                <w:color w:val="auto"/>
                <w:lang w:val="en-US" w:eastAsia="zh-CN"/>
              </w:rPr>
              <w:t>甲醛</w:t>
            </w:r>
          </w:p>
        </w:tc>
        <w:tc>
          <w:tcPr>
            <w:tcW w:w="833" w:type="pct"/>
            <w:tcBorders>
              <w:tl2br w:val="nil"/>
              <w:tr2bl w:val="nil"/>
            </w:tcBorders>
            <w:vAlign w:val="center"/>
          </w:tcPr>
          <w:p w14:paraId="70C8B62B">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13F54DFB">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1F7FC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6EBF80CA">
            <w:pPr>
              <w:pStyle w:val="12"/>
              <w:pageBreakBefore w:val="0"/>
              <w:wordWrap/>
              <w:bidi w:val="0"/>
              <w:adjustRightInd/>
              <w:snapToGrid/>
              <w:rPr>
                <w:rFonts w:hint="default"/>
                <w:color w:val="auto"/>
                <w:lang w:val="en-US" w:eastAsia="zh-CN"/>
              </w:rPr>
            </w:pPr>
            <w:r>
              <w:rPr>
                <w:rFonts w:hint="eastAsia"/>
                <w:color w:val="auto"/>
                <w:lang w:val="en-US" w:eastAsia="zh-CN"/>
              </w:rPr>
              <w:t>总磷</w:t>
            </w:r>
          </w:p>
        </w:tc>
        <w:tc>
          <w:tcPr>
            <w:tcW w:w="833" w:type="pct"/>
            <w:tcBorders>
              <w:tl2br w:val="nil"/>
              <w:tr2bl w:val="nil"/>
            </w:tcBorders>
            <w:vAlign w:val="center"/>
          </w:tcPr>
          <w:p w14:paraId="203595AD">
            <w:pPr>
              <w:pStyle w:val="12"/>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6B819A46">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≤4</w:t>
            </w:r>
          </w:p>
        </w:tc>
        <w:tc>
          <w:tcPr>
            <w:tcW w:w="833" w:type="pct"/>
            <w:tcBorders>
              <w:tl2br w:val="nil"/>
              <w:tr2bl w:val="nil"/>
            </w:tcBorders>
            <w:vAlign w:val="center"/>
          </w:tcPr>
          <w:p w14:paraId="44D23163">
            <w:pPr>
              <w:pStyle w:val="12"/>
              <w:pageBreakBefore w:val="0"/>
              <w:wordWrap/>
              <w:bidi w:val="0"/>
              <w:adjustRightInd/>
              <w:snapToGrid/>
              <w:rPr>
                <w:rFonts w:hint="eastAsia"/>
                <w:color w:val="auto"/>
                <w:lang w:val="en-US" w:eastAsia="zh-CN"/>
              </w:rPr>
            </w:pPr>
            <w:r>
              <w:rPr>
                <w:rFonts w:hint="eastAsia"/>
                <w:color w:val="auto"/>
                <w:lang w:val="en-US" w:eastAsia="zh-CN"/>
              </w:rPr>
              <w:t>TDS</w:t>
            </w:r>
          </w:p>
        </w:tc>
        <w:tc>
          <w:tcPr>
            <w:tcW w:w="833" w:type="pct"/>
            <w:tcBorders>
              <w:tl2br w:val="nil"/>
              <w:tr2bl w:val="nil"/>
            </w:tcBorders>
            <w:vAlign w:val="center"/>
          </w:tcPr>
          <w:p w14:paraId="62EEDBF1">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7605071B">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2000</w:t>
            </w:r>
          </w:p>
        </w:tc>
      </w:tr>
      <w:tr w14:paraId="09A6A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1F96E7A2">
            <w:pPr>
              <w:pStyle w:val="12"/>
              <w:pageBreakBefore w:val="0"/>
              <w:wordWrap/>
              <w:bidi w:val="0"/>
              <w:adjustRightInd/>
              <w:snapToGrid/>
              <w:rPr>
                <w:rFonts w:hint="eastAsia"/>
                <w:color w:val="auto"/>
                <w:lang w:val="en-US" w:eastAsia="zh-CN"/>
              </w:rPr>
            </w:pPr>
            <w:r>
              <w:rPr>
                <w:rFonts w:hint="eastAsia"/>
                <w:color w:val="auto"/>
                <w:lang w:val="en-US" w:eastAsia="zh-CN"/>
              </w:rPr>
              <w:t>硫酸盐</w:t>
            </w:r>
          </w:p>
        </w:tc>
        <w:tc>
          <w:tcPr>
            <w:tcW w:w="833" w:type="pct"/>
            <w:tcBorders>
              <w:tl2br w:val="nil"/>
              <w:tr2bl w:val="nil"/>
            </w:tcBorders>
            <w:vAlign w:val="center"/>
          </w:tcPr>
          <w:p w14:paraId="34B30F3E">
            <w:pPr>
              <w:pStyle w:val="12"/>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3AE1FA99">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400</w:t>
            </w:r>
          </w:p>
        </w:tc>
        <w:tc>
          <w:tcPr>
            <w:tcW w:w="833" w:type="pct"/>
            <w:tcBorders>
              <w:tl2br w:val="nil"/>
              <w:tr2bl w:val="nil"/>
            </w:tcBorders>
            <w:vAlign w:val="center"/>
          </w:tcPr>
          <w:p w14:paraId="36EB3D07">
            <w:pPr>
              <w:pStyle w:val="12"/>
              <w:pageBreakBefore w:val="0"/>
              <w:wordWrap/>
              <w:bidi w:val="0"/>
              <w:adjustRightInd/>
              <w:snapToGrid/>
              <w:rPr>
                <w:rFonts w:hint="eastAsia"/>
                <w:color w:val="auto"/>
                <w:lang w:val="en-US" w:eastAsia="zh-CN"/>
              </w:rPr>
            </w:pPr>
            <w:r>
              <w:rPr>
                <w:rFonts w:hint="eastAsia"/>
                <w:color w:val="auto"/>
                <w:lang w:val="en-US" w:eastAsia="zh-CN"/>
              </w:rPr>
              <w:t>氯化物</w:t>
            </w:r>
          </w:p>
        </w:tc>
        <w:tc>
          <w:tcPr>
            <w:tcW w:w="833" w:type="pct"/>
            <w:tcBorders>
              <w:tl2br w:val="nil"/>
              <w:tr2bl w:val="nil"/>
            </w:tcBorders>
            <w:vAlign w:val="center"/>
          </w:tcPr>
          <w:p w14:paraId="2B331F06">
            <w:pPr>
              <w:pStyle w:val="12"/>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4176C8FE">
            <w:pPr>
              <w:pStyle w:val="12"/>
              <w:pageBreakBefore w:val="0"/>
              <w:wordWrap/>
              <w:bidi w:val="0"/>
              <w:adjustRightInd/>
              <w:snapToGrid/>
              <w:ind w:left="0" w:leftChars="0" w:firstLine="0" w:firstLineChars="0"/>
              <w:rPr>
                <w:rFonts w:hint="default"/>
                <w:color w:val="auto"/>
                <w:lang w:val="en-US"/>
              </w:rPr>
            </w:pPr>
            <w:r>
              <w:rPr>
                <w:rFonts w:hint="eastAsia"/>
                <w:color w:val="auto"/>
                <w:lang w:val="en-US" w:eastAsia="zh-CN"/>
              </w:rPr>
              <w:t>500</w:t>
            </w:r>
          </w:p>
        </w:tc>
      </w:tr>
    </w:tbl>
    <w:p w14:paraId="423DA951">
      <w:pPr>
        <w:pageBreakBefore w:val="0"/>
        <w:wordWrap/>
        <w:bidi w:val="0"/>
        <w:adjustRightInd/>
        <w:snapToGrid/>
        <w:rPr>
          <w:b/>
          <w:bCs/>
          <w:color w:val="auto"/>
        </w:rPr>
      </w:pPr>
      <w:r>
        <w:rPr>
          <w:rFonts w:hint="eastAsia"/>
          <w:b/>
          <w:bCs/>
          <w:color w:val="auto"/>
        </w:rPr>
        <w:t>（</w:t>
      </w:r>
      <w:r>
        <w:rPr>
          <w:rFonts w:hint="eastAsia"/>
          <w:b/>
          <w:bCs/>
          <w:color w:val="auto"/>
          <w:lang w:val="en-US" w:eastAsia="zh-CN"/>
        </w:rPr>
        <w:t>2</w:t>
      </w:r>
      <w:r>
        <w:rPr>
          <w:rFonts w:hint="eastAsia"/>
          <w:b/>
          <w:bCs/>
          <w:color w:val="auto"/>
        </w:rPr>
        <w:t>）</w:t>
      </w:r>
      <w:r>
        <w:rPr>
          <w:b/>
          <w:bCs/>
          <w:color w:val="auto"/>
        </w:rPr>
        <w:t>本工程设计进水水质确定</w:t>
      </w:r>
    </w:p>
    <w:p w14:paraId="3ECD2BB0">
      <w:pPr>
        <w:pageBreakBefore w:val="0"/>
        <w:wordWrap/>
        <w:bidi w:val="0"/>
        <w:adjustRightInd/>
        <w:snapToGrid/>
        <w:rPr>
          <w:rFonts w:hint="eastAsia"/>
          <w:color w:val="auto"/>
          <w:lang w:val="en-US" w:eastAsia="zh-CN"/>
        </w:rPr>
      </w:pPr>
      <w:r>
        <w:rPr>
          <w:rFonts w:hint="eastAsia"/>
          <w:color w:val="auto"/>
          <w:lang w:val="en-US" w:eastAsia="zh-CN"/>
        </w:rPr>
        <w:t>根据规划环评报告、《巴中市巴州区曾口片区污水处理厂、环境监测站建设项目可行性研究报告》以及《巴中市巴州区曾口片区污水处理厂、环境监测站建设项目初步设计说明书》可知，确定本工程进水水质要求为：</w:t>
      </w:r>
    </w:p>
    <w:p w14:paraId="15061920">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设计进水水质表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9"/>
        <w:gridCol w:w="2681"/>
        <w:gridCol w:w="2128"/>
        <w:gridCol w:w="2134"/>
      </w:tblGrid>
      <w:tr w14:paraId="011E1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210E4911">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740" w:type="dxa"/>
            <w:tcBorders>
              <w:tl2br w:val="nil"/>
              <w:tr2bl w:val="nil"/>
            </w:tcBorders>
            <w:noWrap w:val="0"/>
            <w:vAlign w:val="top"/>
          </w:tcPr>
          <w:p w14:paraId="022B57B8">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2180" w:type="dxa"/>
            <w:tcBorders>
              <w:tl2br w:val="nil"/>
              <w:tr2bl w:val="nil"/>
            </w:tcBorders>
            <w:noWrap w:val="0"/>
            <w:vAlign w:val="top"/>
          </w:tcPr>
          <w:p w14:paraId="35711690">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80" w:type="dxa"/>
            <w:tcBorders>
              <w:tl2br w:val="nil"/>
              <w:tr2bl w:val="nil"/>
            </w:tcBorders>
            <w:noWrap w:val="0"/>
            <w:vAlign w:val="top"/>
          </w:tcPr>
          <w:p w14:paraId="4C4D0827">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数值</w:t>
            </w:r>
          </w:p>
        </w:tc>
      </w:tr>
      <w:tr w14:paraId="5F360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E8AC69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2740" w:type="dxa"/>
            <w:tcBorders>
              <w:tl2br w:val="nil"/>
              <w:tr2bl w:val="nil"/>
            </w:tcBorders>
            <w:noWrap w:val="0"/>
            <w:vAlign w:val="top"/>
          </w:tcPr>
          <w:p w14:paraId="6099CF4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温度</w:t>
            </w:r>
          </w:p>
        </w:tc>
        <w:tc>
          <w:tcPr>
            <w:tcW w:w="2180" w:type="dxa"/>
            <w:tcBorders>
              <w:tl2br w:val="nil"/>
              <w:tr2bl w:val="nil"/>
            </w:tcBorders>
            <w:noWrap w:val="0"/>
            <w:vAlign w:val="top"/>
          </w:tcPr>
          <w:p w14:paraId="740CF68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1C6C1F5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10~30</w:t>
            </w:r>
          </w:p>
        </w:tc>
      </w:tr>
      <w:tr w14:paraId="39679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9ECD8B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2740" w:type="dxa"/>
            <w:tcBorders>
              <w:tl2br w:val="nil"/>
              <w:tr2bl w:val="nil"/>
            </w:tcBorders>
            <w:noWrap w:val="0"/>
            <w:vAlign w:val="top"/>
          </w:tcPr>
          <w:p w14:paraId="6CF4FE6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2180" w:type="dxa"/>
            <w:tcBorders>
              <w:tl2br w:val="nil"/>
              <w:tr2bl w:val="nil"/>
            </w:tcBorders>
            <w:noWrap w:val="0"/>
            <w:vAlign w:val="top"/>
          </w:tcPr>
          <w:p w14:paraId="0A53185F">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7B0A523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6.0~9.0</w:t>
            </w:r>
          </w:p>
        </w:tc>
      </w:tr>
      <w:tr w14:paraId="71DE7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E82D82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2740" w:type="dxa"/>
            <w:tcBorders>
              <w:tl2br w:val="nil"/>
              <w:tr2bl w:val="nil"/>
            </w:tcBorders>
            <w:noWrap w:val="0"/>
            <w:vAlign w:val="top"/>
          </w:tcPr>
          <w:p w14:paraId="0DA15EC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溶解性总固体（TDS）</w:t>
            </w:r>
          </w:p>
        </w:tc>
        <w:tc>
          <w:tcPr>
            <w:tcW w:w="2180" w:type="dxa"/>
            <w:tcBorders>
              <w:tl2br w:val="nil"/>
              <w:tr2bl w:val="nil"/>
            </w:tcBorders>
            <w:noWrap w:val="0"/>
            <w:vAlign w:val="top"/>
          </w:tcPr>
          <w:p w14:paraId="1AEF8FA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484475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2000</w:t>
            </w:r>
          </w:p>
        </w:tc>
      </w:tr>
      <w:tr w14:paraId="115A9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1A6C25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2740" w:type="dxa"/>
            <w:tcBorders>
              <w:tl2br w:val="nil"/>
              <w:tr2bl w:val="nil"/>
            </w:tcBorders>
            <w:noWrap w:val="0"/>
            <w:vAlign w:val="top"/>
          </w:tcPr>
          <w:p w14:paraId="6DA8F51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CODcr</w:t>
            </w:r>
          </w:p>
        </w:tc>
        <w:tc>
          <w:tcPr>
            <w:tcW w:w="2180" w:type="dxa"/>
            <w:tcBorders>
              <w:tl2br w:val="nil"/>
              <w:tr2bl w:val="nil"/>
            </w:tcBorders>
            <w:noWrap w:val="0"/>
            <w:vAlign w:val="top"/>
          </w:tcPr>
          <w:p w14:paraId="6102E94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7AAF5C2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r>
      <w:tr w14:paraId="70272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AD3ABF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2740" w:type="dxa"/>
            <w:tcBorders>
              <w:tl2br w:val="nil"/>
              <w:tr2bl w:val="nil"/>
            </w:tcBorders>
            <w:noWrap w:val="0"/>
            <w:vAlign w:val="top"/>
          </w:tcPr>
          <w:p w14:paraId="195827A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2180" w:type="dxa"/>
            <w:tcBorders>
              <w:tl2br w:val="nil"/>
              <w:tr2bl w:val="nil"/>
            </w:tcBorders>
            <w:noWrap w:val="0"/>
            <w:vAlign w:val="top"/>
          </w:tcPr>
          <w:p w14:paraId="4662ACF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E7234F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150</w:t>
            </w:r>
          </w:p>
        </w:tc>
      </w:tr>
      <w:tr w14:paraId="3AA29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533B88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2740" w:type="dxa"/>
            <w:tcBorders>
              <w:tl2br w:val="nil"/>
              <w:tr2bl w:val="nil"/>
            </w:tcBorders>
            <w:noWrap w:val="0"/>
            <w:vAlign w:val="top"/>
          </w:tcPr>
          <w:p w14:paraId="738F773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SS</w:t>
            </w:r>
          </w:p>
        </w:tc>
        <w:tc>
          <w:tcPr>
            <w:tcW w:w="2180" w:type="dxa"/>
            <w:tcBorders>
              <w:tl2br w:val="nil"/>
              <w:tr2bl w:val="nil"/>
            </w:tcBorders>
            <w:noWrap w:val="0"/>
            <w:vAlign w:val="top"/>
          </w:tcPr>
          <w:p w14:paraId="7834B72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79C27CF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4BDB6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27D1B8A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2740" w:type="dxa"/>
            <w:tcBorders>
              <w:tl2br w:val="nil"/>
              <w:tr2bl w:val="nil"/>
            </w:tcBorders>
            <w:noWrap w:val="0"/>
            <w:vAlign w:val="top"/>
          </w:tcPr>
          <w:p w14:paraId="5A71CB5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氨氮</w:t>
            </w:r>
          </w:p>
        </w:tc>
        <w:tc>
          <w:tcPr>
            <w:tcW w:w="2180" w:type="dxa"/>
            <w:tcBorders>
              <w:tl2br w:val="nil"/>
              <w:tr2bl w:val="nil"/>
            </w:tcBorders>
            <w:noWrap w:val="0"/>
            <w:vAlign w:val="top"/>
          </w:tcPr>
          <w:p w14:paraId="11B848F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050F7E5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w:t>
            </w:r>
          </w:p>
        </w:tc>
      </w:tr>
      <w:tr w14:paraId="01300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0CFBF4C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740" w:type="dxa"/>
            <w:tcBorders>
              <w:tl2br w:val="nil"/>
              <w:tr2bl w:val="nil"/>
            </w:tcBorders>
            <w:noWrap w:val="0"/>
            <w:vAlign w:val="top"/>
          </w:tcPr>
          <w:p w14:paraId="461666D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总氮</w:t>
            </w:r>
          </w:p>
        </w:tc>
        <w:tc>
          <w:tcPr>
            <w:tcW w:w="2180" w:type="dxa"/>
            <w:tcBorders>
              <w:tl2br w:val="nil"/>
              <w:tr2bl w:val="nil"/>
            </w:tcBorders>
            <w:noWrap w:val="0"/>
            <w:vAlign w:val="top"/>
          </w:tcPr>
          <w:p w14:paraId="7FEE8F25">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4AFCFCA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80</w:t>
            </w:r>
          </w:p>
        </w:tc>
      </w:tr>
      <w:tr w14:paraId="2BBFF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3BA06F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2740" w:type="dxa"/>
            <w:tcBorders>
              <w:tl2br w:val="nil"/>
              <w:tr2bl w:val="nil"/>
            </w:tcBorders>
            <w:noWrap w:val="0"/>
            <w:vAlign w:val="top"/>
          </w:tcPr>
          <w:p w14:paraId="24B3885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总磷</w:t>
            </w:r>
          </w:p>
        </w:tc>
        <w:tc>
          <w:tcPr>
            <w:tcW w:w="2180" w:type="dxa"/>
            <w:tcBorders>
              <w:tl2br w:val="nil"/>
              <w:tr2bl w:val="nil"/>
            </w:tcBorders>
            <w:noWrap w:val="0"/>
            <w:vAlign w:val="top"/>
          </w:tcPr>
          <w:p w14:paraId="54C23033">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0D63B02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r>
      <w:tr w14:paraId="434D9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E3D5D0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740" w:type="dxa"/>
            <w:tcBorders>
              <w:tl2br w:val="nil"/>
              <w:tr2bl w:val="nil"/>
            </w:tcBorders>
            <w:noWrap w:val="0"/>
            <w:vAlign w:val="top"/>
          </w:tcPr>
          <w:p w14:paraId="5CA0005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氯化物</w:t>
            </w:r>
          </w:p>
        </w:tc>
        <w:tc>
          <w:tcPr>
            <w:tcW w:w="2180" w:type="dxa"/>
            <w:tcBorders>
              <w:tl2br w:val="nil"/>
              <w:tr2bl w:val="nil"/>
            </w:tcBorders>
            <w:noWrap w:val="0"/>
            <w:vAlign w:val="top"/>
          </w:tcPr>
          <w:p w14:paraId="34CD3D5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F0C493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500</w:t>
            </w:r>
          </w:p>
        </w:tc>
      </w:tr>
      <w:tr w14:paraId="2427F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BD87E0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11</w:t>
            </w:r>
          </w:p>
        </w:tc>
        <w:tc>
          <w:tcPr>
            <w:tcW w:w="2740" w:type="dxa"/>
            <w:tcBorders>
              <w:tl2br w:val="nil"/>
              <w:tr2bl w:val="nil"/>
            </w:tcBorders>
            <w:noWrap w:val="0"/>
            <w:vAlign w:val="top"/>
          </w:tcPr>
          <w:p w14:paraId="630FBE4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硫酸盐</w:t>
            </w:r>
          </w:p>
        </w:tc>
        <w:tc>
          <w:tcPr>
            <w:tcW w:w="2180" w:type="dxa"/>
            <w:tcBorders>
              <w:tl2br w:val="nil"/>
              <w:tr2bl w:val="nil"/>
            </w:tcBorders>
            <w:noWrap w:val="0"/>
            <w:vAlign w:val="top"/>
          </w:tcPr>
          <w:p w14:paraId="69DD394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2E7A6AE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610E4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260C72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12</w:t>
            </w:r>
          </w:p>
        </w:tc>
        <w:tc>
          <w:tcPr>
            <w:tcW w:w="2740" w:type="dxa"/>
            <w:tcBorders>
              <w:tl2br w:val="nil"/>
              <w:tr2bl w:val="nil"/>
            </w:tcBorders>
            <w:noWrap w:val="0"/>
            <w:vAlign w:val="top"/>
          </w:tcPr>
          <w:p w14:paraId="63FEE98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HCO</w:t>
            </w:r>
            <w:r>
              <w:rPr>
                <w:rFonts w:hint="eastAsia"/>
                <w:color w:val="auto"/>
                <w:vertAlign w:val="subscript"/>
                <w:lang w:val="en-US" w:eastAsia="zh-CN"/>
              </w:rPr>
              <w:t>3</w:t>
            </w:r>
            <w:r>
              <w:rPr>
                <w:rFonts w:hint="eastAsia"/>
                <w:color w:val="auto"/>
                <w:vertAlign w:val="superscript"/>
                <w:lang w:val="en-US" w:eastAsia="zh-CN"/>
              </w:rPr>
              <w:t>-</w:t>
            </w:r>
          </w:p>
        </w:tc>
        <w:tc>
          <w:tcPr>
            <w:tcW w:w="2180" w:type="dxa"/>
            <w:tcBorders>
              <w:tl2br w:val="nil"/>
              <w:tr2bl w:val="nil"/>
            </w:tcBorders>
            <w:noWrap w:val="0"/>
            <w:vAlign w:val="top"/>
          </w:tcPr>
          <w:p w14:paraId="5B979997">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24E2646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w:t>
            </w:r>
          </w:p>
        </w:tc>
      </w:tr>
      <w:tr w14:paraId="01526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3A3A3D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13</w:t>
            </w:r>
          </w:p>
        </w:tc>
        <w:tc>
          <w:tcPr>
            <w:tcW w:w="2740" w:type="dxa"/>
            <w:tcBorders>
              <w:tl2br w:val="nil"/>
              <w:tr2bl w:val="nil"/>
            </w:tcBorders>
            <w:noWrap w:val="0"/>
            <w:vAlign w:val="top"/>
          </w:tcPr>
          <w:p w14:paraId="0C31235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全硅</w:t>
            </w:r>
          </w:p>
        </w:tc>
        <w:tc>
          <w:tcPr>
            <w:tcW w:w="2180" w:type="dxa"/>
            <w:tcBorders>
              <w:tl2br w:val="nil"/>
              <w:tr2bl w:val="nil"/>
            </w:tcBorders>
            <w:noWrap w:val="0"/>
            <w:vAlign w:val="top"/>
          </w:tcPr>
          <w:p w14:paraId="41EA9E6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7FE9FB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w:t>
            </w:r>
          </w:p>
        </w:tc>
      </w:tr>
      <w:tr w14:paraId="3FB86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759563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14</w:t>
            </w:r>
          </w:p>
        </w:tc>
        <w:tc>
          <w:tcPr>
            <w:tcW w:w="2740" w:type="dxa"/>
            <w:tcBorders>
              <w:tl2br w:val="nil"/>
              <w:tr2bl w:val="nil"/>
            </w:tcBorders>
            <w:noWrap w:val="0"/>
            <w:vAlign w:val="top"/>
          </w:tcPr>
          <w:p w14:paraId="0935F48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总硬度</w:t>
            </w:r>
          </w:p>
        </w:tc>
        <w:tc>
          <w:tcPr>
            <w:tcW w:w="2180" w:type="dxa"/>
            <w:tcBorders>
              <w:tl2br w:val="nil"/>
              <w:tr2bl w:val="nil"/>
            </w:tcBorders>
            <w:noWrap w:val="0"/>
            <w:vAlign w:val="top"/>
          </w:tcPr>
          <w:p w14:paraId="73C1C08C">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5E0475A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400</w:t>
            </w:r>
          </w:p>
        </w:tc>
      </w:tr>
      <w:tr w14:paraId="09C19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86374C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w:t>
            </w:r>
          </w:p>
        </w:tc>
        <w:tc>
          <w:tcPr>
            <w:tcW w:w="2740" w:type="dxa"/>
            <w:tcBorders>
              <w:tl2br w:val="nil"/>
              <w:tr2bl w:val="nil"/>
            </w:tcBorders>
            <w:noWrap w:val="0"/>
            <w:vAlign w:val="top"/>
          </w:tcPr>
          <w:p w14:paraId="1185F28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氟化物</w:t>
            </w:r>
          </w:p>
        </w:tc>
        <w:tc>
          <w:tcPr>
            <w:tcW w:w="2180" w:type="dxa"/>
            <w:tcBorders>
              <w:tl2br w:val="nil"/>
              <w:tr2bl w:val="nil"/>
            </w:tcBorders>
            <w:noWrap w:val="0"/>
            <w:vAlign w:val="top"/>
          </w:tcPr>
          <w:p w14:paraId="18C32316">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102DDC3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w:t>
            </w:r>
          </w:p>
        </w:tc>
      </w:tr>
      <w:tr w14:paraId="36E7E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6145A4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16</w:t>
            </w:r>
          </w:p>
        </w:tc>
        <w:tc>
          <w:tcPr>
            <w:tcW w:w="2740" w:type="dxa"/>
            <w:tcBorders>
              <w:tl2br w:val="nil"/>
              <w:tr2bl w:val="nil"/>
            </w:tcBorders>
            <w:noWrap w:val="0"/>
            <w:vAlign w:val="top"/>
          </w:tcPr>
          <w:p w14:paraId="4394A1D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石油类</w:t>
            </w:r>
          </w:p>
        </w:tc>
        <w:tc>
          <w:tcPr>
            <w:tcW w:w="2180" w:type="dxa"/>
            <w:tcBorders>
              <w:tl2br w:val="nil"/>
              <w:tr2bl w:val="nil"/>
            </w:tcBorders>
            <w:noWrap w:val="0"/>
            <w:vAlign w:val="top"/>
          </w:tcPr>
          <w:p w14:paraId="6EEBD8BA">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13E22D9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00A2B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C5A6D3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17</w:t>
            </w:r>
          </w:p>
        </w:tc>
        <w:tc>
          <w:tcPr>
            <w:tcW w:w="2740" w:type="dxa"/>
            <w:tcBorders>
              <w:tl2br w:val="nil"/>
              <w:tr2bl w:val="nil"/>
            </w:tcBorders>
            <w:noWrap w:val="0"/>
            <w:vAlign w:val="top"/>
          </w:tcPr>
          <w:p w14:paraId="26FB4A7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挥发酚</w:t>
            </w:r>
          </w:p>
        </w:tc>
        <w:tc>
          <w:tcPr>
            <w:tcW w:w="2180" w:type="dxa"/>
            <w:tcBorders>
              <w:tl2br w:val="nil"/>
              <w:tr2bl w:val="nil"/>
            </w:tcBorders>
            <w:noWrap w:val="0"/>
            <w:vAlign w:val="top"/>
          </w:tcPr>
          <w:p w14:paraId="45A5FCCE">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21D2E0D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r>
      <w:tr w14:paraId="14F01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7AB19C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18</w:t>
            </w:r>
          </w:p>
        </w:tc>
        <w:tc>
          <w:tcPr>
            <w:tcW w:w="2740" w:type="dxa"/>
            <w:tcBorders>
              <w:tl2br w:val="nil"/>
              <w:tr2bl w:val="nil"/>
            </w:tcBorders>
            <w:noWrap w:val="0"/>
            <w:vAlign w:val="top"/>
          </w:tcPr>
          <w:p w14:paraId="4014BAF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苯</w:t>
            </w:r>
          </w:p>
        </w:tc>
        <w:tc>
          <w:tcPr>
            <w:tcW w:w="2180" w:type="dxa"/>
            <w:tcBorders>
              <w:tl2br w:val="nil"/>
              <w:tr2bl w:val="nil"/>
            </w:tcBorders>
            <w:noWrap w:val="0"/>
            <w:vAlign w:val="top"/>
          </w:tcPr>
          <w:p w14:paraId="27B6ED34">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7052F95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w:t>
            </w:r>
          </w:p>
        </w:tc>
      </w:tr>
      <w:tr w14:paraId="4A3D3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8F6927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19</w:t>
            </w:r>
          </w:p>
        </w:tc>
        <w:tc>
          <w:tcPr>
            <w:tcW w:w="2740" w:type="dxa"/>
            <w:tcBorders>
              <w:tl2br w:val="nil"/>
              <w:tr2bl w:val="nil"/>
            </w:tcBorders>
            <w:noWrap w:val="0"/>
            <w:vAlign w:val="top"/>
          </w:tcPr>
          <w:p w14:paraId="2ACD027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甲醛</w:t>
            </w:r>
          </w:p>
        </w:tc>
        <w:tc>
          <w:tcPr>
            <w:tcW w:w="2180" w:type="dxa"/>
            <w:tcBorders>
              <w:tl2br w:val="nil"/>
              <w:tr2bl w:val="nil"/>
            </w:tcBorders>
            <w:noWrap w:val="0"/>
            <w:vAlign w:val="top"/>
          </w:tcPr>
          <w:p w14:paraId="30B495D9">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2180" w:type="dxa"/>
            <w:tcBorders>
              <w:tl2br w:val="nil"/>
              <w:tr2bl w:val="nil"/>
            </w:tcBorders>
            <w:noWrap w:val="0"/>
            <w:vAlign w:val="top"/>
          </w:tcPr>
          <w:p w14:paraId="65CD7E4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bl>
    <w:p w14:paraId="32125B4F">
      <w:pPr>
        <w:pStyle w:val="6"/>
        <w:pageBreakBefore w:val="0"/>
        <w:wordWrap/>
        <w:bidi w:val="0"/>
        <w:adjustRightInd/>
        <w:snapToGrid/>
        <w:rPr>
          <w:color w:val="auto"/>
        </w:rPr>
      </w:pPr>
      <w:r>
        <w:rPr>
          <w:rFonts w:hint="eastAsia"/>
          <w:color w:val="auto"/>
        </w:rPr>
        <w:t xml:space="preserve"> </w:t>
      </w:r>
      <w:r>
        <w:rPr>
          <w:color w:val="auto"/>
        </w:rPr>
        <w:t>污水处理厂出水水质标准</w:t>
      </w:r>
    </w:p>
    <w:bookmarkEnd w:id="80"/>
    <w:p w14:paraId="55489EB7">
      <w:pPr>
        <w:pageBreakBefore w:val="0"/>
        <w:wordWrap/>
        <w:bidi w:val="0"/>
        <w:adjustRightInd/>
        <w:snapToGrid/>
        <w:rPr>
          <w:rFonts w:hint="default"/>
          <w:color w:val="auto"/>
          <w:lang w:val="en-US" w:eastAsia="zh-CN"/>
        </w:rPr>
      </w:pPr>
      <w:r>
        <w:rPr>
          <w:rFonts w:hint="eastAsia"/>
          <w:color w:val="auto"/>
          <w:lang w:val="en-US" w:eastAsia="zh-CN"/>
        </w:rPr>
        <w:t>根据《巴中市巴州区曾口片区污水处理厂、环境监测站建设项目可行性研究报告》以及《巴中市巴州区曾口片区污水处理厂、环境监测站建设项目初步设计说明书》可知，本项目出水水质指标执行《城镇污水处理厂污染物排放标准》（GB18918-2002）一级A标准。根据项目需求，回用水为总规模的20%，本项目回用水出水水质参照《城市污水再生利用工业用水水质GB/T19923-2005》标准中的工艺与产品用水、敞开式循环冷却水系统补充水指标要求或《城市污水再生利用城市杂用水水质GB18920-2020》标准中的城市绿化、道路清扫等用水。</w:t>
      </w:r>
    </w:p>
    <w:p w14:paraId="2BCA5650">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设计出水水质表</w:t>
      </w:r>
    </w:p>
    <w:tbl>
      <w:tblPr>
        <w:tblStyle w:val="49"/>
        <w:tblW w:w="87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80"/>
        <w:gridCol w:w="1335"/>
        <w:gridCol w:w="909"/>
        <w:gridCol w:w="1847"/>
        <w:gridCol w:w="1922"/>
        <w:gridCol w:w="2225"/>
      </w:tblGrid>
      <w:tr w14:paraId="2C4E0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vMerge w:val="restart"/>
            <w:tcBorders>
              <w:tl2br w:val="nil"/>
              <w:tr2bl w:val="nil"/>
            </w:tcBorders>
            <w:noWrap w:val="0"/>
            <w:vAlign w:val="center"/>
          </w:tcPr>
          <w:p w14:paraId="69687CC8">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244" w:type="dxa"/>
            <w:gridSpan w:val="2"/>
            <w:tcBorders>
              <w:tl2br w:val="nil"/>
              <w:tr2bl w:val="nil"/>
            </w:tcBorders>
            <w:noWrap w:val="0"/>
            <w:vAlign w:val="center"/>
          </w:tcPr>
          <w:p w14:paraId="5AE24F63">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5994" w:type="dxa"/>
            <w:gridSpan w:val="3"/>
            <w:tcBorders>
              <w:tl2br w:val="nil"/>
              <w:tr2bl w:val="nil"/>
            </w:tcBorders>
            <w:noWrap w:val="0"/>
            <w:vAlign w:val="center"/>
          </w:tcPr>
          <w:p w14:paraId="7EA370B5">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出水水质</w:t>
            </w:r>
          </w:p>
        </w:tc>
      </w:tr>
      <w:tr w14:paraId="1A5C7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vMerge w:val="continue"/>
            <w:tcBorders>
              <w:tl2br w:val="nil"/>
              <w:tr2bl w:val="nil"/>
            </w:tcBorders>
            <w:noWrap w:val="0"/>
            <w:vAlign w:val="center"/>
          </w:tcPr>
          <w:p w14:paraId="04BD1821">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335" w:type="dxa"/>
            <w:tcBorders>
              <w:tl2br w:val="nil"/>
              <w:tr2bl w:val="nil"/>
            </w:tcBorders>
            <w:noWrap w:val="0"/>
            <w:vAlign w:val="center"/>
          </w:tcPr>
          <w:p w14:paraId="175025D3">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909" w:type="dxa"/>
            <w:tcBorders>
              <w:tl2br w:val="nil"/>
              <w:tr2bl w:val="nil"/>
            </w:tcBorders>
            <w:noWrap w:val="0"/>
            <w:vAlign w:val="center"/>
          </w:tcPr>
          <w:p w14:paraId="244717D0">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1847" w:type="dxa"/>
            <w:tcBorders>
              <w:tl2br w:val="nil"/>
              <w:tr2bl w:val="nil"/>
            </w:tcBorders>
            <w:noWrap w:val="0"/>
            <w:vAlign w:val="center"/>
          </w:tcPr>
          <w:p w14:paraId="6958AE3E">
            <w:pPr>
              <w:pStyle w:val="12"/>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c>
          <w:tcPr>
            <w:tcW w:w="1922" w:type="dxa"/>
            <w:tcBorders>
              <w:tl2br w:val="nil"/>
              <w:tr2bl w:val="nil"/>
            </w:tcBorders>
            <w:noWrap w:val="0"/>
            <w:vAlign w:val="center"/>
          </w:tcPr>
          <w:p w14:paraId="153E9D96">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《城市污水再生利用城市杂用水水质GB18920-2020》标准中的城市绿化、道路清扫用水指标要求</w:t>
            </w:r>
          </w:p>
        </w:tc>
        <w:tc>
          <w:tcPr>
            <w:tcW w:w="2225" w:type="dxa"/>
            <w:tcBorders>
              <w:tl2br w:val="nil"/>
              <w:tr2bl w:val="nil"/>
            </w:tcBorders>
            <w:noWrap w:val="0"/>
            <w:vAlign w:val="center"/>
          </w:tcPr>
          <w:p w14:paraId="3039255C">
            <w:pPr>
              <w:pStyle w:val="12"/>
              <w:keepNext w:val="0"/>
              <w:keepLines w:val="0"/>
              <w:pageBreakBefore w:val="0"/>
              <w:widowControl w:val="0"/>
              <w:kinsoku/>
              <w:wordWrap/>
              <w:overflowPunct/>
              <w:topLinePunct w:val="0"/>
              <w:autoSpaceDE/>
              <w:autoSpaceDN/>
              <w:bidi w:val="0"/>
              <w:adjustRightInd/>
              <w:snapToGrid/>
              <w:textAlignment w:val="auto"/>
              <w:rPr>
                <w:rFonts w:hint="eastAsia"/>
                <w:b/>
                <w:bCs/>
                <w:color w:val="auto"/>
                <w:lang w:val="en-US" w:eastAsia="zh-CN"/>
              </w:rPr>
            </w:pPr>
            <w:r>
              <w:rPr>
                <w:rFonts w:hint="eastAsia"/>
                <w:b/>
                <w:bCs/>
                <w:color w:val="auto"/>
                <w:lang w:val="en-US" w:eastAsia="zh-CN"/>
              </w:rPr>
              <w:t>《城市污水再生利用工业用水水质GB/T19923-2005》标准中的工艺与产品用水、敞开式循环冷却水系统补充水指标要求</w:t>
            </w:r>
          </w:p>
        </w:tc>
      </w:tr>
      <w:tr w14:paraId="29A449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7D6735F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335" w:type="dxa"/>
            <w:tcBorders>
              <w:tl2br w:val="nil"/>
              <w:tr2bl w:val="nil"/>
            </w:tcBorders>
            <w:noWrap w:val="0"/>
            <w:vAlign w:val="center"/>
          </w:tcPr>
          <w:p w14:paraId="5918014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909" w:type="dxa"/>
            <w:tcBorders>
              <w:tl2br w:val="nil"/>
              <w:tr2bl w:val="nil"/>
            </w:tcBorders>
            <w:noWrap w:val="0"/>
            <w:vAlign w:val="center"/>
          </w:tcPr>
          <w:p w14:paraId="24B32E6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1847" w:type="dxa"/>
            <w:tcBorders>
              <w:tl2br w:val="nil"/>
              <w:tr2bl w:val="nil"/>
            </w:tcBorders>
            <w:noWrap w:val="0"/>
            <w:vAlign w:val="center"/>
          </w:tcPr>
          <w:p w14:paraId="595E0E3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c>
          <w:tcPr>
            <w:tcW w:w="1922" w:type="dxa"/>
            <w:tcBorders>
              <w:tl2br w:val="nil"/>
              <w:tr2bl w:val="nil"/>
            </w:tcBorders>
            <w:noWrap w:val="0"/>
            <w:vAlign w:val="center"/>
          </w:tcPr>
          <w:p w14:paraId="4ECA32B0">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6~9</w:t>
            </w:r>
          </w:p>
        </w:tc>
        <w:tc>
          <w:tcPr>
            <w:tcW w:w="2225" w:type="dxa"/>
            <w:tcBorders>
              <w:tl2br w:val="nil"/>
              <w:tr2bl w:val="nil"/>
            </w:tcBorders>
            <w:noWrap w:val="0"/>
            <w:vAlign w:val="center"/>
          </w:tcPr>
          <w:p w14:paraId="13F7864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6.5~8.5</w:t>
            </w:r>
          </w:p>
        </w:tc>
      </w:tr>
      <w:tr w14:paraId="7D9E1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73EAB65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335" w:type="dxa"/>
            <w:tcBorders>
              <w:tl2br w:val="nil"/>
              <w:tr2bl w:val="nil"/>
            </w:tcBorders>
            <w:noWrap w:val="0"/>
            <w:vAlign w:val="center"/>
          </w:tcPr>
          <w:p w14:paraId="4596348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909" w:type="dxa"/>
            <w:tcBorders>
              <w:tl2br w:val="nil"/>
              <w:tr2bl w:val="nil"/>
            </w:tcBorders>
            <w:noWrap w:val="0"/>
            <w:vAlign w:val="center"/>
          </w:tcPr>
          <w:p w14:paraId="1480C07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847" w:type="dxa"/>
            <w:tcBorders>
              <w:tl2br w:val="nil"/>
              <w:tr2bl w:val="nil"/>
            </w:tcBorders>
            <w:noWrap w:val="0"/>
            <w:vAlign w:val="center"/>
          </w:tcPr>
          <w:p w14:paraId="0343A6A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c>
          <w:tcPr>
            <w:tcW w:w="1922" w:type="dxa"/>
            <w:tcBorders>
              <w:tl2br w:val="nil"/>
              <w:tr2bl w:val="nil"/>
            </w:tcBorders>
            <w:noWrap w:val="0"/>
            <w:vAlign w:val="center"/>
          </w:tcPr>
          <w:p w14:paraId="16AA0F8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c>
          <w:tcPr>
            <w:tcW w:w="2225" w:type="dxa"/>
            <w:tcBorders>
              <w:tl2br w:val="nil"/>
              <w:tr2bl w:val="nil"/>
            </w:tcBorders>
            <w:noWrap w:val="0"/>
            <w:vAlign w:val="center"/>
          </w:tcPr>
          <w:p w14:paraId="6CA7863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61476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6515B50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335" w:type="dxa"/>
            <w:tcBorders>
              <w:tl2br w:val="nil"/>
              <w:tr2bl w:val="nil"/>
            </w:tcBorders>
            <w:noWrap w:val="0"/>
            <w:vAlign w:val="center"/>
          </w:tcPr>
          <w:p w14:paraId="1631300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浊度</w:t>
            </w:r>
          </w:p>
        </w:tc>
        <w:tc>
          <w:tcPr>
            <w:tcW w:w="909" w:type="dxa"/>
            <w:tcBorders>
              <w:tl2br w:val="nil"/>
              <w:tr2bl w:val="nil"/>
            </w:tcBorders>
            <w:noWrap w:val="0"/>
            <w:vAlign w:val="center"/>
          </w:tcPr>
          <w:p w14:paraId="2DC4088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847" w:type="dxa"/>
            <w:tcBorders>
              <w:tl2br w:val="nil"/>
              <w:tr2bl w:val="nil"/>
            </w:tcBorders>
            <w:noWrap w:val="0"/>
            <w:vAlign w:val="center"/>
          </w:tcPr>
          <w:p w14:paraId="4D112DB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6BA49A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0A381EB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r>
      <w:tr w14:paraId="66F13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0E612DA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335" w:type="dxa"/>
            <w:tcBorders>
              <w:tl2br w:val="nil"/>
              <w:tr2bl w:val="nil"/>
            </w:tcBorders>
            <w:noWrap w:val="0"/>
            <w:vAlign w:val="center"/>
          </w:tcPr>
          <w:p w14:paraId="12E339E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COD</w:t>
            </w:r>
          </w:p>
        </w:tc>
        <w:tc>
          <w:tcPr>
            <w:tcW w:w="909" w:type="dxa"/>
            <w:tcBorders>
              <w:tl2br w:val="nil"/>
              <w:tr2bl w:val="nil"/>
            </w:tcBorders>
            <w:noWrap w:val="0"/>
            <w:vAlign w:val="center"/>
          </w:tcPr>
          <w:p w14:paraId="308FEB9E">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296F2E83">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50</w:t>
            </w:r>
          </w:p>
        </w:tc>
        <w:tc>
          <w:tcPr>
            <w:tcW w:w="1922" w:type="dxa"/>
            <w:tcBorders>
              <w:tl2br w:val="nil"/>
              <w:tr2bl w:val="nil"/>
            </w:tcBorders>
            <w:noWrap w:val="0"/>
            <w:vAlign w:val="center"/>
          </w:tcPr>
          <w:p w14:paraId="24D24F3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771D244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w:t>
            </w:r>
          </w:p>
        </w:tc>
      </w:tr>
      <w:tr w14:paraId="6F1F96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3B54FDA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335" w:type="dxa"/>
            <w:tcBorders>
              <w:tl2br w:val="nil"/>
              <w:tr2bl w:val="nil"/>
            </w:tcBorders>
            <w:noWrap w:val="0"/>
            <w:vAlign w:val="center"/>
          </w:tcPr>
          <w:p w14:paraId="1DF5F3A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909" w:type="dxa"/>
            <w:tcBorders>
              <w:tl2br w:val="nil"/>
              <w:tr2bl w:val="nil"/>
            </w:tcBorders>
            <w:noWrap w:val="0"/>
            <w:vAlign w:val="center"/>
          </w:tcPr>
          <w:p w14:paraId="2474672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37A939A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40BF9B0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225" w:type="dxa"/>
            <w:tcBorders>
              <w:tl2br w:val="nil"/>
              <w:tr2bl w:val="nil"/>
            </w:tcBorders>
            <w:noWrap w:val="0"/>
            <w:vAlign w:val="center"/>
          </w:tcPr>
          <w:p w14:paraId="44984F2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2F13E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036220C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335" w:type="dxa"/>
            <w:tcBorders>
              <w:tl2br w:val="nil"/>
              <w:tr2bl w:val="nil"/>
            </w:tcBorders>
            <w:noWrap w:val="0"/>
            <w:vAlign w:val="center"/>
          </w:tcPr>
          <w:p w14:paraId="22412CE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氨氮</w:t>
            </w:r>
          </w:p>
        </w:tc>
        <w:tc>
          <w:tcPr>
            <w:tcW w:w="909" w:type="dxa"/>
            <w:tcBorders>
              <w:tl2br w:val="nil"/>
              <w:tr2bl w:val="nil"/>
            </w:tcBorders>
            <w:noWrap w:val="0"/>
            <w:vAlign w:val="center"/>
          </w:tcPr>
          <w:p w14:paraId="53B126E7">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719B375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5（8）</w:t>
            </w:r>
          </w:p>
        </w:tc>
        <w:tc>
          <w:tcPr>
            <w:tcW w:w="1922" w:type="dxa"/>
            <w:tcBorders>
              <w:tl2br w:val="nil"/>
              <w:tr2bl w:val="nil"/>
            </w:tcBorders>
            <w:noWrap w:val="0"/>
            <w:vAlign w:val="center"/>
          </w:tcPr>
          <w:p w14:paraId="002EBA7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225" w:type="dxa"/>
            <w:tcBorders>
              <w:tl2br w:val="nil"/>
              <w:tr2bl w:val="nil"/>
            </w:tcBorders>
            <w:noWrap w:val="0"/>
            <w:vAlign w:val="center"/>
          </w:tcPr>
          <w:p w14:paraId="0D6ADE3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6E537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38ED459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1335" w:type="dxa"/>
            <w:tcBorders>
              <w:tl2br w:val="nil"/>
              <w:tr2bl w:val="nil"/>
            </w:tcBorders>
            <w:noWrap w:val="0"/>
            <w:vAlign w:val="center"/>
          </w:tcPr>
          <w:p w14:paraId="4379FAA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总磷</w:t>
            </w:r>
          </w:p>
        </w:tc>
        <w:tc>
          <w:tcPr>
            <w:tcW w:w="909" w:type="dxa"/>
            <w:tcBorders>
              <w:tl2br w:val="nil"/>
              <w:tr2bl w:val="nil"/>
            </w:tcBorders>
            <w:noWrap w:val="0"/>
            <w:vAlign w:val="center"/>
          </w:tcPr>
          <w:p w14:paraId="1C9EFDBC">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2E7BF5DB">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2B4111D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381966F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67937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11BFD66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1335" w:type="dxa"/>
            <w:tcBorders>
              <w:tl2br w:val="nil"/>
              <w:tr2bl w:val="nil"/>
            </w:tcBorders>
            <w:noWrap w:val="0"/>
            <w:vAlign w:val="center"/>
          </w:tcPr>
          <w:p w14:paraId="1C1C03A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氰化物</w:t>
            </w:r>
          </w:p>
        </w:tc>
        <w:tc>
          <w:tcPr>
            <w:tcW w:w="909" w:type="dxa"/>
            <w:tcBorders>
              <w:tl2br w:val="nil"/>
              <w:tr2bl w:val="nil"/>
            </w:tcBorders>
            <w:noWrap w:val="0"/>
            <w:vAlign w:val="center"/>
          </w:tcPr>
          <w:p w14:paraId="32B85D8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006C5B5B">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6C252E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51EC38F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0.2</w:t>
            </w:r>
          </w:p>
        </w:tc>
      </w:tr>
      <w:tr w14:paraId="076D0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67AFA77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1335" w:type="dxa"/>
            <w:tcBorders>
              <w:tl2br w:val="nil"/>
              <w:tr2bl w:val="nil"/>
            </w:tcBorders>
            <w:noWrap w:val="0"/>
            <w:vAlign w:val="center"/>
          </w:tcPr>
          <w:p w14:paraId="3C37C6F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挥发酚</w:t>
            </w:r>
          </w:p>
        </w:tc>
        <w:tc>
          <w:tcPr>
            <w:tcW w:w="909" w:type="dxa"/>
            <w:tcBorders>
              <w:tl2br w:val="nil"/>
              <w:tr2bl w:val="nil"/>
            </w:tcBorders>
            <w:noWrap w:val="0"/>
            <w:vAlign w:val="center"/>
          </w:tcPr>
          <w:p w14:paraId="7C4E9911">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258F3B2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5A1440D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16E3325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0.005</w:t>
            </w:r>
          </w:p>
        </w:tc>
      </w:tr>
      <w:tr w14:paraId="0899D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44D8876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color w:val="auto"/>
                <w:lang w:val="en-US" w:eastAsia="zh-CN"/>
              </w:rPr>
            </w:pPr>
            <w:r>
              <w:rPr>
                <w:rFonts w:hint="eastAsia"/>
                <w:color w:val="auto"/>
                <w:lang w:val="en-US" w:eastAsia="zh-CN"/>
              </w:rPr>
              <w:t>10</w:t>
            </w:r>
          </w:p>
        </w:tc>
        <w:tc>
          <w:tcPr>
            <w:tcW w:w="1335" w:type="dxa"/>
            <w:tcBorders>
              <w:tl2br w:val="nil"/>
              <w:tr2bl w:val="nil"/>
            </w:tcBorders>
            <w:noWrap w:val="0"/>
            <w:vAlign w:val="center"/>
          </w:tcPr>
          <w:p w14:paraId="6C00412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石油类</w:t>
            </w:r>
          </w:p>
        </w:tc>
        <w:tc>
          <w:tcPr>
            <w:tcW w:w="909" w:type="dxa"/>
            <w:tcBorders>
              <w:tl2br w:val="nil"/>
              <w:tr2bl w:val="nil"/>
            </w:tcBorders>
            <w:noWrap w:val="0"/>
            <w:vAlign w:val="center"/>
          </w:tcPr>
          <w:p w14:paraId="148E7EE5">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568E330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w:t>
            </w:r>
          </w:p>
        </w:tc>
        <w:tc>
          <w:tcPr>
            <w:tcW w:w="1922" w:type="dxa"/>
            <w:tcBorders>
              <w:tl2br w:val="nil"/>
              <w:tr2bl w:val="nil"/>
            </w:tcBorders>
            <w:noWrap w:val="0"/>
            <w:vAlign w:val="center"/>
          </w:tcPr>
          <w:p w14:paraId="6C6A0F4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5ED5BD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r>
      <w:tr w14:paraId="522BC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198A3E9A">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11</w:t>
            </w:r>
          </w:p>
        </w:tc>
        <w:tc>
          <w:tcPr>
            <w:tcW w:w="1335" w:type="dxa"/>
            <w:tcBorders>
              <w:tl2br w:val="nil"/>
              <w:tr2bl w:val="nil"/>
            </w:tcBorders>
            <w:noWrap w:val="0"/>
            <w:vAlign w:val="center"/>
          </w:tcPr>
          <w:p w14:paraId="08E46A3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阴离子表面活性剂</w:t>
            </w:r>
          </w:p>
        </w:tc>
        <w:tc>
          <w:tcPr>
            <w:tcW w:w="909" w:type="dxa"/>
            <w:tcBorders>
              <w:tl2br w:val="nil"/>
              <w:tr2bl w:val="nil"/>
            </w:tcBorders>
            <w:noWrap w:val="0"/>
            <w:vAlign w:val="center"/>
          </w:tcPr>
          <w:p w14:paraId="16B2DA2B">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0928B04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0.5</w:t>
            </w:r>
          </w:p>
        </w:tc>
        <w:tc>
          <w:tcPr>
            <w:tcW w:w="1922" w:type="dxa"/>
            <w:tcBorders>
              <w:tl2br w:val="nil"/>
              <w:tr2bl w:val="nil"/>
            </w:tcBorders>
            <w:noWrap w:val="0"/>
            <w:vAlign w:val="center"/>
          </w:tcPr>
          <w:p w14:paraId="7C5CDF3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c>
          <w:tcPr>
            <w:tcW w:w="2225" w:type="dxa"/>
            <w:tcBorders>
              <w:tl2br w:val="nil"/>
              <w:tr2bl w:val="nil"/>
            </w:tcBorders>
            <w:noWrap w:val="0"/>
            <w:vAlign w:val="center"/>
          </w:tcPr>
          <w:p w14:paraId="394C79D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0.5</w:t>
            </w:r>
          </w:p>
        </w:tc>
      </w:tr>
      <w:tr w14:paraId="76B94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01D1D23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12</w:t>
            </w:r>
          </w:p>
        </w:tc>
        <w:tc>
          <w:tcPr>
            <w:tcW w:w="1335" w:type="dxa"/>
            <w:tcBorders>
              <w:tl2br w:val="nil"/>
              <w:tr2bl w:val="nil"/>
            </w:tcBorders>
            <w:noWrap w:val="0"/>
            <w:vAlign w:val="center"/>
          </w:tcPr>
          <w:p w14:paraId="0D7660B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铁</w:t>
            </w:r>
          </w:p>
        </w:tc>
        <w:tc>
          <w:tcPr>
            <w:tcW w:w="909" w:type="dxa"/>
            <w:tcBorders>
              <w:tl2br w:val="nil"/>
              <w:tr2bl w:val="nil"/>
            </w:tcBorders>
            <w:noWrap w:val="0"/>
            <w:vAlign w:val="center"/>
          </w:tcPr>
          <w:p w14:paraId="501C21C2">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4566F8E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00C5E1D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42F3A95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0.3</w:t>
            </w:r>
          </w:p>
        </w:tc>
      </w:tr>
      <w:tr w14:paraId="473C0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37002C2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13</w:t>
            </w:r>
          </w:p>
        </w:tc>
        <w:tc>
          <w:tcPr>
            <w:tcW w:w="1335" w:type="dxa"/>
            <w:tcBorders>
              <w:tl2br w:val="nil"/>
              <w:tr2bl w:val="nil"/>
            </w:tcBorders>
            <w:noWrap w:val="0"/>
            <w:vAlign w:val="center"/>
          </w:tcPr>
          <w:p w14:paraId="4BF468F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锰</w:t>
            </w:r>
          </w:p>
        </w:tc>
        <w:tc>
          <w:tcPr>
            <w:tcW w:w="909" w:type="dxa"/>
            <w:tcBorders>
              <w:tl2br w:val="nil"/>
              <w:tr2bl w:val="nil"/>
            </w:tcBorders>
            <w:noWrap w:val="0"/>
            <w:vAlign w:val="center"/>
          </w:tcPr>
          <w:p w14:paraId="1C1761CC">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1F638CD8">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17CAE7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CEE5F73">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w:t>
            </w:r>
          </w:p>
        </w:tc>
      </w:tr>
      <w:tr w14:paraId="382FA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414E47B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14</w:t>
            </w:r>
          </w:p>
        </w:tc>
        <w:tc>
          <w:tcPr>
            <w:tcW w:w="1335" w:type="dxa"/>
            <w:tcBorders>
              <w:tl2br w:val="nil"/>
              <w:tr2bl w:val="nil"/>
            </w:tcBorders>
            <w:noWrap w:val="0"/>
            <w:vAlign w:val="center"/>
          </w:tcPr>
          <w:p w14:paraId="293B63D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氯离子</w:t>
            </w:r>
          </w:p>
        </w:tc>
        <w:tc>
          <w:tcPr>
            <w:tcW w:w="909" w:type="dxa"/>
            <w:tcBorders>
              <w:tl2br w:val="nil"/>
              <w:tr2bl w:val="nil"/>
            </w:tcBorders>
            <w:noWrap w:val="0"/>
            <w:vAlign w:val="center"/>
          </w:tcPr>
          <w:p w14:paraId="19477AFF">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6815D89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506CCB9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c>
          <w:tcPr>
            <w:tcW w:w="2225" w:type="dxa"/>
            <w:tcBorders>
              <w:tl2br w:val="nil"/>
              <w:tr2bl w:val="nil"/>
            </w:tcBorders>
            <w:noWrap w:val="0"/>
            <w:vAlign w:val="center"/>
          </w:tcPr>
          <w:p w14:paraId="554FDDB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5244B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7C181BB9">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15</w:t>
            </w:r>
          </w:p>
        </w:tc>
        <w:tc>
          <w:tcPr>
            <w:tcW w:w="1335" w:type="dxa"/>
            <w:tcBorders>
              <w:tl2br w:val="nil"/>
              <w:tr2bl w:val="nil"/>
            </w:tcBorders>
            <w:noWrap w:val="0"/>
            <w:vAlign w:val="center"/>
          </w:tcPr>
          <w:p w14:paraId="1E81240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硫酸盐</w:t>
            </w:r>
          </w:p>
        </w:tc>
        <w:tc>
          <w:tcPr>
            <w:tcW w:w="909" w:type="dxa"/>
            <w:tcBorders>
              <w:tl2br w:val="nil"/>
              <w:tr2bl w:val="nil"/>
            </w:tcBorders>
            <w:noWrap w:val="0"/>
            <w:vAlign w:val="center"/>
          </w:tcPr>
          <w:p w14:paraId="016730F0">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3A09F621">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757CD44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500</w:t>
            </w:r>
          </w:p>
        </w:tc>
        <w:tc>
          <w:tcPr>
            <w:tcW w:w="2225" w:type="dxa"/>
            <w:tcBorders>
              <w:tl2br w:val="nil"/>
              <w:tr2bl w:val="nil"/>
            </w:tcBorders>
            <w:noWrap w:val="0"/>
            <w:vAlign w:val="center"/>
          </w:tcPr>
          <w:p w14:paraId="04A5BA4A">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250</w:t>
            </w:r>
          </w:p>
        </w:tc>
      </w:tr>
      <w:tr w14:paraId="25E2F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0C4D3C3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16</w:t>
            </w:r>
          </w:p>
        </w:tc>
        <w:tc>
          <w:tcPr>
            <w:tcW w:w="1335" w:type="dxa"/>
            <w:tcBorders>
              <w:tl2br w:val="nil"/>
              <w:tr2bl w:val="nil"/>
            </w:tcBorders>
            <w:noWrap w:val="0"/>
            <w:vAlign w:val="center"/>
          </w:tcPr>
          <w:p w14:paraId="55FB90F1">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悬浮物</w:t>
            </w:r>
          </w:p>
        </w:tc>
        <w:tc>
          <w:tcPr>
            <w:tcW w:w="909" w:type="dxa"/>
            <w:tcBorders>
              <w:tl2br w:val="nil"/>
              <w:tr2bl w:val="nil"/>
            </w:tcBorders>
            <w:noWrap w:val="0"/>
            <w:vAlign w:val="center"/>
          </w:tcPr>
          <w:p w14:paraId="32994B6E">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1BC1A50E">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c>
          <w:tcPr>
            <w:tcW w:w="1922" w:type="dxa"/>
            <w:tcBorders>
              <w:tl2br w:val="nil"/>
              <w:tr2bl w:val="nil"/>
            </w:tcBorders>
            <w:noWrap w:val="0"/>
            <w:vAlign w:val="center"/>
          </w:tcPr>
          <w:p w14:paraId="37AFEC4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F98C53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r>
      <w:tr w14:paraId="11842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241A66E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17</w:t>
            </w:r>
          </w:p>
        </w:tc>
        <w:tc>
          <w:tcPr>
            <w:tcW w:w="1335" w:type="dxa"/>
            <w:tcBorders>
              <w:tl2br w:val="nil"/>
              <w:tr2bl w:val="nil"/>
            </w:tcBorders>
            <w:noWrap w:val="0"/>
            <w:vAlign w:val="center"/>
          </w:tcPr>
          <w:p w14:paraId="1670E9E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二氧化硅</w:t>
            </w:r>
          </w:p>
        </w:tc>
        <w:tc>
          <w:tcPr>
            <w:tcW w:w="909" w:type="dxa"/>
            <w:tcBorders>
              <w:tl2br w:val="nil"/>
              <w:tr2bl w:val="nil"/>
            </w:tcBorders>
            <w:noWrap w:val="0"/>
            <w:vAlign w:val="center"/>
          </w:tcPr>
          <w:p w14:paraId="597EEA35">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042D4FE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6AF09AA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27625D9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30</w:t>
            </w:r>
          </w:p>
        </w:tc>
      </w:tr>
      <w:tr w14:paraId="14145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1BD4A643">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18</w:t>
            </w:r>
          </w:p>
        </w:tc>
        <w:tc>
          <w:tcPr>
            <w:tcW w:w="1335" w:type="dxa"/>
            <w:tcBorders>
              <w:tl2br w:val="nil"/>
              <w:tr2bl w:val="nil"/>
            </w:tcBorders>
            <w:noWrap w:val="0"/>
            <w:vAlign w:val="center"/>
          </w:tcPr>
          <w:p w14:paraId="24807B2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总碱度（以CaCO计）</w:t>
            </w:r>
          </w:p>
        </w:tc>
        <w:tc>
          <w:tcPr>
            <w:tcW w:w="909" w:type="dxa"/>
            <w:tcBorders>
              <w:tl2br w:val="nil"/>
              <w:tr2bl w:val="nil"/>
            </w:tcBorders>
            <w:noWrap w:val="0"/>
            <w:vAlign w:val="center"/>
          </w:tcPr>
          <w:p w14:paraId="64FB218E">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480775CF">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B2F2A45">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3B33443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350</w:t>
            </w:r>
          </w:p>
        </w:tc>
      </w:tr>
      <w:tr w14:paraId="5C47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056C7EE5">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19</w:t>
            </w:r>
          </w:p>
        </w:tc>
        <w:tc>
          <w:tcPr>
            <w:tcW w:w="1335" w:type="dxa"/>
            <w:tcBorders>
              <w:tl2br w:val="nil"/>
              <w:tr2bl w:val="nil"/>
            </w:tcBorders>
            <w:noWrap w:val="0"/>
            <w:vAlign w:val="center"/>
          </w:tcPr>
          <w:p w14:paraId="740A607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总硬度（以CaCO</w:t>
            </w:r>
            <w:r>
              <w:rPr>
                <w:rFonts w:hint="eastAsia"/>
                <w:color w:val="auto"/>
                <w:vertAlign w:val="subscript"/>
                <w:lang w:val="en-US" w:eastAsia="zh-CN"/>
              </w:rPr>
              <w:t>2</w:t>
            </w:r>
            <w:r>
              <w:rPr>
                <w:rFonts w:hint="eastAsia"/>
                <w:color w:val="auto"/>
                <w:lang w:val="en-US" w:eastAsia="zh-CN"/>
              </w:rPr>
              <w:t>计）</w:t>
            </w:r>
          </w:p>
        </w:tc>
        <w:tc>
          <w:tcPr>
            <w:tcW w:w="909" w:type="dxa"/>
            <w:tcBorders>
              <w:tl2br w:val="nil"/>
              <w:tr2bl w:val="nil"/>
            </w:tcBorders>
            <w:noWrap w:val="0"/>
            <w:vAlign w:val="center"/>
          </w:tcPr>
          <w:p w14:paraId="65A55A66">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23EB71F0">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3DD4691C">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74C94DAF">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450</w:t>
            </w:r>
          </w:p>
        </w:tc>
      </w:tr>
      <w:tr w14:paraId="46513F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1C174A5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20</w:t>
            </w:r>
          </w:p>
        </w:tc>
        <w:tc>
          <w:tcPr>
            <w:tcW w:w="1335" w:type="dxa"/>
            <w:tcBorders>
              <w:tl2br w:val="nil"/>
              <w:tr2bl w:val="nil"/>
            </w:tcBorders>
            <w:noWrap w:val="0"/>
            <w:vAlign w:val="center"/>
          </w:tcPr>
          <w:p w14:paraId="69DA3687">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溶解性总固体</w:t>
            </w:r>
          </w:p>
        </w:tc>
        <w:tc>
          <w:tcPr>
            <w:tcW w:w="909" w:type="dxa"/>
            <w:tcBorders>
              <w:tl2br w:val="nil"/>
              <w:tr2bl w:val="nil"/>
            </w:tcBorders>
            <w:noWrap w:val="0"/>
            <w:vAlign w:val="center"/>
          </w:tcPr>
          <w:p w14:paraId="7BB22BED">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05FEE41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8C9933D">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1000（2000）a</w:t>
            </w:r>
          </w:p>
        </w:tc>
        <w:tc>
          <w:tcPr>
            <w:tcW w:w="2225" w:type="dxa"/>
            <w:tcBorders>
              <w:tl2br w:val="nil"/>
              <w:tr2bl w:val="nil"/>
            </w:tcBorders>
            <w:noWrap w:val="0"/>
            <w:vAlign w:val="center"/>
          </w:tcPr>
          <w:p w14:paraId="6A5CFF56">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1000</w:t>
            </w:r>
          </w:p>
        </w:tc>
      </w:tr>
      <w:tr w14:paraId="735C0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31FD332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21</w:t>
            </w:r>
          </w:p>
        </w:tc>
        <w:tc>
          <w:tcPr>
            <w:tcW w:w="1335" w:type="dxa"/>
            <w:tcBorders>
              <w:tl2br w:val="nil"/>
              <w:tr2bl w:val="nil"/>
            </w:tcBorders>
            <w:noWrap w:val="0"/>
            <w:vAlign w:val="center"/>
          </w:tcPr>
          <w:p w14:paraId="59516EE2">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余氯</w:t>
            </w:r>
          </w:p>
        </w:tc>
        <w:tc>
          <w:tcPr>
            <w:tcW w:w="909" w:type="dxa"/>
            <w:tcBorders>
              <w:tl2br w:val="nil"/>
              <w:tr2bl w:val="nil"/>
            </w:tcBorders>
            <w:noWrap w:val="0"/>
            <w:vAlign w:val="center"/>
          </w:tcPr>
          <w:p w14:paraId="75075739">
            <w:pPr>
              <w:pStyle w:val="12"/>
              <w:pageBreakBefore w:val="0"/>
              <w:wordWrap/>
              <w:bidi w:val="0"/>
              <w:adjustRightInd/>
              <w:snapToGrid/>
              <w:rPr>
                <w:rFonts w:hint="eastAsia"/>
                <w:color w:val="auto"/>
                <w:lang w:val="en-US" w:eastAsia="zh-CN"/>
              </w:rPr>
            </w:pPr>
            <w:r>
              <w:rPr>
                <w:rFonts w:hint="eastAsia"/>
                <w:color w:val="auto"/>
                <w:lang w:val="en-US" w:eastAsia="zh-CN"/>
              </w:rPr>
              <w:t>mg/L</w:t>
            </w:r>
          </w:p>
        </w:tc>
        <w:tc>
          <w:tcPr>
            <w:tcW w:w="1847" w:type="dxa"/>
            <w:tcBorders>
              <w:tl2br w:val="nil"/>
              <w:tr2bl w:val="nil"/>
            </w:tcBorders>
            <w:noWrap w:val="0"/>
            <w:vAlign w:val="center"/>
          </w:tcPr>
          <w:p w14:paraId="68D3AFCC">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508151C0">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1.0（出厂），0.2（管网末端）</w:t>
            </w:r>
          </w:p>
        </w:tc>
        <w:tc>
          <w:tcPr>
            <w:tcW w:w="2225" w:type="dxa"/>
            <w:tcBorders>
              <w:tl2br w:val="nil"/>
              <w:tr2bl w:val="nil"/>
            </w:tcBorders>
            <w:noWrap w:val="0"/>
            <w:vAlign w:val="center"/>
          </w:tcPr>
          <w:p w14:paraId="30504DB4">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≥0.05</w:t>
            </w:r>
          </w:p>
        </w:tc>
      </w:tr>
      <w:tr w14:paraId="59F46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5728690F">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22</w:t>
            </w:r>
          </w:p>
        </w:tc>
        <w:tc>
          <w:tcPr>
            <w:tcW w:w="1335" w:type="dxa"/>
            <w:tcBorders>
              <w:tl2br w:val="nil"/>
              <w:tr2bl w:val="nil"/>
            </w:tcBorders>
            <w:noWrap w:val="0"/>
            <w:vAlign w:val="center"/>
          </w:tcPr>
          <w:p w14:paraId="3CC0E678">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粪大肠菌群数</w:t>
            </w:r>
          </w:p>
        </w:tc>
        <w:tc>
          <w:tcPr>
            <w:tcW w:w="909" w:type="dxa"/>
            <w:tcBorders>
              <w:tl2br w:val="nil"/>
              <w:tr2bl w:val="nil"/>
            </w:tcBorders>
            <w:noWrap w:val="0"/>
            <w:vAlign w:val="center"/>
          </w:tcPr>
          <w:p w14:paraId="611DC2C3">
            <w:pPr>
              <w:pStyle w:val="12"/>
              <w:pageBreakBefore w:val="0"/>
              <w:wordWrap/>
              <w:bidi w:val="0"/>
              <w:adjustRightInd/>
              <w:snapToGrid/>
              <w:rPr>
                <w:rFonts w:hint="default"/>
                <w:color w:val="auto"/>
                <w:lang w:val="en-US" w:eastAsia="zh-CN"/>
              </w:rPr>
            </w:pPr>
            <w:r>
              <w:rPr>
                <w:rFonts w:hint="eastAsia"/>
                <w:color w:val="auto"/>
                <w:lang w:val="en-US" w:eastAsia="zh-CN"/>
              </w:rPr>
              <w:t>个/L</w:t>
            </w:r>
          </w:p>
        </w:tc>
        <w:tc>
          <w:tcPr>
            <w:tcW w:w="1847" w:type="dxa"/>
            <w:tcBorders>
              <w:tl2br w:val="nil"/>
              <w:tr2bl w:val="nil"/>
            </w:tcBorders>
            <w:noWrap w:val="0"/>
            <w:vAlign w:val="center"/>
          </w:tcPr>
          <w:p w14:paraId="06AC04CD">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r>
              <w:rPr>
                <w:rFonts w:hint="eastAsia"/>
                <w:color w:val="auto"/>
                <w:vertAlign w:val="superscript"/>
                <w:lang w:val="en-US" w:eastAsia="zh-CN"/>
              </w:rPr>
              <w:t>3</w:t>
            </w:r>
          </w:p>
        </w:tc>
        <w:tc>
          <w:tcPr>
            <w:tcW w:w="1922" w:type="dxa"/>
            <w:tcBorders>
              <w:tl2br w:val="nil"/>
              <w:tr2bl w:val="nil"/>
            </w:tcBorders>
            <w:noWrap w:val="0"/>
            <w:vAlign w:val="center"/>
          </w:tcPr>
          <w:p w14:paraId="591618A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225" w:type="dxa"/>
            <w:tcBorders>
              <w:tl2br w:val="nil"/>
              <w:tr2bl w:val="nil"/>
            </w:tcBorders>
            <w:noWrap w:val="0"/>
            <w:vAlign w:val="center"/>
          </w:tcPr>
          <w:p w14:paraId="67F2A98E">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2000</w:t>
            </w:r>
          </w:p>
        </w:tc>
      </w:tr>
      <w:tr w14:paraId="2130E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0" w:type="dxa"/>
            <w:tcBorders>
              <w:tl2br w:val="nil"/>
              <w:tr2bl w:val="nil"/>
            </w:tcBorders>
            <w:noWrap w:val="0"/>
            <w:vAlign w:val="center"/>
          </w:tcPr>
          <w:p w14:paraId="5CEE0567">
            <w:pPr>
              <w:pStyle w:val="1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23</w:t>
            </w:r>
          </w:p>
        </w:tc>
        <w:tc>
          <w:tcPr>
            <w:tcW w:w="1335" w:type="dxa"/>
            <w:tcBorders>
              <w:tl2br w:val="nil"/>
              <w:tr2bl w:val="nil"/>
            </w:tcBorders>
            <w:noWrap w:val="0"/>
            <w:vAlign w:val="center"/>
          </w:tcPr>
          <w:p w14:paraId="35EC9C84">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大肠埃希氏菌</w:t>
            </w:r>
          </w:p>
        </w:tc>
        <w:tc>
          <w:tcPr>
            <w:tcW w:w="909" w:type="dxa"/>
            <w:tcBorders>
              <w:tl2br w:val="nil"/>
              <w:tr2bl w:val="nil"/>
            </w:tcBorders>
            <w:noWrap w:val="0"/>
            <w:vAlign w:val="center"/>
          </w:tcPr>
          <w:p w14:paraId="2C7B1CFD">
            <w:pPr>
              <w:pStyle w:val="12"/>
              <w:pageBreakBefore w:val="0"/>
              <w:wordWrap/>
              <w:bidi w:val="0"/>
              <w:adjustRightInd/>
              <w:snapToGrid/>
              <w:rPr>
                <w:rFonts w:hint="eastAsia"/>
                <w:color w:val="auto"/>
                <w:lang w:val="en-US" w:eastAsia="zh-CN"/>
              </w:rPr>
            </w:pPr>
            <w:r>
              <w:rPr>
                <w:rFonts w:hint="eastAsia"/>
                <w:color w:val="auto"/>
                <w:lang w:val="en-US" w:eastAsia="zh-CN"/>
              </w:rPr>
              <w:t>（MPN/100mL或CFU/100mL）</w:t>
            </w:r>
          </w:p>
        </w:tc>
        <w:tc>
          <w:tcPr>
            <w:tcW w:w="1847" w:type="dxa"/>
            <w:tcBorders>
              <w:tl2br w:val="nil"/>
              <w:tr2bl w:val="nil"/>
            </w:tcBorders>
            <w:noWrap w:val="0"/>
            <w:vAlign w:val="center"/>
          </w:tcPr>
          <w:p w14:paraId="1802F74B">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1922" w:type="dxa"/>
            <w:tcBorders>
              <w:tl2br w:val="nil"/>
              <w:tr2bl w:val="nil"/>
            </w:tcBorders>
            <w:noWrap w:val="0"/>
            <w:vAlign w:val="center"/>
          </w:tcPr>
          <w:p w14:paraId="1E07D459">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无，不应检出</w:t>
            </w:r>
          </w:p>
        </w:tc>
        <w:tc>
          <w:tcPr>
            <w:tcW w:w="2225" w:type="dxa"/>
            <w:tcBorders>
              <w:tl2br w:val="nil"/>
              <w:tr2bl w:val="nil"/>
            </w:tcBorders>
            <w:noWrap w:val="0"/>
            <w:vAlign w:val="center"/>
          </w:tcPr>
          <w:p w14:paraId="6C42AD80">
            <w:pPr>
              <w:pStyle w:val="12"/>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r>
      <w:tr w14:paraId="7F48E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18" w:type="dxa"/>
            <w:gridSpan w:val="6"/>
            <w:tcBorders>
              <w:tl2br w:val="nil"/>
              <w:tr2bl w:val="nil"/>
            </w:tcBorders>
            <w:noWrap w:val="0"/>
            <w:vAlign w:val="center"/>
          </w:tcPr>
          <w:p w14:paraId="22DC60CC">
            <w:pPr>
              <w:pStyle w:val="12"/>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注：a括号内指标值为沿海及本地水源中溶解性固体含量较高的区域的指标，本方案不执行。</w:t>
            </w:r>
          </w:p>
        </w:tc>
      </w:tr>
    </w:tbl>
    <w:p w14:paraId="7F8CD07A">
      <w:pPr>
        <w:pStyle w:val="5"/>
        <w:pageBreakBefore w:val="0"/>
        <w:wordWrap/>
        <w:bidi w:val="0"/>
        <w:adjustRightInd/>
        <w:snapToGrid/>
        <w:spacing w:before="62" w:after="62"/>
        <w:ind w:left="0"/>
        <w:rPr>
          <w:rFonts w:eastAsia="宋体"/>
          <w:color w:val="auto"/>
        </w:rPr>
      </w:pPr>
      <w:bookmarkStart w:id="81" w:name="_Toc27125"/>
      <w:bookmarkStart w:id="82" w:name="_Toc505087349"/>
      <w:r>
        <w:rPr>
          <w:rFonts w:hint="eastAsia" w:eastAsia="宋体"/>
          <w:color w:val="auto"/>
        </w:rPr>
        <w:t xml:space="preserve"> </w:t>
      </w:r>
      <w:r>
        <w:rPr>
          <w:rFonts w:eastAsia="宋体"/>
          <w:color w:val="auto"/>
        </w:rPr>
        <w:t>污水处理厂工艺方案论证</w:t>
      </w:r>
    </w:p>
    <w:p w14:paraId="275081C4">
      <w:pPr>
        <w:pStyle w:val="6"/>
        <w:pageBreakBefore w:val="0"/>
        <w:wordWrap/>
        <w:bidi w:val="0"/>
        <w:adjustRightInd/>
        <w:snapToGrid/>
        <w:rPr>
          <w:color w:val="auto"/>
        </w:rPr>
      </w:pPr>
      <w:r>
        <w:rPr>
          <w:rFonts w:hint="eastAsia"/>
          <w:color w:val="auto"/>
          <w:lang w:val="en-US" w:eastAsia="zh-CN"/>
        </w:rPr>
        <w:t>项目工艺选择原则</w:t>
      </w:r>
    </w:p>
    <w:p w14:paraId="2F2488BE">
      <w:pPr>
        <w:pageBreakBefore w:val="0"/>
        <w:wordWrap/>
        <w:bidi w:val="0"/>
        <w:adjustRightInd/>
        <w:snapToGrid/>
        <w:rPr>
          <w:color w:val="auto"/>
        </w:rPr>
      </w:pPr>
      <w:r>
        <w:rPr>
          <w:color w:val="auto"/>
        </w:rPr>
        <w:t>根据本项目的受纳水体、处理对象的具体条件和实际情况，在本工艺方案选择遵循以下原则：</w:t>
      </w:r>
    </w:p>
    <w:p w14:paraId="0D870AC7">
      <w:pPr>
        <w:pageBreakBefore w:val="0"/>
        <w:wordWrap/>
        <w:bidi w:val="0"/>
        <w:adjustRightInd/>
        <w:snapToGrid/>
        <w:rPr>
          <w:color w:val="auto"/>
        </w:rPr>
      </w:pPr>
      <w:r>
        <w:rPr>
          <w:color w:val="auto"/>
        </w:rPr>
        <w:t>①技术成熟，处理效果稳定，保证出水水质达到规定的排放要求。</w:t>
      </w:r>
    </w:p>
    <w:p w14:paraId="0FA3B516">
      <w:pPr>
        <w:pageBreakBefore w:val="0"/>
        <w:wordWrap/>
        <w:bidi w:val="0"/>
        <w:adjustRightInd/>
        <w:snapToGrid/>
        <w:rPr>
          <w:color w:val="auto"/>
        </w:rPr>
      </w:pPr>
      <w:r>
        <w:rPr>
          <w:color w:val="auto"/>
        </w:rPr>
        <w:t>②基建投资和运行费用低，以尽可能少的投入取得尽可能多的效益。</w:t>
      </w:r>
    </w:p>
    <w:p w14:paraId="0C2F7932">
      <w:pPr>
        <w:pageBreakBefore w:val="0"/>
        <w:wordWrap/>
        <w:bidi w:val="0"/>
        <w:adjustRightInd/>
        <w:snapToGrid/>
        <w:rPr>
          <w:color w:val="auto"/>
        </w:rPr>
      </w:pPr>
      <w:r>
        <w:rPr>
          <w:color w:val="auto"/>
        </w:rPr>
        <w:t>③运行管理方便，运转灵活，并可根据不同的进水水质和出水水质要求调整运行方式和工艺参数，最大限度的发挥处理装置和处理构筑物的处理能力。</w:t>
      </w:r>
    </w:p>
    <w:p w14:paraId="57236693">
      <w:pPr>
        <w:pageBreakBefore w:val="0"/>
        <w:wordWrap/>
        <w:bidi w:val="0"/>
        <w:adjustRightInd/>
        <w:snapToGrid/>
        <w:rPr>
          <w:color w:val="auto"/>
        </w:rPr>
      </w:pPr>
      <w:r>
        <w:rPr>
          <w:color w:val="auto"/>
        </w:rPr>
        <w:t>④选定工艺的技术及设备先进、可靠、成熟。</w:t>
      </w:r>
    </w:p>
    <w:p w14:paraId="4FACBDA4">
      <w:pPr>
        <w:pageBreakBefore w:val="0"/>
        <w:wordWrap/>
        <w:bidi w:val="0"/>
        <w:adjustRightInd/>
        <w:snapToGrid/>
        <w:rPr>
          <w:color w:val="auto"/>
        </w:rPr>
      </w:pPr>
      <w:r>
        <w:rPr>
          <w:color w:val="auto"/>
        </w:rPr>
        <w:t>⑤便于实现工艺过程合理自动控制，提高管理水平，降低劳动强度和人工费用。</w:t>
      </w:r>
    </w:p>
    <w:p w14:paraId="1CE80D58">
      <w:pPr>
        <w:pageBreakBefore w:val="0"/>
        <w:wordWrap/>
        <w:bidi w:val="0"/>
        <w:adjustRightInd/>
        <w:snapToGrid/>
        <w:rPr>
          <w:color w:val="auto"/>
        </w:rPr>
      </w:pPr>
      <w:r>
        <w:rPr>
          <w:color w:val="auto"/>
        </w:rPr>
        <w:t>本次设计的污水处理工艺选择主要是针对</w:t>
      </w:r>
      <w:r>
        <w:rPr>
          <w:rFonts w:hint="eastAsia"/>
          <w:color w:val="auto"/>
          <w:lang w:eastAsia="zh-CN"/>
        </w:rPr>
        <w:t>污水处理厂</w:t>
      </w:r>
      <w:r>
        <w:rPr>
          <w:color w:val="auto"/>
        </w:rPr>
        <w:t>服务区域（考虑工业园区远期发展）的污水量和污水水质以及经济条件、管理水平考虑适应力强、调节灵活、低能耗、低投入、少占地和操作管理方便的成熟处理工艺。下面将对各种工艺的特点进行论述。</w:t>
      </w:r>
    </w:p>
    <w:p w14:paraId="1686479A">
      <w:pPr>
        <w:pStyle w:val="6"/>
        <w:pageBreakBefore w:val="0"/>
        <w:wordWrap/>
        <w:bidi w:val="0"/>
        <w:adjustRightInd/>
        <w:snapToGrid/>
        <w:rPr>
          <w:color w:val="auto"/>
        </w:rPr>
      </w:pPr>
      <w:r>
        <w:rPr>
          <w:rFonts w:hint="eastAsia"/>
          <w:color w:val="auto"/>
          <w:lang w:val="en-US" w:eastAsia="zh-CN"/>
        </w:rPr>
        <w:t xml:space="preserve"> </w:t>
      </w:r>
      <w:r>
        <w:rPr>
          <w:color w:val="auto"/>
        </w:rPr>
        <w:t>水质</w:t>
      </w:r>
      <w:r>
        <w:rPr>
          <w:rFonts w:hint="eastAsia"/>
          <w:color w:val="auto"/>
          <w:lang w:val="en-US" w:eastAsia="zh-CN"/>
        </w:rPr>
        <w:t>评价</w:t>
      </w:r>
      <w:r>
        <w:rPr>
          <w:color w:val="auto"/>
        </w:rPr>
        <w:t>分析</w:t>
      </w:r>
    </w:p>
    <w:p w14:paraId="256DA662">
      <w:pPr>
        <w:pageBreakBefore w:val="0"/>
        <w:wordWrap/>
        <w:bidi w:val="0"/>
        <w:adjustRightInd/>
        <w:snapToGrid/>
        <w:rPr>
          <w:rFonts w:hint="default"/>
          <w:b/>
          <w:bCs/>
          <w:color w:val="auto"/>
          <w:lang w:val="en-US" w:eastAsia="zh-CN"/>
        </w:rPr>
      </w:pPr>
      <w:r>
        <w:rPr>
          <w:rFonts w:hint="eastAsia"/>
          <w:b/>
          <w:bCs/>
          <w:color w:val="auto"/>
          <w:lang w:val="en-US" w:eastAsia="zh-CN"/>
        </w:rPr>
        <w:t>1、处理程度及各项指标比值</w:t>
      </w:r>
    </w:p>
    <w:p w14:paraId="054D2F1C">
      <w:pPr>
        <w:pageBreakBefore w:val="0"/>
        <w:wordWrap/>
        <w:bidi w:val="0"/>
        <w:adjustRightInd/>
        <w:snapToGrid/>
        <w:rPr>
          <w:color w:val="auto"/>
        </w:rPr>
      </w:pPr>
      <w:r>
        <w:rPr>
          <w:color w:val="auto"/>
        </w:rPr>
        <w:t>项目进出水水质和污水处理程度详见</w:t>
      </w:r>
      <w:r>
        <w:rPr>
          <w:rFonts w:hint="eastAsia"/>
          <w:color w:val="auto"/>
          <w:lang w:val="en-US" w:eastAsia="zh-CN"/>
        </w:rPr>
        <w:t>下表</w:t>
      </w:r>
      <w:r>
        <w:rPr>
          <w:color w:val="auto"/>
        </w:rPr>
        <w:t>。</w:t>
      </w:r>
    </w:p>
    <w:p w14:paraId="038F3D57">
      <w:pPr>
        <w:pStyle w:val="15"/>
        <w:numPr>
          <w:ilvl w:val="0"/>
          <w:numId w:val="16"/>
        </w:numPr>
        <w:bidi w:val="0"/>
        <w:ind w:left="0" w:leftChars="0" w:firstLine="0" w:firstLineChars="0"/>
        <w:rPr>
          <w:color w:val="auto"/>
        </w:rPr>
      </w:pPr>
      <w:r>
        <w:rPr>
          <w:color w:val="auto"/>
        </w:rPr>
        <w:t>污水处理程度表</w:t>
      </w:r>
    </w:p>
    <w:tbl>
      <w:tblPr>
        <w:tblStyle w:val="4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93"/>
        <w:gridCol w:w="1065"/>
        <w:gridCol w:w="2410"/>
        <w:gridCol w:w="2410"/>
        <w:gridCol w:w="1841"/>
      </w:tblGrid>
      <w:tr w14:paraId="40FC0F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4D5A1315">
            <w:pPr>
              <w:pStyle w:val="62"/>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序号</w:t>
            </w:r>
          </w:p>
        </w:tc>
        <w:tc>
          <w:tcPr>
            <w:tcW w:w="625" w:type="pct"/>
            <w:tcBorders>
              <w:tl2br w:val="nil"/>
              <w:tr2bl w:val="nil"/>
            </w:tcBorders>
            <w:noWrap w:val="0"/>
            <w:vAlign w:val="center"/>
          </w:tcPr>
          <w:p w14:paraId="010ED08F">
            <w:pPr>
              <w:pStyle w:val="62"/>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项目</w:t>
            </w:r>
          </w:p>
        </w:tc>
        <w:tc>
          <w:tcPr>
            <w:tcW w:w="1414" w:type="pct"/>
            <w:tcBorders>
              <w:tl2br w:val="nil"/>
              <w:tr2bl w:val="nil"/>
            </w:tcBorders>
            <w:noWrap w:val="0"/>
            <w:vAlign w:val="center"/>
          </w:tcPr>
          <w:p w14:paraId="4B7959C8">
            <w:pPr>
              <w:pStyle w:val="62"/>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进水水质（mg/L）</w:t>
            </w:r>
          </w:p>
        </w:tc>
        <w:tc>
          <w:tcPr>
            <w:tcW w:w="1414" w:type="pct"/>
            <w:tcBorders>
              <w:tl2br w:val="nil"/>
              <w:tr2bl w:val="nil"/>
            </w:tcBorders>
            <w:noWrap w:val="0"/>
            <w:vAlign w:val="center"/>
          </w:tcPr>
          <w:p w14:paraId="17D9F9F9">
            <w:pPr>
              <w:pStyle w:val="62"/>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排放标准（mg/L）</w:t>
            </w:r>
          </w:p>
        </w:tc>
        <w:tc>
          <w:tcPr>
            <w:tcW w:w="1080" w:type="pct"/>
            <w:tcBorders>
              <w:tl2br w:val="nil"/>
              <w:tr2bl w:val="nil"/>
            </w:tcBorders>
            <w:noWrap w:val="0"/>
            <w:vAlign w:val="center"/>
          </w:tcPr>
          <w:p w14:paraId="6D0790A1">
            <w:pPr>
              <w:pStyle w:val="62"/>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去除率（％）</w:t>
            </w:r>
          </w:p>
        </w:tc>
      </w:tr>
      <w:tr w14:paraId="7B073E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0C7C83CA">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w:t>
            </w:r>
          </w:p>
        </w:tc>
        <w:tc>
          <w:tcPr>
            <w:tcW w:w="625" w:type="pct"/>
            <w:tcBorders>
              <w:tl2br w:val="nil"/>
              <w:tr2bl w:val="nil"/>
            </w:tcBorders>
            <w:noWrap w:val="0"/>
            <w:vAlign w:val="center"/>
          </w:tcPr>
          <w:p w14:paraId="436240BF">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COD</w:t>
            </w:r>
            <w:r>
              <w:rPr>
                <w:rFonts w:ascii="Times New Roman" w:eastAsia="宋体" w:cs="Times New Roman"/>
                <w:color w:val="auto"/>
                <w:sz w:val="21"/>
                <w:szCs w:val="21"/>
                <w:vertAlign w:val="subscript"/>
              </w:rPr>
              <w:t>Cr</w:t>
            </w:r>
          </w:p>
        </w:tc>
        <w:tc>
          <w:tcPr>
            <w:tcW w:w="1414" w:type="pct"/>
            <w:tcBorders>
              <w:tl2br w:val="nil"/>
              <w:tr2bl w:val="nil"/>
            </w:tcBorders>
            <w:noWrap w:val="0"/>
            <w:vAlign w:val="center"/>
          </w:tcPr>
          <w:p w14:paraId="189B3EFE">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350</w:t>
            </w:r>
          </w:p>
        </w:tc>
        <w:tc>
          <w:tcPr>
            <w:tcW w:w="1414" w:type="pct"/>
            <w:tcBorders>
              <w:tl2br w:val="nil"/>
              <w:tr2bl w:val="nil"/>
            </w:tcBorders>
            <w:noWrap w:val="0"/>
            <w:vAlign w:val="center"/>
          </w:tcPr>
          <w:p w14:paraId="74D401C8">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50</w:t>
            </w:r>
          </w:p>
        </w:tc>
        <w:tc>
          <w:tcPr>
            <w:tcW w:w="1080" w:type="pct"/>
            <w:tcBorders>
              <w:tl2br w:val="nil"/>
              <w:tr2bl w:val="nil"/>
            </w:tcBorders>
            <w:noWrap w:val="0"/>
            <w:vAlign w:val="center"/>
          </w:tcPr>
          <w:p w14:paraId="44741817">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85.7</w:t>
            </w:r>
          </w:p>
        </w:tc>
      </w:tr>
      <w:tr w14:paraId="2FF918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335B900C">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2</w:t>
            </w:r>
          </w:p>
        </w:tc>
        <w:tc>
          <w:tcPr>
            <w:tcW w:w="625" w:type="pct"/>
            <w:tcBorders>
              <w:tl2br w:val="nil"/>
              <w:tr2bl w:val="nil"/>
            </w:tcBorders>
            <w:noWrap w:val="0"/>
            <w:vAlign w:val="center"/>
          </w:tcPr>
          <w:p w14:paraId="580BF917">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BOD</w:t>
            </w:r>
            <w:r>
              <w:rPr>
                <w:rFonts w:ascii="Times New Roman" w:eastAsia="宋体" w:cs="Times New Roman"/>
                <w:color w:val="auto"/>
                <w:sz w:val="21"/>
                <w:szCs w:val="21"/>
                <w:vertAlign w:val="subscript"/>
              </w:rPr>
              <w:t>5</w:t>
            </w:r>
          </w:p>
        </w:tc>
        <w:tc>
          <w:tcPr>
            <w:tcW w:w="1414" w:type="pct"/>
            <w:tcBorders>
              <w:tl2br w:val="nil"/>
              <w:tr2bl w:val="nil"/>
            </w:tcBorders>
            <w:noWrap w:val="0"/>
            <w:vAlign w:val="center"/>
          </w:tcPr>
          <w:p w14:paraId="726D7C33">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150</w:t>
            </w:r>
          </w:p>
        </w:tc>
        <w:tc>
          <w:tcPr>
            <w:tcW w:w="1414" w:type="pct"/>
            <w:tcBorders>
              <w:tl2br w:val="nil"/>
              <w:tr2bl w:val="nil"/>
            </w:tcBorders>
            <w:noWrap w:val="0"/>
            <w:vAlign w:val="center"/>
          </w:tcPr>
          <w:p w14:paraId="73503A14">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080" w:type="pct"/>
            <w:tcBorders>
              <w:tl2br w:val="nil"/>
              <w:tr2bl w:val="nil"/>
            </w:tcBorders>
            <w:noWrap w:val="0"/>
            <w:vAlign w:val="center"/>
          </w:tcPr>
          <w:p w14:paraId="3697450B">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93.3</w:t>
            </w:r>
          </w:p>
        </w:tc>
      </w:tr>
      <w:tr w14:paraId="7CFD13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0E1197F0">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3</w:t>
            </w:r>
          </w:p>
        </w:tc>
        <w:tc>
          <w:tcPr>
            <w:tcW w:w="625" w:type="pct"/>
            <w:tcBorders>
              <w:tl2br w:val="nil"/>
              <w:tr2bl w:val="nil"/>
            </w:tcBorders>
            <w:noWrap w:val="0"/>
            <w:vAlign w:val="center"/>
          </w:tcPr>
          <w:p w14:paraId="626B1D63">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SS</w:t>
            </w:r>
          </w:p>
        </w:tc>
        <w:tc>
          <w:tcPr>
            <w:tcW w:w="1414" w:type="pct"/>
            <w:tcBorders>
              <w:tl2br w:val="nil"/>
              <w:tr2bl w:val="nil"/>
            </w:tcBorders>
            <w:noWrap w:val="0"/>
            <w:vAlign w:val="center"/>
          </w:tcPr>
          <w:p w14:paraId="6B485E11">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400</w:t>
            </w:r>
          </w:p>
        </w:tc>
        <w:tc>
          <w:tcPr>
            <w:tcW w:w="1414" w:type="pct"/>
            <w:tcBorders>
              <w:tl2br w:val="nil"/>
              <w:tr2bl w:val="nil"/>
            </w:tcBorders>
            <w:noWrap w:val="0"/>
            <w:vAlign w:val="center"/>
          </w:tcPr>
          <w:p w14:paraId="70BC8269">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≤10</w:t>
            </w:r>
          </w:p>
        </w:tc>
        <w:tc>
          <w:tcPr>
            <w:tcW w:w="1080" w:type="pct"/>
            <w:tcBorders>
              <w:tl2br w:val="nil"/>
              <w:tr2bl w:val="nil"/>
            </w:tcBorders>
            <w:noWrap w:val="0"/>
            <w:vAlign w:val="center"/>
          </w:tcPr>
          <w:p w14:paraId="1BACA4B4">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≥9</w:t>
            </w:r>
            <w:r>
              <w:rPr>
                <w:rFonts w:hint="eastAsia" w:ascii="Times New Roman" w:eastAsia="宋体" w:cs="Times New Roman"/>
                <w:color w:val="auto"/>
                <w:sz w:val="21"/>
                <w:szCs w:val="21"/>
                <w:lang w:val="en-US" w:eastAsia="zh-CN"/>
              </w:rPr>
              <w:t>7.5</w:t>
            </w:r>
          </w:p>
        </w:tc>
      </w:tr>
      <w:tr w14:paraId="2E6D3A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061CDCBE">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4</w:t>
            </w:r>
          </w:p>
        </w:tc>
        <w:tc>
          <w:tcPr>
            <w:tcW w:w="625" w:type="pct"/>
            <w:tcBorders>
              <w:tl2br w:val="nil"/>
              <w:tr2bl w:val="nil"/>
            </w:tcBorders>
            <w:noWrap w:val="0"/>
            <w:vAlign w:val="center"/>
          </w:tcPr>
          <w:p w14:paraId="1C47B21A">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TN</w:t>
            </w:r>
          </w:p>
        </w:tc>
        <w:tc>
          <w:tcPr>
            <w:tcW w:w="1414" w:type="pct"/>
            <w:tcBorders>
              <w:tl2br w:val="nil"/>
              <w:tr2bl w:val="nil"/>
            </w:tcBorders>
            <w:noWrap w:val="0"/>
            <w:vAlign w:val="center"/>
          </w:tcPr>
          <w:p w14:paraId="30246FF9">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80</w:t>
            </w:r>
          </w:p>
        </w:tc>
        <w:tc>
          <w:tcPr>
            <w:tcW w:w="1414" w:type="pct"/>
            <w:tcBorders>
              <w:tl2br w:val="nil"/>
              <w:tr2bl w:val="nil"/>
            </w:tcBorders>
            <w:noWrap w:val="0"/>
            <w:vAlign w:val="center"/>
          </w:tcPr>
          <w:p w14:paraId="1A1D23D4">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≤15</w:t>
            </w:r>
          </w:p>
        </w:tc>
        <w:tc>
          <w:tcPr>
            <w:tcW w:w="1080" w:type="pct"/>
            <w:tcBorders>
              <w:tl2br w:val="nil"/>
              <w:tr2bl w:val="nil"/>
            </w:tcBorders>
            <w:noWrap w:val="0"/>
            <w:vAlign w:val="center"/>
          </w:tcPr>
          <w:p w14:paraId="22F32DE8">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81.3</w:t>
            </w:r>
          </w:p>
        </w:tc>
      </w:tr>
      <w:tr w14:paraId="60983E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36E58314">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5</w:t>
            </w:r>
          </w:p>
        </w:tc>
        <w:tc>
          <w:tcPr>
            <w:tcW w:w="625" w:type="pct"/>
            <w:tcBorders>
              <w:tl2br w:val="nil"/>
              <w:tr2bl w:val="nil"/>
            </w:tcBorders>
            <w:noWrap w:val="0"/>
            <w:vAlign w:val="center"/>
          </w:tcPr>
          <w:p w14:paraId="75E10D51">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NH</w:t>
            </w:r>
            <w:r>
              <w:rPr>
                <w:rFonts w:ascii="Times New Roman" w:eastAsia="宋体" w:cs="Times New Roman"/>
                <w:color w:val="auto"/>
                <w:sz w:val="21"/>
                <w:szCs w:val="21"/>
                <w:vertAlign w:val="subscript"/>
              </w:rPr>
              <w:t>3</w:t>
            </w:r>
            <w:r>
              <w:rPr>
                <w:rFonts w:ascii="Times New Roman" w:eastAsia="宋体" w:cs="Times New Roman"/>
                <w:color w:val="auto"/>
                <w:sz w:val="21"/>
                <w:szCs w:val="21"/>
              </w:rPr>
              <w:t>-N</w:t>
            </w:r>
          </w:p>
        </w:tc>
        <w:tc>
          <w:tcPr>
            <w:tcW w:w="1414" w:type="pct"/>
            <w:tcBorders>
              <w:tl2br w:val="nil"/>
              <w:tr2bl w:val="nil"/>
            </w:tcBorders>
            <w:noWrap w:val="0"/>
            <w:vAlign w:val="center"/>
          </w:tcPr>
          <w:p w14:paraId="21B2B62B">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50</w:t>
            </w:r>
          </w:p>
        </w:tc>
        <w:tc>
          <w:tcPr>
            <w:tcW w:w="1414" w:type="pct"/>
            <w:tcBorders>
              <w:tl2br w:val="nil"/>
              <w:tr2bl w:val="nil"/>
            </w:tcBorders>
            <w:noWrap w:val="0"/>
            <w:vAlign w:val="center"/>
          </w:tcPr>
          <w:p w14:paraId="418F6DE0">
            <w:pPr>
              <w:pStyle w:val="62"/>
              <w:pageBreakBefore w:val="0"/>
              <w:wordWrap/>
              <w:bidi w:val="0"/>
              <w:adjustRightInd/>
              <w:snapToGrid/>
              <w:jc w:val="center"/>
              <w:rPr>
                <w:rFonts w:hint="eastAsia" w:ascii="Times New Roman" w:eastAsia="宋体" w:cs="Times New Roman"/>
                <w:color w:val="auto"/>
                <w:sz w:val="21"/>
                <w:szCs w:val="21"/>
                <w:lang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w:t>
            </w:r>
          </w:p>
        </w:tc>
        <w:tc>
          <w:tcPr>
            <w:tcW w:w="1080" w:type="pct"/>
            <w:tcBorders>
              <w:tl2br w:val="nil"/>
              <w:tr2bl w:val="nil"/>
            </w:tcBorders>
            <w:noWrap w:val="0"/>
            <w:vAlign w:val="center"/>
          </w:tcPr>
          <w:p w14:paraId="69D5CC0A">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90</w:t>
            </w:r>
          </w:p>
        </w:tc>
      </w:tr>
      <w:tr w14:paraId="12BBD5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33B349B0">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6</w:t>
            </w:r>
          </w:p>
        </w:tc>
        <w:tc>
          <w:tcPr>
            <w:tcW w:w="625" w:type="pct"/>
            <w:tcBorders>
              <w:tl2br w:val="nil"/>
              <w:tr2bl w:val="nil"/>
            </w:tcBorders>
            <w:noWrap w:val="0"/>
            <w:vAlign w:val="center"/>
          </w:tcPr>
          <w:p w14:paraId="5D679B34">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TP</w:t>
            </w:r>
          </w:p>
        </w:tc>
        <w:tc>
          <w:tcPr>
            <w:tcW w:w="1414" w:type="pct"/>
            <w:tcBorders>
              <w:tl2br w:val="nil"/>
              <w:tr2bl w:val="nil"/>
            </w:tcBorders>
            <w:noWrap w:val="0"/>
            <w:vAlign w:val="center"/>
          </w:tcPr>
          <w:p w14:paraId="5116FAC2">
            <w:pPr>
              <w:pStyle w:val="62"/>
              <w:pageBreakBefore w:val="0"/>
              <w:wordWrap/>
              <w:bidi w:val="0"/>
              <w:adjustRightInd/>
              <w:snapToGrid/>
              <w:jc w:val="center"/>
              <w:rPr>
                <w:rFonts w:hint="eastAsia"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4</w:t>
            </w:r>
          </w:p>
        </w:tc>
        <w:tc>
          <w:tcPr>
            <w:tcW w:w="1414" w:type="pct"/>
            <w:tcBorders>
              <w:tl2br w:val="nil"/>
              <w:tr2bl w:val="nil"/>
            </w:tcBorders>
            <w:noWrap w:val="0"/>
            <w:vAlign w:val="center"/>
          </w:tcPr>
          <w:p w14:paraId="5A0261E6">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0.5</w:t>
            </w:r>
          </w:p>
        </w:tc>
        <w:tc>
          <w:tcPr>
            <w:tcW w:w="1080" w:type="pct"/>
            <w:tcBorders>
              <w:tl2br w:val="nil"/>
              <w:tr2bl w:val="nil"/>
            </w:tcBorders>
            <w:noWrap w:val="0"/>
            <w:vAlign w:val="center"/>
          </w:tcPr>
          <w:p w14:paraId="608389D2">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87.5</w:t>
            </w:r>
          </w:p>
        </w:tc>
      </w:tr>
    </w:tbl>
    <w:p w14:paraId="0D48C6DD">
      <w:pPr>
        <w:pageBreakBefore w:val="0"/>
        <w:wordWrap/>
        <w:bidi w:val="0"/>
        <w:adjustRightInd/>
        <w:snapToGrid/>
        <w:spacing w:before="156" w:beforeLines="50"/>
        <w:ind w:firstLine="480"/>
        <w:rPr>
          <w:color w:val="auto"/>
        </w:rPr>
      </w:pPr>
      <w:r>
        <w:rPr>
          <w:color w:val="auto"/>
        </w:rPr>
        <w:t>根据上表的要求，COD去除率应该达到</w:t>
      </w:r>
      <w:r>
        <w:rPr>
          <w:rFonts w:hint="eastAsia"/>
          <w:color w:val="auto"/>
          <w:lang w:val="en-US" w:eastAsia="zh-CN"/>
        </w:rPr>
        <w:t>84.7</w:t>
      </w:r>
      <w:r>
        <w:rPr>
          <w:color w:val="auto"/>
        </w:rPr>
        <w:t>%，SS去除率应该达到</w:t>
      </w:r>
      <w:r>
        <w:rPr>
          <w:rFonts w:hint="eastAsia"/>
          <w:color w:val="auto"/>
          <w:lang w:val="en-US" w:eastAsia="zh-CN"/>
        </w:rPr>
        <w:t>97.5</w:t>
      </w:r>
      <w:r>
        <w:rPr>
          <w:color w:val="auto"/>
        </w:rPr>
        <w:t>%，BOD</w:t>
      </w:r>
      <w:r>
        <w:rPr>
          <w:color w:val="auto"/>
          <w:vertAlign w:val="subscript"/>
        </w:rPr>
        <w:t>5</w:t>
      </w:r>
      <w:r>
        <w:rPr>
          <w:color w:val="auto"/>
        </w:rPr>
        <w:t>去除率应该达到</w:t>
      </w:r>
      <w:r>
        <w:rPr>
          <w:rFonts w:hint="eastAsia"/>
          <w:color w:val="auto"/>
          <w:lang w:val="en-US" w:eastAsia="zh-CN"/>
        </w:rPr>
        <w:t>93.3</w:t>
      </w:r>
      <w:r>
        <w:rPr>
          <w:color w:val="auto"/>
        </w:rPr>
        <w:t>%，NH</w:t>
      </w:r>
      <w:r>
        <w:rPr>
          <w:color w:val="auto"/>
          <w:vertAlign w:val="subscript"/>
        </w:rPr>
        <w:t>3</w:t>
      </w:r>
      <w:r>
        <w:rPr>
          <w:color w:val="auto"/>
        </w:rPr>
        <w:t>-N去除率应该达到</w:t>
      </w:r>
      <w:r>
        <w:rPr>
          <w:rFonts w:hint="eastAsia"/>
          <w:color w:val="auto"/>
          <w:lang w:val="en-US" w:eastAsia="zh-CN"/>
        </w:rPr>
        <w:t>90</w:t>
      </w:r>
      <w:r>
        <w:rPr>
          <w:color w:val="auto"/>
        </w:rPr>
        <w:t>%，TP去除率应该达到</w:t>
      </w:r>
      <w:r>
        <w:rPr>
          <w:rFonts w:hint="eastAsia"/>
          <w:color w:val="auto"/>
          <w:lang w:val="en-US" w:eastAsia="zh-CN"/>
        </w:rPr>
        <w:t>87.5</w:t>
      </w:r>
      <w:r>
        <w:rPr>
          <w:color w:val="auto"/>
        </w:rPr>
        <w:t>%。</w:t>
      </w:r>
    </w:p>
    <w:p w14:paraId="10AFE4EB">
      <w:pPr>
        <w:pStyle w:val="15"/>
        <w:numPr>
          <w:ilvl w:val="0"/>
          <w:numId w:val="16"/>
        </w:numPr>
        <w:bidi w:val="0"/>
        <w:ind w:left="0" w:leftChars="0" w:firstLine="0" w:firstLineChars="0"/>
        <w:rPr>
          <w:rFonts w:hint="default"/>
          <w:color w:val="auto"/>
          <w:lang w:val="en-US" w:eastAsia="zh-CN"/>
        </w:rPr>
      </w:pPr>
      <w:r>
        <w:rPr>
          <w:rFonts w:hint="eastAsia"/>
          <w:color w:val="auto"/>
          <w:lang w:val="en-US" w:eastAsia="zh-CN"/>
        </w:rPr>
        <w:t>污水处理厂进水各指标比值</w:t>
      </w:r>
    </w:p>
    <w:tbl>
      <w:tblPr>
        <w:tblStyle w:val="4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39"/>
        <w:gridCol w:w="2841"/>
        <w:gridCol w:w="2839"/>
      </w:tblGrid>
      <w:tr w14:paraId="14521F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3B8E89B8">
            <w:pPr>
              <w:pStyle w:val="62"/>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项目</w:t>
            </w:r>
          </w:p>
        </w:tc>
        <w:tc>
          <w:tcPr>
            <w:tcW w:w="1667" w:type="pct"/>
            <w:tcBorders>
              <w:tl2br w:val="nil"/>
              <w:tr2bl w:val="nil"/>
            </w:tcBorders>
            <w:noWrap w:val="0"/>
            <w:vAlign w:val="center"/>
          </w:tcPr>
          <w:p w14:paraId="0AC959C0">
            <w:pPr>
              <w:pStyle w:val="62"/>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比值</w:t>
            </w:r>
          </w:p>
        </w:tc>
        <w:tc>
          <w:tcPr>
            <w:tcW w:w="1666" w:type="pct"/>
            <w:tcBorders>
              <w:tl2br w:val="nil"/>
              <w:tr2bl w:val="nil"/>
            </w:tcBorders>
            <w:noWrap w:val="0"/>
            <w:vAlign w:val="center"/>
          </w:tcPr>
          <w:p w14:paraId="2C7CD20B">
            <w:pPr>
              <w:pStyle w:val="62"/>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评价</w:t>
            </w:r>
          </w:p>
        </w:tc>
      </w:tr>
      <w:tr w14:paraId="3AB3AD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0BFFCE7E">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/CODcr</w:t>
            </w:r>
          </w:p>
        </w:tc>
        <w:tc>
          <w:tcPr>
            <w:tcW w:w="1667" w:type="pct"/>
            <w:tcBorders>
              <w:tl2br w:val="nil"/>
              <w:tr2bl w:val="nil"/>
            </w:tcBorders>
            <w:noWrap w:val="0"/>
            <w:vAlign w:val="center"/>
          </w:tcPr>
          <w:p w14:paraId="69670F85">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0.6</w:t>
            </w:r>
          </w:p>
        </w:tc>
        <w:tc>
          <w:tcPr>
            <w:tcW w:w="1666" w:type="pct"/>
            <w:tcBorders>
              <w:tl2br w:val="nil"/>
              <w:tr2bl w:val="nil"/>
            </w:tcBorders>
            <w:noWrap w:val="0"/>
            <w:vAlign w:val="center"/>
          </w:tcPr>
          <w:p w14:paraId="2A109917">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可生化性好</w:t>
            </w:r>
          </w:p>
        </w:tc>
      </w:tr>
      <w:tr w14:paraId="45718B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2BF44989">
            <w:pPr>
              <w:pStyle w:val="62"/>
              <w:pageBreakBefore w:val="0"/>
              <w:wordWrap/>
              <w:bidi w:val="0"/>
              <w:adjustRightInd/>
              <w:snapToGrid/>
              <w:jc w:val="center"/>
              <w:rPr>
                <w:rFonts w:hint="default" w:ascii="Times New Roman" w:eastAsia="宋体" w:cs="Times New Roman"/>
                <w:color w:val="auto"/>
                <w:sz w:val="21"/>
                <w:szCs w:val="21"/>
                <w:lang w:val="en-US"/>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/TN</w:t>
            </w:r>
          </w:p>
        </w:tc>
        <w:tc>
          <w:tcPr>
            <w:tcW w:w="1667" w:type="pct"/>
            <w:tcBorders>
              <w:tl2br w:val="nil"/>
              <w:tr2bl w:val="nil"/>
            </w:tcBorders>
            <w:noWrap w:val="0"/>
            <w:vAlign w:val="center"/>
          </w:tcPr>
          <w:p w14:paraId="723F08F2">
            <w:pPr>
              <w:pStyle w:val="62"/>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5</w:t>
            </w:r>
          </w:p>
        </w:tc>
        <w:tc>
          <w:tcPr>
            <w:tcW w:w="1666" w:type="pct"/>
            <w:tcBorders>
              <w:tl2br w:val="nil"/>
              <w:tr2bl w:val="nil"/>
            </w:tcBorders>
            <w:noWrap w:val="0"/>
            <w:vAlign w:val="center"/>
          </w:tcPr>
          <w:p w14:paraId="1902A78B">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碳源充足</w:t>
            </w:r>
          </w:p>
        </w:tc>
      </w:tr>
      <w:tr w14:paraId="58407A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0DE7FDDD">
            <w:pPr>
              <w:pStyle w:val="62"/>
              <w:pageBreakBefore w:val="0"/>
              <w:wordWrap/>
              <w:bidi w:val="0"/>
              <w:adjustRightInd/>
              <w:snapToGrid/>
              <w:jc w:val="center"/>
              <w:rPr>
                <w:rFonts w:hint="default" w:ascii="Times New Roman" w:eastAsia="宋体" w:cs="Times New Roman"/>
                <w:color w:val="auto"/>
                <w:sz w:val="21"/>
                <w:szCs w:val="21"/>
                <w:lang w:val="en-US"/>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/TP</w:t>
            </w:r>
          </w:p>
        </w:tc>
        <w:tc>
          <w:tcPr>
            <w:tcW w:w="1667" w:type="pct"/>
            <w:tcBorders>
              <w:tl2br w:val="nil"/>
              <w:tr2bl w:val="nil"/>
            </w:tcBorders>
            <w:noWrap w:val="0"/>
            <w:vAlign w:val="center"/>
          </w:tcPr>
          <w:p w14:paraId="003C59E8">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50</w:t>
            </w:r>
          </w:p>
        </w:tc>
        <w:tc>
          <w:tcPr>
            <w:tcW w:w="1666" w:type="pct"/>
            <w:tcBorders>
              <w:tl2br w:val="nil"/>
              <w:tr2bl w:val="nil"/>
            </w:tcBorders>
            <w:noWrap w:val="0"/>
            <w:vAlign w:val="center"/>
          </w:tcPr>
          <w:p w14:paraId="376BA569">
            <w:pPr>
              <w:pStyle w:val="62"/>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碳源充足</w:t>
            </w:r>
          </w:p>
        </w:tc>
      </w:tr>
    </w:tbl>
    <w:p w14:paraId="083700A7">
      <w:pPr>
        <w:pageBreakBefore w:val="0"/>
        <w:wordWrap/>
        <w:bidi w:val="0"/>
        <w:adjustRightInd/>
        <w:snapToGrid/>
        <w:rPr>
          <w:color w:val="auto"/>
        </w:rPr>
      </w:pPr>
      <w:r>
        <w:rPr>
          <w:rFonts w:hint="eastAsia"/>
          <w:color w:val="auto"/>
        </w:rPr>
        <w:t>根据工艺方案选择原则，并结合表中的比值，可知采用生物法处理污水是完全可行的。按普通活性污泥法微生物同化有机物的食料比例要求，本工程处理流程应为具有脱氮除磷功能的城市污水二级处理工艺。</w:t>
      </w:r>
    </w:p>
    <w:p w14:paraId="649DCA59">
      <w:pPr>
        <w:pageBreakBefore w:val="0"/>
        <w:wordWrap/>
        <w:bidi w:val="0"/>
        <w:adjustRightInd/>
        <w:snapToGrid/>
        <w:ind w:firstLine="480"/>
        <w:rPr>
          <w:b/>
          <w:bCs/>
          <w:color w:val="auto"/>
        </w:rPr>
      </w:pPr>
      <w:r>
        <w:rPr>
          <w:b/>
          <w:bCs/>
          <w:color w:val="auto"/>
        </w:rPr>
        <w:t>污水可生化性分析</w:t>
      </w:r>
    </w:p>
    <w:p w14:paraId="074688F4">
      <w:pPr>
        <w:pageBreakBefore w:val="0"/>
        <w:wordWrap/>
        <w:bidi w:val="0"/>
        <w:adjustRightInd/>
        <w:snapToGrid/>
        <w:ind w:firstLine="480"/>
        <w:rPr>
          <w:color w:val="auto"/>
        </w:rPr>
      </w:pPr>
      <w:r>
        <w:rPr>
          <w:color w:val="auto"/>
        </w:rPr>
        <w:t>1、BOD</w:t>
      </w:r>
      <w:r>
        <w:rPr>
          <w:color w:val="auto"/>
          <w:vertAlign w:val="subscript"/>
        </w:rPr>
        <w:t>5</w:t>
      </w:r>
      <w:r>
        <w:rPr>
          <w:color w:val="auto"/>
        </w:rPr>
        <w:t>/COD</w:t>
      </w:r>
      <w:r>
        <w:rPr>
          <w:color w:val="auto"/>
          <w:vertAlign w:val="subscript"/>
        </w:rPr>
        <w:t>Cr</w:t>
      </w:r>
      <w:r>
        <w:rPr>
          <w:color w:val="auto"/>
        </w:rPr>
        <w:t>比值</w:t>
      </w:r>
    </w:p>
    <w:p w14:paraId="43EC5FF2">
      <w:pPr>
        <w:pageBreakBefore w:val="0"/>
        <w:wordWrap/>
        <w:bidi w:val="0"/>
        <w:adjustRightInd/>
        <w:snapToGrid/>
        <w:ind w:firstLine="480"/>
        <w:rPr>
          <w:color w:val="auto"/>
        </w:rPr>
      </w:pPr>
      <w:r>
        <w:rPr>
          <w:color w:val="auto"/>
        </w:rPr>
        <w:t>BOD</w:t>
      </w:r>
      <w:r>
        <w:rPr>
          <w:color w:val="auto"/>
          <w:vertAlign w:val="subscript"/>
        </w:rPr>
        <w:t>5</w:t>
      </w:r>
      <w:r>
        <w:rPr>
          <w:color w:val="auto"/>
        </w:rPr>
        <w:t>和COD</w:t>
      </w:r>
      <w:r>
        <w:rPr>
          <w:color w:val="auto"/>
          <w:vertAlign w:val="subscript"/>
        </w:rPr>
        <w:t>Cr</w:t>
      </w:r>
      <w:r>
        <w:rPr>
          <w:color w:val="auto"/>
        </w:rPr>
        <w:t>是污水生物处理过程中常用的两个水质指标，用BOD</w:t>
      </w:r>
      <w:r>
        <w:rPr>
          <w:color w:val="auto"/>
          <w:vertAlign w:val="subscript"/>
        </w:rPr>
        <w:t>5</w:t>
      </w:r>
      <w:r>
        <w:rPr>
          <w:color w:val="auto"/>
        </w:rPr>
        <w:t>/COD</w:t>
      </w:r>
      <w:r>
        <w:rPr>
          <w:color w:val="auto"/>
          <w:vertAlign w:val="subscript"/>
        </w:rPr>
        <w:t>Cr</w:t>
      </w:r>
      <w:r>
        <w:rPr>
          <w:color w:val="auto"/>
        </w:rPr>
        <w:t>比值评价污水的可生化性是广泛采用的一种最为简易的方法，一般认为BOD</w:t>
      </w:r>
      <w:r>
        <w:rPr>
          <w:color w:val="auto"/>
          <w:vertAlign w:val="subscript"/>
        </w:rPr>
        <w:t>5</w:t>
      </w:r>
      <w:r>
        <w:rPr>
          <w:color w:val="auto"/>
        </w:rPr>
        <w:t>/COD</w:t>
      </w:r>
      <w:r>
        <w:rPr>
          <w:color w:val="auto"/>
          <w:vertAlign w:val="subscript"/>
        </w:rPr>
        <w:t>Cr</w:t>
      </w:r>
      <w:r>
        <w:rPr>
          <w:color w:val="auto"/>
        </w:rPr>
        <w:t>&gt;0.45可生化性好，BOD</w:t>
      </w:r>
      <w:r>
        <w:rPr>
          <w:color w:val="auto"/>
          <w:vertAlign w:val="subscript"/>
        </w:rPr>
        <w:t>5</w:t>
      </w:r>
      <w:r>
        <w:rPr>
          <w:color w:val="auto"/>
        </w:rPr>
        <w:t>/COD</w:t>
      </w:r>
      <w:r>
        <w:rPr>
          <w:color w:val="auto"/>
          <w:vertAlign w:val="subscript"/>
        </w:rPr>
        <w:t>Cr</w:t>
      </w:r>
      <w:r>
        <w:rPr>
          <w:color w:val="auto"/>
        </w:rPr>
        <w:t>&gt;0.4可生化性较好，BOD</w:t>
      </w:r>
      <w:r>
        <w:rPr>
          <w:color w:val="auto"/>
          <w:vertAlign w:val="subscript"/>
        </w:rPr>
        <w:t>5</w:t>
      </w:r>
      <w:r>
        <w:rPr>
          <w:color w:val="auto"/>
        </w:rPr>
        <w:t>/COD</w:t>
      </w:r>
      <w:r>
        <w:rPr>
          <w:color w:val="auto"/>
          <w:vertAlign w:val="subscript"/>
        </w:rPr>
        <w:t>Cr</w:t>
      </w:r>
      <w:r>
        <w:rPr>
          <w:color w:val="auto"/>
        </w:rPr>
        <w:t>&lt;0.3较难生化，BOD</w:t>
      </w:r>
      <w:r>
        <w:rPr>
          <w:color w:val="auto"/>
          <w:vertAlign w:val="subscript"/>
        </w:rPr>
        <w:t>5</w:t>
      </w:r>
      <w:r>
        <w:rPr>
          <w:color w:val="auto"/>
        </w:rPr>
        <w:t>/COD</w:t>
      </w:r>
      <w:r>
        <w:rPr>
          <w:color w:val="auto"/>
          <w:vertAlign w:val="subscript"/>
        </w:rPr>
        <w:t>Cr</w:t>
      </w:r>
      <w:r>
        <w:rPr>
          <w:color w:val="auto"/>
        </w:rPr>
        <w:t>&lt;0.25不易生化。</w:t>
      </w:r>
      <w:r>
        <w:rPr>
          <w:rFonts w:hint="eastAsia"/>
          <w:color w:val="auto"/>
          <w:lang w:val="en-US" w:eastAsia="zh-CN"/>
        </w:rPr>
        <w:t>由上表可知，本工程进水可生化性较好</w:t>
      </w:r>
      <w:r>
        <w:rPr>
          <w:rFonts w:hint="eastAsia"/>
          <w:color w:val="auto"/>
        </w:rPr>
        <w:t>。</w:t>
      </w:r>
    </w:p>
    <w:p w14:paraId="334B5CD9">
      <w:pPr>
        <w:pageBreakBefore w:val="0"/>
        <w:wordWrap/>
        <w:bidi w:val="0"/>
        <w:adjustRightInd/>
        <w:snapToGrid/>
        <w:ind w:firstLine="480"/>
        <w:rPr>
          <w:color w:val="auto"/>
        </w:rPr>
      </w:pPr>
      <w:r>
        <w:rPr>
          <w:color w:val="auto"/>
        </w:rPr>
        <w:t>2、BOD</w:t>
      </w:r>
      <w:r>
        <w:rPr>
          <w:color w:val="auto"/>
          <w:vertAlign w:val="subscript"/>
        </w:rPr>
        <w:t>5</w:t>
      </w:r>
      <w:r>
        <w:rPr>
          <w:rFonts w:hint="eastAsia"/>
          <w:color w:val="auto"/>
        </w:rPr>
        <w:t>/</w:t>
      </w:r>
      <w:r>
        <w:rPr>
          <w:color w:val="auto"/>
        </w:rPr>
        <w:t>TKN（即C/N）比值</w:t>
      </w:r>
    </w:p>
    <w:p w14:paraId="2FC8B89B">
      <w:pPr>
        <w:pageBreakBefore w:val="0"/>
        <w:wordWrap/>
        <w:bidi w:val="0"/>
        <w:adjustRightInd/>
        <w:snapToGrid/>
        <w:ind w:firstLine="480"/>
        <w:rPr>
          <w:color w:val="auto"/>
        </w:rPr>
      </w:pPr>
      <w:r>
        <w:rPr>
          <w:color w:val="auto"/>
        </w:rPr>
        <w:t>一般认为，BOD</w:t>
      </w:r>
      <w:r>
        <w:rPr>
          <w:color w:val="auto"/>
          <w:vertAlign w:val="subscript"/>
        </w:rPr>
        <w:t>5</w:t>
      </w:r>
      <w:r>
        <w:rPr>
          <w:color w:val="auto"/>
        </w:rPr>
        <w:t>/TN&gt;3~6，即可认为污水有比较充足的碳源供反硝化菌利用，本工程BOD</w:t>
      </w:r>
      <w:r>
        <w:rPr>
          <w:color w:val="auto"/>
          <w:vertAlign w:val="subscript"/>
        </w:rPr>
        <w:t>5</w:t>
      </w:r>
      <w:r>
        <w:rPr>
          <w:color w:val="auto"/>
        </w:rPr>
        <w:t>/TN=5，碳源基本满足生物脱氮的要求，但考虑到水质波动较大，实际可能需要补充一定量的碳源。因此，充分考虑到进水水质的波动，以及TN出水的要求，本工程设置碳源投加系统，在进水BOD</w:t>
      </w:r>
      <w:r>
        <w:rPr>
          <w:color w:val="auto"/>
          <w:vertAlign w:val="subscript"/>
        </w:rPr>
        <w:t>5</w:t>
      </w:r>
      <w:r>
        <w:rPr>
          <w:color w:val="auto"/>
        </w:rPr>
        <w:t>/TN较低时投加，以确保TN的达标排放。</w:t>
      </w:r>
    </w:p>
    <w:p w14:paraId="0763C31C">
      <w:pPr>
        <w:pageBreakBefore w:val="0"/>
        <w:wordWrap/>
        <w:bidi w:val="0"/>
        <w:adjustRightInd/>
        <w:snapToGrid/>
        <w:ind w:firstLine="480"/>
        <w:rPr>
          <w:color w:val="auto"/>
        </w:rPr>
      </w:pPr>
      <w:r>
        <w:rPr>
          <w:color w:val="auto"/>
        </w:rPr>
        <w:t>3、BOD</w:t>
      </w:r>
      <w:r>
        <w:rPr>
          <w:color w:val="auto"/>
          <w:vertAlign w:val="subscript"/>
        </w:rPr>
        <w:t>5</w:t>
      </w:r>
      <w:r>
        <w:rPr>
          <w:rFonts w:hint="eastAsia"/>
          <w:color w:val="auto"/>
        </w:rPr>
        <w:t>/</w:t>
      </w:r>
      <w:r>
        <w:rPr>
          <w:color w:val="auto"/>
        </w:rPr>
        <w:t>TP比值</w:t>
      </w:r>
    </w:p>
    <w:p w14:paraId="07CE8FC1">
      <w:pPr>
        <w:pageBreakBefore w:val="0"/>
        <w:wordWrap/>
        <w:bidi w:val="0"/>
        <w:adjustRightInd/>
        <w:snapToGrid/>
        <w:ind w:firstLine="480"/>
        <w:rPr>
          <w:color w:val="auto"/>
        </w:rPr>
      </w:pPr>
      <w:r>
        <w:rPr>
          <w:color w:val="auto"/>
        </w:rPr>
        <w:t>该指标是鉴别能否采用生物除磷的主要指标，一般认为，较高的BOD</w:t>
      </w:r>
      <w:r>
        <w:rPr>
          <w:color w:val="auto"/>
          <w:vertAlign w:val="subscript"/>
        </w:rPr>
        <w:t>5</w:t>
      </w:r>
      <w:r>
        <w:rPr>
          <w:color w:val="auto"/>
        </w:rPr>
        <w:t>负荷可以取得较好的除磷效果，进行生物除磷的低限是BOD</w:t>
      </w:r>
      <w:r>
        <w:rPr>
          <w:color w:val="auto"/>
          <w:vertAlign w:val="subscript"/>
        </w:rPr>
        <w:t>5</w:t>
      </w:r>
      <w:r>
        <w:rPr>
          <w:color w:val="auto"/>
        </w:rPr>
        <w:t>/TP=20，有机基质不同对除磷也有影响。一般低分子易降解的有机物诱导磷释放的能力较强，高分子难降解的有机物诱导磷释放的能力较弱。本工程BOD</w:t>
      </w:r>
      <w:r>
        <w:rPr>
          <w:color w:val="auto"/>
          <w:vertAlign w:val="subscript"/>
        </w:rPr>
        <w:t>5</w:t>
      </w:r>
      <w:r>
        <w:rPr>
          <w:color w:val="auto"/>
        </w:rPr>
        <w:t>/TP=</w:t>
      </w:r>
      <w:r>
        <w:rPr>
          <w:rFonts w:hint="eastAsia"/>
          <w:color w:val="auto"/>
          <w:lang w:val="en-US" w:eastAsia="zh-CN"/>
        </w:rPr>
        <w:t>50</w:t>
      </w:r>
      <w:r>
        <w:rPr>
          <w:color w:val="auto"/>
        </w:rPr>
        <w:t>，可采用生物除磷。由于出水TP指标为≤0.5mg/L，深度处理再辅以化学除磷确保TP达标。</w:t>
      </w:r>
    </w:p>
    <w:p w14:paraId="3ED1D727">
      <w:pPr>
        <w:pStyle w:val="6"/>
        <w:pageBreakBefore w:val="0"/>
        <w:wordWrap/>
        <w:bidi w:val="0"/>
        <w:adjustRightInd/>
        <w:snapToGrid/>
        <w:rPr>
          <w:color w:val="auto"/>
        </w:rPr>
      </w:pPr>
      <w:r>
        <w:rPr>
          <w:rFonts w:hint="eastAsia"/>
          <w:color w:val="auto"/>
          <w:lang w:val="en-US" w:eastAsia="zh-CN"/>
        </w:rPr>
        <w:t xml:space="preserve"> </w:t>
      </w:r>
      <w:r>
        <w:rPr>
          <w:color w:val="auto"/>
        </w:rPr>
        <w:t>污水处理工艺比选</w:t>
      </w:r>
    </w:p>
    <w:p w14:paraId="69A060DB">
      <w:pPr>
        <w:pageBreakBefore w:val="0"/>
        <w:wordWrap/>
        <w:bidi w:val="0"/>
        <w:adjustRightInd/>
        <w:snapToGrid/>
        <w:ind w:firstLine="482"/>
        <w:rPr>
          <w:rFonts w:hint="default" w:eastAsia="宋体"/>
          <w:b/>
          <w:bCs/>
          <w:color w:val="auto"/>
          <w:lang w:val="en-US" w:eastAsia="zh-CN"/>
        </w:rPr>
      </w:pPr>
      <w:r>
        <w:rPr>
          <w:rFonts w:hint="eastAsia"/>
          <w:b/>
          <w:bCs/>
          <w:color w:val="auto"/>
          <w:lang w:val="en-US" w:eastAsia="zh-CN"/>
        </w:rPr>
        <w:t>1、一级处理工艺选择</w:t>
      </w:r>
    </w:p>
    <w:p w14:paraId="4694C0E0">
      <w:pPr>
        <w:pageBreakBefore w:val="0"/>
        <w:wordWrap/>
        <w:bidi w:val="0"/>
        <w:adjustRightInd/>
        <w:snapToGrid/>
        <w:ind w:firstLine="480"/>
        <w:rPr>
          <w:rFonts w:hint="eastAsia" w:eastAsia="宋体"/>
          <w:color w:val="auto"/>
          <w:lang w:eastAsia="zh-CN"/>
        </w:rPr>
      </w:pPr>
      <w:r>
        <w:rPr>
          <w:rFonts w:hint="eastAsia"/>
          <w:color w:val="auto"/>
          <w:lang w:val="en-US" w:eastAsia="zh-CN"/>
        </w:rPr>
        <w:t>一</w:t>
      </w:r>
      <w:r>
        <w:rPr>
          <w:rFonts w:hint="eastAsia"/>
          <w:color w:val="auto"/>
        </w:rPr>
        <w:t>级处理段通常包括粗格栅、细格栅、沉砂池、初沉池和水解酸化池等，其中粗、细格栅和沉砂池是污水处理厂必备的工段。</w:t>
      </w:r>
      <w:r>
        <w:rPr>
          <w:rFonts w:hint="eastAsia"/>
          <w:color w:val="auto"/>
          <w:lang w:val="en-US" w:eastAsia="zh-CN"/>
        </w:rPr>
        <w:t>格栅</w:t>
      </w:r>
      <w:r>
        <w:rPr>
          <w:rFonts w:hint="eastAsia"/>
          <w:color w:val="auto"/>
        </w:rPr>
        <w:t>用于截流大块的悬浮物。对后续处理构筑物及水泵具有保护作用。沉砂池的功能是从污水中分离出比重较大的颗粒，目前沉砂池去除悬浮物的效果良好</w:t>
      </w:r>
      <w:r>
        <w:rPr>
          <w:rFonts w:hint="eastAsia"/>
          <w:color w:val="auto"/>
          <w:lang w:eastAsia="zh-CN"/>
        </w:rPr>
        <w:t>，</w:t>
      </w:r>
      <w:r>
        <w:rPr>
          <w:rFonts w:hint="eastAsia"/>
          <w:color w:val="auto"/>
        </w:rPr>
        <w:t>细砂粒</w:t>
      </w:r>
      <w:r>
        <w:rPr>
          <w:rFonts w:hint="eastAsia"/>
          <w:color w:val="auto"/>
          <w:lang w:eastAsia="zh-CN"/>
        </w:rPr>
        <w:t>（粒径为</w:t>
      </w:r>
      <w:r>
        <w:rPr>
          <w:rFonts w:hint="eastAsia"/>
          <w:color w:val="auto"/>
        </w:rPr>
        <w:t>0.104mm</w:t>
      </w:r>
      <w:r>
        <w:rPr>
          <w:rFonts w:hint="eastAsia"/>
          <w:color w:val="auto"/>
          <w:lang w:eastAsia="zh-CN"/>
        </w:rPr>
        <w:t>）</w:t>
      </w:r>
      <w:r>
        <w:rPr>
          <w:rFonts w:hint="eastAsia"/>
          <w:color w:val="auto"/>
        </w:rPr>
        <w:t>的去除率也高</w:t>
      </w:r>
      <w:r>
        <w:rPr>
          <w:rFonts w:hint="eastAsia"/>
          <w:color w:val="auto"/>
          <w:lang w:eastAsia="zh-CN"/>
        </w:rPr>
        <w:t>，</w:t>
      </w:r>
      <w:r>
        <w:rPr>
          <w:rFonts w:hint="eastAsia"/>
          <w:color w:val="auto"/>
        </w:rPr>
        <w:t>可达73%</w:t>
      </w:r>
      <w:r>
        <w:rPr>
          <w:rFonts w:hint="eastAsia"/>
          <w:color w:val="auto"/>
          <w:lang w:eastAsia="zh-CN"/>
        </w:rPr>
        <w:t>，</w:t>
      </w:r>
      <w:r>
        <w:rPr>
          <w:rFonts w:hint="eastAsia"/>
          <w:color w:val="auto"/>
        </w:rPr>
        <w:t>从而可不设初沉池。考虑到园区前期工业企业排水量的不稳定因素导致进水水质和水量浮动较大，且前期园区进水水量规模不大，尚且达不到污水处理厂处理规模，因此需考虑设置调节池以调节进水水质和水量。同时园区周围已有和在建的工业企业较多，大量的工业污水排出会降低原水的可生化性，从远期考虑，建议增加提高原水可生化性的工艺技术。因此，本工程一级处理工艺采用细格栅、调节池以及提高可生化性的工艺。下面对常用的提高原污水可生化性的技术进行简单的概述和比选</w:t>
      </w:r>
      <w:r>
        <w:rPr>
          <w:rFonts w:hint="eastAsia"/>
          <w:color w:val="auto"/>
          <w:lang w:eastAsia="zh-CN"/>
        </w:rPr>
        <w:t>。</w:t>
      </w:r>
    </w:p>
    <w:p w14:paraId="236DF078">
      <w:pPr>
        <w:pageBreakBefore w:val="0"/>
        <w:wordWrap/>
        <w:bidi w:val="0"/>
        <w:adjustRightInd/>
        <w:snapToGrid/>
        <w:ind w:firstLine="48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细格栅</w:t>
      </w:r>
    </w:p>
    <w:p w14:paraId="345B3ECD">
      <w:pPr>
        <w:pageBreakBefore w:val="0"/>
        <w:wordWrap/>
        <w:bidi w:val="0"/>
        <w:adjustRightInd/>
        <w:snapToGrid/>
        <w:ind w:firstLine="480"/>
        <w:rPr>
          <w:rFonts w:hint="eastAsia"/>
          <w:color w:val="auto"/>
        </w:rPr>
      </w:pPr>
      <w:r>
        <w:rPr>
          <w:rFonts w:hint="eastAsia"/>
          <w:color w:val="auto"/>
        </w:rPr>
        <w:t>随着污水处理标准的提升和环境监管的趋严日趋严格，新建和提标改造水厂普遍采用一级A、准四类或新的地方标准，出水指标的提高，对于出水的稳定性提出更高的要求。但在实际运行过程中常常会出现MBR膜的缠绕断裂，生物滤池滤头、滤砂的阻塞，管路阀门阻塞，水泵、污泥泵阻塞等情况，会造成系统停水检修、产水量下降等问题，分析其原因，</w:t>
      </w:r>
      <w:r>
        <w:rPr>
          <w:rFonts w:hint="eastAsia"/>
          <w:color w:val="auto"/>
          <w:lang w:eastAsia="zh-CN"/>
        </w:rPr>
        <w:t>主要原因是</w:t>
      </w:r>
      <w:r>
        <w:rPr>
          <w:rFonts w:hint="eastAsia"/>
          <w:color w:val="auto"/>
        </w:rPr>
        <w:t>预处理系统存在不足。而预处理的关键是对毛发纤维物的去除，对毛发纤维物去除的预处理主要设备是细格栅，可见亟需一款高效拦截毛发纤维物的预处理设备，保障后续工艺稳定运行。</w:t>
      </w:r>
    </w:p>
    <w:p w14:paraId="47A18486">
      <w:pPr>
        <w:pageBreakBefore w:val="0"/>
        <w:wordWrap/>
        <w:bidi w:val="0"/>
        <w:adjustRightInd/>
        <w:snapToGrid/>
        <w:ind w:firstLine="480"/>
        <w:rPr>
          <w:rFonts w:hint="eastAsia" w:eastAsia="宋体"/>
          <w:color w:val="auto"/>
          <w:lang w:eastAsia="zh-CN"/>
        </w:rPr>
      </w:pPr>
      <w:r>
        <w:rPr>
          <w:rFonts w:hint="eastAsia"/>
          <w:color w:val="auto"/>
        </w:rPr>
        <w:t>目前常用的细格栅设备包括转鼓格栅、滚筒格栅和内进流孔板格栅</w:t>
      </w:r>
      <w:r>
        <w:rPr>
          <w:rFonts w:hint="eastAsia"/>
          <w:color w:val="auto"/>
          <w:lang w:eastAsia="zh-CN"/>
        </w:rPr>
        <w:t>。</w:t>
      </w:r>
    </w:p>
    <w:p w14:paraId="449436CA">
      <w:pPr>
        <w:pageBreakBefore w:val="0"/>
        <w:wordWrap/>
        <w:bidi w:val="0"/>
        <w:adjustRightInd/>
        <w:snapToGrid/>
        <w:ind w:firstLine="480"/>
        <w:rPr>
          <w:rFonts w:hint="eastAsia"/>
          <w:b/>
          <w:bCs/>
          <w:color w:val="auto"/>
        </w:rPr>
      </w:pPr>
      <w:r>
        <w:rPr>
          <w:rFonts w:hint="eastAsia"/>
          <w:b/>
          <w:bCs/>
          <w:color w:val="auto"/>
          <w:lang w:val="en-US" w:eastAsia="zh-CN"/>
        </w:rPr>
        <w:t>1）</w:t>
      </w:r>
      <w:r>
        <w:rPr>
          <w:rFonts w:hint="eastAsia"/>
          <w:b/>
          <w:bCs/>
          <w:color w:val="auto"/>
        </w:rPr>
        <w:t>转鼓细格栅</w:t>
      </w:r>
    </w:p>
    <w:p w14:paraId="14E0F94A">
      <w:pPr>
        <w:pageBreakBefore w:val="0"/>
        <w:wordWrap/>
        <w:bidi w:val="0"/>
        <w:adjustRightInd/>
        <w:snapToGrid/>
        <w:ind w:firstLine="480"/>
        <w:rPr>
          <w:rFonts w:hint="eastAsia"/>
          <w:color w:val="auto"/>
        </w:rPr>
      </w:pPr>
      <w:r>
        <w:rPr>
          <w:rFonts w:hint="eastAsia"/>
          <w:color w:val="auto"/>
        </w:rPr>
        <w:t>转鼓细格栅集固液的分离、清洗、运输和压榨脱水过程于一体主要由机架、圆柱形转鼓、内置压螺旋、反冲洗装置、驱动装置和配套带式输送装置组成。转鼓以一定的速度旋转，污水从转鼓中心进入，从两侧流出，拦截的栅渣由转鼓带到上部。转鼓上部有尼龙刷和高压反冲水喷淋装置，将栅渣与转鼓分离并冲入转鼓内部的螺旋压榨机内，栅渣通过螺旋输送运转压榨脱水，并运至上端排料斗排出，被挤出的水随污水通过细格栅转鼓进入下一个工艺单元。由于内置螺旋压榨装置，因此该一体式设备需要倾斜安装于过水廊道里。高压冲洗水的冲洗压力为120~150bar。</w:t>
      </w:r>
    </w:p>
    <w:p w14:paraId="40C8725C">
      <w:pPr>
        <w:pageBreakBefore w:val="0"/>
        <w:wordWrap/>
        <w:bidi w:val="0"/>
        <w:adjustRightInd/>
        <w:snapToGrid/>
        <w:ind w:firstLine="480"/>
        <w:rPr>
          <w:rFonts w:hint="eastAsia" w:eastAsia="宋体"/>
          <w:color w:val="auto"/>
          <w:lang w:eastAsia="zh-CN"/>
        </w:rPr>
      </w:pPr>
      <w:r>
        <w:rPr>
          <w:rFonts w:hint="eastAsia"/>
          <w:color w:val="auto"/>
        </w:rPr>
        <w:t>转鼓膜格栅</w:t>
      </w:r>
      <w:r>
        <w:rPr>
          <w:rFonts w:hint="eastAsia"/>
          <w:color w:val="auto"/>
          <w:lang w:eastAsia="zh-CN"/>
        </w:rPr>
        <w:t>存</w:t>
      </w:r>
      <w:r>
        <w:rPr>
          <w:rFonts w:hint="eastAsia"/>
          <w:color w:val="auto"/>
        </w:rPr>
        <w:t>在的不足</w:t>
      </w:r>
      <w:r>
        <w:rPr>
          <w:rFonts w:hint="eastAsia"/>
          <w:color w:val="auto"/>
          <w:lang w:eastAsia="zh-CN"/>
        </w:rPr>
        <w:t>：</w:t>
      </w:r>
    </w:p>
    <w:p w14:paraId="51490463">
      <w:pPr>
        <w:pageBreakBefore w:val="0"/>
        <w:wordWrap/>
        <w:bidi w:val="0"/>
        <w:adjustRightInd/>
        <w:snapToGrid/>
        <w:ind w:firstLine="480"/>
        <w:rPr>
          <w:rFonts w:hint="eastAsia" w:eastAsia="宋体"/>
          <w:color w:val="auto"/>
          <w:lang w:eastAsia="zh-CN"/>
        </w:rPr>
      </w:pPr>
      <w:r>
        <w:rPr>
          <w:rFonts w:hint="eastAsia"/>
          <w:color w:val="auto"/>
          <w:lang w:val="en-US" w:eastAsia="zh-CN"/>
        </w:rPr>
        <w:t>A.</w:t>
      </w:r>
      <w:r>
        <w:rPr>
          <w:rFonts w:hint="eastAsia"/>
          <w:color w:val="auto"/>
        </w:rPr>
        <w:t>高压冲洗系统由于水压太高，容易使冲洗水雾化，导致格栅车间的环境变差</w:t>
      </w:r>
      <w:r>
        <w:rPr>
          <w:rFonts w:hint="eastAsia"/>
          <w:color w:val="auto"/>
          <w:lang w:eastAsia="zh-CN"/>
        </w:rPr>
        <w:t>：</w:t>
      </w:r>
    </w:p>
    <w:p w14:paraId="5B7BA0A4">
      <w:pPr>
        <w:pageBreakBefore w:val="0"/>
        <w:wordWrap/>
        <w:bidi w:val="0"/>
        <w:adjustRightInd/>
        <w:snapToGrid/>
        <w:ind w:firstLine="480"/>
        <w:rPr>
          <w:rFonts w:hint="eastAsia" w:eastAsia="宋体"/>
          <w:color w:val="auto"/>
          <w:lang w:eastAsia="zh-CN"/>
        </w:rPr>
      </w:pPr>
      <w:r>
        <w:rPr>
          <w:rFonts w:hint="eastAsia"/>
          <w:color w:val="auto"/>
          <w:lang w:val="en-US" w:eastAsia="zh-CN"/>
        </w:rPr>
        <w:t>B.</w:t>
      </w:r>
      <w:r>
        <w:rPr>
          <w:rFonts w:hint="eastAsia"/>
          <w:color w:val="auto"/>
        </w:rPr>
        <w:t>受运行原理限制，单台设备的最大处理能力有限，对于大型的污水处理厂，设备数量较多，占地面积较大</w:t>
      </w:r>
      <w:r>
        <w:rPr>
          <w:rFonts w:hint="eastAsia"/>
          <w:color w:val="auto"/>
          <w:lang w:eastAsia="zh-CN"/>
        </w:rPr>
        <w:t>；</w:t>
      </w:r>
    </w:p>
    <w:p w14:paraId="3C4F4762">
      <w:pPr>
        <w:pageBreakBefore w:val="0"/>
        <w:wordWrap/>
        <w:bidi w:val="0"/>
        <w:adjustRightInd/>
        <w:snapToGrid/>
        <w:ind w:firstLine="480"/>
        <w:rPr>
          <w:rFonts w:hint="eastAsia"/>
          <w:color w:val="auto"/>
        </w:rPr>
      </w:pPr>
      <w:r>
        <w:rPr>
          <w:rFonts w:hint="eastAsia"/>
          <w:color w:val="auto"/>
          <w:lang w:val="en-US" w:eastAsia="zh-CN"/>
        </w:rPr>
        <w:t>C.</w:t>
      </w:r>
      <w:r>
        <w:rPr>
          <w:rFonts w:hint="eastAsia"/>
          <w:color w:val="auto"/>
        </w:rPr>
        <w:t>因倾斜安装，对加工精度和安装精度要求高，往往造成回转轴偏心而无法运行。</w:t>
      </w:r>
    </w:p>
    <w:p w14:paraId="79BEA777">
      <w:pPr>
        <w:pageBreakBefore w:val="0"/>
        <w:wordWrap/>
        <w:bidi w:val="0"/>
        <w:adjustRightInd/>
        <w:snapToGrid/>
        <w:ind w:firstLine="480"/>
        <w:rPr>
          <w:rFonts w:hint="eastAsia"/>
          <w:b/>
          <w:bCs/>
          <w:color w:val="auto"/>
        </w:rPr>
      </w:pPr>
      <w:r>
        <w:rPr>
          <w:rFonts w:hint="eastAsia"/>
          <w:b/>
          <w:bCs/>
          <w:color w:val="auto"/>
          <w:lang w:val="en-US" w:eastAsia="zh-CN"/>
        </w:rPr>
        <w:t>2）</w:t>
      </w:r>
      <w:r>
        <w:rPr>
          <w:rFonts w:hint="eastAsia"/>
          <w:b/>
          <w:bCs/>
          <w:color w:val="auto"/>
        </w:rPr>
        <w:t>滚筒格栅</w:t>
      </w:r>
    </w:p>
    <w:p w14:paraId="0BD8706B">
      <w:pPr>
        <w:pageBreakBefore w:val="0"/>
        <w:wordWrap/>
        <w:bidi w:val="0"/>
        <w:adjustRightInd/>
        <w:snapToGrid/>
        <w:ind w:firstLine="480"/>
        <w:rPr>
          <w:rFonts w:hint="eastAsia"/>
          <w:color w:val="auto"/>
        </w:rPr>
      </w:pPr>
      <w:r>
        <w:rPr>
          <w:rFonts w:hint="eastAsia"/>
          <w:color w:val="auto"/>
        </w:rPr>
        <w:t>滚筒格栅是一种连续自动过滤分离出液体中固体颗粒和纤维毛发等杂质的设备。滚筒格栅主要由机体外壳、驱动装置、滚筒状栅网</w:t>
      </w:r>
      <w:r>
        <w:rPr>
          <w:rFonts w:hint="eastAsia"/>
          <w:color w:val="auto"/>
          <w:lang w:eastAsia="zh-CN"/>
        </w:rPr>
        <w:t>（</w:t>
      </w:r>
      <w:r>
        <w:rPr>
          <w:rFonts w:hint="eastAsia"/>
          <w:color w:val="auto"/>
        </w:rPr>
        <w:t>网筒</w:t>
      </w:r>
      <w:r>
        <w:rPr>
          <w:rFonts w:hint="eastAsia"/>
          <w:color w:val="auto"/>
          <w:lang w:eastAsia="zh-CN"/>
        </w:rPr>
        <w:t>）</w:t>
      </w:r>
      <w:r>
        <w:rPr>
          <w:rFonts w:hint="eastAsia"/>
          <w:color w:val="auto"/>
        </w:rPr>
        <w:t>、进水配水管、反冲洗水管、毛刷轴等部件组成。来水经配水管从格栅进水端中心位置流入滚筒内部，在重力作用下通过栅网实现固液分离。系统出水汇入格栅下箱体后从底部开孔流出到后续工序</w:t>
      </w:r>
      <w:r>
        <w:rPr>
          <w:rFonts w:hint="eastAsia"/>
          <w:color w:val="auto"/>
          <w:lang w:eastAsia="zh-CN"/>
        </w:rPr>
        <w:t>：</w:t>
      </w:r>
      <w:r>
        <w:rPr>
          <w:rFonts w:hint="eastAsia"/>
          <w:color w:val="auto"/>
        </w:rPr>
        <w:t>杂质被截留在网筒内侧，在格栅运转过程中利用网筒内壁上呈螺旋状排列的导料板排出格栅。滚筒格栅反冲洗系统对滚筒进行清洗。</w:t>
      </w:r>
    </w:p>
    <w:p w14:paraId="034442A3">
      <w:pPr>
        <w:pageBreakBefore w:val="0"/>
        <w:wordWrap/>
        <w:bidi w:val="0"/>
        <w:adjustRightInd/>
        <w:snapToGrid/>
        <w:ind w:firstLine="480"/>
        <w:rPr>
          <w:rFonts w:hint="eastAsia"/>
          <w:color w:val="auto"/>
          <w:lang w:eastAsia="zh-CN"/>
        </w:rPr>
      </w:pPr>
      <w:r>
        <w:rPr>
          <w:rFonts w:hint="eastAsia"/>
          <w:color w:val="auto"/>
        </w:rPr>
        <w:t>滚筒格栅拦截效率和去除效率较高，但存在以下不足</w:t>
      </w:r>
      <w:r>
        <w:rPr>
          <w:rFonts w:hint="eastAsia"/>
          <w:color w:val="auto"/>
          <w:lang w:eastAsia="zh-CN"/>
        </w:rPr>
        <w:t>：</w:t>
      </w:r>
    </w:p>
    <w:p w14:paraId="73F3D15A">
      <w:pPr>
        <w:pageBreakBefore w:val="0"/>
        <w:wordWrap/>
        <w:bidi w:val="0"/>
        <w:adjustRightInd/>
        <w:snapToGrid/>
        <w:ind w:firstLine="480"/>
        <w:rPr>
          <w:rFonts w:hint="eastAsia" w:eastAsia="宋体"/>
          <w:color w:val="auto"/>
          <w:lang w:eastAsia="zh-CN"/>
        </w:rPr>
      </w:pPr>
      <w:r>
        <w:rPr>
          <w:rFonts w:hint="eastAsia"/>
          <w:color w:val="auto"/>
          <w:lang w:val="en-US" w:eastAsia="zh-CN"/>
        </w:rPr>
        <w:t>A.</w:t>
      </w:r>
      <w:r>
        <w:rPr>
          <w:rFonts w:hint="eastAsia"/>
          <w:color w:val="auto"/>
        </w:rPr>
        <w:t>由于采用管道进水的方式，其水头损失大，通常会超过1m需要二次提升</w:t>
      </w:r>
      <w:r>
        <w:rPr>
          <w:rFonts w:hint="eastAsia"/>
          <w:color w:val="auto"/>
          <w:lang w:eastAsia="zh-CN"/>
        </w:rPr>
        <w:t>；</w:t>
      </w:r>
    </w:p>
    <w:p w14:paraId="69FAE9E3">
      <w:pPr>
        <w:pageBreakBefore w:val="0"/>
        <w:wordWrap/>
        <w:bidi w:val="0"/>
        <w:adjustRightInd/>
        <w:snapToGrid/>
        <w:ind w:firstLine="480"/>
        <w:rPr>
          <w:rFonts w:hint="eastAsia"/>
          <w:color w:val="auto"/>
        </w:rPr>
      </w:pPr>
      <w:r>
        <w:rPr>
          <w:rFonts w:hint="eastAsia"/>
          <w:color w:val="auto"/>
          <w:lang w:val="en-US" w:eastAsia="zh-CN"/>
        </w:rPr>
        <w:t>B.</w:t>
      </w:r>
      <w:r>
        <w:rPr>
          <w:rFonts w:hint="eastAsia"/>
          <w:color w:val="auto"/>
        </w:rPr>
        <w:t>单台处理水量较小，适用范围较小。</w:t>
      </w:r>
    </w:p>
    <w:p w14:paraId="0D95A70E">
      <w:pPr>
        <w:pageBreakBefore w:val="0"/>
        <w:wordWrap/>
        <w:bidi w:val="0"/>
        <w:adjustRightInd/>
        <w:snapToGrid/>
        <w:ind w:firstLine="480"/>
        <w:rPr>
          <w:rFonts w:hint="eastAsia"/>
          <w:b/>
          <w:bCs/>
          <w:color w:val="auto"/>
        </w:rPr>
      </w:pPr>
      <w:r>
        <w:rPr>
          <w:rFonts w:hint="eastAsia"/>
          <w:b/>
          <w:bCs/>
          <w:color w:val="auto"/>
          <w:lang w:val="en-US" w:eastAsia="zh-CN"/>
        </w:rPr>
        <w:t>3）</w:t>
      </w:r>
      <w:r>
        <w:rPr>
          <w:rFonts w:hint="eastAsia"/>
          <w:b/>
          <w:bCs/>
          <w:color w:val="auto"/>
        </w:rPr>
        <w:t>内进流孔板格栅</w:t>
      </w:r>
    </w:p>
    <w:p w14:paraId="0D9A354E">
      <w:pPr>
        <w:pageBreakBefore w:val="0"/>
        <w:wordWrap/>
        <w:bidi w:val="0"/>
        <w:adjustRightInd/>
        <w:snapToGrid/>
        <w:ind w:firstLine="480"/>
        <w:rPr>
          <w:color w:val="auto"/>
        </w:rPr>
      </w:pPr>
      <w:r>
        <w:rPr>
          <w:rFonts w:hint="eastAsia"/>
          <w:color w:val="auto"/>
        </w:rPr>
        <w:t>内进流孔板格栅是一款精确高效去除污水中毛发和细小纤维物的预处理产品，解决运行过程中因毛发纤维物对管道、水泵、搅拌器膜等设备和工艺缠绕、堵塞、板结等客户痛点问题，其工作原理为</w:t>
      </w:r>
      <w:r>
        <w:rPr>
          <w:rFonts w:hint="eastAsia"/>
          <w:color w:val="auto"/>
          <w:lang w:eastAsia="zh-CN"/>
        </w:rPr>
        <w:t>：</w:t>
      </w:r>
      <w:r>
        <w:rPr>
          <w:rFonts w:hint="eastAsia"/>
          <w:color w:val="auto"/>
        </w:rPr>
        <w:t>污水从中间进两侧出的</w:t>
      </w:r>
      <w:r>
        <w:rPr>
          <w:rFonts w:hint="eastAsia"/>
          <w:color w:val="auto"/>
          <w:lang w:eastAsia="zh-CN"/>
        </w:rPr>
        <w:t>“</w:t>
      </w:r>
      <w:r>
        <w:rPr>
          <w:rFonts w:hint="eastAsia"/>
          <w:color w:val="auto"/>
        </w:rPr>
        <w:t>二维过滤</w:t>
      </w:r>
      <w:r>
        <w:rPr>
          <w:rFonts w:hint="eastAsia"/>
          <w:color w:val="auto"/>
          <w:lang w:eastAsia="zh-CN"/>
        </w:rPr>
        <w:t>”</w:t>
      </w:r>
      <w:r>
        <w:rPr>
          <w:rFonts w:hint="eastAsia"/>
          <w:color w:val="auto"/>
        </w:rPr>
        <w:t>方式经过孔板格栅，栅渣纤维物被截留在孔板内侧，孔板旋转运行至设备顶部时进行反冲洗，栅渣纤维物与冲洗水共同进入收渣槽，实现固液分离。设备工作时水流流向如图</w:t>
      </w:r>
      <w:r>
        <w:rPr>
          <w:rFonts w:hint="eastAsia"/>
          <w:color w:val="auto"/>
          <w:lang w:val="en-US" w:eastAsia="zh-CN"/>
        </w:rPr>
        <w:t>2.2-1</w:t>
      </w:r>
      <w:r>
        <w:rPr>
          <w:rFonts w:hint="eastAsia"/>
          <w:color w:val="auto"/>
        </w:rPr>
        <w:t>所示。</w:t>
      </w:r>
    </w:p>
    <w:p w14:paraId="497BAA7B">
      <w:pPr>
        <w:pageBreakBefore w:val="0"/>
        <w:wordWrap/>
        <w:bidi w:val="0"/>
        <w:adjustRightInd/>
        <w:snapToGrid/>
        <w:ind w:firstLine="480"/>
        <w:rPr>
          <w:color w:val="auto"/>
        </w:rPr>
      </w:pPr>
      <w:r>
        <w:rPr>
          <w:color w:val="auto"/>
        </w:rPr>
        <w:drawing>
          <wp:inline distT="0" distB="0" distL="114300" distR="114300">
            <wp:extent cx="1995805" cy="2753360"/>
            <wp:effectExtent l="0" t="0" r="0" b="0"/>
            <wp:docPr id="14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0"/>
                    <pic:cNvPicPr>
                      <a:picLocks noChangeAspect="1"/>
                    </pic:cNvPicPr>
                  </pic:nvPicPr>
                  <pic:blipFill>
                    <a:blip r:embed="rId43"/>
                    <a:stretch>
                      <a:fillRect/>
                    </a:stretch>
                  </pic:blipFill>
                  <pic:spPr>
                    <a:xfrm>
                      <a:off x="0" y="0"/>
                      <a:ext cx="1995805" cy="2753360"/>
                    </a:xfrm>
                    <a:prstGeom prst="rect">
                      <a:avLst/>
                    </a:prstGeom>
                    <a:noFill/>
                    <a:ln>
                      <a:noFill/>
                    </a:ln>
                  </pic:spPr>
                </pic:pic>
              </a:graphicData>
            </a:graphic>
          </wp:inline>
        </w:drawing>
      </w:r>
      <w:r>
        <w:rPr>
          <w:color w:val="auto"/>
        </w:rPr>
        <w:drawing>
          <wp:inline distT="0" distB="0" distL="114300" distR="114300">
            <wp:extent cx="2473960" cy="2746375"/>
            <wp:effectExtent l="0" t="0" r="0" b="0"/>
            <wp:docPr id="1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1"/>
                    <pic:cNvPicPr>
                      <a:picLocks noChangeAspect="1"/>
                    </pic:cNvPicPr>
                  </pic:nvPicPr>
                  <pic:blipFill>
                    <a:blip r:embed="rId44"/>
                    <a:stretch>
                      <a:fillRect/>
                    </a:stretch>
                  </pic:blipFill>
                  <pic:spPr>
                    <a:xfrm>
                      <a:off x="0" y="0"/>
                      <a:ext cx="2473960" cy="2746375"/>
                    </a:xfrm>
                    <a:prstGeom prst="rect">
                      <a:avLst/>
                    </a:prstGeom>
                    <a:noFill/>
                    <a:ln>
                      <a:noFill/>
                    </a:ln>
                  </pic:spPr>
                </pic:pic>
              </a:graphicData>
            </a:graphic>
          </wp:inline>
        </w:drawing>
      </w:r>
    </w:p>
    <w:p w14:paraId="2C63C50E">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rPr>
        <w:t>设备工作水流流向示意图</w:t>
      </w:r>
    </w:p>
    <w:p w14:paraId="3039550C">
      <w:pPr>
        <w:pageBreakBefore w:val="0"/>
        <w:wordWrap/>
        <w:bidi w:val="0"/>
        <w:adjustRightInd/>
        <w:snapToGrid/>
        <w:rPr>
          <w:rFonts w:hint="default" w:eastAsia="宋体"/>
          <w:b/>
          <w:bCs/>
          <w:color w:val="auto"/>
          <w:lang w:val="en-US" w:eastAsia="zh-CN"/>
        </w:rPr>
      </w:pPr>
      <w:r>
        <w:rPr>
          <w:rFonts w:hint="eastAsia"/>
          <w:b/>
          <w:bCs/>
          <w:color w:val="auto"/>
          <w:lang w:val="en-US" w:eastAsia="zh-CN"/>
        </w:rPr>
        <w:t>（2）提高生化性方法</w:t>
      </w:r>
    </w:p>
    <w:p w14:paraId="49D172AD">
      <w:pPr>
        <w:pageBreakBefore w:val="0"/>
        <w:wordWrap/>
        <w:bidi w:val="0"/>
        <w:adjustRightInd/>
        <w:snapToGrid/>
        <w:rPr>
          <w:rFonts w:hint="eastAsia"/>
          <w:b/>
          <w:bCs/>
          <w:color w:val="auto"/>
          <w:lang w:val="en-US" w:eastAsia="zh-CN"/>
        </w:rPr>
      </w:pPr>
      <w:r>
        <w:rPr>
          <w:rFonts w:hint="eastAsia"/>
          <w:b/>
          <w:bCs/>
          <w:color w:val="auto"/>
          <w:lang w:val="en-US" w:eastAsia="zh-CN"/>
        </w:rPr>
        <w:t xml:space="preserve">1）外加碳源 </w:t>
      </w:r>
    </w:p>
    <w:p w14:paraId="7693E2F7">
      <w:pPr>
        <w:pageBreakBefore w:val="0"/>
        <w:wordWrap/>
        <w:bidi w:val="0"/>
        <w:adjustRightInd/>
        <w:snapToGrid/>
        <w:rPr>
          <w:rFonts w:hint="default"/>
          <w:color w:val="auto"/>
          <w:lang w:val="en-US" w:eastAsia="zh-CN"/>
        </w:rPr>
      </w:pPr>
      <w:r>
        <w:rPr>
          <w:rFonts w:hint="eastAsia"/>
          <w:color w:val="auto"/>
          <w:lang w:val="en-US" w:eastAsia="zh-CN"/>
        </w:rPr>
        <w:t>外加碳源有两种方法：直接投加甲醇、乙酸钠和引入城市生活污水。</w:t>
      </w:r>
    </w:p>
    <w:p w14:paraId="592F91B5">
      <w:pPr>
        <w:pageBreakBefore w:val="0"/>
        <w:wordWrap/>
        <w:bidi w:val="0"/>
        <w:adjustRightInd/>
        <w:snapToGrid/>
        <w:rPr>
          <w:rFonts w:hint="eastAsia"/>
          <w:color w:val="auto"/>
        </w:rPr>
      </w:pPr>
      <w:r>
        <w:rPr>
          <w:rFonts w:hint="eastAsia"/>
          <w:color w:val="auto"/>
        </w:rPr>
        <w:t>投加甲醇直接简单，但属于易燃易爆的化学药品，危险等级较高适用于长期使用且用量大的污水处理厂。</w:t>
      </w:r>
    </w:p>
    <w:p w14:paraId="7139797F">
      <w:pPr>
        <w:pageBreakBefore w:val="0"/>
        <w:wordWrap/>
        <w:bidi w:val="0"/>
        <w:adjustRightInd/>
        <w:snapToGrid/>
        <w:rPr>
          <w:rFonts w:hint="eastAsia"/>
          <w:color w:val="auto"/>
        </w:rPr>
      </w:pPr>
      <w:r>
        <w:rPr>
          <w:rFonts w:hint="eastAsia"/>
          <w:color w:val="auto"/>
        </w:rPr>
        <w:t>投加乙酸钠直接简单</w:t>
      </w:r>
      <w:r>
        <w:rPr>
          <w:rFonts w:hint="eastAsia"/>
          <w:color w:val="auto"/>
          <w:lang w:eastAsia="zh-CN"/>
        </w:rPr>
        <w:t>，</w:t>
      </w:r>
      <w:r>
        <w:rPr>
          <w:rFonts w:hint="eastAsia"/>
          <w:color w:val="auto"/>
        </w:rPr>
        <w:t>运行成本较甲醇高</w:t>
      </w:r>
      <w:r>
        <w:rPr>
          <w:rFonts w:hint="eastAsia"/>
          <w:color w:val="auto"/>
          <w:lang w:eastAsia="zh-CN"/>
        </w:rPr>
        <w:t>，</w:t>
      </w:r>
      <w:r>
        <w:rPr>
          <w:rFonts w:hint="eastAsia"/>
          <w:color w:val="auto"/>
        </w:rPr>
        <w:t>在</w:t>
      </w:r>
      <w:r>
        <w:rPr>
          <w:rFonts w:hint="eastAsia"/>
          <w:color w:val="auto"/>
          <w:lang w:eastAsia="zh-CN"/>
        </w:rPr>
        <w:t>污水处理厂</w:t>
      </w:r>
      <w:r>
        <w:rPr>
          <w:rFonts w:hint="eastAsia"/>
          <w:color w:val="auto"/>
        </w:rPr>
        <w:t>有应用实例适用于用量较小的污水处理厂。</w:t>
      </w:r>
    </w:p>
    <w:p w14:paraId="3303BA4C">
      <w:pPr>
        <w:pageBreakBefore w:val="0"/>
        <w:wordWrap/>
        <w:bidi w:val="0"/>
        <w:adjustRightInd/>
        <w:snapToGrid/>
        <w:rPr>
          <w:rFonts w:hint="eastAsia"/>
          <w:b/>
          <w:bCs/>
          <w:color w:val="auto"/>
        </w:rPr>
      </w:pPr>
      <w:r>
        <w:rPr>
          <w:rFonts w:hint="eastAsia"/>
          <w:b/>
          <w:bCs/>
          <w:color w:val="auto"/>
          <w:lang w:val="en-US" w:eastAsia="zh-CN"/>
        </w:rPr>
        <w:t>2）</w:t>
      </w:r>
      <w:r>
        <w:rPr>
          <w:rFonts w:hint="eastAsia"/>
          <w:b/>
          <w:bCs/>
          <w:color w:val="auto"/>
        </w:rPr>
        <w:t>水解酸化</w:t>
      </w:r>
    </w:p>
    <w:p w14:paraId="08CCE601">
      <w:pPr>
        <w:pageBreakBefore w:val="0"/>
        <w:wordWrap/>
        <w:bidi w:val="0"/>
        <w:adjustRightInd/>
        <w:snapToGrid/>
        <w:rPr>
          <w:rFonts w:hint="eastAsia"/>
          <w:color w:val="auto"/>
        </w:rPr>
      </w:pPr>
      <w:r>
        <w:rPr>
          <w:rFonts w:hint="eastAsia"/>
          <w:color w:val="auto"/>
        </w:rPr>
        <w:t>水解酸化是将水中的固体、大分子和不易生物降解的有机物降解为易于生物降解的小分子有机物，提高了废水的可生化性。</w:t>
      </w:r>
    </w:p>
    <w:p w14:paraId="2C7A67CA">
      <w:pPr>
        <w:pageBreakBefore w:val="0"/>
        <w:wordWrap/>
        <w:bidi w:val="0"/>
        <w:adjustRightInd/>
        <w:snapToGrid/>
        <w:rPr>
          <w:rFonts w:hint="eastAsia"/>
          <w:color w:val="auto"/>
        </w:rPr>
      </w:pPr>
      <w:r>
        <w:rPr>
          <w:rFonts w:hint="eastAsia"/>
          <w:color w:val="auto"/>
        </w:rPr>
        <w:t>水解酸化对有机物的去除主要是对悬浮性有机物，对溶解性有机物去除率则很低，保证了后续脱氮除磷对其的需求，也提高了氮、磷的去除率。</w:t>
      </w:r>
    </w:p>
    <w:p w14:paraId="0486EE65">
      <w:pPr>
        <w:pageBreakBefore w:val="0"/>
        <w:wordWrap/>
        <w:bidi w:val="0"/>
        <w:adjustRightInd/>
        <w:snapToGrid/>
        <w:rPr>
          <w:rFonts w:hint="eastAsia"/>
          <w:color w:val="auto"/>
        </w:rPr>
      </w:pPr>
      <w:r>
        <w:rPr>
          <w:rFonts w:hint="eastAsia"/>
          <w:color w:val="auto"/>
        </w:rPr>
        <w:t>水解酸化也具有沉淀作用，通过加药沉淀，可有效去除污水中的重金属离子。</w:t>
      </w:r>
    </w:p>
    <w:p w14:paraId="3B49D4CA">
      <w:pPr>
        <w:pageBreakBefore w:val="0"/>
        <w:wordWrap/>
        <w:bidi w:val="0"/>
        <w:adjustRightInd/>
        <w:snapToGrid/>
        <w:rPr>
          <w:color w:val="auto"/>
        </w:rPr>
      </w:pPr>
      <w:r>
        <w:rPr>
          <w:rFonts w:hint="eastAsia"/>
          <w:color w:val="auto"/>
        </w:rPr>
        <w:t>因此，水解酸化尤其适用于对工业废水的酸化预处理，利于后续的好氧生物处理，在相同的停留时间内，可提高有机物的去除率，或在同样的去除率前提下，可缩短曝气时间，降低能耗，在工业废水治理中已得到广泛的应用。</w:t>
      </w:r>
    </w:p>
    <w:p w14:paraId="4E3894ED">
      <w:pPr>
        <w:pageBreakBefore w:val="0"/>
        <w:wordWrap/>
        <w:bidi w:val="0"/>
        <w:adjustRightInd/>
        <w:snapToGrid/>
        <w:rPr>
          <w:rFonts w:hint="eastAsia"/>
          <w:color w:val="auto"/>
        </w:rPr>
      </w:pPr>
      <w:r>
        <w:rPr>
          <w:rFonts w:hint="eastAsia"/>
          <w:color w:val="auto"/>
        </w:rPr>
        <w:t>国内相关研究资料表明，水解酸化与后续好氧处理结合，较传统的活性污泥法，在基建投资、能耗和运转费用上分别可减少37%、40%和38%。</w:t>
      </w:r>
    </w:p>
    <w:p w14:paraId="000FF1CF">
      <w:pPr>
        <w:pageBreakBefore w:val="0"/>
        <w:wordWrap/>
        <w:bidi w:val="0"/>
        <w:adjustRightInd/>
        <w:snapToGrid/>
        <w:rPr>
          <w:rFonts w:hint="eastAsia"/>
          <w:color w:val="auto"/>
        </w:rPr>
      </w:pPr>
      <w:r>
        <w:rPr>
          <w:rFonts w:hint="eastAsia"/>
          <w:color w:val="auto"/>
        </w:rPr>
        <w:t>考虑到近期工程建成后</w:t>
      </w:r>
      <w:r>
        <w:rPr>
          <w:rFonts w:hint="eastAsia"/>
          <w:color w:val="auto"/>
          <w:lang w:eastAsia="zh-CN"/>
        </w:rPr>
        <w:t>污水处理厂</w:t>
      </w:r>
      <w:r>
        <w:rPr>
          <w:rFonts w:hint="eastAsia"/>
          <w:color w:val="auto"/>
        </w:rPr>
        <w:t>实际进水水质的不确定性，为确保</w:t>
      </w:r>
      <w:r>
        <w:rPr>
          <w:rFonts w:hint="eastAsia"/>
          <w:color w:val="auto"/>
          <w:lang w:eastAsia="zh-CN"/>
        </w:rPr>
        <w:t>污水处理厂</w:t>
      </w:r>
      <w:r>
        <w:rPr>
          <w:rFonts w:hint="eastAsia"/>
          <w:color w:val="auto"/>
        </w:rPr>
        <w:t>出水达标，本报告建议设置水解酸化池，以提高原污水的可生化性。</w:t>
      </w:r>
    </w:p>
    <w:p w14:paraId="1CDE72AE">
      <w:pPr>
        <w:pageBreakBefore w:val="0"/>
        <w:wordWrap/>
        <w:bidi w:val="0"/>
        <w:adjustRightInd/>
        <w:snapToGrid/>
        <w:rPr>
          <w:b/>
          <w:bCs/>
          <w:color w:val="auto"/>
        </w:rPr>
      </w:pPr>
      <w:r>
        <w:rPr>
          <w:rFonts w:hint="eastAsia"/>
          <w:b/>
          <w:bCs/>
          <w:color w:val="auto"/>
        </w:rPr>
        <w:t>综上所述</w:t>
      </w:r>
      <w:r>
        <w:rPr>
          <w:rFonts w:hint="eastAsia"/>
          <w:b/>
          <w:bCs/>
          <w:color w:val="auto"/>
          <w:lang w:eastAsia="zh-CN"/>
        </w:rPr>
        <w:t>，</w:t>
      </w:r>
      <w:r>
        <w:rPr>
          <w:rFonts w:hint="eastAsia"/>
          <w:b/>
          <w:bCs/>
          <w:color w:val="auto"/>
        </w:rPr>
        <w:t>该项目的污水一级处理方案为超细格栅+调节池+水解酸化池的设计方案。</w:t>
      </w:r>
    </w:p>
    <w:p w14:paraId="33B1D01D">
      <w:pPr>
        <w:pageBreakBefore w:val="0"/>
        <w:wordWrap/>
        <w:bidi w:val="0"/>
        <w:adjustRightInd/>
        <w:snapToGrid/>
        <w:ind w:firstLine="482"/>
        <w:rPr>
          <w:rFonts w:hint="default" w:eastAsia="宋体"/>
          <w:b/>
          <w:bCs/>
          <w:color w:val="auto"/>
          <w:lang w:val="en-US" w:eastAsia="zh-CN"/>
        </w:rPr>
      </w:pPr>
      <w:r>
        <w:rPr>
          <w:rFonts w:hint="eastAsia"/>
          <w:b/>
          <w:bCs/>
          <w:color w:val="auto"/>
          <w:lang w:val="en-US" w:eastAsia="zh-CN"/>
        </w:rPr>
        <w:t>2、二级处理工艺选择</w:t>
      </w:r>
    </w:p>
    <w:p w14:paraId="00C6E17C">
      <w:pPr>
        <w:pageBreakBefore w:val="0"/>
        <w:wordWrap/>
        <w:bidi w:val="0"/>
        <w:adjustRightInd/>
        <w:snapToGrid/>
        <w:rPr>
          <w:rFonts w:hint="eastAsia"/>
          <w:color w:val="auto"/>
        </w:rPr>
      </w:pPr>
      <w:r>
        <w:rPr>
          <w:rFonts w:hint="eastAsia"/>
          <w:color w:val="auto"/>
        </w:rPr>
        <w:t>根据本工程接纳的污水特性及去除目标，要重点考虑的去除项目是COD、BOD、SS、TN、TP，因此必须采用具备同步生物脱氨除磷的工艺。根据设计原则和设计要求，本工程拟比选出一个投资省、运行费用低、耐冲击性强、技术成熟、处理效果稳定可靠、运行管理方便、要求操作运转灵活、技术设备先进、运行费用较低、成套性好、便于分期实施的处理工艺，</w:t>
      </w:r>
    </w:p>
    <w:p w14:paraId="1C714895">
      <w:pPr>
        <w:pageBreakBefore w:val="0"/>
        <w:wordWrap/>
        <w:bidi w:val="0"/>
        <w:adjustRightInd/>
        <w:snapToGrid/>
        <w:rPr>
          <w:rFonts w:hint="eastAsia"/>
          <w:color w:val="auto"/>
        </w:rPr>
      </w:pPr>
      <w:r>
        <w:rPr>
          <w:rFonts w:hint="eastAsia"/>
          <w:color w:val="auto"/>
        </w:rPr>
        <w:t>根据进出水水质情况并结合项目建设地的实际情况，适用的工艺有A</w:t>
      </w:r>
      <w:r>
        <w:rPr>
          <w:rFonts w:hint="eastAsia"/>
          <w:color w:val="auto"/>
          <w:lang w:val="en-US" w:eastAsia="zh-CN"/>
        </w:rPr>
        <w:t>²</w:t>
      </w:r>
      <w:r>
        <w:rPr>
          <w:rFonts w:hint="eastAsia"/>
          <w:color w:val="auto"/>
        </w:rPr>
        <w:t>/</w:t>
      </w:r>
      <w:r>
        <w:rPr>
          <w:rFonts w:hint="eastAsia"/>
          <w:color w:val="auto"/>
          <w:lang w:val="en-US" w:eastAsia="zh-CN"/>
        </w:rPr>
        <w:t>O</w:t>
      </w:r>
      <w:r>
        <w:rPr>
          <w:rFonts w:hint="eastAsia"/>
          <w:color w:val="auto"/>
        </w:rPr>
        <w:t>工艺、移动床生物膜</w:t>
      </w:r>
      <w:r>
        <w:rPr>
          <w:rFonts w:hint="eastAsia"/>
          <w:color w:val="auto"/>
          <w:lang w:eastAsia="zh-CN"/>
        </w:rPr>
        <w:t>（</w:t>
      </w:r>
      <w:r>
        <w:rPr>
          <w:rFonts w:hint="eastAsia"/>
          <w:color w:val="auto"/>
        </w:rPr>
        <w:t>MBBR</w:t>
      </w:r>
      <w:r>
        <w:rPr>
          <w:rFonts w:hint="eastAsia"/>
          <w:color w:val="auto"/>
          <w:lang w:eastAsia="zh-CN"/>
        </w:rPr>
        <w:t>）</w:t>
      </w:r>
      <w:r>
        <w:rPr>
          <w:rFonts w:hint="eastAsia"/>
          <w:color w:val="auto"/>
        </w:rPr>
        <w:t>工艺、EBIS工艺等，现对这几种工艺进行比较。</w:t>
      </w:r>
    </w:p>
    <w:p w14:paraId="0A6BE880">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1</w:t>
      </w:r>
      <w:r>
        <w:rPr>
          <w:rFonts w:hint="eastAsia"/>
          <w:b/>
          <w:bCs/>
          <w:color w:val="auto"/>
          <w:lang w:eastAsia="zh-CN"/>
        </w:rPr>
        <w:t>）</w:t>
      </w:r>
      <w:r>
        <w:rPr>
          <w:rFonts w:hint="eastAsia"/>
          <w:b/>
          <w:bCs/>
          <w:color w:val="auto"/>
        </w:rPr>
        <w:t>A</w:t>
      </w:r>
      <w:r>
        <w:rPr>
          <w:rFonts w:hint="eastAsia"/>
          <w:b/>
          <w:bCs/>
          <w:color w:val="auto"/>
          <w:lang w:val="en-US" w:eastAsia="zh-CN"/>
        </w:rPr>
        <w:t>²</w:t>
      </w:r>
      <w:r>
        <w:rPr>
          <w:rFonts w:hint="eastAsia"/>
          <w:b/>
          <w:bCs/>
          <w:color w:val="auto"/>
        </w:rPr>
        <w:t>/</w:t>
      </w:r>
      <w:r>
        <w:rPr>
          <w:rFonts w:hint="eastAsia"/>
          <w:b/>
          <w:bCs/>
          <w:color w:val="auto"/>
          <w:lang w:val="en-US" w:eastAsia="zh-CN"/>
        </w:rPr>
        <w:t>O</w:t>
      </w:r>
      <w:r>
        <w:rPr>
          <w:rFonts w:hint="eastAsia"/>
          <w:b/>
          <w:bCs/>
          <w:color w:val="auto"/>
        </w:rPr>
        <w:t>工艺</w:t>
      </w:r>
    </w:p>
    <w:p w14:paraId="7D6F7901">
      <w:pPr>
        <w:pageBreakBefore w:val="0"/>
        <w:wordWrap/>
        <w:bidi w:val="0"/>
        <w:adjustRightInd/>
        <w:snapToGrid/>
        <w:rPr>
          <w:rFonts w:hint="eastAsia"/>
          <w:color w:val="auto"/>
        </w:rPr>
      </w:pPr>
      <w:r>
        <w:rPr>
          <w:rFonts w:hint="eastAsia"/>
          <w:color w:val="auto"/>
        </w:rPr>
        <w:t>对于有除磷脱氮要求的城市污水处理厂，传统上往往考虑首选</w:t>
      </w:r>
      <w:r>
        <w:rPr>
          <w:rFonts w:hint="eastAsia"/>
          <w:color w:val="auto"/>
          <w:lang w:eastAsia="zh-CN"/>
        </w:rPr>
        <w:t>A²/O</w:t>
      </w:r>
      <w:r>
        <w:rPr>
          <w:rFonts w:hint="eastAsia"/>
          <w:color w:val="auto"/>
        </w:rPr>
        <w:t>工艺。</w:t>
      </w:r>
      <w:r>
        <w:rPr>
          <w:rFonts w:hint="eastAsia"/>
          <w:color w:val="auto"/>
          <w:lang w:eastAsia="zh-CN"/>
        </w:rPr>
        <w:t>A²/O</w:t>
      </w:r>
      <w:r>
        <w:rPr>
          <w:rFonts w:hint="eastAsia"/>
          <w:color w:val="auto"/>
        </w:rPr>
        <w:t>工艺根据活性污泥微生物在完成硝化、反硝化以及生物除磷过程对环境条件要求的不同，在不同的池子区域分别设置厌氧区、缺氧区和好氧区。</w:t>
      </w:r>
    </w:p>
    <w:p w14:paraId="2365A35B">
      <w:pPr>
        <w:pageBreakBefore w:val="0"/>
        <w:wordWrap/>
        <w:bidi w:val="0"/>
        <w:adjustRightInd/>
        <w:snapToGrid/>
        <w:rPr>
          <w:rFonts w:hint="eastAsia" w:eastAsia="宋体"/>
          <w:color w:val="auto"/>
          <w:lang w:eastAsia="zh-CN"/>
        </w:rPr>
      </w:pPr>
      <w:r>
        <w:rPr>
          <w:rFonts w:hint="eastAsia"/>
          <w:color w:val="auto"/>
          <w:lang w:eastAsia="zh-CN"/>
        </w:rPr>
        <w:t>A²/O</w:t>
      </w:r>
      <w:r>
        <w:rPr>
          <w:rFonts w:hint="eastAsia"/>
          <w:color w:val="auto"/>
        </w:rPr>
        <w:t>工艺流程图如下</w:t>
      </w:r>
      <w:r>
        <w:rPr>
          <w:rFonts w:hint="eastAsia"/>
          <w:color w:val="auto"/>
          <w:lang w:eastAsia="zh-CN"/>
        </w:rPr>
        <w:t>：</w:t>
      </w:r>
    </w:p>
    <w:p w14:paraId="743CB648">
      <w:pPr>
        <w:pageBreakBefore w:val="0"/>
        <w:wordWrap/>
        <w:bidi w:val="0"/>
        <w:adjustRightInd/>
        <w:snapToGrid/>
        <w:rPr>
          <w:color w:val="auto"/>
        </w:rPr>
      </w:pPr>
      <w:r>
        <w:rPr>
          <w:color w:val="auto"/>
        </w:rPr>
        <w:drawing>
          <wp:inline distT="0" distB="0" distL="114300" distR="114300">
            <wp:extent cx="4589780" cy="1997710"/>
            <wp:effectExtent l="0" t="0" r="0" b="0"/>
            <wp:docPr id="15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2"/>
                    <pic:cNvPicPr>
                      <a:picLocks noChangeAspect="1"/>
                    </pic:cNvPicPr>
                  </pic:nvPicPr>
                  <pic:blipFill>
                    <a:blip r:embed="rId45"/>
                    <a:stretch>
                      <a:fillRect/>
                    </a:stretch>
                  </pic:blipFill>
                  <pic:spPr>
                    <a:xfrm>
                      <a:off x="0" y="0"/>
                      <a:ext cx="4589780" cy="1997710"/>
                    </a:xfrm>
                    <a:prstGeom prst="rect">
                      <a:avLst/>
                    </a:prstGeom>
                    <a:noFill/>
                    <a:ln>
                      <a:noFill/>
                    </a:ln>
                  </pic:spPr>
                </pic:pic>
              </a:graphicData>
            </a:graphic>
          </wp:inline>
        </w:drawing>
      </w:r>
    </w:p>
    <w:p w14:paraId="7634F4CE">
      <w:pPr>
        <w:pStyle w:val="15"/>
        <w:numPr>
          <w:ilvl w:val="0"/>
          <w:numId w:val="0"/>
        </w:numPr>
        <w:tabs>
          <w:tab w:val="clear" w:pos="0"/>
        </w:tabs>
        <w:bidi w:val="0"/>
        <w:ind w:leftChars="0"/>
        <w:jc w:val="center"/>
        <w:rPr>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w:t>
      </w:r>
      <w:r>
        <w:rPr>
          <w:rFonts w:hint="eastAsia"/>
          <w:color w:val="auto"/>
          <w:lang w:eastAsia="zh-CN"/>
        </w:rPr>
        <w:t>A²/O</w:t>
      </w:r>
      <w:r>
        <w:rPr>
          <w:color w:val="auto"/>
        </w:rPr>
        <w:t>工艺流程图</w:t>
      </w:r>
    </w:p>
    <w:p w14:paraId="52797064">
      <w:pPr>
        <w:pageBreakBefore w:val="0"/>
        <w:wordWrap/>
        <w:bidi w:val="0"/>
        <w:adjustRightInd/>
        <w:snapToGrid/>
        <w:rPr>
          <w:rFonts w:hint="eastAsia"/>
          <w:color w:val="auto"/>
        </w:rPr>
      </w:pPr>
      <w:r>
        <w:rPr>
          <w:rFonts w:hint="eastAsia"/>
          <w:color w:val="auto"/>
        </w:rPr>
        <w:t>脱氮的机理是</w:t>
      </w:r>
      <w:r>
        <w:rPr>
          <w:rFonts w:hint="eastAsia"/>
          <w:color w:val="auto"/>
          <w:lang w:eastAsia="zh-CN"/>
        </w:rPr>
        <w:t>：</w:t>
      </w:r>
      <w:r>
        <w:rPr>
          <w:rFonts w:hint="eastAsia"/>
          <w:color w:val="auto"/>
        </w:rPr>
        <w:t>污水中有机氮、蛋白氮等在好氧条件下转化成氨氮，而后由硝化菌作用变成硝酸盐氮，这阶段称为好氧硝化。随后在缺氧条件下，由反硝化菌作用，使硝酸盐氨变成氮气逸出，这阶段称为缺氧反硝化。整个生物脱氮过程就是氮的分解还原反应，反应能量从有机物中获取。</w:t>
      </w:r>
    </w:p>
    <w:p w14:paraId="24B4058E">
      <w:pPr>
        <w:pageBreakBefore w:val="0"/>
        <w:wordWrap/>
        <w:bidi w:val="0"/>
        <w:adjustRightInd/>
        <w:snapToGrid/>
        <w:rPr>
          <w:rFonts w:hint="eastAsia"/>
          <w:color w:val="auto"/>
        </w:rPr>
      </w:pPr>
      <w:r>
        <w:rPr>
          <w:rFonts w:hint="eastAsia"/>
          <w:color w:val="auto"/>
        </w:rPr>
        <w:t>除磷的机理是</w:t>
      </w:r>
      <w:r>
        <w:rPr>
          <w:rFonts w:hint="eastAsia"/>
          <w:color w:val="auto"/>
          <w:lang w:eastAsia="zh-CN"/>
        </w:rPr>
        <w:t>：</w:t>
      </w:r>
      <w:r>
        <w:rPr>
          <w:rFonts w:hint="eastAsia"/>
          <w:color w:val="auto"/>
        </w:rPr>
        <w:t>在厌氧段，聚磷菌将体内的聚磷酸盐释放并吸收低分子脂肪酸以PHB的形式贮存能量，在好氧状态时，聚磷菌分解体内的PHB获得能量，过量吸收环境中的正磷酸盐，从而去除污水中的磷。</w:t>
      </w:r>
    </w:p>
    <w:p w14:paraId="1DB1A747">
      <w:pPr>
        <w:pageBreakBefore w:val="0"/>
        <w:wordWrap/>
        <w:bidi w:val="0"/>
        <w:adjustRightInd/>
        <w:snapToGrid/>
        <w:rPr>
          <w:rFonts w:hint="eastAsia" w:eastAsia="宋体"/>
          <w:color w:val="auto"/>
          <w:lang w:eastAsia="zh-CN"/>
        </w:rPr>
      </w:pPr>
      <w:r>
        <w:rPr>
          <w:rFonts w:hint="eastAsia"/>
          <w:color w:val="auto"/>
          <w:lang w:eastAsia="zh-CN"/>
        </w:rPr>
        <w:t>A²/O</w:t>
      </w:r>
      <w:r>
        <w:rPr>
          <w:rFonts w:hint="eastAsia"/>
          <w:color w:val="auto"/>
        </w:rPr>
        <w:t>工艺应用较为广泛，历史较长，已积累有一定的设计和运行经验</w:t>
      </w:r>
      <w:r>
        <w:rPr>
          <w:rFonts w:hint="eastAsia"/>
          <w:color w:val="auto"/>
          <w:lang w:eastAsia="zh-CN"/>
        </w:rPr>
        <w:t>，</w:t>
      </w:r>
      <w:r>
        <w:rPr>
          <w:rFonts w:hint="eastAsia"/>
          <w:color w:val="auto"/>
        </w:rPr>
        <w:t>通过精心的控制和调节</w:t>
      </w:r>
      <w:r>
        <w:rPr>
          <w:rFonts w:hint="eastAsia"/>
          <w:color w:val="auto"/>
          <w:lang w:eastAsia="zh-CN"/>
        </w:rPr>
        <w:t>，</w:t>
      </w:r>
      <w:r>
        <w:rPr>
          <w:rFonts w:hint="eastAsia"/>
          <w:color w:val="auto"/>
        </w:rPr>
        <w:t>一般可以获得较好的除磷脱氮效果出水水质较稳定，在国内外大中型城市污水处理厂常有采用。</w:t>
      </w:r>
      <w:r>
        <w:rPr>
          <w:rFonts w:hint="eastAsia"/>
          <w:color w:val="auto"/>
          <w:lang w:eastAsia="zh-CN"/>
        </w:rPr>
        <w:t>A²/O</w:t>
      </w:r>
      <w:r>
        <w:rPr>
          <w:rFonts w:hint="eastAsia"/>
          <w:color w:val="auto"/>
        </w:rPr>
        <w:t>工艺的优点</w:t>
      </w:r>
      <w:r>
        <w:rPr>
          <w:rFonts w:hint="eastAsia"/>
          <w:color w:val="auto"/>
          <w:lang w:eastAsia="zh-CN"/>
        </w:rPr>
        <w:t>：</w:t>
      </w:r>
    </w:p>
    <w:p w14:paraId="28FCEFC1">
      <w:pPr>
        <w:pageBreakBefore w:val="0"/>
        <w:numPr>
          <w:ilvl w:val="0"/>
          <w:numId w:val="17"/>
        </w:numPr>
        <w:wordWrap/>
        <w:bidi w:val="0"/>
        <w:adjustRightInd/>
        <w:snapToGrid/>
        <w:rPr>
          <w:rFonts w:hint="eastAsia"/>
          <w:color w:val="auto"/>
        </w:rPr>
      </w:pPr>
      <w:bookmarkStart w:id="83" w:name="_Toc524423610"/>
      <w:r>
        <w:rPr>
          <w:rFonts w:hint="eastAsia"/>
          <w:color w:val="auto"/>
        </w:rPr>
        <w:t>污泥沉降性能好，无污泥膨胀问题。污染物去除效率高，出水水质好，并具有一定的耐冲击负荷能力，运行稳定，管理简便。</w:t>
      </w:r>
    </w:p>
    <w:p w14:paraId="38D4F790">
      <w:pPr>
        <w:pageBreakBefore w:val="0"/>
        <w:numPr>
          <w:ilvl w:val="0"/>
          <w:numId w:val="17"/>
        </w:numPr>
        <w:wordWrap/>
        <w:bidi w:val="0"/>
        <w:adjustRightInd/>
        <w:snapToGrid/>
        <w:rPr>
          <w:rFonts w:hint="eastAsia"/>
          <w:color w:val="auto"/>
        </w:rPr>
      </w:pPr>
      <w:r>
        <w:rPr>
          <w:rFonts w:hint="eastAsia"/>
          <w:color w:val="auto"/>
        </w:rPr>
        <w:t>采用鼓风曝气，氧利用率高，耗电量较低。</w:t>
      </w:r>
    </w:p>
    <w:p w14:paraId="2F3D570E">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设计水深较大，可减少曝气池的占地面积，</w:t>
      </w:r>
    </w:p>
    <w:p w14:paraId="5BCABE47">
      <w:pPr>
        <w:pageBreakBefore w:val="0"/>
        <w:wordWrap/>
        <w:bidi w:val="0"/>
        <w:adjustRightInd/>
        <w:snapToGrid/>
        <w:rPr>
          <w:rFonts w:hint="eastAsia"/>
          <w:color w:val="auto"/>
        </w:rPr>
      </w:pPr>
      <w:r>
        <w:rPr>
          <w:rFonts w:hint="eastAsia"/>
          <w:color w:val="auto"/>
        </w:rPr>
        <w:t>4</w:t>
      </w:r>
      <w:r>
        <w:rPr>
          <w:rFonts w:hint="eastAsia"/>
          <w:color w:val="auto"/>
          <w:lang w:eastAsia="zh-CN"/>
        </w:rPr>
        <w:t>）</w:t>
      </w:r>
      <w:r>
        <w:rPr>
          <w:rFonts w:hint="eastAsia"/>
          <w:color w:val="auto"/>
        </w:rPr>
        <w:t>厌氧、缺氧、好氧三种不同的环境条件和不同种类微生物菌群的有机配合，能同时具有去除有机物、脱氮除磷的功能。</w:t>
      </w:r>
    </w:p>
    <w:p w14:paraId="00DA61A5">
      <w:pPr>
        <w:pageBreakBefore w:val="0"/>
        <w:wordWrap/>
        <w:bidi w:val="0"/>
        <w:adjustRightInd/>
        <w:snapToGrid/>
        <w:rPr>
          <w:rFonts w:hint="eastAsia" w:eastAsia="宋体"/>
          <w:color w:val="auto"/>
          <w:lang w:eastAsia="zh-CN"/>
        </w:rPr>
      </w:pPr>
      <w:r>
        <w:rPr>
          <w:rFonts w:hint="eastAsia"/>
          <w:color w:val="auto"/>
        </w:rPr>
        <w:t>5</w:t>
      </w:r>
      <w:r>
        <w:rPr>
          <w:rFonts w:hint="eastAsia"/>
          <w:color w:val="auto"/>
          <w:lang w:eastAsia="zh-CN"/>
        </w:rPr>
        <w:t>）</w:t>
      </w:r>
      <w:r>
        <w:rPr>
          <w:rFonts w:hint="eastAsia"/>
          <w:color w:val="auto"/>
        </w:rPr>
        <w:t>在同时脱氧除磷去除有机物的工艺中，该工艺流程最为简单，总的水力停留时间也少于同类其他工艺</w:t>
      </w:r>
      <w:r>
        <w:rPr>
          <w:rFonts w:hint="eastAsia"/>
          <w:color w:val="auto"/>
          <w:lang w:eastAsia="zh-CN"/>
        </w:rPr>
        <w:t>。</w:t>
      </w:r>
    </w:p>
    <w:p w14:paraId="436669DC">
      <w:pPr>
        <w:pageBreakBefore w:val="0"/>
        <w:wordWrap/>
        <w:bidi w:val="0"/>
        <w:adjustRightInd/>
        <w:snapToGrid/>
        <w:rPr>
          <w:rFonts w:hint="eastAsia"/>
          <w:color w:val="auto"/>
        </w:rPr>
      </w:pPr>
      <w:r>
        <w:rPr>
          <w:rFonts w:hint="eastAsia"/>
          <w:color w:val="auto"/>
        </w:rPr>
        <w:t>6</w:t>
      </w:r>
      <w:r>
        <w:rPr>
          <w:rFonts w:hint="eastAsia"/>
          <w:color w:val="auto"/>
          <w:lang w:eastAsia="zh-CN"/>
        </w:rPr>
        <w:t>）</w:t>
      </w:r>
      <w:r>
        <w:rPr>
          <w:rFonts w:hint="eastAsia"/>
          <w:color w:val="auto"/>
        </w:rPr>
        <w:t>在厌氧-缺氧-好氧交替运行下，丝状菌不会大量繁殖，SVI一般小于100，不会发生污泥膨胀。</w:t>
      </w:r>
    </w:p>
    <w:p w14:paraId="1D29948A">
      <w:pPr>
        <w:pageBreakBefore w:val="0"/>
        <w:wordWrap/>
        <w:bidi w:val="0"/>
        <w:adjustRightInd/>
        <w:snapToGrid/>
        <w:rPr>
          <w:rFonts w:hint="eastAsia"/>
          <w:color w:val="auto"/>
        </w:rPr>
      </w:pPr>
      <w:r>
        <w:rPr>
          <w:rFonts w:hint="eastAsia"/>
          <w:color w:val="auto"/>
        </w:rPr>
        <w:t>7</w:t>
      </w:r>
      <w:r>
        <w:rPr>
          <w:rFonts w:hint="eastAsia"/>
          <w:color w:val="auto"/>
          <w:lang w:eastAsia="zh-CN"/>
        </w:rPr>
        <w:t>）</w:t>
      </w:r>
      <w:r>
        <w:rPr>
          <w:rFonts w:hint="eastAsia"/>
          <w:color w:val="auto"/>
        </w:rPr>
        <w:t>系统可操作性强，可严格控制出水水质。</w:t>
      </w:r>
    </w:p>
    <w:p w14:paraId="486FF45E">
      <w:pPr>
        <w:pageBreakBefore w:val="0"/>
        <w:wordWrap/>
        <w:bidi w:val="0"/>
        <w:adjustRightInd/>
        <w:snapToGrid/>
        <w:rPr>
          <w:color w:val="auto"/>
        </w:rPr>
      </w:pPr>
      <w:r>
        <w:rPr>
          <w:rFonts w:hint="eastAsia"/>
          <w:color w:val="auto"/>
          <w:lang w:val="en-US" w:eastAsia="zh-CN"/>
        </w:rPr>
        <w:t>8）</w:t>
      </w:r>
      <w:r>
        <w:rPr>
          <w:rFonts w:hint="eastAsia"/>
          <w:color w:val="auto"/>
        </w:rPr>
        <w:t>运行、管理经验成熟。</w:t>
      </w:r>
    </w:p>
    <w:p w14:paraId="119DC974">
      <w:pPr>
        <w:pageBreakBefore w:val="0"/>
        <w:wordWrap/>
        <w:bidi w:val="0"/>
        <w:adjustRightInd/>
        <w:snapToGrid/>
        <w:rPr>
          <w:rFonts w:hint="eastAsia"/>
          <w:color w:val="auto"/>
          <w:lang w:val="en-US" w:eastAsia="zh-CN"/>
        </w:rPr>
      </w:pPr>
      <w:r>
        <w:rPr>
          <w:rFonts w:hint="eastAsia"/>
          <w:color w:val="auto"/>
          <w:lang w:val="en-US" w:eastAsia="zh-CN"/>
        </w:rPr>
        <w:t>但A²/O工艺也有一定的缺点，主要表现为：</w:t>
      </w:r>
    </w:p>
    <w:p w14:paraId="439B39F7">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需分别设置污泥回流系统和内回流系统，尤其是内回流系统设计回流比往往在200~300左右或更大，这将增加投资和运行能耗，而且内回流的控制较复杂，对管理的要求较高。</w:t>
      </w:r>
    </w:p>
    <w:p w14:paraId="6E194BD7">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用于中小型污水处理厂费用偏高。</w:t>
      </w:r>
    </w:p>
    <w:p w14:paraId="73A4F190">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污泥渗出液需化学除磷。</w:t>
      </w:r>
    </w:p>
    <w:p w14:paraId="3543FB9B">
      <w:pPr>
        <w:pageBreakBefore w:val="0"/>
        <w:wordWrap/>
        <w:bidi w:val="0"/>
        <w:adjustRightInd/>
        <w:snapToGrid/>
        <w:rPr>
          <w:rFonts w:hint="eastAsia"/>
          <w:b/>
          <w:bCs/>
          <w:color w:val="auto"/>
          <w:lang w:val="en-US" w:eastAsia="zh-CN"/>
        </w:rPr>
      </w:pPr>
      <w:r>
        <w:rPr>
          <w:rFonts w:hint="eastAsia"/>
          <w:b/>
          <w:bCs/>
          <w:color w:val="auto"/>
          <w:lang w:val="en-US" w:eastAsia="zh-CN"/>
        </w:rPr>
        <w:t>（2）移动床生物膜工艺（MBBR）</w:t>
      </w:r>
    </w:p>
    <w:p w14:paraId="63601B4A">
      <w:pPr>
        <w:pageBreakBefore w:val="0"/>
        <w:wordWrap/>
        <w:bidi w:val="0"/>
        <w:adjustRightInd/>
        <w:snapToGrid/>
        <w:rPr>
          <w:color w:val="auto"/>
        </w:rPr>
      </w:pPr>
      <w:r>
        <w:rPr>
          <w:rFonts w:hint="eastAsia"/>
          <w:color w:val="auto"/>
          <w:lang w:val="en-US" w:eastAsia="zh-CN"/>
        </w:rPr>
        <w:t>移动床生物膜工艺（MovingBedBiofilmReactor，MBBR），是目前国际上成熟的污水生化处理技术。自1989年第一套生物移动床工艺装置建成以来，已在50多个国家建成了数千套市政和工业废（污）水处理设施，取得了良好的效果。该工艺以悬浮填料为微生物提供生长载体，通过悬浮填料的充分流化，实现污水的高效处理。该工艺充分汲取了生物接触氧化及生物流化床的优点，克服了其传质效率低、处理效率差、流化动力高等缺点，运用生物膜法的基本原理，充分利用了活性污泥法的优点，实现生物膜工艺的活性污泥方式运行。MBBR工艺，按微生物存在形式划分，分为悬浮填料工艺（MBBR）及活性污泥-悬浮填料复合工艺。</w:t>
      </w:r>
    </w:p>
    <w:p w14:paraId="039FF162">
      <w:pPr>
        <w:pageBreakBefore w:val="0"/>
        <w:wordWrap/>
        <w:bidi w:val="0"/>
        <w:adjustRightInd/>
        <w:snapToGrid/>
        <w:rPr>
          <w:rFonts w:hint="eastAsia"/>
          <w:color w:val="auto"/>
        </w:rPr>
      </w:pPr>
      <w:r>
        <w:rPr>
          <w:rFonts w:hint="eastAsia"/>
          <w:color w:val="auto"/>
        </w:rPr>
        <w:t>技术关键在于研发比重接近于水，轻微搅拌下易于随水自由运动的生物填料，且生物填料具有有效表面积大、适合微生物附着生长等特点，填料的结构以具有受保护的可供微生物生长的内表面积为特征。</w:t>
      </w:r>
    </w:p>
    <w:p w14:paraId="5347D904">
      <w:pPr>
        <w:pageBreakBefore w:val="0"/>
        <w:wordWrap/>
        <w:bidi w:val="0"/>
        <w:adjustRightInd/>
        <w:snapToGrid/>
        <w:rPr>
          <w:rFonts w:hint="eastAsia" w:eastAsia="宋体"/>
          <w:color w:val="auto"/>
          <w:lang w:eastAsia="zh-CN"/>
        </w:rPr>
      </w:pPr>
      <w:r>
        <w:rPr>
          <w:rFonts w:hint="eastAsia"/>
          <w:color w:val="auto"/>
        </w:rPr>
        <w:t>MBBR工艺原理</w:t>
      </w:r>
      <w:r>
        <w:rPr>
          <w:rFonts w:hint="eastAsia"/>
          <w:color w:val="auto"/>
          <w:lang w:eastAsia="zh-CN"/>
        </w:rPr>
        <w:t>：</w:t>
      </w:r>
      <w:r>
        <w:rPr>
          <w:rFonts w:hint="eastAsia"/>
          <w:color w:val="auto"/>
        </w:rPr>
        <w:t>在好氧条件下，曝气充氧时，空气泡的上升浮力推动填料和周围的水体流动起来，当气流穿过水流和填料的空隙时又被填料阻滞，并被分割成小气泡。在这样的过程中，填料被充分地搅拌并与水流混合，而空气流又被充分地分割成细小的气泡，增加了生物膜与氧气的接触和传氧效率。在厌氧条件下，水流和填料在潜水搅拌器的作用下充分</w:t>
      </w:r>
      <w:r>
        <w:rPr>
          <w:rFonts w:hint="eastAsia"/>
          <w:color w:val="auto"/>
          <w:lang w:eastAsia="zh-CN"/>
        </w:rPr>
        <w:t>流动</w:t>
      </w:r>
      <w:r>
        <w:rPr>
          <w:rFonts w:hint="eastAsia"/>
          <w:color w:val="auto"/>
        </w:rPr>
        <w:t>起来，达到生物膜和被处理的污染物充分接触而降解的目的。因此，流动床生物膜工艺突破了传统生物膜法</w:t>
      </w:r>
      <w:r>
        <w:rPr>
          <w:rFonts w:hint="eastAsia"/>
          <w:color w:val="auto"/>
          <w:lang w:eastAsia="zh-CN"/>
        </w:rPr>
        <w:t>（</w:t>
      </w:r>
      <w:r>
        <w:rPr>
          <w:rFonts w:hint="eastAsia"/>
          <w:color w:val="auto"/>
        </w:rPr>
        <w:t>固定床生物膜工艺的堵塞和配水不均，以及生物流化床工艺的流化局限</w:t>
      </w:r>
      <w:r>
        <w:rPr>
          <w:rFonts w:hint="eastAsia"/>
          <w:color w:val="auto"/>
          <w:lang w:eastAsia="zh-CN"/>
        </w:rPr>
        <w:t>）</w:t>
      </w:r>
      <w:r>
        <w:rPr>
          <w:rFonts w:hint="eastAsia"/>
          <w:color w:val="auto"/>
        </w:rPr>
        <w:t>的限制</w:t>
      </w:r>
      <w:r>
        <w:rPr>
          <w:rFonts w:hint="eastAsia"/>
          <w:color w:val="auto"/>
          <w:lang w:eastAsia="zh-CN"/>
        </w:rPr>
        <w:t>，</w:t>
      </w:r>
      <w:r>
        <w:rPr>
          <w:rFonts w:hint="eastAsia"/>
          <w:color w:val="auto"/>
        </w:rPr>
        <w:t>为生物膜法更广泛地应用于污水的生物处理奠定了较好的基础</w:t>
      </w:r>
      <w:r>
        <w:rPr>
          <w:rFonts w:hint="eastAsia"/>
          <w:color w:val="auto"/>
          <w:lang w:eastAsia="zh-CN"/>
        </w:rPr>
        <w:t>。</w:t>
      </w:r>
    </w:p>
    <w:p w14:paraId="78FE69E2">
      <w:pPr>
        <w:pageBreakBefore w:val="0"/>
        <w:wordWrap/>
        <w:bidi w:val="0"/>
        <w:adjustRightInd/>
        <w:snapToGrid/>
        <w:rPr>
          <w:rFonts w:hint="eastAsia"/>
          <w:color w:val="auto"/>
        </w:rPr>
      </w:pPr>
      <w:r>
        <w:rPr>
          <w:rFonts w:hint="eastAsia"/>
          <w:color w:val="auto"/>
        </w:rPr>
        <w:t>MBBR工艺的核心是实现悬浮载体填料的充分流化，以达到强化处理污染物的目的，因此，该工艺实质是涉及生物填料、池体设计曝气系统、拦截筛网、推进器、填料投加与打捞设备的有机统一。</w:t>
      </w:r>
    </w:p>
    <w:p w14:paraId="18D1C1BB">
      <w:pPr>
        <w:pageBreakBefore w:val="0"/>
        <w:wordWrap/>
        <w:bidi w:val="0"/>
        <w:adjustRightInd/>
        <w:snapToGrid/>
        <w:rPr>
          <w:rFonts w:hint="eastAsia"/>
          <w:b/>
          <w:bCs/>
          <w:color w:val="auto"/>
        </w:rPr>
      </w:pPr>
      <w:r>
        <w:rPr>
          <w:rFonts w:hint="eastAsia"/>
          <w:b/>
          <w:bCs/>
          <w:color w:val="auto"/>
        </w:rPr>
        <w:t>MBBR工艺特点</w:t>
      </w:r>
    </w:p>
    <w:p w14:paraId="3777833A">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容积负荷高，节约占地</w:t>
      </w:r>
    </w:p>
    <w:p w14:paraId="0F92EC43">
      <w:pPr>
        <w:pageBreakBefore w:val="0"/>
        <w:wordWrap/>
        <w:bidi w:val="0"/>
        <w:adjustRightInd/>
        <w:snapToGrid/>
        <w:rPr>
          <w:rFonts w:hint="eastAsia"/>
          <w:color w:val="auto"/>
        </w:rPr>
      </w:pPr>
      <w:r>
        <w:rPr>
          <w:rFonts w:hint="eastAsia"/>
          <w:color w:val="auto"/>
        </w:rPr>
        <w:t>通过向反应池中投加生物填料，对比活性污泥法，可显著提高有效生物量，对比生物膜法，填料流化显著提高传质效果。占地可较活性污泥法节约30%-50%用地。</w:t>
      </w:r>
    </w:p>
    <w:p w14:paraId="5E765651">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可同步强化脱氮除磷</w:t>
      </w:r>
    </w:p>
    <w:p w14:paraId="2870BFE3">
      <w:pPr>
        <w:pageBreakBefore w:val="0"/>
        <w:wordWrap/>
        <w:bidi w:val="0"/>
        <w:adjustRightInd/>
        <w:snapToGrid/>
        <w:rPr>
          <w:rFonts w:hint="eastAsia"/>
          <w:color w:val="auto"/>
        </w:rPr>
      </w:pPr>
      <w:r>
        <w:rPr>
          <w:rFonts w:hint="eastAsia"/>
          <w:color w:val="auto"/>
        </w:rPr>
        <w:t>采用活性污泥-悬浮填料复合工艺，可实现同一反应器内不同功能微生物的污泥龄分离。脱氮菌群</w:t>
      </w:r>
      <w:r>
        <w:rPr>
          <w:rFonts w:hint="eastAsia"/>
          <w:color w:val="auto"/>
          <w:lang w:eastAsia="zh-CN"/>
        </w:rPr>
        <w:t>（</w:t>
      </w:r>
      <w:r>
        <w:rPr>
          <w:rFonts w:hint="eastAsia"/>
          <w:color w:val="auto"/>
        </w:rPr>
        <w:t>硝化菌群</w:t>
      </w:r>
      <w:r>
        <w:rPr>
          <w:rFonts w:hint="eastAsia"/>
          <w:color w:val="auto"/>
          <w:lang w:eastAsia="zh-CN"/>
        </w:rPr>
        <w:t>）</w:t>
      </w:r>
      <w:r>
        <w:rPr>
          <w:rFonts w:hint="eastAsia"/>
          <w:color w:val="auto"/>
        </w:rPr>
        <w:t>一般为长泥龄细菌需较长泥龄</w:t>
      </w:r>
      <w:r>
        <w:rPr>
          <w:rFonts w:hint="eastAsia"/>
          <w:color w:val="auto"/>
          <w:lang w:eastAsia="zh-CN"/>
        </w:rPr>
        <w:t>（</w:t>
      </w:r>
      <w:r>
        <w:rPr>
          <w:rFonts w:hint="eastAsia"/>
          <w:color w:val="auto"/>
        </w:rPr>
        <w:t>15-25d</w:t>
      </w:r>
      <w:r>
        <w:rPr>
          <w:rFonts w:hint="eastAsia"/>
          <w:color w:val="auto"/>
          <w:lang w:eastAsia="zh-CN"/>
        </w:rPr>
        <w:t>）；</w:t>
      </w:r>
      <w:r>
        <w:rPr>
          <w:rFonts w:hint="eastAsia"/>
          <w:color w:val="auto"/>
        </w:rPr>
        <w:t>除磷菌群</w:t>
      </w:r>
      <w:r>
        <w:rPr>
          <w:rFonts w:hint="eastAsia"/>
          <w:color w:val="auto"/>
          <w:lang w:eastAsia="zh-CN"/>
        </w:rPr>
        <w:t>（</w:t>
      </w:r>
      <w:r>
        <w:rPr>
          <w:rFonts w:hint="eastAsia"/>
          <w:color w:val="auto"/>
        </w:rPr>
        <w:t>聚磷菌</w:t>
      </w:r>
      <w:r>
        <w:rPr>
          <w:rFonts w:hint="eastAsia"/>
          <w:color w:val="auto"/>
          <w:lang w:eastAsia="zh-CN"/>
        </w:rPr>
        <w:t>）</w:t>
      </w:r>
      <w:r>
        <w:rPr>
          <w:rFonts w:hint="eastAsia"/>
          <w:color w:val="auto"/>
        </w:rPr>
        <w:t>一般为短泥龄细菌，需较短泥龄</w:t>
      </w:r>
      <w:r>
        <w:rPr>
          <w:rFonts w:hint="eastAsia"/>
          <w:color w:val="auto"/>
          <w:lang w:eastAsia="zh-CN"/>
        </w:rPr>
        <w:t>（</w:t>
      </w:r>
      <w:r>
        <w:rPr>
          <w:rFonts w:hint="eastAsia"/>
          <w:color w:val="auto"/>
        </w:rPr>
        <w:t>3-7d</w:t>
      </w:r>
      <w:r>
        <w:rPr>
          <w:rFonts w:hint="eastAsia"/>
          <w:color w:val="auto"/>
          <w:lang w:eastAsia="zh-CN"/>
        </w:rPr>
        <w:t>）；</w:t>
      </w:r>
      <w:r>
        <w:rPr>
          <w:rFonts w:hint="eastAsia"/>
          <w:color w:val="auto"/>
        </w:rPr>
        <w:t>泥龄过长，易导致微生物活性较差处理负荷降低、老化难以聚集降低沉降性能等，实际传统脱氮除磷工艺在污泥龄上存在不可调和的矛盾。复合工艺由于生物填料的投加，为硝化细菌的生长提供了载体，延长其污泥龄，提高脱氮效果</w:t>
      </w:r>
      <w:r>
        <w:rPr>
          <w:rFonts w:hint="eastAsia"/>
          <w:color w:val="auto"/>
          <w:lang w:eastAsia="zh-CN"/>
        </w:rPr>
        <w:t>；</w:t>
      </w:r>
      <w:r>
        <w:rPr>
          <w:rFonts w:hint="eastAsia"/>
          <w:color w:val="auto"/>
        </w:rPr>
        <w:t>同时控制活性污泥体系为短泥龄，可增强除磷效果</w:t>
      </w:r>
      <w:r>
        <w:rPr>
          <w:rFonts w:hint="eastAsia"/>
          <w:color w:val="auto"/>
          <w:lang w:eastAsia="zh-CN"/>
        </w:rPr>
        <w:t>；</w:t>
      </w:r>
      <w:r>
        <w:rPr>
          <w:rFonts w:hint="eastAsia"/>
          <w:color w:val="auto"/>
        </w:rPr>
        <w:t>泥-膜在曝气及水流带动下充分流化，促进生物膜更新，防止泥龄过长、污泥老化处理性能下降</w:t>
      </w:r>
      <w:r>
        <w:rPr>
          <w:rFonts w:hint="eastAsia"/>
          <w:color w:val="auto"/>
          <w:lang w:eastAsia="zh-CN"/>
        </w:rPr>
        <w:t>；</w:t>
      </w:r>
      <w:r>
        <w:rPr>
          <w:rFonts w:hint="eastAsia"/>
          <w:color w:val="auto"/>
        </w:rPr>
        <w:t>冬季水温较低、活性污泥系统不利于硝化菌群生长时，脱落生物膜对活性污泥起到持续接种作用，维持系统硝化性能不下降。</w:t>
      </w:r>
    </w:p>
    <w:p w14:paraId="127E54F0">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抗冲击负荷能力强，恶劣水质条件下仍表现较好处理效果</w:t>
      </w:r>
    </w:p>
    <w:p w14:paraId="2BE71C99">
      <w:pPr>
        <w:pageBreakBefore w:val="0"/>
        <w:wordWrap/>
        <w:bidi w:val="0"/>
        <w:adjustRightInd/>
        <w:snapToGrid/>
        <w:rPr>
          <w:rFonts w:hint="eastAsia"/>
          <w:color w:val="auto"/>
        </w:rPr>
      </w:pPr>
      <w:r>
        <w:rPr>
          <w:rFonts w:hint="eastAsia"/>
          <w:color w:val="auto"/>
        </w:rPr>
        <w:t>冲击负荷主要表现为常规污染物水质冲击、毒害污染物水质冲击和水量冲击，本质是单位时间内单位表面积微生物所承载的污染物量的变化对处理效果的影响。</w:t>
      </w:r>
    </w:p>
    <w:p w14:paraId="1AB8B397">
      <w:pPr>
        <w:pageBreakBefore w:val="0"/>
        <w:wordWrap/>
        <w:bidi w:val="0"/>
        <w:adjustRightInd/>
        <w:snapToGrid/>
        <w:rPr>
          <w:rFonts w:hint="eastAsia"/>
          <w:color w:val="auto"/>
        </w:rPr>
      </w:pPr>
      <w:r>
        <w:rPr>
          <w:rFonts w:hint="eastAsia"/>
          <w:color w:val="auto"/>
        </w:rPr>
        <w:t>4</w:t>
      </w:r>
      <w:r>
        <w:rPr>
          <w:rFonts w:hint="eastAsia"/>
          <w:color w:val="auto"/>
          <w:lang w:eastAsia="zh-CN"/>
        </w:rPr>
        <w:t>）</w:t>
      </w:r>
      <w:r>
        <w:rPr>
          <w:rFonts w:hint="eastAsia"/>
          <w:color w:val="auto"/>
        </w:rPr>
        <w:t>不易发生污泥膨胀等问题</w:t>
      </w:r>
    </w:p>
    <w:p w14:paraId="0C5DA796">
      <w:pPr>
        <w:pageBreakBefore w:val="0"/>
        <w:wordWrap/>
        <w:bidi w:val="0"/>
        <w:adjustRightInd/>
        <w:snapToGrid/>
        <w:rPr>
          <w:rFonts w:hint="eastAsia"/>
          <w:color w:val="auto"/>
        </w:rPr>
      </w:pPr>
      <w:r>
        <w:rPr>
          <w:rFonts w:hint="eastAsia"/>
          <w:color w:val="auto"/>
        </w:rPr>
        <w:t>采用纯MBBR系统，因为为纯膜法，无污泥膨胀问题</w:t>
      </w:r>
      <w:r>
        <w:rPr>
          <w:rFonts w:hint="eastAsia"/>
          <w:color w:val="auto"/>
          <w:lang w:eastAsia="zh-CN"/>
        </w:rPr>
        <w:t>：</w:t>
      </w:r>
      <w:r>
        <w:rPr>
          <w:rFonts w:hint="eastAsia"/>
          <w:color w:val="auto"/>
        </w:rPr>
        <w:t>采用活性污泥-悬浮填料复合工艺时，由于老化脱落的生物膜无机质比例较高，密度大易于沉降</w:t>
      </w:r>
      <w:r>
        <w:rPr>
          <w:rFonts w:hint="eastAsia"/>
          <w:color w:val="auto"/>
          <w:lang w:eastAsia="zh-CN"/>
        </w:rPr>
        <w:t>；</w:t>
      </w:r>
      <w:r>
        <w:rPr>
          <w:rFonts w:hint="eastAsia"/>
          <w:color w:val="auto"/>
        </w:rPr>
        <w:t>且生物膜胞外聚合物比活性污泥更多，具有接触絮凝效果，提高污泥聚集性能，提高污泥沉降性能。</w:t>
      </w:r>
    </w:p>
    <w:p w14:paraId="2E13F3A6">
      <w:pPr>
        <w:pageBreakBefore w:val="0"/>
        <w:wordWrap/>
        <w:bidi w:val="0"/>
        <w:adjustRightInd/>
        <w:snapToGrid/>
        <w:rPr>
          <w:rFonts w:hint="eastAsia"/>
          <w:color w:val="auto"/>
        </w:rPr>
      </w:pPr>
      <w:r>
        <w:rPr>
          <w:rFonts w:hint="eastAsia"/>
          <w:color w:val="auto"/>
        </w:rPr>
        <w:t>MBBR反应器的主要缺点是</w:t>
      </w:r>
      <w:r>
        <w:rPr>
          <w:rFonts w:hint="eastAsia"/>
          <w:color w:val="auto"/>
          <w:lang w:eastAsia="zh-CN"/>
        </w:rPr>
        <w:t>：</w:t>
      </w:r>
      <w:r>
        <w:rPr>
          <w:rFonts w:hint="eastAsia"/>
          <w:color w:val="auto"/>
        </w:rPr>
        <w:t>MBBR反应器中的填料通过曝气和水流流态化。但在实际工程中，局部填料容易堆积。系统内的填料拦网非常容易发生局部堵塞的问题、同时填料的局部淤积也经常出现，严重影响了填料流化以及工艺处理效果。</w:t>
      </w:r>
    </w:p>
    <w:p w14:paraId="36313DA8">
      <w:pPr>
        <w:pageBreakBefore w:val="0"/>
        <w:wordWrap/>
        <w:bidi w:val="0"/>
        <w:adjustRightInd/>
        <w:snapToGrid/>
        <w:rPr>
          <w:rFonts w:hint="eastAsia" w:eastAsia="宋体"/>
          <w:color w:val="auto"/>
          <w:lang w:eastAsia="zh-CN"/>
        </w:rPr>
      </w:pPr>
      <w:r>
        <w:rPr>
          <w:rFonts w:hint="eastAsia"/>
          <w:color w:val="auto"/>
        </w:rPr>
        <w:t>以上原因造成MBBR工艺未能大规模推广</w:t>
      </w:r>
      <w:r>
        <w:rPr>
          <w:rFonts w:hint="eastAsia"/>
          <w:color w:val="auto"/>
          <w:lang w:eastAsia="zh-CN"/>
        </w:rPr>
        <w:t>。</w:t>
      </w:r>
    </w:p>
    <w:p w14:paraId="58919345">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MBR工艺</w:t>
      </w:r>
    </w:p>
    <w:p w14:paraId="39C8B583">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膜生物反应器的原理</w:t>
      </w:r>
    </w:p>
    <w:p w14:paraId="24F7C556">
      <w:pPr>
        <w:pageBreakBefore w:val="0"/>
        <w:wordWrap/>
        <w:bidi w:val="0"/>
        <w:adjustRightInd/>
        <w:snapToGrid/>
        <w:rPr>
          <w:rFonts w:hint="eastAsia"/>
          <w:color w:val="auto"/>
        </w:rPr>
      </w:pPr>
      <w:r>
        <w:rPr>
          <w:rFonts w:hint="eastAsia"/>
          <w:color w:val="auto"/>
        </w:rPr>
        <w:t>膜-生物反应器</w:t>
      </w:r>
      <w:r>
        <w:rPr>
          <w:rFonts w:hint="eastAsia"/>
          <w:color w:val="auto"/>
          <w:lang w:eastAsia="zh-CN"/>
        </w:rPr>
        <w:t>（</w:t>
      </w:r>
      <w:r>
        <w:rPr>
          <w:rFonts w:hint="eastAsia"/>
          <w:color w:val="auto"/>
        </w:rPr>
        <w:t>MBR</w:t>
      </w:r>
      <w:r>
        <w:rPr>
          <w:rFonts w:hint="eastAsia"/>
          <w:color w:val="auto"/>
          <w:lang w:eastAsia="zh-CN"/>
        </w:rPr>
        <w:t>）</w:t>
      </w:r>
      <w:r>
        <w:rPr>
          <w:rFonts w:hint="eastAsia"/>
          <w:color w:val="auto"/>
        </w:rPr>
        <w:t>是一种将膜分离技术与传统污水生物处理工艺有机结合的新型高效污水处理与回用工艺，近年来在国际水处理技术领域日益得到广泛关注。在国内再生水处理工程中也得到了较大的推广和应用。</w:t>
      </w:r>
    </w:p>
    <w:p w14:paraId="2B82FEF9">
      <w:pPr>
        <w:pageBreakBefore w:val="0"/>
        <w:wordWrap/>
        <w:bidi w:val="0"/>
        <w:adjustRightInd/>
        <w:snapToGrid/>
        <w:rPr>
          <w:rFonts w:hint="eastAsia"/>
          <w:color w:val="auto"/>
        </w:rPr>
      </w:pPr>
      <w:r>
        <w:rPr>
          <w:rFonts w:hint="eastAsia"/>
          <w:color w:val="auto"/>
        </w:rPr>
        <w:t>一体式膜</w:t>
      </w:r>
      <w:r>
        <w:rPr>
          <w:rFonts w:hint="eastAsia"/>
          <w:color w:val="auto"/>
          <w:lang w:val="en-US" w:eastAsia="zh-CN"/>
        </w:rPr>
        <w:t>-</w:t>
      </w:r>
      <w:r>
        <w:rPr>
          <w:rFonts w:hint="eastAsia"/>
          <w:color w:val="auto"/>
        </w:rPr>
        <w:t>生物反应器具有出水水质好、占地面积省的特点。该技术通过膜组件的高效分离作用，大大提高了泥水分离效率，并且由于曝气池中活性污泥浓度的增大和污泥中优势菌的出现，提高了生化反应速率。同时，该工艺能大大减少剩余污泥的产量，从而基本解决了传统生物方法存在的剩余污泥产量大、占地面积大、运行效率低等突出问题。</w:t>
      </w:r>
    </w:p>
    <w:p w14:paraId="6B4E7E83">
      <w:pPr>
        <w:pageBreakBefore w:val="0"/>
        <w:wordWrap/>
        <w:bidi w:val="0"/>
        <w:adjustRightInd/>
        <w:snapToGrid/>
        <w:rPr>
          <w:rFonts w:hint="eastAsia"/>
          <w:color w:val="auto"/>
        </w:rPr>
      </w:pPr>
      <w:r>
        <w:rPr>
          <w:rFonts w:hint="eastAsia"/>
          <w:color w:val="auto"/>
        </w:rPr>
        <w:t>MBR工艺中，将超滤膜箱直接浸没在曝气池中或将膜箱装于单独的膜池中以更方便膜清洗。多个膜箱连接在一起形成一个膜列，直接与透过液母管连接，透过液母管则通过一个透过液泵将过滤水抽出。</w:t>
      </w:r>
    </w:p>
    <w:p w14:paraId="32825FB9">
      <w:pPr>
        <w:pageBreakBefore w:val="0"/>
        <w:wordWrap/>
        <w:bidi w:val="0"/>
        <w:adjustRightInd/>
        <w:snapToGrid/>
        <w:rPr>
          <w:rFonts w:hint="eastAsia"/>
          <w:color w:val="auto"/>
        </w:rPr>
      </w:pPr>
      <w:r>
        <w:rPr>
          <w:rFonts w:hint="eastAsia"/>
          <w:color w:val="auto"/>
        </w:rPr>
        <w:t>该透过液泵采用负压抽吸的方式将膜池中的污泥混合液中的清水，通过中空纤维膜上的微孔</w:t>
      </w:r>
      <w:r>
        <w:rPr>
          <w:rFonts w:hint="eastAsia"/>
          <w:color w:val="auto"/>
          <w:lang w:eastAsia="zh-CN"/>
        </w:rPr>
        <w:t>（</w:t>
      </w:r>
      <w:r>
        <w:rPr>
          <w:rFonts w:hint="eastAsia"/>
          <w:color w:val="auto"/>
        </w:rPr>
        <w:t>0.04微米</w:t>
      </w:r>
      <w:r>
        <w:rPr>
          <w:rFonts w:hint="eastAsia"/>
          <w:color w:val="auto"/>
          <w:lang w:eastAsia="zh-CN"/>
        </w:rPr>
        <w:t>）</w:t>
      </w:r>
      <w:r>
        <w:rPr>
          <w:rFonts w:hint="eastAsia"/>
          <w:color w:val="auto"/>
        </w:rPr>
        <w:t>过滤而抽出，并送至排放管，进行消毒，排放或回用。这样，干净的水经过滤后抽出，而浓缩的污泥混合液则将通过污泥回流泵被送到前部的生物反应器中。</w:t>
      </w:r>
    </w:p>
    <w:p w14:paraId="44FECDB0">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膜-生物反应器的优点</w:t>
      </w:r>
    </w:p>
    <w:p w14:paraId="62177BA9">
      <w:pPr>
        <w:pageBreakBefore w:val="0"/>
        <w:wordWrap/>
        <w:bidi w:val="0"/>
        <w:adjustRightInd/>
        <w:snapToGrid/>
        <w:rPr>
          <w:rFonts w:hint="eastAsia"/>
          <w:color w:val="auto"/>
        </w:rPr>
      </w:pPr>
      <w:r>
        <w:rPr>
          <w:rFonts w:hint="eastAsia"/>
          <w:color w:val="auto"/>
        </w:rPr>
        <w:t>在膜生物反应器中，由中空纤维膜组成的膜组件浸放于好氧曝气区中，由于中空纤维膜0.01微米的孔径可完全阻止细菌的通过，所以将菌胶团和游离细菌全部保留在曝气池中，只将过滤过的水汇入集水管中排出，从而达到泥水分离，各种悬浮颗粒、细菌、藻类、浊度均得到有效的去除，保证了出水悬浮物接近零的优良出水水质。由于微滤膜的近乎百分之百的菌种隔离作用，可使曝气池中的生物浓度达到一万毫克/升以上，这样不仅提高了曝气池抗冲击负荷的能力，提高了曝气池的负荷能力，而且大大减少了所需的曝气池容积。池容积的缩小又相应大比例降低了生化系统的土建投资费用。</w:t>
      </w:r>
    </w:p>
    <w:p w14:paraId="29DCFC71">
      <w:pPr>
        <w:pageBreakBefore w:val="0"/>
        <w:wordWrap/>
        <w:bidi w:val="0"/>
        <w:adjustRightInd/>
        <w:snapToGrid/>
        <w:rPr>
          <w:rFonts w:hint="eastAsia"/>
          <w:color w:val="auto"/>
        </w:rPr>
      </w:pPr>
      <w:r>
        <w:rPr>
          <w:rFonts w:hint="eastAsia"/>
          <w:color w:val="auto"/>
        </w:rPr>
        <w:t>通过和传统的活性污泥法及生物膜法比较，MBR工艺有以下特点：</w:t>
      </w:r>
    </w:p>
    <w:p w14:paraId="4FD45E2E">
      <w:pPr>
        <w:pageBreakBefore w:val="0"/>
        <w:wordWrap/>
        <w:bidi w:val="0"/>
        <w:adjustRightInd/>
        <w:snapToGrid/>
        <w:rPr>
          <w:color w:val="auto"/>
        </w:rPr>
      </w:pPr>
      <w:r>
        <w:rPr>
          <w:rFonts w:hint="eastAsia"/>
          <w:color w:val="auto"/>
        </w:rPr>
        <w:t>①出水水质标准高，品质稳定。膜生物反应器采用PVDF膜，其平均孔径是0.03微米，能够高效地进行固液分离，悬浮物和浊度接近于零，可直接回用；</w:t>
      </w:r>
    </w:p>
    <w:p w14:paraId="76CC3FA2">
      <w:pPr>
        <w:pageBreakBefore w:val="0"/>
        <w:wordWrap/>
        <w:bidi w:val="0"/>
        <w:adjustRightInd/>
        <w:snapToGrid/>
        <w:rPr>
          <w:rFonts w:hint="eastAsia"/>
          <w:color w:val="auto"/>
        </w:rPr>
      </w:pPr>
      <w:r>
        <w:rPr>
          <w:rFonts w:hint="eastAsia"/>
          <w:color w:val="auto"/>
        </w:rPr>
        <w:t>②运行控制更加灵活稳定。膜的高效截流作用，使微生物完全截流在反应器内，实现了反应器水力停留时间</w:t>
      </w:r>
      <w:r>
        <w:rPr>
          <w:rFonts w:hint="eastAsia"/>
          <w:color w:val="auto"/>
          <w:lang w:eastAsia="zh-CN"/>
        </w:rPr>
        <w:t>（</w:t>
      </w:r>
      <w:r>
        <w:rPr>
          <w:rFonts w:hint="eastAsia"/>
          <w:color w:val="auto"/>
        </w:rPr>
        <w:t>HRT</w:t>
      </w:r>
      <w:r>
        <w:rPr>
          <w:rFonts w:hint="eastAsia"/>
          <w:color w:val="auto"/>
          <w:lang w:eastAsia="zh-CN"/>
        </w:rPr>
        <w:t>）</w:t>
      </w:r>
      <w:r>
        <w:rPr>
          <w:rFonts w:hint="eastAsia"/>
          <w:color w:val="auto"/>
        </w:rPr>
        <w:t>和污泥龄</w:t>
      </w:r>
      <w:r>
        <w:rPr>
          <w:rFonts w:hint="eastAsia"/>
          <w:color w:val="auto"/>
          <w:lang w:eastAsia="zh-CN"/>
        </w:rPr>
        <w:t>（</w:t>
      </w:r>
      <w:r>
        <w:rPr>
          <w:rFonts w:hint="eastAsia"/>
          <w:color w:val="auto"/>
        </w:rPr>
        <w:t>SRT</w:t>
      </w:r>
      <w:r>
        <w:rPr>
          <w:rFonts w:hint="eastAsia"/>
          <w:color w:val="auto"/>
          <w:lang w:eastAsia="zh-CN"/>
        </w:rPr>
        <w:t>）</w:t>
      </w:r>
      <w:r>
        <w:rPr>
          <w:rFonts w:hint="eastAsia"/>
          <w:color w:val="auto"/>
        </w:rPr>
        <w:t>的完全分离；</w:t>
      </w:r>
    </w:p>
    <w:p w14:paraId="312E52CC">
      <w:pPr>
        <w:pageBreakBefore w:val="0"/>
        <w:wordWrap/>
        <w:bidi w:val="0"/>
        <w:adjustRightInd/>
        <w:snapToGrid/>
        <w:rPr>
          <w:rFonts w:hint="eastAsia"/>
          <w:color w:val="auto"/>
        </w:rPr>
      </w:pPr>
      <w:r>
        <w:rPr>
          <w:rFonts w:hint="eastAsia"/>
          <w:color w:val="auto"/>
        </w:rPr>
        <w:t>③对水质水量的变化适应力强，耐冲击负荷强。解决了传统活性污泥法造成的沉淀部分对最大生物浓度的限制，反应器内的微生物浓度高，是传统方法的2</w:t>
      </w:r>
      <w:r>
        <w:rPr>
          <w:rFonts w:hint="eastAsia"/>
          <w:color w:val="auto"/>
          <w:lang w:eastAsia="zh-CN"/>
        </w:rPr>
        <w:t>~</w:t>
      </w:r>
      <w:r>
        <w:rPr>
          <w:rFonts w:hint="eastAsia"/>
          <w:color w:val="auto"/>
        </w:rPr>
        <w:t>3倍，达8000</w:t>
      </w:r>
      <w:r>
        <w:rPr>
          <w:rFonts w:hint="eastAsia"/>
          <w:color w:val="auto"/>
          <w:lang w:val="en-US" w:eastAsia="zh-CN"/>
        </w:rPr>
        <w:t>~</w:t>
      </w:r>
      <w:r>
        <w:rPr>
          <w:rFonts w:hint="eastAsia"/>
          <w:color w:val="auto"/>
        </w:rPr>
        <w:t>10000毫克/升，在进水有机物浓度较低的情况下，污泥浓度可以控制在3000</w:t>
      </w:r>
      <w:r>
        <w:rPr>
          <w:rFonts w:hint="eastAsia"/>
          <w:color w:val="auto"/>
          <w:lang w:eastAsia="zh-CN"/>
        </w:rPr>
        <w:t>~</w:t>
      </w:r>
      <w:r>
        <w:rPr>
          <w:rFonts w:hint="eastAsia"/>
          <w:color w:val="auto"/>
        </w:rPr>
        <w:t>4000毫克/升。尤其是在冬季进水水温条件较低的条件下，依靠高浓度的微生物，依然可保持较强的生物活性；</w:t>
      </w:r>
    </w:p>
    <w:p w14:paraId="49B1668C">
      <w:pPr>
        <w:pageBreakBefore w:val="0"/>
        <w:wordWrap/>
        <w:bidi w:val="0"/>
        <w:adjustRightInd/>
        <w:snapToGrid/>
        <w:rPr>
          <w:rFonts w:hint="eastAsia"/>
          <w:color w:val="auto"/>
        </w:rPr>
      </w:pPr>
      <w:r>
        <w:rPr>
          <w:rFonts w:hint="eastAsia"/>
          <w:color w:val="auto"/>
        </w:rPr>
        <w:t>④脱氮效果好。有利于增殖缓慢的硝化细菌及其它细菌的截流、生长和繁殖，系统硝化效率、COD去除率等各项指标得以提高，反应时间也大大缩短；同时大的有机物被截留在池内，保证其被继续降解；</w:t>
      </w:r>
    </w:p>
    <w:p w14:paraId="643B4365">
      <w:pPr>
        <w:pageBreakBefore w:val="0"/>
        <w:wordWrap/>
        <w:bidi w:val="0"/>
        <w:adjustRightInd/>
        <w:snapToGrid/>
        <w:rPr>
          <w:rFonts w:hint="eastAsia"/>
          <w:color w:val="auto"/>
        </w:rPr>
      </w:pPr>
      <w:r>
        <w:rPr>
          <w:rFonts w:hint="eastAsia"/>
          <w:color w:val="auto"/>
        </w:rPr>
        <w:t>⑤模块化设计易于扩容，具有很高的灵活性；</w:t>
      </w:r>
    </w:p>
    <w:p w14:paraId="322C2C11">
      <w:pPr>
        <w:pageBreakBefore w:val="0"/>
        <w:wordWrap/>
        <w:bidi w:val="0"/>
        <w:adjustRightInd/>
        <w:snapToGrid/>
        <w:rPr>
          <w:rFonts w:hint="eastAsia"/>
          <w:color w:val="auto"/>
        </w:rPr>
      </w:pPr>
      <w:r>
        <w:rPr>
          <w:rFonts w:hint="eastAsia"/>
          <w:color w:val="auto"/>
        </w:rPr>
        <w:t>⑥系统采用PLC控制，可实现全程自动化控制，运行管理方便；</w:t>
      </w:r>
    </w:p>
    <w:p w14:paraId="2A5EBB8B">
      <w:pPr>
        <w:pageBreakBefore w:val="0"/>
        <w:wordWrap/>
        <w:bidi w:val="0"/>
        <w:adjustRightInd/>
        <w:snapToGrid/>
        <w:rPr>
          <w:rFonts w:hint="eastAsia"/>
          <w:color w:val="auto"/>
        </w:rPr>
      </w:pPr>
      <w:r>
        <w:rPr>
          <w:rFonts w:hint="eastAsia"/>
          <w:color w:val="auto"/>
        </w:rPr>
        <w:t>⑦污泥量少。污泥龄长，膜分离使污水中的大分子难降解成分在生物反应器内有足够的停留时间。反应器在高容积负荷、低污泥负荷、长泥龄条件下运行，剩余污泥排放量不到传统方法的70%。</w:t>
      </w:r>
    </w:p>
    <w:p w14:paraId="349F4E11">
      <w:pPr>
        <w:pageBreakBefore w:val="0"/>
        <w:wordWrap/>
        <w:bidi w:val="0"/>
        <w:adjustRightInd/>
        <w:snapToGrid/>
        <w:rPr>
          <w:color w:val="auto"/>
        </w:rPr>
      </w:pPr>
      <w:r>
        <w:rPr>
          <w:rFonts w:hint="eastAsia"/>
          <w:color w:val="auto"/>
        </w:rPr>
        <w:t>⑧容积负荷高，占地少。</w:t>
      </w:r>
    </w:p>
    <w:p w14:paraId="1454DBBB">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4</w:t>
      </w:r>
      <w:r>
        <w:rPr>
          <w:rFonts w:hint="eastAsia"/>
          <w:b/>
          <w:bCs/>
          <w:color w:val="auto"/>
          <w:lang w:eastAsia="zh-CN"/>
        </w:rPr>
        <w:t>）</w:t>
      </w:r>
      <w:r>
        <w:rPr>
          <w:rFonts w:hint="eastAsia"/>
          <w:b/>
          <w:bCs/>
          <w:color w:val="auto"/>
        </w:rPr>
        <w:t>EBIS工艺</w:t>
      </w:r>
    </w:p>
    <w:p w14:paraId="65B29361">
      <w:pPr>
        <w:pageBreakBefore w:val="0"/>
        <w:wordWrap/>
        <w:bidi w:val="0"/>
        <w:adjustRightInd/>
        <w:snapToGrid/>
        <w:rPr>
          <w:rFonts w:hint="eastAsia"/>
          <w:color w:val="auto"/>
        </w:rPr>
      </w:pPr>
      <w:r>
        <w:rPr>
          <w:rFonts w:hint="eastAsia"/>
          <w:color w:val="auto"/>
          <w:lang w:eastAsia="zh-CN"/>
        </w:rPr>
        <w:t>（</w:t>
      </w:r>
      <w:r>
        <w:rPr>
          <w:rFonts w:hint="eastAsia"/>
          <w:color w:val="auto"/>
        </w:rPr>
        <w:t>一</w:t>
      </w:r>
      <w:r>
        <w:rPr>
          <w:rFonts w:hint="eastAsia"/>
          <w:color w:val="auto"/>
          <w:lang w:eastAsia="zh-CN"/>
        </w:rPr>
        <w:t>）</w:t>
      </w:r>
      <w:r>
        <w:rPr>
          <w:rFonts w:hint="eastAsia"/>
          <w:color w:val="auto"/>
        </w:rPr>
        <w:t>EBIS工艺的主要理论基础</w:t>
      </w:r>
    </w:p>
    <w:p w14:paraId="2F4C23B2">
      <w:pPr>
        <w:pageBreakBefore w:val="0"/>
        <w:wordWrap/>
        <w:bidi w:val="0"/>
        <w:adjustRightInd/>
        <w:snapToGrid/>
        <w:rPr>
          <w:rFonts w:hint="eastAsia"/>
          <w:color w:val="auto"/>
        </w:rPr>
      </w:pPr>
      <w:r>
        <w:rPr>
          <w:rFonts w:hint="eastAsia"/>
          <w:color w:val="auto"/>
        </w:rPr>
        <w:t>EBIS工艺污水生物处理，主要有四个基本原则：</w:t>
      </w:r>
    </w:p>
    <w:p w14:paraId="51627CA6">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在较高浓度的活性污泥中，培养尽可能多、生长速度慢的特殊菌种，来降解污水中难降解的有机物。</w:t>
      </w:r>
    </w:p>
    <w:p w14:paraId="5B8A8928">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进行大比倍循环稀释，并在每个循环过程中处理尽可能少的有机物，同时使进水与出水的浓度梯度尽可能达到最小，处理难度最低。</w:t>
      </w:r>
    </w:p>
    <w:p w14:paraId="25BA79DE">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溶解氧浓度稳定的控制在0.5mg/L左右，溶解氧浓度的控制是通过溶解氧监测仪自控回路控制鼓风机风量来实现。</w:t>
      </w:r>
    </w:p>
    <w:p w14:paraId="548C4482">
      <w:pPr>
        <w:pageBreakBefore w:val="0"/>
        <w:wordWrap/>
        <w:bidi w:val="0"/>
        <w:adjustRightInd/>
        <w:snapToGrid/>
        <w:rPr>
          <w:color w:val="auto"/>
        </w:rPr>
      </w:pPr>
      <w:r>
        <w:rPr>
          <w:rFonts w:hint="eastAsia"/>
          <w:color w:val="auto"/>
        </w:rPr>
        <w:t>4</w:t>
      </w:r>
      <w:r>
        <w:rPr>
          <w:rFonts w:hint="eastAsia"/>
          <w:color w:val="auto"/>
          <w:lang w:eastAsia="zh-CN"/>
        </w:rPr>
        <w:t>）</w:t>
      </w:r>
      <w:r>
        <w:rPr>
          <w:rFonts w:hint="eastAsia"/>
          <w:color w:val="auto"/>
        </w:rPr>
        <w:t>由于微生物菌群和特性的改变，以及水力结构和快速澄清系统的特性，使得生物池中活性污泥浓度均匀稳定在较高水平上。</w:t>
      </w:r>
    </w:p>
    <w:p w14:paraId="1510E38F">
      <w:pPr>
        <w:pageBreakBefore w:val="0"/>
        <w:wordWrap/>
        <w:bidi w:val="0"/>
        <w:adjustRightInd/>
        <w:snapToGrid/>
        <w:rPr>
          <w:rFonts w:hint="eastAsia"/>
          <w:color w:val="auto"/>
        </w:rPr>
      </w:pPr>
      <w:r>
        <w:rPr>
          <w:rFonts w:hint="eastAsia"/>
          <w:color w:val="auto"/>
          <w:lang w:eastAsia="zh-CN"/>
        </w:rPr>
        <w:t>（</w:t>
      </w:r>
      <w:r>
        <w:rPr>
          <w:rFonts w:hint="eastAsia"/>
          <w:color w:val="auto"/>
        </w:rPr>
        <w:t>二</w:t>
      </w:r>
      <w:r>
        <w:rPr>
          <w:rFonts w:hint="eastAsia"/>
          <w:color w:val="auto"/>
          <w:lang w:eastAsia="zh-CN"/>
        </w:rPr>
        <w:t>）</w:t>
      </w:r>
      <w:r>
        <w:rPr>
          <w:rFonts w:hint="eastAsia"/>
          <w:color w:val="auto"/>
        </w:rPr>
        <w:t>除碳</w:t>
      </w:r>
    </w:p>
    <w:p w14:paraId="48526107">
      <w:pPr>
        <w:pageBreakBefore w:val="0"/>
        <w:wordWrap/>
        <w:bidi w:val="0"/>
        <w:adjustRightInd/>
        <w:snapToGrid/>
        <w:rPr>
          <w:rFonts w:hint="eastAsia"/>
          <w:color w:val="auto"/>
        </w:rPr>
      </w:pPr>
      <w:r>
        <w:rPr>
          <w:rFonts w:hint="eastAsia"/>
          <w:color w:val="auto"/>
        </w:rPr>
        <w:t>EBIS工艺去除COD的理论基础和传统的好氧活性污泥反应的理论基础基本相同，都是微生物群体，利用水中的溶解氧，降解水中的有机物来提供自身能量并进行繁殖，从而使污水得到净化的过程。其反应动力学也符合莫诺模式，但工艺本身也对传统的好氧生物法进行了较大的改进。其主要降解方程式为：</w:t>
      </w:r>
    </w:p>
    <w:p w14:paraId="365426E2">
      <w:pPr>
        <w:pageBreakBefore w:val="0"/>
        <w:wordWrap/>
        <w:bidi w:val="0"/>
        <w:adjustRightInd/>
        <w:snapToGrid/>
        <w:rPr>
          <w:color w:val="auto"/>
        </w:rPr>
      </w:pPr>
      <w:r>
        <w:rPr>
          <w:rFonts w:hint="eastAsia"/>
          <w:color w:val="auto"/>
        </w:rPr>
        <w:t>有机物的氧化分解：</w:t>
      </w:r>
    </w:p>
    <w:p w14:paraId="26360620">
      <w:pPr>
        <w:pageBreakBefore w:val="0"/>
        <w:wordWrap/>
        <w:bidi w:val="0"/>
        <w:adjustRightInd/>
        <w:snapToGrid/>
        <w:rPr>
          <w:color w:val="auto"/>
        </w:rPr>
      </w:pPr>
      <w:r>
        <w:rPr>
          <w:color w:val="auto"/>
          <w:position w:val="-13"/>
        </w:rPr>
        <w:drawing>
          <wp:inline distT="0" distB="0" distL="0" distR="0">
            <wp:extent cx="4394200" cy="425450"/>
            <wp:effectExtent l="0" t="0" r="0" b="0"/>
            <wp:docPr id="151" name="IM 20"/>
            <wp:cNvGraphicFramePr/>
            <a:graphic xmlns:a="http://schemas.openxmlformats.org/drawingml/2006/main">
              <a:graphicData uri="http://schemas.openxmlformats.org/drawingml/2006/picture">
                <pic:pic xmlns:pic="http://schemas.openxmlformats.org/drawingml/2006/picture">
                  <pic:nvPicPr>
                    <pic:cNvPr id="151" name="IM 20"/>
                    <pic:cNvPicPr/>
                  </pic:nvPicPr>
                  <pic:blipFill>
                    <a:blip r:embed="rId46"/>
                    <a:stretch>
                      <a:fillRect/>
                    </a:stretch>
                  </pic:blipFill>
                  <pic:spPr>
                    <a:xfrm>
                      <a:off x="0" y="0"/>
                      <a:ext cx="4394200" cy="425450"/>
                    </a:xfrm>
                    <a:prstGeom prst="rect">
                      <a:avLst/>
                    </a:prstGeom>
                    <a:noFill/>
                    <a:ln>
                      <a:noFill/>
                    </a:ln>
                  </pic:spPr>
                </pic:pic>
              </a:graphicData>
            </a:graphic>
          </wp:inline>
        </w:drawing>
      </w:r>
    </w:p>
    <w:p w14:paraId="55D8C202">
      <w:pPr>
        <w:pageBreakBefore w:val="0"/>
        <w:wordWrap/>
        <w:bidi w:val="0"/>
        <w:adjustRightInd/>
        <w:snapToGrid/>
        <w:rPr>
          <w:rFonts w:hint="eastAsia" w:eastAsia="宋体"/>
          <w:color w:val="auto"/>
          <w:lang w:eastAsia="zh-CN"/>
        </w:rPr>
      </w:pPr>
      <w:r>
        <w:rPr>
          <w:rFonts w:hint="eastAsia"/>
          <w:color w:val="auto"/>
        </w:rPr>
        <w:t>原生物的同化合成</w:t>
      </w:r>
      <w:r>
        <w:rPr>
          <w:rFonts w:hint="eastAsia"/>
          <w:color w:val="auto"/>
          <w:lang w:eastAsia="zh-CN"/>
        </w:rPr>
        <w:t>（</w:t>
      </w:r>
      <w:r>
        <w:rPr>
          <w:rFonts w:hint="eastAsia"/>
          <w:color w:val="auto"/>
        </w:rPr>
        <w:t>以氨为氮源</w:t>
      </w:r>
      <w:r>
        <w:rPr>
          <w:rFonts w:hint="eastAsia"/>
          <w:color w:val="auto"/>
          <w:lang w:eastAsia="zh-CN"/>
        </w:rPr>
        <w:t>）：</w:t>
      </w:r>
    </w:p>
    <w:p w14:paraId="73DDF1F0">
      <w:pPr>
        <w:pageBreakBefore w:val="0"/>
        <w:wordWrap/>
        <w:bidi w:val="0"/>
        <w:adjustRightInd/>
        <w:snapToGrid/>
        <w:ind w:left="0" w:leftChars="0" w:firstLine="0" w:firstLineChars="0"/>
        <w:jc w:val="center"/>
        <w:rPr>
          <w:color w:val="auto"/>
        </w:rPr>
      </w:pPr>
      <w:r>
        <w:rPr>
          <w:color w:val="auto"/>
          <w:position w:val="-12"/>
        </w:rPr>
        <w:drawing>
          <wp:inline distT="0" distB="0" distL="114300" distR="114300">
            <wp:extent cx="5015230" cy="377190"/>
            <wp:effectExtent l="0" t="0" r="13970" b="3810"/>
            <wp:docPr id="152" name="图片 105"/>
            <wp:cNvGraphicFramePr/>
            <a:graphic xmlns:a="http://schemas.openxmlformats.org/drawingml/2006/main">
              <a:graphicData uri="http://schemas.openxmlformats.org/drawingml/2006/picture">
                <pic:pic xmlns:pic="http://schemas.openxmlformats.org/drawingml/2006/picture">
                  <pic:nvPicPr>
                    <pic:cNvPr id="152" name="图片 105"/>
                    <pic:cNvPicPr/>
                  </pic:nvPicPr>
                  <pic:blipFill>
                    <a:blip r:embed="rId47"/>
                    <a:stretch>
                      <a:fillRect/>
                    </a:stretch>
                  </pic:blipFill>
                  <pic:spPr>
                    <a:xfrm>
                      <a:off x="0" y="0"/>
                      <a:ext cx="5015230" cy="377190"/>
                    </a:xfrm>
                    <a:prstGeom prst="rect">
                      <a:avLst/>
                    </a:prstGeom>
                    <a:noFill/>
                    <a:ln>
                      <a:noFill/>
                    </a:ln>
                  </pic:spPr>
                </pic:pic>
              </a:graphicData>
            </a:graphic>
          </wp:inline>
        </w:drawing>
      </w:r>
    </w:p>
    <w:p w14:paraId="5BFD4CD7">
      <w:pPr>
        <w:pageBreakBefore w:val="0"/>
        <w:wordWrap/>
        <w:bidi w:val="0"/>
        <w:adjustRightInd/>
        <w:snapToGrid/>
        <w:rPr>
          <w:rFonts w:hint="eastAsia"/>
          <w:color w:val="auto"/>
        </w:rPr>
      </w:pPr>
      <w:r>
        <w:rPr>
          <w:rFonts w:hint="eastAsia"/>
          <w:color w:val="auto"/>
          <w:lang w:eastAsia="zh-CN"/>
        </w:rPr>
        <w:t>（</w:t>
      </w:r>
      <w:r>
        <w:rPr>
          <w:rFonts w:hint="eastAsia"/>
          <w:color w:val="auto"/>
        </w:rPr>
        <w:t>三</w:t>
      </w:r>
      <w:r>
        <w:rPr>
          <w:rFonts w:hint="eastAsia"/>
          <w:color w:val="auto"/>
          <w:lang w:eastAsia="zh-CN"/>
        </w:rPr>
        <w:t>）</w:t>
      </w:r>
      <w:r>
        <w:rPr>
          <w:rFonts w:hint="eastAsia"/>
          <w:color w:val="auto"/>
        </w:rPr>
        <w:t>脱氮</w:t>
      </w:r>
    </w:p>
    <w:p w14:paraId="4A66A213">
      <w:pPr>
        <w:pageBreakBefore w:val="0"/>
        <w:wordWrap/>
        <w:bidi w:val="0"/>
        <w:adjustRightInd/>
        <w:snapToGrid/>
        <w:rPr>
          <w:rFonts w:hint="eastAsia"/>
          <w:color w:val="auto"/>
        </w:rPr>
      </w:pPr>
      <w:r>
        <w:rPr>
          <w:rFonts w:hint="eastAsia"/>
          <w:color w:val="auto"/>
        </w:rPr>
        <w:t>在EBIS曝气池前半段溶解氧都被微生物降解有机物所消耗，溶解氧浓度基本都处在0</w:t>
      </w:r>
      <w:r>
        <w:rPr>
          <w:rFonts w:hint="eastAsia"/>
          <w:color w:val="auto"/>
          <w:lang w:eastAsia="zh-CN"/>
        </w:rPr>
        <w:t>~</w:t>
      </w:r>
      <w:r>
        <w:rPr>
          <w:rFonts w:hint="eastAsia"/>
          <w:color w:val="auto"/>
        </w:rPr>
        <w:t>0.05mg/L</w:t>
      </w:r>
      <w:r>
        <w:rPr>
          <w:rFonts w:hint="eastAsia"/>
          <w:color w:val="auto"/>
          <w:lang w:eastAsia="zh-CN"/>
        </w:rPr>
        <w:t>，</w:t>
      </w:r>
      <w:r>
        <w:rPr>
          <w:rFonts w:hint="eastAsia"/>
          <w:color w:val="auto"/>
        </w:rPr>
        <w:t>在曝气池后半段，负荷降低，溶解氧开始有富余，溶解氧在0.5mg/L左右，这样的溶解氧浓度条件，给硝化反硝化的同时进行提供了一个最佳环境。氨氮硝化反硝化过程有短程硝化反硝化和全程硝化反硝化过程两种。</w:t>
      </w:r>
    </w:p>
    <w:p w14:paraId="140DC8AC">
      <w:pPr>
        <w:pageBreakBefore w:val="0"/>
        <w:wordWrap/>
        <w:bidi w:val="0"/>
        <w:adjustRightInd/>
        <w:snapToGrid/>
        <w:rPr>
          <w:color w:val="auto"/>
        </w:rPr>
      </w:pPr>
      <w:r>
        <w:rPr>
          <w:rFonts w:hint="eastAsia"/>
          <w:color w:val="auto"/>
        </w:rPr>
        <w:t>全程硝化过程就是反硝化菌群利用NO</w:t>
      </w:r>
      <w:r>
        <w:rPr>
          <w:rFonts w:hint="eastAsia"/>
          <w:color w:val="auto"/>
          <w:vertAlign w:val="subscript"/>
          <w:lang w:val="en-US" w:eastAsia="zh-CN"/>
        </w:rPr>
        <w:t>3</w:t>
      </w:r>
      <w:r>
        <w:rPr>
          <w:rFonts w:hint="eastAsia"/>
          <w:color w:val="auto"/>
          <w:vertAlign w:val="superscript"/>
          <w:lang w:val="en-US" w:eastAsia="zh-CN"/>
        </w:rPr>
        <w:t>-</w:t>
      </w:r>
      <w:r>
        <w:rPr>
          <w:rFonts w:hint="eastAsia"/>
          <w:color w:val="auto"/>
        </w:rPr>
        <w:t>作电子受体，进行反硝化，而短程硝化中反硝化菌群可以利用NO</w:t>
      </w:r>
      <w:r>
        <w:rPr>
          <w:rFonts w:hint="eastAsia"/>
          <w:color w:val="auto"/>
          <w:vertAlign w:val="subscript"/>
          <w:lang w:val="en-US" w:eastAsia="zh-CN"/>
        </w:rPr>
        <w:t>2</w:t>
      </w:r>
      <w:r>
        <w:rPr>
          <w:rFonts w:hint="eastAsia"/>
          <w:color w:val="auto"/>
          <w:vertAlign w:val="superscript"/>
        </w:rPr>
        <w:t>-</w:t>
      </w:r>
      <w:r>
        <w:rPr>
          <w:rFonts w:hint="eastAsia"/>
          <w:color w:val="auto"/>
        </w:rPr>
        <w:t>作电子受体进行反硝化，即亚硝化微生物将NH</w:t>
      </w:r>
      <w:r>
        <w:rPr>
          <w:rFonts w:hint="eastAsia"/>
          <w:color w:val="auto"/>
          <w:vertAlign w:val="subscript"/>
          <w:lang w:val="en-US" w:eastAsia="zh-CN"/>
        </w:rPr>
        <w:t>4</w:t>
      </w:r>
      <w:r>
        <w:rPr>
          <w:rFonts w:hint="eastAsia"/>
          <w:color w:val="auto"/>
          <w:sz w:val="24"/>
          <w:szCs w:val="24"/>
          <w:vertAlign w:val="superscript"/>
          <w:lang w:val="en-US" w:eastAsia="zh-CN"/>
        </w:rPr>
        <w:t>+</w:t>
      </w:r>
      <w:r>
        <w:rPr>
          <w:rFonts w:hint="eastAsia"/>
          <w:color w:val="auto"/>
        </w:rPr>
        <w:t>-N转化为NO</w:t>
      </w:r>
      <w:r>
        <w:rPr>
          <w:rFonts w:hint="eastAsia"/>
          <w:color w:val="auto"/>
          <w:vertAlign w:val="subscript"/>
          <w:lang w:val="en-US" w:eastAsia="zh-CN"/>
        </w:rPr>
        <w:t>2</w:t>
      </w:r>
      <w:r>
        <w:rPr>
          <w:rFonts w:hint="eastAsia"/>
          <w:color w:val="auto"/>
          <w:vertAlign w:val="superscript"/>
        </w:rPr>
        <w:t>-</w:t>
      </w:r>
      <w:r>
        <w:rPr>
          <w:rFonts w:hint="eastAsia"/>
          <w:color w:val="auto"/>
        </w:rPr>
        <w:t>-N</w:t>
      </w:r>
      <w:r>
        <w:rPr>
          <w:rFonts w:hint="eastAsia"/>
          <w:color w:val="auto"/>
          <w:lang w:eastAsia="zh-CN"/>
        </w:rPr>
        <w:t>，</w:t>
      </w:r>
      <w:r>
        <w:rPr>
          <w:rFonts w:hint="eastAsia"/>
          <w:color w:val="auto"/>
        </w:rPr>
        <w:t>随即由反硝化微生物直接进行反硝化反应，将NO</w:t>
      </w:r>
      <w:r>
        <w:rPr>
          <w:rFonts w:hint="eastAsia"/>
          <w:color w:val="auto"/>
          <w:vertAlign w:val="subscript"/>
          <w:lang w:val="en-US" w:eastAsia="zh-CN"/>
        </w:rPr>
        <w:t>2</w:t>
      </w:r>
      <w:r>
        <w:rPr>
          <w:rFonts w:hint="eastAsia"/>
          <w:color w:val="auto"/>
          <w:vertAlign w:val="superscript"/>
        </w:rPr>
        <w:t>-</w:t>
      </w:r>
      <w:r>
        <w:rPr>
          <w:rFonts w:hint="eastAsia"/>
          <w:color w:val="auto"/>
        </w:rPr>
        <w:t>-N还原为N</w:t>
      </w:r>
      <w:r>
        <w:rPr>
          <w:rFonts w:hint="eastAsia"/>
          <w:color w:val="auto"/>
          <w:vertAlign w:val="subscript"/>
          <w:lang w:val="en-US" w:eastAsia="zh-CN"/>
        </w:rPr>
        <w:t>2</w:t>
      </w:r>
      <w:r>
        <w:rPr>
          <w:rFonts w:hint="eastAsia"/>
          <w:color w:val="auto"/>
        </w:rPr>
        <w:t>释放，整个生物脱氮过程比全程硝化历时要短得多。在EBIS工艺中，以短程硝化反硝化为主。全程反硝化和短程反硝化过程简图下图所示：</w:t>
      </w:r>
    </w:p>
    <w:p w14:paraId="574015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rPr>
      </w:pPr>
      <w:r>
        <w:rPr>
          <w:color w:val="auto"/>
        </w:rPr>
        <w:drawing>
          <wp:inline distT="0" distB="0" distL="114300" distR="114300">
            <wp:extent cx="4651375" cy="2386330"/>
            <wp:effectExtent l="0" t="0" r="15875" b="13970"/>
            <wp:docPr id="15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6"/>
                    <pic:cNvPicPr>
                      <a:picLocks noChangeAspect="1"/>
                    </pic:cNvPicPr>
                  </pic:nvPicPr>
                  <pic:blipFill>
                    <a:blip r:embed="rId48"/>
                    <a:stretch>
                      <a:fillRect/>
                    </a:stretch>
                  </pic:blipFill>
                  <pic:spPr>
                    <a:xfrm>
                      <a:off x="0" y="0"/>
                      <a:ext cx="4651375" cy="2386330"/>
                    </a:xfrm>
                    <a:prstGeom prst="rect">
                      <a:avLst/>
                    </a:prstGeom>
                    <a:noFill/>
                    <a:ln>
                      <a:noFill/>
                    </a:ln>
                  </pic:spPr>
                </pic:pic>
              </a:graphicData>
            </a:graphic>
          </wp:inline>
        </w:drawing>
      </w:r>
    </w:p>
    <w:p w14:paraId="1A0986C7">
      <w:pPr>
        <w:pageBreakBefore w:val="0"/>
        <w:wordWrap/>
        <w:bidi w:val="0"/>
        <w:adjustRightInd/>
        <w:snapToGrid/>
        <w:rPr>
          <w:rFonts w:hint="eastAsia"/>
          <w:color w:val="auto"/>
        </w:rPr>
      </w:pPr>
      <w:r>
        <w:rPr>
          <w:rFonts w:hint="eastAsia"/>
          <w:color w:val="auto"/>
        </w:rPr>
        <w:t>同时短程硝化反硝化生物脱氮过程，除了具备同时生物脱氮过程的一系列优点外，与全程硝化反硝化相比，还具备特有的一些优点：</w:t>
      </w:r>
    </w:p>
    <w:p w14:paraId="0A486A08">
      <w:pPr>
        <w:pageBreakBefore w:val="0"/>
        <w:wordWrap/>
        <w:bidi w:val="0"/>
        <w:adjustRightInd/>
        <w:snapToGrid/>
        <w:rPr>
          <w:rFonts w:hint="eastAsia"/>
          <w:color w:val="auto"/>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硝化阶段可减少25%左右的好氧量，降低了能耗；</w:t>
      </w:r>
    </w:p>
    <w:p w14:paraId="2A01DEA8">
      <w:pPr>
        <w:pageBreakBefore w:val="0"/>
        <w:wordWrap/>
        <w:bidi w:val="0"/>
        <w:adjustRightInd/>
        <w:snapToGrid/>
        <w:rPr>
          <w:rFonts w:hint="eastAsia"/>
          <w:color w:val="auto"/>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反应时间短；</w:t>
      </w:r>
    </w:p>
    <w:p w14:paraId="40FC17CC">
      <w:pPr>
        <w:pageBreakBefore w:val="0"/>
        <w:wordWrap/>
        <w:bidi w:val="0"/>
        <w:adjustRightInd/>
        <w:snapToGrid/>
        <w:rPr>
          <w:rFonts w:hint="eastAsia"/>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具备较高的反硝化速率，NO</w:t>
      </w:r>
      <w:r>
        <w:rPr>
          <w:rFonts w:hint="eastAsia"/>
          <w:color w:val="auto"/>
          <w:vertAlign w:val="subscript"/>
          <w:lang w:val="en-US" w:eastAsia="zh-CN"/>
        </w:rPr>
        <w:t>2</w:t>
      </w:r>
      <w:r>
        <w:rPr>
          <w:rFonts w:hint="eastAsia"/>
          <w:color w:val="auto"/>
          <w:vertAlign w:val="superscript"/>
        </w:rPr>
        <w:t>-</w:t>
      </w:r>
      <w:r>
        <w:rPr>
          <w:rFonts w:hint="eastAsia"/>
          <w:color w:val="auto"/>
        </w:rPr>
        <w:t>-的反硝化速率通常比NO</w:t>
      </w:r>
      <w:r>
        <w:rPr>
          <w:rFonts w:hint="eastAsia"/>
          <w:color w:val="auto"/>
          <w:vertAlign w:val="subscript"/>
          <w:lang w:val="en-US" w:eastAsia="zh-CN"/>
        </w:rPr>
        <w:t>3</w:t>
      </w:r>
      <w:r>
        <w:rPr>
          <w:rFonts w:hint="eastAsia"/>
          <w:color w:val="auto"/>
          <w:vertAlign w:val="superscript"/>
        </w:rPr>
        <w:t>-</w:t>
      </w:r>
      <w:r>
        <w:rPr>
          <w:rFonts w:hint="eastAsia"/>
          <w:color w:val="auto"/>
        </w:rPr>
        <w:t>-高63%左右。</w:t>
      </w:r>
    </w:p>
    <w:p w14:paraId="7A71EB5C">
      <w:pPr>
        <w:pageBreakBefore w:val="0"/>
        <w:wordWrap/>
        <w:bidi w:val="0"/>
        <w:adjustRightInd/>
        <w:snapToGrid/>
        <w:rPr>
          <w:color w:val="auto"/>
        </w:rPr>
      </w:pPr>
      <w:r>
        <w:rPr>
          <w:rFonts w:hint="eastAsia"/>
          <w:color w:val="auto"/>
        </w:rPr>
        <w:t>所以其生物脱氮过程比一般硝化一反硝化反应进程较快，脱氮效率高。其主要方程式：</w:t>
      </w:r>
    </w:p>
    <w:p w14:paraId="7F200B27">
      <w:pPr>
        <w:pageBreakBefore w:val="0"/>
        <w:wordWrap/>
        <w:bidi w:val="0"/>
        <w:adjustRightInd/>
        <w:snapToGrid/>
        <w:rPr>
          <w:rFonts w:hint="default"/>
          <w:color w:val="auto"/>
          <w:lang w:val="en-US"/>
        </w:rPr>
      </w:pPr>
      <m:oMathPara>
        <m:oMath>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4</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+1.5</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m:t>
          </m:r>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p>
            <m:sSupPr>
              <m:ctrlPr>
                <w:rPr>
                  <w:rFonts w:hint="default" w:ascii="Cambria Math" w:hAnsi="Cambria Math" w:cs="Times New Roman"/>
                  <w:color w:val="auto"/>
                  <w:kern w:val="2"/>
                  <w:sz w:val="24"/>
                  <w:szCs w:val="24"/>
                  <w:lang w:val="en-US" w:eastAsia="zh-CN" w:bidi="ar-SA"/>
                </w:rPr>
              </m:ctrlPr>
            </m:sSup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p>
          <m:r>
            <m:rPr>
              <m:sty m:val="p"/>
            </m:rPr>
            <w:rPr>
              <w:rFonts w:hint="default" w:ascii="Cambria Math" w:hAnsi="Cambria Math" w:cs="Times New Roman"/>
              <w:color w:val="auto"/>
              <w:kern w:val="2"/>
              <w:sz w:val="24"/>
              <w:szCs w:val="24"/>
              <w:lang w:val="en-US" w:eastAsia="zh-CN" w:bidi="ar-SA"/>
            </w:rPr>
            <m:t>+</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O</m:t>
          </m:r>
        </m:oMath>
      </m:oMathPara>
    </w:p>
    <w:p w14:paraId="736F45C7">
      <w:pPr>
        <w:pageBreakBefore w:val="0"/>
        <w:wordWrap/>
        <w:bidi w:val="0"/>
        <w:adjustRightInd/>
        <w:snapToGrid/>
        <w:jc w:val="center"/>
        <w:rPr>
          <w:rFonts w:hint="eastAsia" w:eastAsia="宋体"/>
          <w:color w:val="auto"/>
          <w:lang w:eastAsia="zh-CN"/>
        </w:rPr>
      </w:pPr>
      <w:r>
        <w:rPr>
          <w:rFonts w:hint="default" w:ascii="Times New Roman" w:hAnsi="Times New Roman" w:eastAsia="宋体" w:cs="Times New Roman"/>
          <w:color w:val="auto"/>
          <w:position w:val="-10"/>
          <w:sz w:val="30"/>
          <w:szCs w:val="30"/>
          <w:lang w:eastAsia="zh-CN"/>
        </w:rPr>
        <w:object>
          <v:shape id="_x0000_i1025" o:spt="75" type="#_x0000_t75" style="height:18pt;width:271pt;" o:ole="t" filled="f" o:preferrelative="t" stroked="f" coordsize="21600,21600">
            <v:path/>
            <v:fill on="f" focussize="0,0"/>
            <v:stroke on="f"/>
            <v:imagedata r:id="rId50" o:title=""/>
            <o:lock v:ext="edit" aspectratio="t"/>
            <w10:wrap type="none"/>
            <w10:anchorlock/>
          </v:shape>
          <o:OLEObject Type="Embed" ProgID="Equation.KSEE3" ShapeID="_x0000_i1025" DrawAspect="Content" ObjectID="_1468075725" r:id="rId49">
            <o:LockedField>false</o:LockedField>
          </o:OLEObject>
        </w:object>
      </w:r>
    </w:p>
    <w:p w14:paraId="7B887EC8">
      <w:pPr>
        <w:pageBreakBefore w:val="0"/>
        <w:wordWrap/>
        <w:bidi w:val="0"/>
        <w:adjustRightInd/>
        <w:snapToGrid/>
        <w:rPr>
          <w:color w:val="auto"/>
        </w:rPr>
      </w:pPr>
      <w:r>
        <w:rPr>
          <w:rFonts w:hint="eastAsia"/>
          <w:color w:val="auto"/>
        </w:rPr>
        <w:t>而全程反硝化主要反应：</w:t>
      </w:r>
    </w:p>
    <w:p w14:paraId="73D9F0D0">
      <w:pPr>
        <w:pageBreakBefore w:val="0"/>
        <w:wordWrap/>
        <w:bidi w:val="0"/>
        <w:adjustRightInd/>
        <w:snapToGrid/>
        <w:rPr>
          <w:color w:val="auto"/>
        </w:rPr>
      </w:pPr>
      <m:oMathPara>
        <m:oMath>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4</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m:t>
          </m:r>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3</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p>
            <m:sSupPr>
              <m:ctrlPr>
                <w:rPr>
                  <w:rFonts w:hint="default" w:ascii="Cambria Math" w:hAnsi="Cambria Math" w:cs="Times New Roman"/>
                  <w:color w:val="auto"/>
                  <w:kern w:val="2"/>
                  <w:sz w:val="24"/>
                  <w:szCs w:val="24"/>
                  <w:lang w:val="en-US" w:eastAsia="zh-CN" w:bidi="ar-SA"/>
                </w:rPr>
              </m:ctrlPr>
            </m:sSup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p>
          <m:r>
            <m:rPr>
              <m:sty m:val="p"/>
            </m:rPr>
            <w:rPr>
              <w:rFonts w:hint="default" w:ascii="Cambria Math" w:hAnsi="Cambria Math" w:cs="Times New Roman"/>
              <w:color w:val="auto"/>
              <w:kern w:val="2"/>
              <w:sz w:val="24"/>
              <w:szCs w:val="24"/>
              <w:lang w:val="en-US" w:eastAsia="zh-CN" w:bidi="ar-SA"/>
            </w:rPr>
            <m:t>+</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O</m:t>
          </m:r>
        </m:oMath>
      </m:oMathPara>
    </w:p>
    <w:p w14:paraId="41CFD107">
      <w:pPr>
        <w:pageBreakBefore w:val="0"/>
        <w:wordWrap/>
        <w:bidi w:val="0"/>
        <w:adjustRightInd/>
        <w:snapToGrid/>
        <w:jc w:val="center"/>
        <w:rPr>
          <w:color w:val="auto"/>
        </w:rPr>
      </w:pPr>
      <w:r>
        <w:rPr>
          <w:rFonts w:hint="default" w:ascii="Times New Roman" w:hAnsi="Times New Roman" w:eastAsia="宋体" w:cs="Times New Roman"/>
          <w:color w:val="auto"/>
          <w:position w:val="-12"/>
          <w:sz w:val="30"/>
          <w:szCs w:val="30"/>
          <w:lang w:eastAsia="zh-CN"/>
        </w:rPr>
        <w:object>
          <v:shape id="_x0000_i1026" o:spt="75" type="#_x0000_t75" style="height:19pt;width:289pt;" o:ole="t" filled="f" o:preferrelative="t" stroked="f" coordsize="21600,21600">
            <v:path/>
            <v:fill on="f" focussize="0,0"/>
            <v:stroke on="f"/>
            <v:imagedata r:id="rId52" o:title=""/>
            <o:lock v:ext="edit" aspectratio="t"/>
            <w10:wrap type="none"/>
            <w10:anchorlock/>
          </v:shape>
          <o:OLEObject Type="Embed" ProgID="Equation.KSEE3" ShapeID="_x0000_i1026" DrawAspect="Content" ObjectID="_1468075726" r:id="rId51">
            <o:LockedField>false</o:LockedField>
          </o:OLEObject>
        </w:object>
      </w:r>
    </w:p>
    <w:p w14:paraId="4D48D629">
      <w:pPr>
        <w:pageBreakBefore w:val="0"/>
        <w:wordWrap/>
        <w:bidi w:val="0"/>
        <w:adjustRightInd/>
        <w:snapToGrid/>
        <w:rPr>
          <w:color w:val="auto"/>
        </w:rPr>
      </w:pPr>
      <w:r>
        <w:rPr>
          <w:rFonts w:hint="eastAsia"/>
          <w:color w:val="auto"/>
          <w:lang w:eastAsia="zh-CN"/>
        </w:rPr>
        <w:t>（</w:t>
      </w:r>
      <w:r>
        <w:rPr>
          <w:rFonts w:hint="eastAsia"/>
          <w:color w:val="auto"/>
        </w:rPr>
        <w:t>四</w:t>
      </w:r>
      <w:r>
        <w:rPr>
          <w:rFonts w:hint="eastAsia"/>
          <w:color w:val="auto"/>
          <w:lang w:eastAsia="zh-CN"/>
        </w:rPr>
        <w:t>）</w:t>
      </w:r>
      <w:r>
        <w:rPr>
          <w:rFonts w:hint="eastAsia"/>
          <w:color w:val="auto"/>
        </w:rPr>
        <w:t>除磷</w:t>
      </w:r>
    </w:p>
    <w:p w14:paraId="4F0C2BE6">
      <w:pPr>
        <w:pageBreakBefore w:val="0"/>
        <w:wordWrap/>
        <w:bidi w:val="0"/>
        <w:adjustRightInd/>
        <w:snapToGrid/>
        <w:rPr>
          <w:color w:val="auto"/>
        </w:rPr>
      </w:pPr>
      <w:r>
        <w:rPr>
          <w:rFonts w:hint="eastAsia"/>
          <w:color w:val="auto"/>
        </w:rPr>
        <w:t>EBIS工艺的生物除磷是靠污水中存在的一定量的某些细菌种群的生化作用来完成的。这些细菌包括不动杆菌属、假单胞菌属、气单胞菌属和棒杆菌属等，均属于异养性细菌，由于具有吸取磷的功能统称为聚磷菌，也称嗜磷菌。嗜磷菌交替地处于厌氧与好氧条件下，在厌氧条件下，聚磷菌体内的ATP进行水解，放出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和能量，吸收、粘附、吸附可溶性低分子量的可生化有机物</w:t>
      </w:r>
      <w:r>
        <w:rPr>
          <w:rFonts w:hint="eastAsia"/>
          <w:color w:val="auto"/>
          <w:lang w:eastAsia="zh-CN"/>
        </w:rPr>
        <w:t>（</w:t>
      </w:r>
      <w:r>
        <w:rPr>
          <w:rFonts w:hint="eastAsia"/>
          <w:color w:val="auto"/>
        </w:rPr>
        <w:t>即碳源</w:t>
      </w:r>
      <w:r>
        <w:rPr>
          <w:rFonts w:hint="eastAsia"/>
          <w:color w:val="auto"/>
          <w:lang w:eastAsia="zh-CN"/>
        </w:rPr>
        <w:t>），</w:t>
      </w:r>
      <w:r>
        <w:rPr>
          <w:rFonts w:hint="eastAsia"/>
          <w:color w:val="auto"/>
        </w:rPr>
        <w:t>作为好氧吸取磷的能量贮存在细胞内；好氧状态时，碳源有机物被细菌所氧化，提供能量使嗜磷菌的细胞迅速增长和繁殖，从外部环境中将H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摄入体内，摄入的H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部分用于合成ATP</w:t>
      </w:r>
      <w:r>
        <w:rPr>
          <w:rFonts w:hint="eastAsia"/>
          <w:color w:val="auto"/>
          <w:lang w:eastAsia="zh-CN"/>
        </w:rPr>
        <w:t>，</w:t>
      </w:r>
      <w:r>
        <w:rPr>
          <w:rFonts w:hint="eastAsia"/>
          <w:color w:val="auto"/>
        </w:rPr>
        <w:t>另一部分则用于合成聚磷酸盐贮存在细胞内。嗜磷菌既释放又摄取磷的生理机能是靠其细胞所特有的酶来实现的，由于摄取的磷在数量上远远大于释放的磷量，在运行中将吸取了大量磷的细胞随污泥排掉，则达到生物除磷的目的。EBIS反应池中分别设置厌氧、好氧段，创造出一个好的厌氧一好氧一沉淀排放的循环过程，将污水中的磷随污泥排放。并且在厌氧和好氧状态下使活性污泥与污水充分混合，活性污泥始终处于悬浮状态，促使嗜磷菌的细胞与所要吸取的物质充分接触，以增加反应速度和加大吸取量。同时，曝气区良好的脱氮效果使得回流液中化合态氧</w:t>
      </w:r>
      <w:r>
        <w:rPr>
          <w:rFonts w:hint="eastAsia"/>
          <w:color w:val="auto"/>
          <w:lang w:eastAsia="zh-CN"/>
        </w:rPr>
        <w:t>（</w:t>
      </w:r>
      <w:r>
        <w:rPr>
          <w:rFonts w:hint="eastAsia"/>
          <w:color w:val="auto"/>
        </w:rPr>
        <w:t>NO</w:t>
      </w:r>
      <w:r>
        <w:rPr>
          <w:rFonts w:hint="eastAsia"/>
          <w:color w:val="auto"/>
          <w:vertAlign w:val="subscript"/>
          <w:lang w:val="en-US" w:eastAsia="zh-CN"/>
        </w:rPr>
        <w:t>3</w:t>
      </w:r>
      <w:r>
        <w:rPr>
          <w:rFonts w:hint="eastAsia"/>
          <w:color w:val="auto"/>
          <w:vertAlign w:val="superscript"/>
        </w:rPr>
        <w:t>-</w:t>
      </w:r>
      <w:r>
        <w:rPr>
          <w:rFonts w:hint="eastAsia"/>
          <w:color w:val="auto"/>
        </w:rPr>
        <w:t>或NO</w:t>
      </w:r>
      <w:r>
        <w:rPr>
          <w:rFonts w:hint="eastAsia"/>
          <w:color w:val="auto"/>
          <w:vertAlign w:val="subscript"/>
          <w:lang w:val="en-US" w:eastAsia="zh-CN"/>
        </w:rPr>
        <w:t>2</w:t>
      </w:r>
      <w:r>
        <w:rPr>
          <w:rFonts w:hint="eastAsia"/>
          <w:color w:val="auto"/>
          <w:vertAlign w:val="superscript"/>
        </w:rPr>
        <w:t>-</w:t>
      </w:r>
      <w:r>
        <w:rPr>
          <w:rFonts w:hint="eastAsia"/>
          <w:color w:val="auto"/>
          <w:lang w:eastAsia="zh-CN"/>
        </w:rPr>
        <w:t>）</w:t>
      </w:r>
      <w:r>
        <w:rPr>
          <w:rFonts w:hint="eastAsia"/>
          <w:color w:val="auto"/>
        </w:rPr>
        <w:t>浓度很低，更促进磷的厌氧有效释放，进而大大提高好氧吸磷能力。</w:t>
      </w:r>
    </w:p>
    <w:p w14:paraId="68BAC638">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五</w:t>
      </w:r>
      <w:r>
        <w:rPr>
          <w:rFonts w:hint="eastAsia"/>
          <w:b/>
          <w:bCs/>
          <w:color w:val="auto"/>
          <w:lang w:eastAsia="zh-CN"/>
        </w:rPr>
        <w:t>）</w:t>
      </w:r>
      <w:r>
        <w:rPr>
          <w:rFonts w:hint="eastAsia"/>
          <w:b/>
          <w:bCs/>
          <w:color w:val="auto"/>
        </w:rPr>
        <w:t>主要操作条件</w:t>
      </w:r>
    </w:p>
    <w:p w14:paraId="1346F11C">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溶解氧控制</w:t>
      </w:r>
    </w:p>
    <w:p w14:paraId="1410E977">
      <w:pPr>
        <w:pageBreakBefore w:val="0"/>
        <w:wordWrap/>
        <w:bidi w:val="0"/>
        <w:adjustRightInd/>
        <w:snapToGrid/>
        <w:rPr>
          <w:rFonts w:hint="eastAsia"/>
          <w:color w:val="auto"/>
        </w:rPr>
      </w:pPr>
      <w:r>
        <w:rPr>
          <w:rFonts w:hint="eastAsia"/>
          <w:color w:val="auto"/>
        </w:rPr>
        <w:t>在EBIS反应池中溶解氧浓度控制在0.5mg/L左右，溶解氧浓度主要是通过溶氧仪一鼓风机控制回路控制供风量的大小来对其进行控制。</w:t>
      </w:r>
    </w:p>
    <w:p w14:paraId="092AFD05">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污泥浓度控制</w:t>
      </w:r>
    </w:p>
    <w:p w14:paraId="44B868E2">
      <w:pPr>
        <w:pageBreakBefore w:val="0"/>
        <w:wordWrap/>
        <w:bidi w:val="0"/>
        <w:adjustRightInd/>
        <w:snapToGrid/>
        <w:rPr>
          <w:color w:val="auto"/>
        </w:rPr>
      </w:pPr>
      <w:r>
        <w:rPr>
          <w:rFonts w:hint="eastAsia"/>
          <w:color w:val="auto"/>
        </w:rPr>
        <w:t>EBIS反应池中的污泥浓度控制在6</w:t>
      </w:r>
      <w:r>
        <w:rPr>
          <w:rFonts w:hint="eastAsia"/>
          <w:color w:val="auto"/>
          <w:lang w:eastAsia="zh-CN"/>
        </w:rPr>
        <w:t>～</w:t>
      </w:r>
      <w:r>
        <w:rPr>
          <w:rFonts w:hint="eastAsia"/>
          <w:color w:val="auto"/>
        </w:rPr>
        <w:t>8g/L。</w:t>
      </w:r>
    </w:p>
    <w:p w14:paraId="36215B44">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混合液回流控制</w:t>
      </w:r>
    </w:p>
    <w:p w14:paraId="2CC5E264">
      <w:pPr>
        <w:pageBreakBefore w:val="0"/>
        <w:wordWrap/>
        <w:bidi w:val="0"/>
        <w:adjustRightInd/>
        <w:snapToGrid/>
        <w:rPr>
          <w:rFonts w:hint="eastAsia"/>
          <w:color w:val="auto"/>
        </w:rPr>
      </w:pPr>
      <w:r>
        <w:rPr>
          <w:rFonts w:hint="eastAsia"/>
          <w:color w:val="auto"/>
        </w:rPr>
        <w:t>通过调整空气推流器的气量来调整混合液回流比，正常情况下回流比大于15。在进水浓度较高时，空气推流器气量会增大，增大回流比，过程全部为自控，无需人工调节。</w:t>
      </w:r>
    </w:p>
    <w:p w14:paraId="19A52737">
      <w:pPr>
        <w:pageBreakBefore w:val="0"/>
        <w:wordWrap/>
        <w:bidi w:val="0"/>
        <w:adjustRightInd/>
        <w:snapToGrid/>
        <w:rPr>
          <w:rFonts w:hint="eastAsia"/>
          <w:color w:val="auto"/>
        </w:rPr>
      </w:pPr>
      <w:r>
        <w:rPr>
          <w:rFonts w:hint="eastAsia"/>
          <w:color w:val="auto"/>
        </w:rPr>
        <w:t>EBIS污水处理工艺将整个污水处理过程巧妙地安排在一个反应池内进行，优点十分突出：</w:t>
      </w:r>
    </w:p>
    <w:p w14:paraId="3C7CF9CE">
      <w:pPr>
        <w:pageBreakBefore w:val="0"/>
        <w:wordWrap/>
        <w:bidi w:val="0"/>
        <w:adjustRightInd/>
        <w:snapToGrid/>
        <w:rPr>
          <w:rFonts w:hint="eastAsia"/>
          <w:color w:val="auto"/>
        </w:rPr>
      </w:pPr>
      <w:r>
        <w:rPr>
          <w:rFonts w:hint="eastAsia"/>
          <w:color w:val="auto"/>
        </w:rPr>
        <w:t>&gt;低溶氧条件下完成同步硝化反硝化反应</w:t>
      </w:r>
    </w:p>
    <w:p w14:paraId="2105CC98">
      <w:pPr>
        <w:pageBreakBefore w:val="0"/>
        <w:wordWrap/>
        <w:bidi w:val="0"/>
        <w:adjustRightInd/>
        <w:snapToGrid/>
        <w:rPr>
          <w:color w:val="auto"/>
        </w:rPr>
      </w:pPr>
      <w:r>
        <w:rPr>
          <w:rFonts w:hint="eastAsia"/>
          <w:color w:val="auto"/>
        </w:rPr>
        <w:t>传统生物处理池中溶解氧浓度</w:t>
      </w:r>
      <w:r>
        <w:rPr>
          <w:rFonts w:hint="eastAsia"/>
          <w:color w:val="auto"/>
          <w:lang w:eastAsia="zh-CN"/>
        </w:rPr>
        <w:t>（</w:t>
      </w:r>
      <w:r>
        <w:rPr>
          <w:rFonts w:hint="eastAsia"/>
          <w:color w:val="auto"/>
        </w:rPr>
        <w:t>DO</w:t>
      </w:r>
      <w:r>
        <w:rPr>
          <w:rFonts w:hint="eastAsia"/>
          <w:color w:val="auto"/>
          <w:lang w:eastAsia="zh-CN"/>
        </w:rPr>
        <w:t>）</w:t>
      </w:r>
      <w:r>
        <w:rPr>
          <w:rFonts w:hint="eastAsia"/>
          <w:color w:val="auto"/>
        </w:rPr>
        <w:t>较高，异养菌增殖快，污泥絮体大，形成隔离水膜，生长缓慢的硝化菌只能被</w:t>
      </w:r>
      <w:r>
        <w:rPr>
          <w:rFonts w:hint="eastAsia"/>
          <w:color w:val="auto"/>
          <w:lang w:eastAsia="zh-CN"/>
        </w:rPr>
        <w:t>“</w:t>
      </w:r>
      <w:r>
        <w:rPr>
          <w:rFonts w:hint="eastAsia"/>
          <w:color w:val="auto"/>
        </w:rPr>
        <w:t>包埋</w:t>
      </w:r>
      <w:r>
        <w:rPr>
          <w:rFonts w:hint="eastAsia"/>
          <w:color w:val="auto"/>
          <w:lang w:eastAsia="zh-CN"/>
        </w:rPr>
        <w:t>”</w:t>
      </w:r>
      <w:r>
        <w:rPr>
          <w:rFonts w:hint="eastAsia"/>
          <w:color w:val="auto"/>
        </w:rPr>
        <w:t>在污泥絮体内。为了使硝化反应得以有效地进行，必须保持较高的DO值，这样势必会增加污水处理的动力消耗。与之相比，EBIS生物处理池中的活性污泥颗粒小，污泥活性相对较低，异养菌生长缓慢；活性污泥外表不易形成隔离膜，活性污泥可与氧及可溶性有机物直接接触，实现氨氮的硝化；在曝气池进口区，大量可溶性有机物将会在很短的时间、较少的反应区间内实现氧化降解；曝气池内的溶解氧也会同时被迅速消耗降低趋于零，因而有利于后续的反硝化反应彻底进行。</w:t>
      </w:r>
    </w:p>
    <w:p w14:paraId="26ACF0AD">
      <w:pPr>
        <w:pageBreakBefore w:val="0"/>
        <w:wordWrap/>
        <w:bidi w:val="0"/>
        <w:adjustRightInd/>
        <w:snapToGrid/>
        <w:rPr>
          <w:rFonts w:hint="eastAsia"/>
          <w:color w:val="auto"/>
        </w:rPr>
      </w:pPr>
      <w:r>
        <w:rPr>
          <w:rFonts w:hint="eastAsia"/>
          <w:color w:val="auto"/>
        </w:rPr>
        <w:t>&gt;低污泥产出</w:t>
      </w:r>
    </w:p>
    <w:p w14:paraId="4126D6C3">
      <w:pPr>
        <w:pageBreakBefore w:val="0"/>
        <w:wordWrap/>
        <w:bidi w:val="0"/>
        <w:adjustRightInd/>
        <w:snapToGrid/>
        <w:rPr>
          <w:rFonts w:hint="eastAsia"/>
          <w:color w:val="auto"/>
        </w:rPr>
      </w:pPr>
      <w:r>
        <w:rPr>
          <w:rFonts w:hint="eastAsia"/>
          <w:color w:val="auto"/>
        </w:rPr>
        <w:t>EBIS污水处理工艺产生的剩余污泥可比传统工艺少40%</w:t>
      </w:r>
      <w:r>
        <w:rPr>
          <w:rFonts w:hint="eastAsia"/>
          <w:color w:val="auto"/>
          <w:lang w:eastAsia="zh-CN"/>
        </w:rPr>
        <w:t>～</w:t>
      </w:r>
      <w:r>
        <w:rPr>
          <w:rFonts w:hint="eastAsia"/>
          <w:color w:val="auto"/>
        </w:rPr>
        <w:t>60%。在低溶氧、高活性污泥浓度</w:t>
      </w:r>
      <w:r>
        <w:rPr>
          <w:rFonts w:hint="eastAsia"/>
          <w:color w:val="auto"/>
          <w:lang w:eastAsia="zh-CN"/>
        </w:rPr>
        <w:t>（</w:t>
      </w:r>
      <w:r>
        <w:rPr>
          <w:rFonts w:hint="eastAsia"/>
          <w:color w:val="auto"/>
        </w:rPr>
        <w:t>5</w:t>
      </w:r>
      <w:r>
        <w:rPr>
          <w:rFonts w:hint="eastAsia"/>
          <w:color w:val="auto"/>
          <w:lang w:eastAsia="zh-CN"/>
        </w:rPr>
        <w:t>～</w:t>
      </w:r>
      <w:r>
        <w:rPr>
          <w:rFonts w:hint="eastAsia"/>
          <w:color w:val="auto"/>
        </w:rPr>
        <w:t>8g/L</w:t>
      </w:r>
      <w:r>
        <w:rPr>
          <w:rFonts w:hint="eastAsia"/>
          <w:color w:val="auto"/>
          <w:lang w:eastAsia="zh-CN"/>
        </w:rPr>
        <w:t>）</w:t>
      </w:r>
      <w:r>
        <w:rPr>
          <w:rFonts w:hint="eastAsia"/>
          <w:color w:val="auto"/>
        </w:rPr>
        <w:t>条件下，原本产污泥较快的好氧菌受到了抑制，再加上进水有机物总量一定的情况下，使得高浓度的活性污泥的有机负荷</w:t>
      </w:r>
      <w:r>
        <w:rPr>
          <w:rFonts w:hint="eastAsia"/>
          <w:color w:val="auto"/>
          <w:lang w:eastAsia="zh-CN"/>
        </w:rPr>
        <w:t>（</w:t>
      </w:r>
      <w:r>
        <w:rPr>
          <w:rFonts w:hint="eastAsia"/>
          <w:color w:val="auto"/>
        </w:rPr>
        <w:t>F/M</w:t>
      </w:r>
      <w:r>
        <w:rPr>
          <w:rFonts w:hint="eastAsia"/>
          <w:color w:val="auto"/>
          <w:lang w:eastAsia="zh-CN"/>
        </w:rPr>
        <w:t>）</w:t>
      </w:r>
      <w:r>
        <w:rPr>
          <w:rFonts w:hint="eastAsia"/>
          <w:color w:val="auto"/>
        </w:rPr>
        <w:t>较小。由于食物的不太充足，微生物增长较慢或基本不增长，甚至可能减少，特别是通过EBIS污泥稳定工艺后，更进一步消除了过剩污泥中大部分原组织物质，那些易产生异臭味气体的成分也被消除了，如此被</w:t>
      </w:r>
      <w:r>
        <w:rPr>
          <w:rFonts w:hint="eastAsia"/>
          <w:color w:val="auto"/>
          <w:lang w:eastAsia="zh-CN"/>
        </w:rPr>
        <w:t>“</w:t>
      </w:r>
      <w:r>
        <w:rPr>
          <w:rFonts w:hint="eastAsia"/>
          <w:color w:val="auto"/>
        </w:rPr>
        <w:t>固化</w:t>
      </w:r>
      <w:r>
        <w:rPr>
          <w:rFonts w:hint="eastAsia"/>
          <w:color w:val="auto"/>
          <w:lang w:eastAsia="zh-CN"/>
        </w:rPr>
        <w:t>”</w:t>
      </w:r>
      <w:r>
        <w:rPr>
          <w:rFonts w:hint="eastAsia"/>
          <w:color w:val="auto"/>
        </w:rPr>
        <w:t>的污泥味道，闻起来像新鲜的泥土。</w:t>
      </w:r>
    </w:p>
    <w:p w14:paraId="484380BB">
      <w:pPr>
        <w:pageBreakBefore w:val="0"/>
        <w:wordWrap/>
        <w:bidi w:val="0"/>
        <w:adjustRightInd/>
        <w:snapToGrid/>
        <w:rPr>
          <w:rFonts w:hint="eastAsia"/>
          <w:color w:val="auto"/>
        </w:rPr>
      </w:pPr>
      <w:r>
        <w:rPr>
          <w:rFonts w:hint="eastAsia"/>
          <w:color w:val="auto"/>
        </w:rPr>
        <w:t>&gt;运行高效、持续稳定</w:t>
      </w:r>
    </w:p>
    <w:p w14:paraId="2A6E1D7B">
      <w:pPr>
        <w:pageBreakBefore w:val="0"/>
        <w:wordWrap/>
        <w:bidi w:val="0"/>
        <w:adjustRightInd/>
        <w:snapToGrid/>
        <w:rPr>
          <w:rFonts w:hint="eastAsia"/>
          <w:color w:val="auto"/>
        </w:rPr>
      </w:pPr>
      <w:r>
        <w:rPr>
          <w:rFonts w:hint="eastAsia"/>
          <w:color w:val="auto"/>
        </w:rPr>
        <w:t>通过EBIS稳定污泥再循环工艺，将稳定污泥再循环至硝化及脱氮工段，始终保持反应池中有6</w:t>
      </w:r>
      <w:r>
        <w:rPr>
          <w:rFonts w:hint="eastAsia"/>
          <w:color w:val="auto"/>
          <w:lang w:eastAsia="zh-CN"/>
        </w:rPr>
        <w:t>～</w:t>
      </w:r>
      <w:r>
        <w:rPr>
          <w:rFonts w:hint="eastAsia"/>
          <w:color w:val="auto"/>
        </w:rPr>
        <w:t>8g/L的较高污泥浓度，确保生物脱氮的持续稳定高效进行。</w:t>
      </w:r>
    </w:p>
    <w:p w14:paraId="20A7D5ED">
      <w:pPr>
        <w:pageBreakBefore w:val="0"/>
        <w:wordWrap/>
        <w:bidi w:val="0"/>
        <w:adjustRightInd/>
        <w:snapToGrid/>
        <w:rPr>
          <w:rFonts w:hint="eastAsia"/>
          <w:color w:val="auto"/>
        </w:rPr>
      </w:pPr>
      <w:r>
        <w:rPr>
          <w:rFonts w:hint="eastAsia"/>
          <w:color w:val="auto"/>
        </w:rPr>
        <w:t>另通过高效率的空气提升系统将混合液在工艺入口端与进水进行数十倍的瞬间稀释，使得入口端与出口端的浓度差大大降低，这为细菌提供了相对稳定的宽松的生长环境，这</w:t>
      </w:r>
      <w:r>
        <w:rPr>
          <w:rFonts w:hint="eastAsia"/>
          <w:color w:val="auto"/>
          <w:lang w:eastAsia="zh-CN"/>
        </w:rPr>
        <w:t>是其他</w:t>
      </w:r>
      <w:r>
        <w:rPr>
          <w:rFonts w:hint="eastAsia"/>
          <w:color w:val="auto"/>
        </w:rPr>
        <w:t>传统工艺很难做得到的。因为</w:t>
      </w:r>
      <w:r>
        <w:rPr>
          <w:rFonts w:hint="eastAsia"/>
          <w:color w:val="auto"/>
          <w:lang w:eastAsia="zh-CN"/>
        </w:rPr>
        <w:t>其他</w:t>
      </w:r>
      <w:r>
        <w:rPr>
          <w:rFonts w:hint="eastAsia"/>
          <w:color w:val="auto"/>
        </w:rPr>
        <w:t>传统工艺多是与回流污泥进行1</w:t>
      </w:r>
      <w:r>
        <w:rPr>
          <w:rFonts w:hint="eastAsia"/>
          <w:color w:val="auto"/>
          <w:lang w:eastAsia="zh-CN"/>
        </w:rPr>
        <w:t>：</w:t>
      </w:r>
      <w:r>
        <w:rPr>
          <w:rFonts w:hint="eastAsia"/>
          <w:color w:val="auto"/>
        </w:rPr>
        <w:t>1稀释，而且传统工艺从入口端到出口端水质变化较大，反应池内的细菌在循环过程中也需要不停地去适应多变的生长环境，这样多变的环境对细菌的良好生长及保持较高的污泥活性非常不利，而EBIS工艺就避免了这种情况，它能始终保持稳定的溶氧、水质、污泥浓度，从而更加有效地保证了反应池中污染物持续稳定的去除率。</w:t>
      </w:r>
    </w:p>
    <w:p w14:paraId="2BEDE6E7">
      <w:pPr>
        <w:pageBreakBefore w:val="0"/>
        <w:wordWrap/>
        <w:bidi w:val="0"/>
        <w:adjustRightInd/>
        <w:snapToGrid/>
        <w:rPr>
          <w:color w:val="auto"/>
        </w:rPr>
      </w:pPr>
      <w:r>
        <w:rPr>
          <w:rFonts w:hint="eastAsia"/>
          <w:color w:val="auto"/>
        </w:rPr>
        <w:t>通过比较，针对该污水处理项目，我们得出以下综合比较见下表：</w:t>
      </w:r>
    </w:p>
    <w:p w14:paraId="6A2EDC91">
      <w:pPr>
        <w:pStyle w:val="15"/>
        <w:numPr>
          <w:ilvl w:val="0"/>
          <w:numId w:val="16"/>
        </w:numPr>
        <w:bidi w:val="0"/>
        <w:ind w:left="0" w:leftChars="0" w:firstLine="0" w:firstLineChars="0"/>
        <w:rPr>
          <w:color w:val="auto"/>
        </w:rPr>
      </w:pPr>
      <w:r>
        <w:rPr>
          <w:rFonts w:hint="eastAsia"/>
          <w:color w:val="auto"/>
        </w:rPr>
        <w:t>处理工艺方案综合比较表</w:t>
      </w:r>
    </w:p>
    <w:tbl>
      <w:tblPr>
        <w:tblStyle w:val="703"/>
        <w:tblW w:w="850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17"/>
        <w:gridCol w:w="956"/>
        <w:gridCol w:w="1598"/>
        <w:gridCol w:w="1578"/>
        <w:gridCol w:w="1939"/>
        <w:gridCol w:w="1821"/>
      </w:tblGrid>
      <w:tr w14:paraId="0B6CF4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1573" w:type="dxa"/>
            <w:gridSpan w:val="2"/>
            <w:tcBorders>
              <w:tl2br w:val="nil"/>
              <w:tr2bl w:val="nil"/>
            </w:tcBorders>
            <w:vAlign w:val="center"/>
          </w:tcPr>
          <w:p w14:paraId="205DA802">
            <w:pPr>
              <w:pStyle w:val="12"/>
              <w:pageBreakBefore w:val="0"/>
              <w:wordWrap/>
              <w:bidi w:val="0"/>
              <w:adjustRightInd/>
              <w:snapToGrid/>
              <w:rPr>
                <w:b/>
                <w:bCs/>
                <w:color w:val="auto"/>
              </w:rPr>
            </w:pPr>
            <w:r>
              <w:rPr>
                <w:b/>
                <w:bCs/>
                <w:color w:val="auto"/>
              </w:rPr>
              <w:t>项目</w:t>
            </w:r>
          </w:p>
        </w:tc>
        <w:tc>
          <w:tcPr>
            <w:tcW w:w="1598" w:type="dxa"/>
            <w:tcBorders>
              <w:tl2br w:val="nil"/>
              <w:tr2bl w:val="nil"/>
            </w:tcBorders>
            <w:vAlign w:val="center"/>
          </w:tcPr>
          <w:p w14:paraId="4A74610C">
            <w:pPr>
              <w:pStyle w:val="12"/>
              <w:pageBreakBefore w:val="0"/>
              <w:wordWrap/>
              <w:bidi w:val="0"/>
              <w:adjustRightInd/>
              <w:snapToGrid/>
              <w:rPr>
                <w:b/>
                <w:bCs/>
                <w:color w:val="auto"/>
              </w:rPr>
            </w:pPr>
            <w:r>
              <w:rPr>
                <w:b/>
                <w:bCs/>
                <w:color w:val="auto"/>
              </w:rPr>
              <w:t>A²/0方案</w:t>
            </w:r>
          </w:p>
        </w:tc>
        <w:tc>
          <w:tcPr>
            <w:tcW w:w="1578" w:type="dxa"/>
            <w:tcBorders>
              <w:tl2br w:val="nil"/>
              <w:tr2bl w:val="nil"/>
            </w:tcBorders>
            <w:vAlign w:val="center"/>
          </w:tcPr>
          <w:p w14:paraId="28B508C6">
            <w:pPr>
              <w:pStyle w:val="12"/>
              <w:pageBreakBefore w:val="0"/>
              <w:wordWrap/>
              <w:bidi w:val="0"/>
              <w:adjustRightInd/>
              <w:snapToGrid/>
              <w:rPr>
                <w:b/>
                <w:bCs/>
                <w:color w:val="auto"/>
              </w:rPr>
            </w:pPr>
            <w:r>
              <w:rPr>
                <w:b/>
                <w:bCs/>
                <w:color w:val="auto"/>
              </w:rPr>
              <w:t>MBBR方案</w:t>
            </w:r>
          </w:p>
        </w:tc>
        <w:tc>
          <w:tcPr>
            <w:tcW w:w="1939" w:type="dxa"/>
            <w:tcBorders>
              <w:tl2br w:val="nil"/>
              <w:tr2bl w:val="nil"/>
            </w:tcBorders>
            <w:vAlign w:val="center"/>
          </w:tcPr>
          <w:p w14:paraId="78F7816C">
            <w:pPr>
              <w:pStyle w:val="12"/>
              <w:pageBreakBefore w:val="0"/>
              <w:wordWrap/>
              <w:bidi w:val="0"/>
              <w:adjustRightInd/>
              <w:snapToGrid/>
              <w:rPr>
                <w:b/>
                <w:bCs/>
                <w:color w:val="auto"/>
              </w:rPr>
            </w:pPr>
            <w:r>
              <w:rPr>
                <w:b/>
                <w:bCs/>
                <w:color w:val="auto"/>
              </w:rPr>
              <w:t>MBR方案</w:t>
            </w:r>
          </w:p>
        </w:tc>
        <w:tc>
          <w:tcPr>
            <w:tcW w:w="1821" w:type="dxa"/>
            <w:tcBorders>
              <w:tl2br w:val="nil"/>
              <w:tr2bl w:val="nil"/>
            </w:tcBorders>
            <w:vAlign w:val="center"/>
          </w:tcPr>
          <w:p w14:paraId="30669249">
            <w:pPr>
              <w:pStyle w:val="12"/>
              <w:pageBreakBefore w:val="0"/>
              <w:wordWrap/>
              <w:bidi w:val="0"/>
              <w:adjustRightInd/>
              <w:snapToGrid/>
              <w:rPr>
                <w:b/>
                <w:bCs/>
                <w:color w:val="auto"/>
              </w:rPr>
            </w:pPr>
            <w:r>
              <w:rPr>
                <w:b/>
                <w:bCs/>
                <w:color w:val="auto"/>
              </w:rPr>
              <w:t>EBIS方案</w:t>
            </w:r>
          </w:p>
        </w:tc>
      </w:tr>
      <w:tr w14:paraId="16227B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0D018148">
            <w:pPr>
              <w:pStyle w:val="12"/>
              <w:pageBreakBefore w:val="0"/>
              <w:wordWrap/>
              <w:bidi w:val="0"/>
              <w:adjustRightInd/>
              <w:snapToGrid/>
              <w:rPr>
                <w:color w:val="auto"/>
              </w:rPr>
            </w:pPr>
            <w:r>
              <w:rPr>
                <w:color w:val="auto"/>
              </w:rPr>
              <w:t>占地</w:t>
            </w:r>
          </w:p>
        </w:tc>
        <w:tc>
          <w:tcPr>
            <w:tcW w:w="1598" w:type="dxa"/>
            <w:tcBorders>
              <w:tl2br w:val="nil"/>
              <w:tr2bl w:val="nil"/>
            </w:tcBorders>
            <w:vAlign w:val="center"/>
          </w:tcPr>
          <w:p w14:paraId="45BCAD70">
            <w:pPr>
              <w:pStyle w:val="12"/>
              <w:pageBreakBefore w:val="0"/>
              <w:wordWrap/>
              <w:bidi w:val="0"/>
              <w:adjustRightInd/>
              <w:snapToGrid/>
              <w:rPr>
                <w:color w:val="auto"/>
              </w:rPr>
            </w:pPr>
            <w:r>
              <w:rPr>
                <w:color w:val="auto"/>
              </w:rPr>
              <w:t>较大</w:t>
            </w:r>
          </w:p>
        </w:tc>
        <w:tc>
          <w:tcPr>
            <w:tcW w:w="1578" w:type="dxa"/>
            <w:tcBorders>
              <w:tl2br w:val="nil"/>
              <w:tr2bl w:val="nil"/>
            </w:tcBorders>
            <w:vAlign w:val="center"/>
          </w:tcPr>
          <w:p w14:paraId="62B3BE26">
            <w:pPr>
              <w:pStyle w:val="12"/>
              <w:pageBreakBefore w:val="0"/>
              <w:wordWrap/>
              <w:bidi w:val="0"/>
              <w:adjustRightInd/>
              <w:snapToGrid/>
              <w:rPr>
                <w:color w:val="auto"/>
              </w:rPr>
            </w:pPr>
            <w:r>
              <w:rPr>
                <w:color w:val="auto"/>
              </w:rPr>
              <w:t>小</w:t>
            </w:r>
          </w:p>
        </w:tc>
        <w:tc>
          <w:tcPr>
            <w:tcW w:w="1939" w:type="dxa"/>
            <w:tcBorders>
              <w:tl2br w:val="nil"/>
              <w:tr2bl w:val="nil"/>
            </w:tcBorders>
            <w:vAlign w:val="center"/>
          </w:tcPr>
          <w:p w14:paraId="0241B17F">
            <w:pPr>
              <w:pStyle w:val="12"/>
              <w:pageBreakBefore w:val="0"/>
              <w:wordWrap/>
              <w:bidi w:val="0"/>
              <w:adjustRightInd/>
              <w:snapToGrid/>
              <w:rPr>
                <w:color w:val="auto"/>
              </w:rPr>
            </w:pPr>
            <w:r>
              <w:rPr>
                <w:color w:val="auto"/>
              </w:rPr>
              <w:t>小</w:t>
            </w:r>
          </w:p>
        </w:tc>
        <w:tc>
          <w:tcPr>
            <w:tcW w:w="1821" w:type="dxa"/>
            <w:tcBorders>
              <w:tl2br w:val="nil"/>
              <w:tr2bl w:val="nil"/>
            </w:tcBorders>
            <w:vAlign w:val="center"/>
          </w:tcPr>
          <w:p w14:paraId="55AF5618">
            <w:pPr>
              <w:pStyle w:val="12"/>
              <w:pageBreakBefore w:val="0"/>
              <w:wordWrap/>
              <w:bidi w:val="0"/>
              <w:adjustRightInd/>
              <w:snapToGrid/>
              <w:rPr>
                <w:color w:val="auto"/>
              </w:rPr>
            </w:pPr>
            <w:r>
              <w:rPr>
                <w:color w:val="auto"/>
              </w:rPr>
              <w:t>最小</w:t>
            </w:r>
          </w:p>
        </w:tc>
      </w:tr>
      <w:tr w14:paraId="268EA8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75F2A179">
            <w:pPr>
              <w:pStyle w:val="12"/>
              <w:pageBreakBefore w:val="0"/>
              <w:wordWrap/>
              <w:bidi w:val="0"/>
              <w:adjustRightInd/>
              <w:snapToGrid/>
              <w:rPr>
                <w:color w:val="auto"/>
              </w:rPr>
            </w:pPr>
            <w:r>
              <w:rPr>
                <w:color w:val="auto"/>
              </w:rPr>
              <w:t>单位污水耗电</w:t>
            </w:r>
          </w:p>
        </w:tc>
        <w:tc>
          <w:tcPr>
            <w:tcW w:w="1598" w:type="dxa"/>
            <w:tcBorders>
              <w:tl2br w:val="nil"/>
              <w:tr2bl w:val="nil"/>
            </w:tcBorders>
            <w:vAlign w:val="center"/>
          </w:tcPr>
          <w:p w14:paraId="497E2AC5">
            <w:pPr>
              <w:pStyle w:val="12"/>
              <w:pageBreakBefore w:val="0"/>
              <w:wordWrap/>
              <w:bidi w:val="0"/>
              <w:adjustRightInd/>
              <w:snapToGrid/>
              <w:rPr>
                <w:color w:val="auto"/>
              </w:rPr>
            </w:pPr>
            <w:r>
              <w:rPr>
                <w:color w:val="auto"/>
              </w:rPr>
              <w:t>较高</w:t>
            </w:r>
          </w:p>
        </w:tc>
        <w:tc>
          <w:tcPr>
            <w:tcW w:w="1578" w:type="dxa"/>
            <w:tcBorders>
              <w:tl2br w:val="nil"/>
              <w:tr2bl w:val="nil"/>
            </w:tcBorders>
            <w:vAlign w:val="center"/>
          </w:tcPr>
          <w:p w14:paraId="5FB86DCC">
            <w:pPr>
              <w:pStyle w:val="12"/>
              <w:pageBreakBefore w:val="0"/>
              <w:wordWrap/>
              <w:bidi w:val="0"/>
              <w:adjustRightInd/>
              <w:snapToGrid/>
              <w:rPr>
                <w:color w:val="auto"/>
              </w:rPr>
            </w:pPr>
            <w:r>
              <w:rPr>
                <w:color w:val="auto"/>
              </w:rPr>
              <w:t>高</w:t>
            </w:r>
          </w:p>
        </w:tc>
        <w:tc>
          <w:tcPr>
            <w:tcW w:w="1939" w:type="dxa"/>
            <w:tcBorders>
              <w:tl2br w:val="nil"/>
              <w:tr2bl w:val="nil"/>
            </w:tcBorders>
            <w:vAlign w:val="center"/>
          </w:tcPr>
          <w:p w14:paraId="53731B36">
            <w:pPr>
              <w:pStyle w:val="12"/>
              <w:pageBreakBefore w:val="0"/>
              <w:wordWrap/>
              <w:bidi w:val="0"/>
              <w:adjustRightInd/>
              <w:snapToGrid/>
              <w:rPr>
                <w:color w:val="auto"/>
              </w:rPr>
            </w:pPr>
            <w:r>
              <w:rPr>
                <w:color w:val="auto"/>
              </w:rPr>
              <w:t>最高</w:t>
            </w:r>
          </w:p>
        </w:tc>
        <w:tc>
          <w:tcPr>
            <w:tcW w:w="1821" w:type="dxa"/>
            <w:tcBorders>
              <w:tl2br w:val="nil"/>
              <w:tr2bl w:val="nil"/>
            </w:tcBorders>
            <w:vAlign w:val="center"/>
          </w:tcPr>
          <w:p w14:paraId="2B28DF4D">
            <w:pPr>
              <w:pStyle w:val="12"/>
              <w:pageBreakBefore w:val="0"/>
              <w:wordWrap/>
              <w:bidi w:val="0"/>
              <w:adjustRightInd/>
              <w:snapToGrid/>
              <w:rPr>
                <w:color w:val="auto"/>
              </w:rPr>
            </w:pPr>
            <w:r>
              <w:rPr>
                <w:color w:val="auto"/>
              </w:rPr>
              <w:t>低</w:t>
            </w:r>
          </w:p>
        </w:tc>
      </w:tr>
      <w:tr w14:paraId="4AFF74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76DC2308">
            <w:pPr>
              <w:pStyle w:val="12"/>
              <w:pageBreakBefore w:val="0"/>
              <w:wordWrap/>
              <w:bidi w:val="0"/>
              <w:adjustRightInd/>
              <w:snapToGrid/>
              <w:rPr>
                <w:color w:val="auto"/>
              </w:rPr>
            </w:pPr>
            <w:r>
              <w:rPr>
                <w:color w:val="auto"/>
              </w:rPr>
              <w:t>工程总投资</w:t>
            </w:r>
          </w:p>
        </w:tc>
        <w:tc>
          <w:tcPr>
            <w:tcW w:w="1598" w:type="dxa"/>
            <w:tcBorders>
              <w:tl2br w:val="nil"/>
              <w:tr2bl w:val="nil"/>
            </w:tcBorders>
            <w:vAlign w:val="center"/>
          </w:tcPr>
          <w:p w14:paraId="570A3961">
            <w:pPr>
              <w:pStyle w:val="12"/>
              <w:pageBreakBefore w:val="0"/>
              <w:wordWrap/>
              <w:bidi w:val="0"/>
              <w:adjustRightInd/>
              <w:snapToGrid/>
              <w:rPr>
                <w:color w:val="auto"/>
              </w:rPr>
            </w:pPr>
            <w:r>
              <w:rPr>
                <w:color w:val="auto"/>
              </w:rPr>
              <w:t>中</w:t>
            </w:r>
          </w:p>
        </w:tc>
        <w:tc>
          <w:tcPr>
            <w:tcW w:w="1578" w:type="dxa"/>
            <w:tcBorders>
              <w:tl2br w:val="nil"/>
              <w:tr2bl w:val="nil"/>
            </w:tcBorders>
            <w:vAlign w:val="center"/>
          </w:tcPr>
          <w:p w14:paraId="192D4ECE">
            <w:pPr>
              <w:pStyle w:val="12"/>
              <w:pageBreakBefore w:val="0"/>
              <w:wordWrap/>
              <w:bidi w:val="0"/>
              <w:adjustRightInd/>
              <w:snapToGrid/>
              <w:rPr>
                <w:color w:val="auto"/>
              </w:rPr>
            </w:pPr>
            <w:r>
              <w:rPr>
                <w:color w:val="auto"/>
              </w:rPr>
              <w:t>高</w:t>
            </w:r>
          </w:p>
        </w:tc>
        <w:tc>
          <w:tcPr>
            <w:tcW w:w="1939" w:type="dxa"/>
            <w:tcBorders>
              <w:tl2br w:val="nil"/>
              <w:tr2bl w:val="nil"/>
            </w:tcBorders>
            <w:vAlign w:val="center"/>
          </w:tcPr>
          <w:p w14:paraId="7094CEFB">
            <w:pPr>
              <w:pStyle w:val="12"/>
              <w:pageBreakBefore w:val="0"/>
              <w:wordWrap/>
              <w:bidi w:val="0"/>
              <w:adjustRightInd/>
              <w:snapToGrid/>
              <w:rPr>
                <w:color w:val="auto"/>
              </w:rPr>
            </w:pPr>
            <w:r>
              <w:rPr>
                <w:color w:val="auto"/>
              </w:rPr>
              <w:t>高</w:t>
            </w:r>
          </w:p>
        </w:tc>
        <w:tc>
          <w:tcPr>
            <w:tcW w:w="1821" w:type="dxa"/>
            <w:tcBorders>
              <w:tl2br w:val="nil"/>
              <w:tr2bl w:val="nil"/>
            </w:tcBorders>
            <w:vAlign w:val="center"/>
          </w:tcPr>
          <w:p w14:paraId="5BA57B91">
            <w:pPr>
              <w:pStyle w:val="12"/>
              <w:pageBreakBefore w:val="0"/>
              <w:wordWrap/>
              <w:bidi w:val="0"/>
              <w:adjustRightInd/>
              <w:snapToGrid/>
              <w:rPr>
                <w:color w:val="auto"/>
              </w:rPr>
            </w:pPr>
            <w:r>
              <w:rPr>
                <w:color w:val="auto"/>
              </w:rPr>
              <w:t>中</w:t>
            </w:r>
          </w:p>
        </w:tc>
      </w:tr>
      <w:tr w14:paraId="57D54F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34A3FA85">
            <w:pPr>
              <w:pStyle w:val="12"/>
              <w:pageBreakBefore w:val="0"/>
              <w:wordWrap/>
              <w:bidi w:val="0"/>
              <w:adjustRightInd/>
              <w:snapToGrid/>
              <w:rPr>
                <w:color w:val="auto"/>
              </w:rPr>
            </w:pPr>
            <w:r>
              <w:rPr>
                <w:color w:val="auto"/>
              </w:rPr>
              <w:t>化学药剂</w:t>
            </w:r>
          </w:p>
        </w:tc>
        <w:tc>
          <w:tcPr>
            <w:tcW w:w="1598" w:type="dxa"/>
            <w:tcBorders>
              <w:tl2br w:val="nil"/>
              <w:tr2bl w:val="nil"/>
            </w:tcBorders>
            <w:vAlign w:val="center"/>
          </w:tcPr>
          <w:p w14:paraId="6994B3B3">
            <w:pPr>
              <w:pStyle w:val="12"/>
              <w:pageBreakBefore w:val="0"/>
              <w:wordWrap/>
              <w:bidi w:val="0"/>
              <w:adjustRightInd/>
              <w:snapToGrid/>
              <w:rPr>
                <w:color w:val="auto"/>
              </w:rPr>
            </w:pPr>
            <w:r>
              <w:rPr>
                <w:color w:val="auto"/>
              </w:rPr>
              <w:t>需要碳源较多，无其他药剂</w:t>
            </w:r>
          </w:p>
        </w:tc>
        <w:tc>
          <w:tcPr>
            <w:tcW w:w="1578" w:type="dxa"/>
            <w:tcBorders>
              <w:tl2br w:val="nil"/>
              <w:tr2bl w:val="nil"/>
            </w:tcBorders>
            <w:vAlign w:val="center"/>
          </w:tcPr>
          <w:p w14:paraId="3AB9F2F2">
            <w:pPr>
              <w:pStyle w:val="12"/>
              <w:pageBreakBefore w:val="0"/>
              <w:wordWrap/>
              <w:bidi w:val="0"/>
              <w:adjustRightInd/>
              <w:snapToGrid/>
              <w:rPr>
                <w:color w:val="auto"/>
              </w:rPr>
            </w:pPr>
            <w:r>
              <w:rPr>
                <w:color w:val="auto"/>
              </w:rPr>
              <w:t>需要碳源多，无其他药剂</w:t>
            </w:r>
          </w:p>
        </w:tc>
        <w:tc>
          <w:tcPr>
            <w:tcW w:w="1939" w:type="dxa"/>
            <w:tcBorders>
              <w:tl2br w:val="nil"/>
              <w:tr2bl w:val="nil"/>
            </w:tcBorders>
            <w:vAlign w:val="center"/>
          </w:tcPr>
          <w:p w14:paraId="1CA80911">
            <w:pPr>
              <w:pStyle w:val="12"/>
              <w:pageBreakBefore w:val="0"/>
              <w:wordWrap/>
              <w:bidi w:val="0"/>
              <w:adjustRightInd/>
              <w:snapToGrid/>
              <w:rPr>
                <w:color w:val="auto"/>
              </w:rPr>
            </w:pPr>
            <w:r>
              <w:rPr>
                <w:color w:val="auto"/>
              </w:rPr>
              <w:t>需要碳源较多，且需要膜清洗药剂</w:t>
            </w:r>
          </w:p>
        </w:tc>
        <w:tc>
          <w:tcPr>
            <w:tcW w:w="1821" w:type="dxa"/>
            <w:tcBorders>
              <w:tl2br w:val="nil"/>
              <w:tr2bl w:val="nil"/>
            </w:tcBorders>
            <w:vAlign w:val="center"/>
          </w:tcPr>
          <w:p w14:paraId="22ADDF55">
            <w:pPr>
              <w:pStyle w:val="12"/>
              <w:pageBreakBefore w:val="0"/>
              <w:wordWrap/>
              <w:bidi w:val="0"/>
              <w:adjustRightInd/>
              <w:snapToGrid/>
              <w:rPr>
                <w:color w:val="auto"/>
              </w:rPr>
            </w:pPr>
            <w:r>
              <w:rPr>
                <w:color w:val="auto"/>
              </w:rPr>
              <w:t>需要碳源最少，无其 他药剂</w:t>
            </w:r>
          </w:p>
        </w:tc>
      </w:tr>
      <w:tr w14:paraId="3C3654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77048903">
            <w:pPr>
              <w:pStyle w:val="12"/>
              <w:pageBreakBefore w:val="0"/>
              <w:wordWrap/>
              <w:bidi w:val="0"/>
              <w:adjustRightInd/>
              <w:snapToGrid/>
              <w:rPr>
                <w:color w:val="auto"/>
              </w:rPr>
            </w:pPr>
            <w:r>
              <w:rPr>
                <w:color w:val="auto"/>
              </w:rPr>
              <w:t>设备更换</w:t>
            </w:r>
          </w:p>
        </w:tc>
        <w:tc>
          <w:tcPr>
            <w:tcW w:w="1598" w:type="dxa"/>
            <w:tcBorders>
              <w:tl2br w:val="nil"/>
              <w:tr2bl w:val="nil"/>
            </w:tcBorders>
            <w:vAlign w:val="center"/>
          </w:tcPr>
          <w:p w14:paraId="5638D2FA">
            <w:pPr>
              <w:pStyle w:val="12"/>
              <w:pageBreakBefore w:val="0"/>
              <w:wordWrap/>
              <w:bidi w:val="0"/>
              <w:adjustRightInd/>
              <w:snapToGrid/>
              <w:rPr>
                <w:color w:val="auto"/>
              </w:rPr>
            </w:pPr>
            <w:r>
              <w:rPr>
                <w:color w:val="auto"/>
              </w:rPr>
              <w:t>曝气3</w:t>
            </w:r>
            <w:r>
              <w:rPr>
                <w:rFonts w:hint="eastAsia"/>
                <w:color w:val="auto"/>
                <w:lang w:eastAsia="zh-CN"/>
              </w:rPr>
              <w:t>～</w:t>
            </w:r>
            <w:r>
              <w:rPr>
                <w:color w:val="auto"/>
              </w:rPr>
              <w:t>5年，动力设备数量较多</w:t>
            </w:r>
          </w:p>
        </w:tc>
        <w:tc>
          <w:tcPr>
            <w:tcW w:w="1578" w:type="dxa"/>
            <w:tcBorders>
              <w:tl2br w:val="nil"/>
              <w:tr2bl w:val="nil"/>
            </w:tcBorders>
            <w:vAlign w:val="center"/>
          </w:tcPr>
          <w:p w14:paraId="20737617">
            <w:pPr>
              <w:pStyle w:val="12"/>
              <w:pageBreakBefore w:val="0"/>
              <w:wordWrap/>
              <w:bidi w:val="0"/>
              <w:adjustRightInd/>
              <w:snapToGrid/>
              <w:rPr>
                <w:color w:val="auto"/>
              </w:rPr>
            </w:pPr>
            <w:r>
              <w:rPr>
                <w:color w:val="auto"/>
              </w:rPr>
              <w:t>曝气3</w:t>
            </w:r>
            <w:r>
              <w:rPr>
                <w:rFonts w:hint="eastAsia"/>
                <w:color w:val="auto"/>
                <w:lang w:eastAsia="zh-CN"/>
              </w:rPr>
              <w:t>～</w:t>
            </w:r>
            <w:r>
              <w:rPr>
                <w:color w:val="auto"/>
              </w:rPr>
              <w:t>5年，动</w:t>
            </w:r>
          </w:p>
          <w:p w14:paraId="3F267D3D">
            <w:pPr>
              <w:pStyle w:val="12"/>
              <w:pageBreakBefore w:val="0"/>
              <w:wordWrap/>
              <w:bidi w:val="0"/>
              <w:adjustRightInd/>
              <w:snapToGrid/>
              <w:rPr>
                <w:color w:val="auto"/>
              </w:rPr>
            </w:pPr>
            <w:r>
              <w:rPr>
                <w:color w:val="auto"/>
              </w:rPr>
              <w:t>力设备数量较多</w:t>
            </w:r>
          </w:p>
        </w:tc>
        <w:tc>
          <w:tcPr>
            <w:tcW w:w="1939" w:type="dxa"/>
            <w:tcBorders>
              <w:tl2br w:val="nil"/>
              <w:tr2bl w:val="nil"/>
            </w:tcBorders>
            <w:vAlign w:val="center"/>
          </w:tcPr>
          <w:p w14:paraId="09734C2F">
            <w:pPr>
              <w:pStyle w:val="12"/>
              <w:pageBreakBefore w:val="0"/>
              <w:wordWrap/>
              <w:bidi w:val="0"/>
              <w:adjustRightInd/>
              <w:snapToGrid/>
              <w:rPr>
                <w:color w:val="auto"/>
              </w:rPr>
            </w:pPr>
            <w:r>
              <w:rPr>
                <w:color w:val="auto"/>
              </w:rPr>
              <w:t>曝气3</w:t>
            </w:r>
            <w:r>
              <w:rPr>
                <w:rFonts w:hint="eastAsia"/>
                <w:color w:val="auto"/>
                <w:lang w:eastAsia="zh-CN"/>
              </w:rPr>
              <w:t>～</w:t>
            </w:r>
            <w:r>
              <w:rPr>
                <w:color w:val="auto"/>
              </w:rPr>
              <w:t>5年，膜设备3年左右，动力设备数量最多</w:t>
            </w:r>
          </w:p>
        </w:tc>
        <w:tc>
          <w:tcPr>
            <w:tcW w:w="1821" w:type="dxa"/>
            <w:tcBorders>
              <w:tl2br w:val="nil"/>
              <w:tr2bl w:val="nil"/>
            </w:tcBorders>
            <w:vAlign w:val="center"/>
          </w:tcPr>
          <w:p w14:paraId="67D3AC28">
            <w:pPr>
              <w:pStyle w:val="12"/>
              <w:pageBreakBefore w:val="0"/>
              <w:wordWrap/>
              <w:bidi w:val="0"/>
              <w:adjustRightInd/>
              <w:snapToGrid/>
              <w:rPr>
                <w:color w:val="auto"/>
              </w:rPr>
            </w:pPr>
            <w:r>
              <w:rPr>
                <w:color w:val="auto"/>
              </w:rPr>
              <w:t>曝气8</w:t>
            </w:r>
            <w:r>
              <w:rPr>
                <w:rFonts w:hint="eastAsia"/>
                <w:color w:val="auto"/>
                <w:lang w:eastAsia="zh-CN"/>
              </w:rPr>
              <w:t>～</w:t>
            </w:r>
            <w:r>
              <w:rPr>
                <w:color w:val="auto"/>
              </w:rPr>
              <w:t>12年，动力设备数量最少</w:t>
            </w:r>
          </w:p>
        </w:tc>
      </w:tr>
      <w:tr w14:paraId="7B7A36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5F150856">
            <w:pPr>
              <w:pStyle w:val="12"/>
              <w:pageBreakBefore w:val="0"/>
              <w:wordWrap/>
              <w:bidi w:val="0"/>
              <w:adjustRightInd/>
              <w:snapToGrid/>
              <w:rPr>
                <w:color w:val="auto"/>
              </w:rPr>
            </w:pPr>
            <w:r>
              <w:rPr>
                <w:color w:val="auto"/>
              </w:rPr>
              <w:t>直接运行成本</w:t>
            </w:r>
          </w:p>
        </w:tc>
        <w:tc>
          <w:tcPr>
            <w:tcW w:w="1598" w:type="dxa"/>
            <w:tcBorders>
              <w:tl2br w:val="nil"/>
              <w:tr2bl w:val="nil"/>
            </w:tcBorders>
            <w:vAlign w:val="center"/>
          </w:tcPr>
          <w:p w14:paraId="29457B47">
            <w:pPr>
              <w:pStyle w:val="12"/>
              <w:pageBreakBefore w:val="0"/>
              <w:wordWrap/>
              <w:bidi w:val="0"/>
              <w:adjustRightInd/>
              <w:snapToGrid/>
              <w:rPr>
                <w:color w:val="auto"/>
              </w:rPr>
            </w:pPr>
            <w:r>
              <w:rPr>
                <w:color w:val="auto"/>
              </w:rPr>
              <w:t>高</w:t>
            </w:r>
          </w:p>
        </w:tc>
        <w:tc>
          <w:tcPr>
            <w:tcW w:w="1578" w:type="dxa"/>
            <w:tcBorders>
              <w:tl2br w:val="nil"/>
              <w:tr2bl w:val="nil"/>
            </w:tcBorders>
            <w:vAlign w:val="center"/>
          </w:tcPr>
          <w:p w14:paraId="4988FA07">
            <w:pPr>
              <w:pStyle w:val="12"/>
              <w:pageBreakBefore w:val="0"/>
              <w:wordWrap/>
              <w:bidi w:val="0"/>
              <w:adjustRightInd/>
              <w:snapToGrid/>
              <w:rPr>
                <w:color w:val="auto"/>
              </w:rPr>
            </w:pPr>
            <w:r>
              <w:rPr>
                <w:color w:val="auto"/>
              </w:rPr>
              <w:t>较高</w:t>
            </w:r>
          </w:p>
        </w:tc>
        <w:tc>
          <w:tcPr>
            <w:tcW w:w="1939" w:type="dxa"/>
            <w:tcBorders>
              <w:tl2br w:val="nil"/>
              <w:tr2bl w:val="nil"/>
            </w:tcBorders>
            <w:vAlign w:val="center"/>
          </w:tcPr>
          <w:p w14:paraId="32936A7E">
            <w:pPr>
              <w:pStyle w:val="12"/>
              <w:pageBreakBefore w:val="0"/>
              <w:wordWrap/>
              <w:bidi w:val="0"/>
              <w:adjustRightInd/>
              <w:snapToGrid/>
              <w:rPr>
                <w:color w:val="auto"/>
              </w:rPr>
            </w:pPr>
            <w:r>
              <w:rPr>
                <w:color w:val="auto"/>
              </w:rPr>
              <w:t>高</w:t>
            </w:r>
          </w:p>
        </w:tc>
        <w:tc>
          <w:tcPr>
            <w:tcW w:w="1821" w:type="dxa"/>
            <w:tcBorders>
              <w:tl2br w:val="nil"/>
              <w:tr2bl w:val="nil"/>
            </w:tcBorders>
            <w:vAlign w:val="center"/>
          </w:tcPr>
          <w:p w14:paraId="4CD326A7">
            <w:pPr>
              <w:pStyle w:val="12"/>
              <w:pageBreakBefore w:val="0"/>
              <w:wordWrap/>
              <w:bidi w:val="0"/>
              <w:adjustRightInd/>
              <w:snapToGrid/>
              <w:rPr>
                <w:color w:val="auto"/>
              </w:rPr>
            </w:pPr>
            <w:r>
              <w:rPr>
                <w:color w:val="auto"/>
              </w:rPr>
              <w:t>低</w:t>
            </w:r>
          </w:p>
        </w:tc>
      </w:tr>
      <w:tr w14:paraId="43328C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51C6936C">
            <w:pPr>
              <w:pStyle w:val="12"/>
              <w:pageBreakBefore w:val="0"/>
              <w:wordWrap/>
              <w:bidi w:val="0"/>
              <w:adjustRightInd/>
              <w:snapToGrid/>
              <w:rPr>
                <w:color w:val="auto"/>
              </w:rPr>
            </w:pPr>
            <w:r>
              <w:rPr>
                <w:color w:val="auto"/>
              </w:rPr>
              <w:t>剩余污泥量</w:t>
            </w:r>
          </w:p>
        </w:tc>
        <w:tc>
          <w:tcPr>
            <w:tcW w:w="1598" w:type="dxa"/>
            <w:tcBorders>
              <w:tl2br w:val="nil"/>
              <w:tr2bl w:val="nil"/>
            </w:tcBorders>
            <w:vAlign w:val="center"/>
          </w:tcPr>
          <w:p w14:paraId="5CD08CEF">
            <w:pPr>
              <w:pStyle w:val="12"/>
              <w:pageBreakBefore w:val="0"/>
              <w:wordWrap/>
              <w:bidi w:val="0"/>
              <w:adjustRightInd/>
              <w:snapToGrid/>
              <w:rPr>
                <w:color w:val="auto"/>
              </w:rPr>
            </w:pPr>
            <w:r>
              <w:rPr>
                <w:color w:val="auto"/>
              </w:rPr>
              <w:t>偏高</w:t>
            </w:r>
          </w:p>
        </w:tc>
        <w:tc>
          <w:tcPr>
            <w:tcW w:w="1578" w:type="dxa"/>
            <w:tcBorders>
              <w:tl2br w:val="nil"/>
              <w:tr2bl w:val="nil"/>
            </w:tcBorders>
            <w:vAlign w:val="center"/>
          </w:tcPr>
          <w:p w14:paraId="163BF41F">
            <w:pPr>
              <w:pStyle w:val="12"/>
              <w:pageBreakBefore w:val="0"/>
              <w:wordWrap/>
              <w:bidi w:val="0"/>
              <w:adjustRightInd/>
              <w:snapToGrid/>
              <w:rPr>
                <w:color w:val="auto"/>
              </w:rPr>
            </w:pPr>
            <w:r>
              <w:rPr>
                <w:color w:val="auto"/>
              </w:rPr>
              <w:t>中等</w:t>
            </w:r>
          </w:p>
        </w:tc>
        <w:tc>
          <w:tcPr>
            <w:tcW w:w="1939" w:type="dxa"/>
            <w:tcBorders>
              <w:tl2br w:val="nil"/>
              <w:tr2bl w:val="nil"/>
            </w:tcBorders>
            <w:vAlign w:val="center"/>
          </w:tcPr>
          <w:p w14:paraId="271FFBBF">
            <w:pPr>
              <w:pStyle w:val="12"/>
              <w:pageBreakBefore w:val="0"/>
              <w:wordWrap/>
              <w:bidi w:val="0"/>
              <w:adjustRightInd/>
              <w:snapToGrid/>
              <w:rPr>
                <w:color w:val="auto"/>
              </w:rPr>
            </w:pPr>
            <w:r>
              <w:rPr>
                <w:color w:val="auto"/>
              </w:rPr>
              <w:t>低</w:t>
            </w:r>
          </w:p>
        </w:tc>
        <w:tc>
          <w:tcPr>
            <w:tcW w:w="1821" w:type="dxa"/>
            <w:tcBorders>
              <w:tl2br w:val="nil"/>
              <w:tr2bl w:val="nil"/>
            </w:tcBorders>
            <w:vAlign w:val="center"/>
          </w:tcPr>
          <w:p w14:paraId="7F911714">
            <w:pPr>
              <w:pStyle w:val="12"/>
              <w:pageBreakBefore w:val="0"/>
              <w:wordWrap/>
              <w:bidi w:val="0"/>
              <w:adjustRightInd/>
              <w:snapToGrid/>
              <w:rPr>
                <w:color w:val="auto"/>
              </w:rPr>
            </w:pPr>
            <w:r>
              <w:rPr>
                <w:color w:val="auto"/>
              </w:rPr>
              <w:t>低</w:t>
            </w:r>
          </w:p>
        </w:tc>
      </w:tr>
      <w:tr w14:paraId="7142DF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786896D2">
            <w:pPr>
              <w:pStyle w:val="12"/>
              <w:pageBreakBefore w:val="0"/>
              <w:wordWrap/>
              <w:bidi w:val="0"/>
              <w:adjustRightInd/>
              <w:snapToGrid/>
              <w:rPr>
                <w:color w:val="auto"/>
              </w:rPr>
            </w:pPr>
            <w:r>
              <w:rPr>
                <w:color w:val="auto"/>
              </w:rPr>
              <w:t>出水达标</w:t>
            </w:r>
          </w:p>
        </w:tc>
        <w:tc>
          <w:tcPr>
            <w:tcW w:w="1598" w:type="dxa"/>
            <w:tcBorders>
              <w:tl2br w:val="nil"/>
              <w:tr2bl w:val="nil"/>
            </w:tcBorders>
            <w:vAlign w:val="center"/>
          </w:tcPr>
          <w:p w14:paraId="61ACDA58">
            <w:pPr>
              <w:pStyle w:val="12"/>
              <w:pageBreakBefore w:val="0"/>
              <w:wordWrap/>
              <w:bidi w:val="0"/>
              <w:adjustRightInd/>
              <w:snapToGrid/>
              <w:rPr>
                <w:color w:val="auto"/>
              </w:rPr>
            </w:pPr>
            <w:r>
              <w:rPr>
                <w:color w:val="auto"/>
              </w:rPr>
              <w:t>较稳定</w:t>
            </w:r>
          </w:p>
        </w:tc>
        <w:tc>
          <w:tcPr>
            <w:tcW w:w="1578" w:type="dxa"/>
            <w:tcBorders>
              <w:tl2br w:val="nil"/>
              <w:tr2bl w:val="nil"/>
            </w:tcBorders>
            <w:vAlign w:val="center"/>
          </w:tcPr>
          <w:p w14:paraId="3B82E816">
            <w:pPr>
              <w:pStyle w:val="12"/>
              <w:pageBreakBefore w:val="0"/>
              <w:wordWrap/>
              <w:bidi w:val="0"/>
              <w:adjustRightInd/>
              <w:snapToGrid/>
              <w:rPr>
                <w:color w:val="auto"/>
              </w:rPr>
            </w:pPr>
            <w:r>
              <w:rPr>
                <w:color w:val="auto"/>
              </w:rPr>
              <w:t>较稳定</w:t>
            </w:r>
          </w:p>
        </w:tc>
        <w:tc>
          <w:tcPr>
            <w:tcW w:w="1939" w:type="dxa"/>
            <w:tcBorders>
              <w:tl2br w:val="nil"/>
              <w:tr2bl w:val="nil"/>
            </w:tcBorders>
            <w:vAlign w:val="center"/>
          </w:tcPr>
          <w:p w14:paraId="07E24C71">
            <w:pPr>
              <w:pStyle w:val="12"/>
              <w:pageBreakBefore w:val="0"/>
              <w:wordWrap/>
              <w:bidi w:val="0"/>
              <w:adjustRightInd/>
              <w:snapToGrid/>
              <w:rPr>
                <w:color w:val="auto"/>
              </w:rPr>
            </w:pPr>
            <w:r>
              <w:rPr>
                <w:color w:val="auto"/>
              </w:rPr>
              <w:t>稳定</w:t>
            </w:r>
          </w:p>
        </w:tc>
        <w:tc>
          <w:tcPr>
            <w:tcW w:w="1821" w:type="dxa"/>
            <w:tcBorders>
              <w:tl2br w:val="nil"/>
              <w:tr2bl w:val="nil"/>
            </w:tcBorders>
            <w:vAlign w:val="center"/>
          </w:tcPr>
          <w:p w14:paraId="7C92EF6F">
            <w:pPr>
              <w:pStyle w:val="12"/>
              <w:pageBreakBefore w:val="0"/>
              <w:wordWrap/>
              <w:bidi w:val="0"/>
              <w:adjustRightInd/>
              <w:snapToGrid/>
              <w:rPr>
                <w:color w:val="auto"/>
              </w:rPr>
            </w:pPr>
            <w:r>
              <w:rPr>
                <w:color w:val="auto"/>
              </w:rPr>
              <w:t>稳定</w:t>
            </w:r>
          </w:p>
        </w:tc>
      </w:tr>
      <w:tr w14:paraId="480217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1066D8DE">
            <w:pPr>
              <w:pStyle w:val="12"/>
              <w:pageBreakBefore w:val="0"/>
              <w:wordWrap/>
              <w:bidi w:val="0"/>
              <w:adjustRightInd/>
              <w:snapToGrid/>
              <w:rPr>
                <w:color w:val="auto"/>
              </w:rPr>
            </w:pPr>
            <w:r>
              <w:rPr>
                <w:color w:val="auto"/>
              </w:rPr>
              <w:t>运行管理</w:t>
            </w:r>
          </w:p>
        </w:tc>
        <w:tc>
          <w:tcPr>
            <w:tcW w:w="1598" w:type="dxa"/>
            <w:tcBorders>
              <w:tl2br w:val="nil"/>
              <w:tr2bl w:val="nil"/>
            </w:tcBorders>
            <w:vAlign w:val="center"/>
          </w:tcPr>
          <w:p w14:paraId="21158E35">
            <w:pPr>
              <w:pStyle w:val="12"/>
              <w:pageBreakBefore w:val="0"/>
              <w:wordWrap/>
              <w:bidi w:val="0"/>
              <w:adjustRightInd/>
              <w:snapToGrid/>
              <w:rPr>
                <w:color w:val="auto"/>
              </w:rPr>
            </w:pPr>
            <w:r>
              <w:rPr>
                <w:color w:val="auto"/>
              </w:rPr>
              <w:t>连续进水连续出水，不存在易损设备，操作人员仅需完成日常巡检即可，对操作人员的技术水平要求低</w:t>
            </w:r>
          </w:p>
        </w:tc>
        <w:tc>
          <w:tcPr>
            <w:tcW w:w="1578" w:type="dxa"/>
            <w:tcBorders>
              <w:tl2br w:val="nil"/>
              <w:tr2bl w:val="nil"/>
            </w:tcBorders>
            <w:vAlign w:val="center"/>
          </w:tcPr>
          <w:p w14:paraId="69160B8F">
            <w:pPr>
              <w:pStyle w:val="12"/>
              <w:pageBreakBefore w:val="0"/>
              <w:wordWrap/>
              <w:bidi w:val="0"/>
              <w:adjustRightInd/>
              <w:snapToGrid/>
              <w:rPr>
                <w:color w:val="auto"/>
              </w:rPr>
            </w:pPr>
            <w:r>
              <w:rPr>
                <w:color w:val="auto"/>
              </w:rPr>
              <w:t>连续进水连续出水，不存在易损设备，操作人员仅需完成日常巡检即可，对操作人员的技术水平要求低。</w:t>
            </w:r>
          </w:p>
        </w:tc>
        <w:tc>
          <w:tcPr>
            <w:tcW w:w="1939" w:type="dxa"/>
            <w:tcBorders>
              <w:tl2br w:val="nil"/>
              <w:tr2bl w:val="nil"/>
            </w:tcBorders>
            <w:vAlign w:val="center"/>
          </w:tcPr>
          <w:p w14:paraId="2087698A">
            <w:pPr>
              <w:pStyle w:val="12"/>
              <w:pageBreakBefore w:val="0"/>
              <w:wordWrap/>
              <w:bidi w:val="0"/>
              <w:adjustRightInd/>
              <w:snapToGrid/>
              <w:rPr>
                <w:color w:val="auto"/>
              </w:rPr>
            </w:pPr>
            <w:r>
              <w:rPr>
                <w:color w:val="auto"/>
              </w:rPr>
              <w:t>有机物、无机盐、微生物对膜的污染频繁，且存在膜丝结垢与断丝的情况，因此需要定期的加药清洗，对预处理的要求也较为严格，因此运行过程中对操作人员的技术水平要求较高，需要专业的操作队伍</w:t>
            </w:r>
          </w:p>
        </w:tc>
        <w:tc>
          <w:tcPr>
            <w:tcW w:w="1821" w:type="dxa"/>
            <w:tcBorders>
              <w:tl2br w:val="nil"/>
              <w:tr2bl w:val="nil"/>
            </w:tcBorders>
            <w:vAlign w:val="center"/>
          </w:tcPr>
          <w:p w14:paraId="27C0A2EA">
            <w:pPr>
              <w:pStyle w:val="12"/>
              <w:pageBreakBefore w:val="0"/>
              <w:wordWrap/>
              <w:bidi w:val="0"/>
              <w:adjustRightInd/>
              <w:snapToGrid/>
              <w:rPr>
                <w:color w:val="auto"/>
              </w:rPr>
            </w:pPr>
            <w:r>
              <w:rPr>
                <w:color w:val="auto"/>
              </w:rPr>
              <w:t>连续进水连续出水， 不存在易损设备，溶</w:t>
            </w:r>
          </w:p>
          <w:p w14:paraId="70C38E7B">
            <w:pPr>
              <w:pStyle w:val="12"/>
              <w:pageBreakBefore w:val="0"/>
              <w:wordWrap/>
              <w:bidi w:val="0"/>
              <w:adjustRightInd/>
              <w:snapToGrid/>
              <w:jc w:val="center"/>
              <w:rPr>
                <w:color w:val="auto"/>
              </w:rPr>
            </w:pPr>
            <w:r>
              <w:rPr>
                <w:color w:val="auto"/>
              </w:rPr>
              <w:t>解氧控制系统自动调整风量，无需人工干预，操作人员仅需 完成日常巡检即可， 对操作人员的技术水平要求低</w:t>
            </w:r>
          </w:p>
        </w:tc>
      </w:tr>
      <w:tr w14:paraId="5B2327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7" w:type="dxa"/>
            <w:vMerge w:val="restart"/>
            <w:tcBorders>
              <w:tl2br w:val="nil"/>
              <w:tr2bl w:val="nil"/>
            </w:tcBorders>
            <w:vAlign w:val="center"/>
          </w:tcPr>
          <w:p w14:paraId="5D218004">
            <w:pPr>
              <w:pStyle w:val="12"/>
              <w:pageBreakBefore w:val="0"/>
              <w:wordWrap/>
              <w:bidi w:val="0"/>
              <w:adjustRightInd/>
              <w:snapToGrid/>
              <w:rPr>
                <w:color w:val="auto"/>
              </w:rPr>
            </w:pPr>
            <w:r>
              <w:rPr>
                <w:color w:val="auto"/>
              </w:rPr>
              <w:t>技术</w:t>
            </w:r>
          </w:p>
          <w:p w14:paraId="45C97DFD">
            <w:pPr>
              <w:pStyle w:val="12"/>
              <w:pageBreakBefore w:val="0"/>
              <w:wordWrap/>
              <w:bidi w:val="0"/>
              <w:adjustRightInd/>
              <w:snapToGrid/>
              <w:rPr>
                <w:color w:val="auto"/>
              </w:rPr>
            </w:pPr>
            <w:r>
              <w:rPr>
                <w:color w:val="auto"/>
              </w:rPr>
              <w:t>评价</w:t>
            </w:r>
          </w:p>
        </w:tc>
        <w:tc>
          <w:tcPr>
            <w:tcW w:w="956" w:type="dxa"/>
            <w:tcBorders>
              <w:tl2br w:val="nil"/>
              <w:tr2bl w:val="nil"/>
            </w:tcBorders>
            <w:vAlign w:val="center"/>
          </w:tcPr>
          <w:p w14:paraId="119B4A76">
            <w:pPr>
              <w:pStyle w:val="12"/>
              <w:pageBreakBefore w:val="0"/>
              <w:wordWrap/>
              <w:bidi w:val="0"/>
              <w:adjustRightInd/>
              <w:snapToGrid/>
              <w:rPr>
                <w:color w:val="auto"/>
              </w:rPr>
            </w:pPr>
            <w:r>
              <w:rPr>
                <w:color w:val="auto"/>
              </w:rPr>
              <w:t>优点</w:t>
            </w:r>
          </w:p>
        </w:tc>
        <w:tc>
          <w:tcPr>
            <w:tcW w:w="1598" w:type="dxa"/>
            <w:tcBorders>
              <w:tl2br w:val="nil"/>
              <w:tr2bl w:val="nil"/>
            </w:tcBorders>
            <w:vAlign w:val="center"/>
          </w:tcPr>
          <w:p w14:paraId="10E736E0">
            <w:pPr>
              <w:pStyle w:val="12"/>
              <w:pageBreakBefore w:val="0"/>
              <w:wordWrap/>
              <w:bidi w:val="0"/>
              <w:adjustRightInd/>
              <w:snapToGrid/>
              <w:rPr>
                <w:color w:val="auto"/>
              </w:rPr>
            </w:pPr>
            <w:r>
              <w:rPr>
                <w:color w:val="auto"/>
              </w:rPr>
              <w:t>曝气效率高，电耗较低，占地较少，系统可操作性强，可严格控制出水水质</w:t>
            </w:r>
          </w:p>
        </w:tc>
        <w:tc>
          <w:tcPr>
            <w:tcW w:w="1578" w:type="dxa"/>
            <w:tcBorders>
              <w:tl2br w:val="nil"/>
              <w:tr2bl w:val="nil"/>
            </w:tcBorders>
            <w:vAlign w:val="center"/>
          </w:tcPr>
          <w:p w14:paraId="62348B53">
            <w:pPr>
              <w:pStyle w:val="12"/>
              <w:pageBreakBefore w:val="0"/>
              <w:wordWrap/>
              <w:bidi w:val="0"/>
              <w:adjustRightInd/>
              <w:snapToGrid/>
              <w:rPr>
                <w:color w:val="auto"/>
              </w:rPr>
            </w:pPr>
            <w:r>
              <w:rPr>
                <w:color w:val="auto"/>
              </w:rPr>
              <w:t>容积负荷较高，可同步强化脱氮除磷，恶劣水质条件下仍表现较好处理效果</w:t>
            </w:r>
          </w:p>
        </w:tc>
        <w:tc>
          <w:tcPr>
            <w:tcW w:w="1939" w:type="dxa"/>
            <w:tcBorders>
              <w:tl2br w:val="nil"/>
              <w:tr2bl w:val="nil"/>
            </w:tcBorders>
            <w:vAlign w:val="center"/>
          </w:tcPr>
          <w:p w14:paraId="3C6B118B">
            <w:pPr>
              <w:pStyle w:val="12"/>
              <w:pageBreakBefore w:val="0"/>
              <w:wordWrap/>
              <w:bidi w:val="0"/>
              <w:adjustRightInd/>
              <w:snapToGrid/>
              <w:rPr>
                <w:color w:val="auto"/>
              </w:rPr>
            </w:pPr>
            <w:r>
              <w:rPr>
                <w:color w:val="auto"/>
              </w:rPr>
              <w:t>占地面积节省COD出水水质较传统工艺好，总氮指标出水和传统工艺基本一致。</w:t>
            </w:r>
          </w:p>
        </w:tc>
        <w:tc>
          <w:tcPr>
            <w:tcW w:w="1821" w:type="dxa"/>
            <w:tcBorders>
              <w:tl2br w:val="nil"/>
              <w:tr2bl w:val="nil"/>
            </w:tcBorders>
            <w:vAlign w:val="center"/>
          </w:tcPr>
          <w:p w14:paraId="59DFFB41">
            <w:pPr>
              <w:pStyle w:val="12"/>
              <w:pageBreakBefore w:val="0"/>
              <w:wordWrap/>
              <w:bidi w:val="0"/>
              <w:adjustRightInd/>
              <w:snapToGrid/>
              <w:rPr>
                <w:color w:val="auto"/>
              </w:rPr>
            </w:pPr>
            <w:r>
              <w:rPr>
                <w:color w:val="auto"/>
              </w:rPr>
              <w:t>工艺流程简单，管理 简便，运行较稳定，曝气效率高，曝气管不易堵塞可实现不停车更换，电耗低占地小，出水水质好</w:t>
            </w:r>
          </w:p>
        </w:tc>
      </w:tr>
      <w:tr w14:paraId="576B0A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7" w:type="dxa"/>
            <w:vMerge w:val="continue"/>
            <w:tcBorders>
              <w:tl2br w:val="nil"/>
              <w:tr2bl w:val="nil"/>
            </w:tcBorders>
            <w:vAlign w:val="center"/>
          </w:tcPr>
          <w:p w14:paraId="3BD484D0">
            <w:pPr>
              <w:pStyle w:val="12"/>
              <w:pageBreakBefore w:val="0"/>
              <w:wordWrap/>
              <w:bidi w:val="0"/>
              <w:adjustRightInd/>
              <w:snapToGrid/>
              <w:rPr>
                <w:color w:val="auto"/>
              </w:rPr>
            </w:pPr>
          </w:p>
        </w:tc>
        <w:tc>
          <w:tcPr>
            <w:tcW w:w="956" w:type="dxa"/>
            <w:tcBorders>
              <w:tl2br w:val="nil"/>
              <w:tr2bl w:val="nil"/>
            </w:tcBorders>
            <w:vAlign w:val="center"/>
          </w:tcPr>
          <w:p w14:paraId="48319053">
            <w:pPr>
              <w:pStyle w:val="12"/>
              <w:pageBreakBefore w:val="0"/>
              <w:wordWrap/>
              <w:bidi w:val="0"/>
              <w:adjustRightInd/>
              <w:snapToGrid/>
              <w:rPr>
                <w:color w:val="auto"/>
              </w:rPr>
            </w:pPr>
            <w:r>
              <w:rPr>
                <w:color w:val="auto"/>
              </w:rPr>
              <w:t>缺点</w:t>
            </w:r>
          </w:p>
        </w:tc>
        <w:tc>
          <w:tcPr>
            <w:tcW w:w="1598" w:type="dxa"/>
            <w:tcBorders>
              <w:tl2br w:val="nil"/>
              <w:tr2bl w:val="nil"/>
            </w:tcBorders>
            <w:vAlign w:val="center"/>
          </w:tcPr>
          <w:p w14:paraId="5DA12A16">
            <w:pPr>
              <w:pStyle w:val="12"/>
              <w:pageBreakBefore w:val="0"/>
              <w:wordWrap/>
              <w:bidi w:val="0"/>
              <w:adjustRightInd/>
              <w:snapToGrid/>
              <w:rPr>
                <w:color w:val="auto"/>
              </w:rPr>
            </w:pPr>
            <w:r>
              <w:rPr>
                <w:color w:val="auto"/>
              </w:rPr>
              <w:t>构筑物较多，设备较多，维护麻烦，微孔曝气器易堵塞</w:t>
            </w:r>
          </w:p>
        </w:tc>
        <w:tc>
          <w:tcPr>
            <w:tcW w:w="1578" w:type="dxa"/>
            <w:tcBorders>
              <w:tl2br w:val="nil"/>
              <w:tr2bl w:val="nil"/>
            </w:tcBorders>
            <w:vAlign w:val="center"/>
          </w:tcPr>
          <w:p w14:paraId="251DB0D6">
            <w:pPr>
              <w:pStyle w:val="12"/>
              <w:pageBreakBefore w:val="0"/>
              <w:wordWrap/>
              <w:bidi w:val="0"/>
              <w:adjustRightInd/>
              <w:snapToGrid/>
              <w:rPr>
                <w:color w:val="auto"/>
              </w:rPr>
            </w:pPr>
            <w:r>
              <w:rPr>
                <w:color w:val="auto"/>
              </w:rPr>
              <w:t>专用的生物填料的造价较高，反应器中的填料通过曝气和水流流态化，造成能耗增加。另外在实际工程中，局部填料很容易发生堆积情况。</w:t>
            </w:r>
          </w:p>
        </w:tc>
        <w:tc>
          <w:tcPr>
            <w:tcW w:w="1939" w:type="dxa"/>
            <w:tcBorders>
              <w:tl2br w:val="nil"/>
              <w:tr2bl w:val="nil"/>
            </w:tcBorders>
            <w:vAlign w:val="center"/>
          </w:tcPr>
          <w:p w14:paraId="5BAED980">
            <w:pPr>
              <w:pStyle w:val="12"/>
              <w:pageBreakBefore w:val="0"/>
              <w:wordWrap/>
              <w:bidi w:val="0"/>
              <w:adjustRightInd/>
              <w:snapToGrid/>
              <w:rPr>
                <w:color w:val="auto"/>
              </w:rPr>
            </w:pPr>
            <w:r>
              <w:rPr>
                <w:color w:val="auto"/>
              </w:rPr>
              <w:t>能耗高，运行成本高，要求操作人员素质较高</w:t>
            </w:r>
          </w:p>
        </w:tc>
        <w:tc>
          <w:tcPr>
            <w:tcW w:w="1821" w:type="dxa"/>
            <w:tcBorders>
              <w:tl2br w:val="nil"/>
              <w:tr2bl w:val="nil"/>
            </w:tcBorders>
            <w:vAlign w:val="center"/>
          </w:tcPr>
          <w:p w14:paraId="25444D4E">
            <w:pPr>
              <w:pStyle w:val="12"/>
              <w:pageBreakBefore w:val="0"/>
              <w:wordWrap/>
              <w:bidi w:val="0"/>
              <w:adjustRightInd/>
              <w:snapToGrid/>
              <w:rPr>
                <w:color w:val="auto"/>
              </w:rPr>
            </w:pPr>
            <w:r>
              <w:rPr>
                <w:color w:val="auto"/>
              </w:rPr>
              <w:t>冬季寒冷地区沉淀区需设置阳光板房</w:t>
            </w:r>
          </w:p>
        </w:tc>
      </w:tr>
    </w:tbl>
    <w:p w14:paraId="308F427F">
      <w:pPr>
        <w:keepNext w:val="0"/>
        <w:keepLines w:val="0"/>
        <w:pageBreakBefore w:val="0"/>
        <w:widowControl w:val="0"/>
        <w:kinsoku/>
        <w:wordWrap/>
        <w:overflowPunct/>
        <w:topLinePunct w:val="0"/>
        <w:autoSpaceDE/>
        <w:autoSpaceDN/>
        <w:bidi w:val="0"/>
        <w:adjustRightInd/>
        <w:snapToGrid/>
        <w:spacing w:before="0" w:beforeLines="50"/>
        <w:textAlignment w:val="auto"/>
        <w:rPr>
          <w:rFonts w:hint="eastAsia"/>
          <w:color w:val="auto"/>
        </w:rPr>
      </w:pPr>
      <w:r>
        <w:rPr>
          <w:rFonts w:hint="eastAsia"/>
          <w:color w:val="auto"/>
        </w:rPr>
        <w:t>从以上分析可以看出EBIS工艺具有如下优点，更适合本工程：</w:t>
      </w:r>
    </w:p>
    <w:p w14:paraId="39DA1736">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1</w:t>
      </w:r>
      <w:r>
        <w:rPr>
          <w:rFonts w:hint="eastAsia"/>
          <w:color w:val="auto"/>
          <w:lang w:eastAsia="zh-CN"/>
        </w:rPr>
        <w:t>）</w:t>
      </w:r>
      <w:r>
        <w:rPr>
          <w:rFonts w:hint="eastAsia"/>
          <w:color w:val="auto"/>
        </w:rPr>
        <w:t>总投资较低；</w:t>
      </w:r>
    </w:p>
    <w:p w14:paraId="4BDEA04B">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2</w:t>
      </w:r>
      <w:r>
        <w:rPr>
          <w:rFonts w:hint="eastAsia"/>
          <w:color w:val="auto"/>
          <w:lang w:eastAsia="zh-CN"/>
        </w:rPr>
        <w:t>）</w:t>
      </w:r>
      <w:r>
        <w:rPr>
          <w:rFonts w:hint="eastAsia"/>
          <w:color w:val="auto"/>
        </w:rPr>
        <w:t>运行费用较低</w:t>
      </w:r>
    </w:p>
    <w:p w14:paraId="57920766">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3</w:t>
      </w:r>
      <w:r>
        <w:rPr>
          <w:rFonts w:hint="eastAsia"/>
          <w:color w:val="auto"/>
          <w:lang w:eastAsia="zh-CN"/>
        </w:rPr>
        <w:t>）</w:t>
      </w:r>
      <w:r>
        <w:rPr>
          <w:rFonts w:hint="eastAsia"/>
          <w:color w:val="auto"/>
        </w:rPr>
        <w:t>处理效果好且稳定，不仅可满足BOD</w:t>
      </w:r>
      <w:r>
        <w:rPr>
          <w:rFonts w:hint="eastAsia"/>
          <w:color w:val="auto"/>
          <w:lang w:eastAsia="zh-CN"/>
        </w:rPr>
        <w:t>，</w:t>
      </w:r>
      <w:r>
        <w:rPr>
          <w:rFonts w:hint="eastAsia"/>
          <w:color w:val="auto"/>
        </w:rPr>
        <w:t>和SS的去除而且具有很高的脱氮除磷效果，并且污泥稳定。</w:t>
      </w:r>
    </w:p>
    <w:p w14:paraId="143C0480">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4</w:t>
      </w:r>
      <w:r>
        <w:rPr>
          <w:rFonts w:hint="eastAsia"/>
          <w:color w:val="auto"/>
          <w:lang w:eastAsia="zh-CN"/>
        </w:rPr>
        <w:t>）</w:t>
      </w:r>
      <w:r>
        <w:rPr>
          <w:rFonts w:hint="eastAsia"/>
          <w:color w:val="auto"/>
        </w:rPr>
        <w:t>无污泥膨胀问题，出水水质好，并且具有较好的耐冲击负荷能力；</w:t>
      </w:r>
    </w:p>
    <w:p w14:paraId="29AE01F5">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5</w:t>
      </w:r>
      <w:r>
        <w:rPr>
          <w:rFonts w:hint="eastAsia"/>
          <w:color w:val="auto"/>
          <w:lang w:eastAsia="zh-CN"/>
        </w:rPr>
        <w:t>）</w:t>
      </w:r>
      <w:r>
        <w:rPr>
          <w:rFonts w:hint="eastAsia"/>
          <w:color w:val="auto"/>
        </w:rPr>
        <w:t>采用先进的可更换微孔曝气软管，氧利用率高，耗电量少；</w:t>
      </w:r>
    </w:p>
    <w:p w14:paraId="71E36C4A">
      <w:pPr>
        <w:pageBreakBefore w:val="0"/>
        <w:wordWrap/>
        <w:bidi w:val="0"/>
        <w:adjustRightInd/>
        <w:snapToGrid/>
        <w:rPr>
          <w:rFonts w:hint="eastAsia"/>
          <w:color w:val="auto"/>
        </w:rPr>
      </w:pPr>
      <w:r>
        <w:rPr>
          <w:rFonts w:hint="eastAsia"/>
          <w:color w:val="auto"/>
        </w:rPr>
        <w:t>6</w:t>
      </w:r>
      <w:r>
        <w:rPr>
          <w:rFonts w:hint="eastAsia"/>
          <w:color w:val="auto"/>
          <w:lang w:eastAsia="zh-CN"/>
        </w:rPr>
        <w:t>）</w:t>
      </w:r>
      <w:r>
        <w:rPr>
          <w:rFonts w:hint="eastAsia"/>
          <w:color w:val="auto"/>
        </w:rPr>
        <w:t>可实现不停车更换；</w:t>
      </w:r>
    </w:p>
    <w:p w14:paraId="38D63C44">
      <w:pPr>
        <w:pageBreakBefore w:val="0"/>
        <w:wordWrap/>
        <w:bidi w:val="0"/>
        <w:adjustRightInd/>
        <w:snapToGrid/>
        <w:rPr>
          <w:color w:val="auto"/>
        </w:rPr>
      </w:pPr>
      <w:r>
        <w:rPr>
          <w:rFonts w:hint="eastAsia"/>
          <w:color w:val="auto"/>
        </w:rPr>
        <w:t>7</w:t>
      </w:r>
      <w:r>
        <w:rPr>
          <w:rFonts w:hint="eastAsia"/>
          <w:color w:val="auto"/>
          <w:lang w:eastAsia="zh-CN"/>
        </w:rPr>
        <w:t>）</w:t>
      </w:r>
      <w:r>
        <w:rPr>
          <w:rFonts w:hint="eastAsia"/>
          <w:color w:val="auto"/>
        </w:rPr>
        <w:t>构筑物少，设计水深大，容积负荷高，占地少；</w:t>
      </w:r>
    </w:p>
    <w:p w14:paraId="759DD146">
      <w:pPr>
        <w:pageBreakBefore w:val="0"/>
        <w:wordWrap/>
        <w:bidi w:val="0"/>
        <w:adjustRightInd/>
        <w:snapToGrid/>
        <w:rPr>
          <w:b/>
          <w:bCs/>
          <w:color w:val="auto"/>
        </w:rPr>
      </w:pPr>
      <w:r>
        <w:rPr>
          <w:rFonts w:hint="eastAsia"/>
          <w:b/>
          <w:bCs/>
          <w:color w:val="auto"/>
        </w:rPr>
        <w:t>经综合权衡效益代价比，EBIS工艺具有较大优势，本方案选择EBIS工艺。</w:t>
      </w:r>
    </w:p>
    <w:bookmarkEnd w:id="83"/>
    <w:p w14:paraId="02B389AE">
      <w:pPr>
        <w:pageBreakBefore w:val="0"/>
        <w:wordWrap/>
        <w:bidi w:val="0"/>
        <w:adjustRightInd/>
        <w:snapToGrid/>
        <w:ind w:firstLine="482"/>
        <w:rPr>
          <w:b/>
          <w:bCs/>
          <w:color w:val="auto"/>
        </w:rPr>
      </w:pPr>
      <w:r>
        <w:rPr>
          <w:rFonts w:hint="eastAsia"/>
          <w:b/>
          <w:bCs/>
          <w:color w:val="auto"/>
          <w:lang w:val="en-US" w:eastAsia="zh-CN"/>
        </w:rPr>
        <w:t>3、</w:t>
      </w:r>
      <w:r>
        <w:rPr>
          <w:b/>
          <w:bCs/>
          <w:color w:val="auto"/>
        </w:rPr>
        <w:t>深度处理单元工艺选择</w:t>
      </w:r>
    </w:p>
    <w:p w14:paraId="791D2E45">
      <w:pPr>
        <w:pStyle w:val="334"/>
        <w:pageBreakBefore w:val="0"/>
        <w:tabs>
          <w:tab w:val="left" w:pos="981"/>
        </w:tabs>
        <w:wordWrap/>
        <w:bidi w:val="0"/>
        <w:adjustRightInd/>
        <w:snapToGrid/>
        <w:ind w:firstLine="480"/>
        <w:rPr>
          <w:rFonts w:hint="eastAsia"/>
          <w:color w:val="auto"/>
        </w:rPr>
      </w:pPr>
      <w:r>
        <w:rPr>
          <w:rFonts w:hint="eastAsia"/>
          <w:color w:val="auto"/>
        </w:rPr>
        <w:t>深度处理的对象与目标是：</w:t>
      </w:r>
    </w:p>
    <w:p w14:paraId="3E78CA21">
      <w:pPr>
        <w:pStyle w:val="334"/>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去除处理水中残存的悬浮物；脱色脱臭，使水进一步得到澄清。</w:t>
      </w:r>
    </w:p>
    <w:p w14:paraId="5B64FE27">
      <w:pPr>
        <w:pStyle w:val="334"/>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进一步降低BOD₅、CODcr、TOC等指标，使水进一步稳定。</w:t>
      </w:r>
    </w:p>
    <w:p w14:paraId="472AB72B">
      <w:pPr>
        <w:pStyle w:val="334"/>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脱氮、脱磷，消除能够导致水体富营养化的因素。</w:t>
      </w:r>
    </w:p>
    <w:p w14:paraId="2A0F03DB">
      <w:pPr>
        <w:pStyle w:val="334"/>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4</w:t>
      </w:r>
      <w:r>
        <w:rPr>
          <w:rFonts w:hint="eastAsia"/>
          <w:color w:val="auto"/>
          <w:lang w:eastAsia="zh-CN"/>
        </w:rPr>
        <w:t>）</w:t>
      </w:r>
      <w:r>
        <w:rPr>
          <w:rFonts w:hint="eastAsia"/>
          <w:color w:val="auto"/>
        </w:rPr>
        <w:t>消毒杀菌，去除水中的有毒、有害物质。</w:t>
      </w:r>
    </w:p>
    <w:p w14:paraId="2C795C9A">
      <w:pPr>
        <w:pStyle w:val="334"/>
        <w:pageBreakBefore w:val="0"/>
        <w:tabs>
          <w:tab w:val="left" w:pos="981"/>
        </w:tabs>
        <w:wordWrap/>
        <w:bidi w:val="0"/>
        <w:adjustRightInd/>
        <w:snapToGrid/>
        <w:ind w:firstLine="480"/>
        <w:rPr>
          <w:color w:val="auto"/>
        </w:rPr>
      </w:pPr>
      <w:r>
        <w:rPr>
          <w:rFonts w:hint="eastAsia"/>
          <w:color w:val="auto"/>
        </w:rPr>
        <w:t>常规的处理工艺包括混凝沉淀、过滤、活性炭吸附、臭氧氧化</w:t>
      </w:r>
      <w:r>
        <w:rPr>
          <w:rFonts w:hint="eastAsia"/>
          <w:color w:val="auto"/>
          <w:lang w:eastAsia="zh-CN"/>
        </w:rPr>
        <w:t>，以及</w:t>
      </w:r>
      <w:r>
        <w:rPr>
          <w:rFonts w:hint="eastAsia"/>
          <w:color w:val="auto"/>
        </w:rPr>
        <w:t>膜技术等，视处理目的和要求的不同，可以为以上工艺的组合。下表列出了污水回用中通常采用的处理技术及其对应的处理对象。</w:t>
      </w:r>
    </w:p>
    <w:p w14:paraId="4FAF09B9">
      <w:pPr>
        <w:pStyle w:val="15"/>
        <w:numPr>
          <w:ilvl w:val="0"/>
          <w:numId w:val="16"/>
        </w:numPr>
        <w:bidi w:val="0"/>
        <w:ind w:left="0" w:leftChars="0" w:firstLine="0" w:firstLineChars="0"/>
        <w:rPr>
          <w:color w:val="auto"/>
        </w:rPr>
      </w:pPr>
      <w:r>
        <w:rPr>
          <w:rFonts w:hint="eastAsia"/>
          <w:color w:val="auto"/>
        </w:rPr>
        <w:t>二级处理水深度处理去除对象和所采用的处理技术</w:t>
      </w:r>
    </w:p>
    <w:tbl>
      <w:tblPr>
        <w:tblStyle w:val="703"/>
        <w:tblW w:w="875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52"/>
        <w:gridCol w:w="1719"/>
        <w:gridCol w:w="1808"/>
        <w:gridCol w:w="3471"/>
      </w:tblGrid>
      <w:tr w14:paraId="7C7458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71" w:type="dxa"/>
            <w:gridSpan w:val="2"/>
            <w:tcBorders>
              <w:tl2br w:val="nil"/>
              <w:tr2bl w:val="nil"/>
            </w:tcBorders>
            <w:vAlign w:val="center"/>
          </w:tcPr>
          <w:p w14:paraId="07A0234C">
            <w:pPr>
              <w:pStyle w:val="12"/>
              <w:pageBreakBefore w:val="0"/>
              <w:wordWrap/>
              <w:bidi w:val="0"/>
              <w:adjustRightInd/>
              <w:snapToGrid/>
              <w:rPr>
                <w:b/>
                <w:bCs/>
                <w:color w:val="auto"/>
              </w:rPr>
            </w:pPr>
            <w:r>
              <w:rPr>
                <w:b/>
                <w:bCs/>
                <w:color w:val="auto"/>
              </w:rPr>
              <w:t>去除对象</w:t>
            </w:r>
          </w:p>
        </w:tc>
        <w:tc>
          <w:tcPr>
            <w:tcW w:w="1808" w:type="dxa"/>
            <w:tcBorders>
              <w:tl2br w:val="nil"/>
              <w:tr2bl w:val="nil"/>
            </w:tcBorders>
            <w:vAlign w:val="center"/>
          </w:tcPr>
          <w:p w14:paraId="18BFAB34">
            <w:pPr>
              <w:pStyle w:val="12"/>
              <w:pageBreakBefore w:val="0"/>
              <w:wordWrap/>
              <w:bidi w:val="0"/>
              <w:adjustRightInd/>
              <w:snapToGrid/>
              <w:rPr>
                <w:b/>
                <w:bCs/>
                <w:color w:val="auto"/>
              </w:rPr>
            </w:pPr>
            <w:r>
              <w:rPr>
                <w:b/>
                <w:bCs/>
                <w:color w:val="auto"/>
              </w:rPr>
              <w:t>有关指标</w:t>
            </w:r>
          </w:p>
        </w:tc>
        <w:tc>
          <w:tcPr>
            <w:tcW w:w="3471" w:type="dxa"/>
            <w:tcBorders>
              <w:tl2br w:val="nil"/>
              <w:tr2bl w:val="nil"/>
            </w:tcBorders>
            <w:vAlign w:val="center"/>
          </w:tcPr>
          <w:p w14:paraId="68F0EB4D">
            <w:pPr>
              <w:pStyle w:val="12"/>
              <w:pageBreakBefore w:val="0"/>
              <w:wordWrap/>
              <w:bidi w:val="0"/>
              <w:adjustRightInd/>
              <w:snapToGrid/>
              <w:rPr>
                <w:b/>
                <w:bCs/>
                <w:color w:val="auto"/>
              </w:rPr>
            </w:pPr>
            <w:r>
              <w:rPr>
                <w:b/>
                <w:bCs/>
                <w:color w:val="auto"/>
              </w:rPr>
              <w:t>采用的主要处理技术</w:t>
            </w:r>
          </w:p>
        </w:tc>
      </w:tr>
      <w:tr w14:paraId="42127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3BD2F19D">
            <w:pPr>
              <w:pStyle w:val="12"/>
              <w:pageBreakBefore w:val="0"/>
              <w:wordWrap/>
              <w:bidi w:val="0"/>
              <w:adjustRightInd/>
              <w:snapToGrid/>
              <w:rPr>
                <w:color w:val="auto"/>
              </w:rPr>
            </w:pPr>
            <w:r>
              <w:rPr>
                <w:color w:val="auto"/>
              </w:rPr>
              <w:t>有机物</w:t>
            </w:r>
          </w:p>
        </w:tc>
        <w:tc>
          <w:tcPr>
            <w:tcW w:w="1719" w:type="dxa"/>
            <w:tcBorders>
              <w:tl2br w:val="nil"/>
              <w:tr2bl w:val="nil"/>
            </w:tcBorders>
            <w:vAlign w:val="center"/>
          </w:tcPr>
          <w:p w14:paraId="4A8AB8DA">
            <w:pPr>
              <w:pStyle w:val="12"/>
              <w:pageBreakBefore w:val="0"/>
              <w:wordWrap/>
              <w:bidi w:val="0"/>
              <w:adjustRightInd/>
              <w:snapToGrid/>
              <w:rPr>
                <w:color w:val="auto"/>
              </w:rPr>
            </w:pPr>
            <w:r>
              <w:rPr>
                <w:color w:val="auto"/>
              </w:rPr>
              <w:t>悬浮状态</w:t>
            </w:r>
          </w:p>
        </w:tc>
        <w:tc>
          <w:tcPr>
            <w:tcW w:w="1808" w:type="dxa"/>
            <w:tcBorders>
              <w:tl2br w:val="nil"/>
              <w:tr2bl w:val="nil"/>
            </w:tcBorders>
            <w:vAlign w:val="center"/>
          </w:tcPr>
          <w:p w14:paraId="2200D0A1">
            <w:pPr>
              <w:pStyle w:val="12"/>
              <w:pageBreakBefore w:val="0"/>
              <w:wordWrap/>
              <w:bidi w:val="0"/>
              <w:adjustRightInd/>
              <w:snapToGrid/>
              <w:rPr>
                <w:color w:val="auto"/>
              </w:rPr>
            </w:pPr>
            <w:r>
              <w:rPr>
                <w:color w:val="auto"/>
              </w:rPr>
              <w:t>SS</w:t>
            </w:r>
            <w:r>
              <w:rPr>
                <w:rFonts w:hint="eastAsia"/>
                <w:color w:val="auto"/>
                <w:lang w:eastAsia="zh-CN"/>
              </w:rPr>
              <w:t>、</w:t>
            </w:r>
            <w:r>
              <w:rPr>
                <w:color w:val="auto"/>
              </w:rPr>
              <w:t>VSS</w:t>
            </w:r>
          </w:p>
        </w:tc>
        <w:tc>
          <w:tcPr>
            <w:tcW w:w="3471" w:type="dxa"/>
            <w:tcBorders>
              <w:tl2br w:val="nil"/>
              <w:tr2bl w:val="nil"/>
            </w:tcBorders>
            <w:vAlign w:val="center"/>
          </w:tcPr>
          <w:p w14:paraId="36075F51">
            <w:pPr>
              <w:pStyle w:val="12"/>
              <w:pageBreakBefore w:val="0"/>
              <w:wordWrap/>
              <w:bidi w:val="0"/>
              <w:adjustRightInd/>
              <w:snapToGrid/>
              <w:rPr>
                <w:color w:val="auto"/>
              </w:rPr>
            </w:pPr>
            <w:r>
              <w:rPr>
                <w:color w:val="auto"/>
              </w:rPr>
              <w:t>过滤、混凝沉淀</w:t>
            </w:r>
          </w:p>
        </w:tc>
      </w:tr>
      <w:tr w14:paraId="31CB0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4B7C7096">
            <w:pPr>
              <w:pStyle w:val="12"/>
              <w:pageBreakBefore w:val="0"/>
              <w:wordWrap/>
              <w:bidi w:val="0"/>
              <w:adjustRightInd/>
              <w:snapToGrid/>
              <w:rPr>
                <w:color w:val="auto"/>
              </w:rPr>
            </w:pPr>
          </w:p>
        </w:tc>
        <w:tc>
          <w:tcPr>
            <w:tcW w:w="1719" w:type="dxa"/>
            <w:tcBorders>
              <w:tl2br w:val="nil"/>
              <w:tr2bl w:val="nil"/>
            </w:tcBorders>
            <w:vAlign w:val="center"/>
          </w:tcPr>
          <w:p w14:paraId="7E73D8CA">
            <w:pPr>
              <w:pStyle w:val="12"/>
              <w:pageBreakBefore w:val="0"/>
              <w:wordWrap/>
              <w:bidi w:val="0"/>
              <w:adjustRightInd/>
              <w:snapToGrid/>
              <w:rPr>
                <w:color w:val="auto"/>
              </w:rPr>
            </w:pPr>
            <w:r>
              <w:rPr>
                <w:color w:val="auto"/>
              </w:rPr>
              <w:t>溶解状态</w:t>
            </w:r>
          </w:p>
        </w:tc>
        <w:tc>
          <w:tcPr>
            <w:tcW w:w="1808" w:type="dxa"/>
            <w:tcBorders>
              <w:tl2br w:val="nil"/>
              <w:tr2bl w:val="nil"/>
            </w:tcBorders>
            <w:vAlign w:val="center"/>
          </w:tcPr>
          <w:p w14:paraId="3C1C7F90">
            <w:pPr>
              <w:pStyle w:val="12"/>
              <w:pageBreakBefore w:val="0"/>
              <w:wordWrap/>
              <w:bidi w:val="0"/>
              <w:adjustRightInd/>
              <w:snapToGrid/>
              <w:rPr>
                <w:color w:val="auto"/>
              </w:rPr>
            </w:pPr>
            <w:r>
              <w:rPr>
                <w:color w:val="auto"/>
              </w:rPr>
              <w:t>BOD₅</w:t>
            </w:r>
            <w:r>
              <w:rPr>
                <w:rFonts w:hint="eastAsia"/>
                <w:color w:val="auto"/>
                <w:lang w:eastAsia="zh-CN"/>
              </w:rPr>
              <w:t>、</w:t>
            </w:r>
            <w:r>
              <w:rPr>
                <w:color w:val="auto"/>
              </w:rPr>
              <w:t>COD</w:t>
            </w:r>
            <w:r>
              <w:rPr>
                <w:rFonts w:hint="eastAsia"/>
                <w:color w:val="auto"/>
                <w:lang w:eastAsia="zh-CN"/>
              </w:rPr>
              <w:t>、</w:t>
            </w:r>
            <w:r>
              <w:rPr>
                <w:color w:val="auto"/>
              </w:rPr>
              <w:t>TOC</w:t>
            </w:r>
            <w:r>
              <w:rPr>
                <w:rFonts w:hint="eastAsia"/>
                <w:color w:val="auto"/>
                <w:lang w:eastAsia="zh-CN"/>
              </w:rPr>
              <w:t>、</w:t>
            </w:r>
            <w:r>
              <w:rPr>
                <w:color w:val="auto"/>
              </w:rPr>
              <w:t>TOD</w:t>
            </w:r>
          </w:p>
        </w:tc>
        <w:tc>
          <w:tcPr>
            <w:tcW w:w="3471" w:type="dxa"/>
            <w:tcBorders>
              <w:tl2br w:val="nil"/>
              <w:tr2bl w:val="nil"/>
            </w:tcBorders>
            <w:vAlign w:val="center"/>
          </w:tcPr>
          <w:p w14:paraId="3866F909">
            <w:pPr>
              <w:pStyle w:val="12"/>
              <w:pageBreakBefore w:val="0"/>
              <w:wordWrap/>
              <w:bidi w:val="0"/>
              <w:adjustRightInd/>
              <w:snapToGrid/>
              <w:rPr>
                <w:color w:val="auto"/>
              </w:rPr>
            </w:pPr>
            <w:r>
              <w:rPr>
                <w:color w:val="auto"/>
              </w:rPr>
              <w:t>混凝沉淀、活性炭吸附、臭氧氧化</w:t>
            </w:r>
          </w:p>
        </w:tc>
      </w:tr>
      <w:tr w14:paraId="73102B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7B0B6DDD">
            <w:pPr>
              <w:pStyle w:val="12"/>
              <w:pageBreakBefore w:val="0"/>
              <w:wordWrap/>
              <w:bidi w:val="0"/>
              <w:adjustRightInd/>
              <w:snapToGrid/>
              <w:rPr>
                <w:color w:val="auto"/>
              </w:rPr>
            </w:pPr>
            <w:r>
              <w:rPr>
                <w:color w:val="auto"/>
              </w:rPr>
              <w:t>植物性营养盐类</w:t>
            </w:r>
          </w:p>
        </w:tc>
        <w:tc>
          <w:tcPr>
            <w:tcW w:w="1719" w:type="dxa"/>
            <w:vMerge w:val="restart"/>
            <w:tcBorders>
              <w:tl2br w:val="nil"/>
              <w:tr2bl w:val="nil"/>
            </w:tcBorders>
            <w:vAlign w:val="center"/>
          </w:tcPr>
          <w:p w14:paraId="5F18E7DB">
            <w:pPr>
              <w:pStyle w:val="12"/>
              <w:pageBreakBefore w:val="0"/>
              <w:wordWrap/>
              <w:bidi w:val="0"/>
              <w:adjustRightInd/>
              <w:snapToGrid/>
              <w:rPr>
                <w:color w:val="auto"/>
              </w:rPr>
            </w:pPr>
            <w:r>
              <w:rPr>
                <w:color w:val="auto"/>
              </w:rPr>
              <w:t>氮</w:t>
            </w:r>
          </w:p>
        </w:tc>
        <w:tc>
          <w:tcPr>
            <w:tcW w:w="1808" w:type="dxa"/>
            <w:vMerge w:val="restart"/>
            <w:tcBorders>
              <w:tl2br w:val="nil"/>
              <w:tr2bl w:val="nil"/>
            </w:tcBorders>
            <w:vAlign w:val="center"/>
          </w:tcPr>
          <w:p w14:paraId="6D9F8975">
            <w:pPr>
              <w:pStyle w:val="12"/>
              <w:pageBreakBefore w:val="0"/>
              <w:wordWrap/>
              <w:bidi w:val="0"/>
              <w:adjustRightInd/>
              <w:snapToGrid/>
              <w:rPr>
                <w:color w:val="auto"/>
              </w:rPr>
            </w:pPr>
            <w:r>
              <w:rPr>
                <w:color w:val="auto"/>
              </w:rPr>
              <w:t>T-N</w:t>
            </w:r>
            <w:r>
              <w:rPr>
                <w:rFonts w:hint="eastAsia"/>
                <w:color w:val="auto"/>
                <w:lang w:eastAsia="zh-CN"/>
              </w:rPr>
              <w:t>、</w:t>
            </w:r>
            <w:r>
              <w:rPr>
                <w:color w:val="auto"/>
              </w:rPr>
              <w:t>K-N</w:t>
            </w:r>
            <w:r>
              <w:rPr>
                <w:rFonts w:hint="eastAsia"/>
                <w:color w:val="auto"/>
                <w:lang w:eastAsia="zh-CN"/>
              </w:rPr>
              <w:t>、</w:t>
            </w:r>
            <w:r>
              <w:rPr>
                <w:color w:val="auto"/>
              </w:rPr>
              <w:t>NH₃-N</w:t>
            </w:r>
            <w:r>
              <w:rPr>
                <w:rFonts w:hint="eastAsia"/>
                <w:color w:val="auto"/>
                <w:lang w:eastAsia="zh-CN"/>
              </w:rPr>
              <w:t>、</w:t>
            </w:r>
            <w:r>
              <w:rPr>
                <w:color w:val="auto"/>
              </w:rPr>
              <w:t xml:space="preserve">    NO</w:t>
            </w:r>
            <w:r>
              <w:rPr>
                <w:color w:val="auto"/>
                <w:vertAlign w:val="subscript"/>
              </w:rPr>
              <w:t>2</w:t>
            </w:r>
            <w:r>
              <w:rPr>
                <w:color w:val="auto"/>
              </w:rPr>
              <w:t>-N</w:t>
            </w:r>
            <w:r>
              <w:rPr>
                <w:rFonts w:hint="eastAsia"/>
                <w:color w:val="auto"/>
                <w:lang w:eastAsia="zh-CN"/>
              </w:rPr>
              <w:t>、</w:t>
            </w:r>
            <w:r>
              <w:rPr>
                <w:color w:val="auto"/>
              </w:rPr>
              <w:t>NO</w:t>
            </w:r>
            <w:r>
              <w:rPr>
                <w:color w:val="auto"/>
                <w:vertAlign w:val="subscript"/>
              </w:rPr>
              <w:t>3</w:t>
            </w:r>
            <w:r>
              <w:rPr>
                <w:color w:val="auto"/>
              </w:rPr>
              <w:t>-N</w:t>
            </w:r>
          </w:p>
        </w:tc>
        <w:tc>
          <w:tcPr>
            <w:tcW w:w="3471" w:type="dxa"/>
            <w:tcBorders>
              <w:tl2br w:val="nil"/>
              <w:tr2bl w:val="nil"/>
            </w:tcBorders>
            <w:vAlign w:val="center"/>
          </w:tcPr>
          <w:p w14:paraId="08DF7392">
            <w:pPr>
              <w:pStyle w:val="12"/>
              <w:pageBreakBefore w:val="0"/>
              <w:wordWrap/>
              <w:bidi w:val="0"/>
              <w:adjustRightInd/>
              <w:snapToGrid/>
              <w:rPr>
                <w:color w:val="auto"/>
              </w:rPr>
            </w:pPr>
            <w:r>
              <w:rPr>
                <w:color w:val="auto"/>
              </w:rPr>
              <w:t>吹脱、折点氯化、生物脱氮</w:t>
            </w:r>
          </w:p>
        </w:tc>
      </w:tr>
      <w:tr w14:paraId="5CFA72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350617CC">
            <w:pPr>
              <w:pStyle w:val="12"/>
              <w:pageBreakBefore w:val="0"/>
              <w:wordWrap/>
              <w:bidi w:val="0"/>
              <w:adjustRightInd/>
              <w:snapToGrid/>
              <w:rPr>
                <w:color w:val="auto"/>
              </w:rPr>
            </w:pPr>
          </w:p>
        </w:tc>
        <w:tc>
          <w:tcPr>
            <w:tcW w:w="1719" w:type="dxa"/>
            <w:vMerge w:val="continue"/>
            <w:tcBorders>
              <w:tl2br w:val="nil"/>
              <w:tr2bl w:val="nil"/>
            </w:tcBorders>
            <w:vAlign w:val="center"/>
          </w:tcPr>
          <w:p w14:paraId="4FC6CE16">
            <w:pPr>
              <w:pStyle w:val="12"/>
              <w:pageBreakBefore w:val="0"/>
              <w:wordWrap/>
              <w:bidi w:val="0"/>
              <w:adjustRightInd/>
              <w:snapToGrid/>
              <w:rPr>
                <w:color w:val="auto"/>
              </w:rPr>
            </w:pPr>
          </w:p>
        </w:tc>
        <w:tc>
          <w:tcPr>
            <w:tcW w:w="1808" w:type="dxa"/>
            <w:vMerge w:val="continue"/>
            <w:tcBorders>
              <w:tl2br w:val="nil"/>
              <w:tr2bl w:val="nil"/>
            </w:tcBorders>
            <w:vAlign w:val="center"/>
          </w:tcPr>
          <w:p w14:paraId="358A2BD3">
            <w:pPr>
              <w:pStyle w:val="12"/>
              <w:pageBreakBefore w:val="0"/>
              <w:wordWrap/>
              <w:bidi w:val="0"/>
              <w:adjustRightInd/>
              <w:snapToGrid/>
              <w:rPr>
                <w:color w:val="auto"/>
              </w:rPr>
            </w:pPr>
          </w:p>
        </w:tc>
        <w:tc>
          <w:tcPr>
            <w:tcW w:w="3471" w:type="dxa"/>
            <w:tcBorders>
              <w:tl2br w:val="nil"/>
              <w:tr2bl w:val="nil"/>
            </w:tcBorders>
            <w:vAlign w:val="center"/>
          </w:tcPr>
          <w:p w14:paraId="001F47CF">
            <w:pPr>
              <w:pStyle w:val="12"/>
              <w:pageBreakBefore w:val="0"/>
              <w:wordWrap/>
              <w:bidi w:val="0"/>
              <w:adjustRightInd/>
              <w:snapToGrid/>
              <w:rPr>
                <w:color w:val="auto"/>
              </w:rPr>
            </w:pPr>
            <w:r>
              <w:rPr>
                <w:color w:val="auto"/>
              </w:rPr>
              <w:t>生物脱氮</w:t>
            </w:r>
          </w:p>
        </w:tc>
      </w:tr>
      <w:tr w14:paraId="73B3A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1C57CD20">
            <w:pPr>
              <w:pStyle w:val="12"/>
              <w:pageBreakBefore w:val="0"/>
              <w:wordWrap/>
              <w:bidi w:val="0"/>
              <w:adjustRightInd/>
              <w:snapToGrid/>
              <w:rPr>
                <w:color w:val="auto"/>
              </w:rPr>
            </w:pPr>
          </w:p>
        </w:tc>
        <w:tc>
          <w:tcPr>
            <w:tcW w:w="1719" w:type="dxa"/>
            <w:tcBorders>
              <w:tl2br w:val="nil"/>
              <w:tr2bl w:val="nil"/>
            </w:tcBorders>
            <w:vAlign w:val="center"/>
          </w:tcPr>
          <w:p w14:paraId="3A886D7F">
            <w:pPr>
              <w:pStyle w:val="12"/>
              <w:pageBreakBefore w:val="0"/>
              <w:wordWrap/>
              <w:bidi w:val="0"/>
              <w:adjustRightInd/>
              <w:snapToGrid/>
              <w:rPr>
                <w:color w:val="auto"/>
              </w:rPr>
            </w:pPr>
            <w:r>
              <w:rPr>
                <w:color w:val="auto"/>
              </w:rPr>
              <w:t>磷</w:t>
            </w:r>
          </w:p>
        </w:tc>
        <w:tc>
          <w:tcPr>
            <w:tcW w:w="1808" w:type="dxa"/>
            <w:tcBorders>
              <w:tl2br w:val="nil"/>
              <w:tr2bl w:val="nil"/>
            </w:tcBorders>
            <w:vAlign w:val="center"/>
          </w:tcPr>
          <w:p w14:paraId="17F38966">
            <w:pPr>
              <w:pStyle w:val="12"/>
              <w:pageBreakBefore w:val="0"/>
              <w:wordWrap/>
              <w:bidi w:val="0"/>
              <w:adjustRightInd/>
              <w:snapToGrid/>
              <w:rPr>
                <w:color w:val="auto"/>
              </w:rPr>
            </w:pPr>
            <w:r>
              <w:rPr>
                <w:color w:val="auto"/>
              </w:rPr>
              <w:t>PO₄-P</w:t>
            </w:r>
            <w:r>
              <w:rPr>
                <w:rFonts w:hint="eastAsia"/>
                <w:color w:val="auto"/>
                <w:lang w:eastAsia="zh-CN"/>
              </w:rPr>
              <w:t>、</w:t>
            </w:r>
            <w:r>
              <w:rPr>
                <w:color w:val="auto"/>
              </w:rPr>
              <w:t>T-P</w:t>
            </w:r>
          </w:p>
        </w:tc>
        <w:tc>
          <w:tcPr>
            <w:tcW w:w="3471" w:type="dxa"/>
            <w:tcBorders>
              <w:tl2br w:val="nil"/>
              <w:tr2bl w:val="nil"/>
            </w:tcBorders>
            <w:vAlign w:val="center"/>
          </w:tcPr>
          <w:p w14:paraId="15CF34BF">
            <w:pPr>
              <w:pStyle w:val="12"/>
              <w:pageBreakBefore w:val="0"/>
              <w:wordWrap/>
              <w:bidi w:val="0"/>
              <w:adjustRightInd/>
              <w:snapToGrid/>
              <w:rPr>
                <w:color w:val="auto"/>
              </w:rPr>
            </w:pPr>
            <w:r>
              <w:rPr>
                <w:color w:val="auto"/>
              </w:rPr>
              <w:t>金属盐混凝沉淀石灰混凝沉淀、晶析 法、生物除磷</w:t>
            </w:r>
          </w:p>
        </w:tc>
      </w:tr>
      <w:tr w14:paraId="1643DD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2B85220E">
            <w:pPr>
              <w:pStyle w:val="12"/>
              <w:pageBreakBefore w:val="0"/>
              <w:wordWrap/>
              <w:bidi w:val="0"/>
              <w:adjustRightInd/>
              <w:snapToGrid/>
              <w:rPr>
                <w:color w:val="auto"/>
              </w:rPr>
            </w:pPr>
            <w:r>
              <w:rPr>
                <w:color w:val="auto"/>
              </w:rPr>
              <w:t>微量成分</w:t>
            </w:r>
          </w:p>
        </w:tc>
        <w:tc>
          <w:tcPr>
            <w:tcW w:w="1719" w:type="dxa"/>
            <w:tcBorders>
              <w:tl2br w:val="nil"/>
              <w:tr2bl w:val="nil"/>
            </w:tcBorders>
            <w:vAlign w:val="center"/>
          </w:tcPr>
          <w:p w14:paraId="52354CAB">
            <w:pPr>
              <w:pStyle w:val="12"/>
              <w:pageBreakBefore w:val="0"/>
              <w:wordWrap/>
              <w:bidi w:val="0"/>
              <w:adjustRightInd/>
              <w:snapToGrid/>
              <w:rPr>
                <w:color w:val="auto"/>
              </w:rPr>
            </w:pPr>
            <w:r>
              <w:rPr>
                <w:color w:val="auto"/>
              </w:rPr>
              <w:t>溶解性无机物无机盐类</w:t>
            </w:r>
          </w:p>
        </w:tc>
        <w:tc>
          <w:tcPr>
            <w:tcW w:w="1808" w:type="dxa"/>
            <w:tcBorders>
              <w:tl2br w:val="nil"/>
              <w:tr2bl w:val="nil"/>
            </w:tcBorders>
            <w:vAlign w:val="center"/>
          </w:tcPr>
          <w:p w14:paraId="5F8527FB">
            <w:pPr>
              <w:pStyle w:val="12"/>
              <w:pageBreakBefore w:val="0"/>
              <w:wordWrap/>
              <w:bidi w:val="0"/>
              <w:adjustRightInd/>
              <w:snapToGrid/>
              <w:rPr>
                <w:color w:val="auto"/>
              </w:rPr>
            </w:pPr>
            <w:r>
              <w:rPr>
                <w:color w:val="auto"/>
              </w:rPr>
              <w:t>电导度Na、Ca、Cl离子</w:t>
            </w:r>
          </w:p>
        </w:tc>
        <w:tc>
          <w:tcPr>
            <w:tcW w:w="3471" w:type="dxa"/>
            <w:tcBorders>
              <w:tl2br w:val="nil"/>
              <w:tr2bl w:val="nil"/>
            </w:tcBorders>
            <w:vAlign w:val="center"/>
          </w:tcPr>
          <w:p w14:paraId="4A493C5E">
            <w:pPr>
              <w:pStyle w:val="12"/>
              <w:pageBreakBefore w:val="0"/>
              <w:wordWrap/>
              <w:bidi w:val="0"/>
              <w:adjustRightInd/>
              <w:snapToGrid/>
              <w:rPr>
                <w:color w:val="auto"/>
              </w:rPr>
            </w:pPr>
            <w:r>
              <w:rPr>
                <w:color w:val="auto"/>
              </w:rPr>
              <w:t>反渗透、电渗析、离子交换</w:t>
            </w:r>
          </w:p>
        </w:tc>
      </w:tr>
      <w:tr w14:paraId="12F447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4F5C46CE">
            <w:pPr>
              <w:pStyle w:val="12"/>
              <w:pageBreakBefore w:val="0"/>
              <w:wordWrap/>
              <w:bidi w:val="0"/>
              <w:adjustRightInd/>
              <w:snapToGrid/>
              <w:rPr>
                <w:color w:val="auto"/>
              </w:rPr>
            </w:pPr>
          </w:p>
        </w:tc>
        <w:tc>
          <w:tcPr>
            <w:tcW w:w="1719" w:type="dxa"/>
            <w:tcBorders>
              <w:tl2br w:val="nil"/>
              <w:tr2bl w:val="nil"/>
            </w:tcBorders>
            <w:vAlign w:val="center"/>
          </w:tcPr>
          <w:p w14:paraId="73EE5FDE">
            <w:pPr>
              <w:pStyle w:val="12"/>
              <w:pageBreakBefore w:val="0"/>
              <w:wordWrap/>
              <w:bidi w:val="0"/>
              <w:adjustRightInd/>
              <w:snapToGrid/>
              <w:rPr>
                <w:color w:val="auto"/>
              </w:rPr>
            </w:pPr>
            <w:r>
              <w:rPr>
                <w:color w:val="auto"/>
              </w:rPr>
              <w:t>微生物</w:t>
            </w:r>
          </w:p>
        </w:tc>
        <w:tc>
          <w:tcPr>
            <w:tcW w:w="1808" w:type="dxa"/>
            <w:tcBorders>
              <w:tl2br w:val="nil"/>
              <w:tr2bl w:val="nil"/>
            </w:tcBorders>
            <w:vAlign w:val="center"/>
          </w:tcPr>
          <w:p w14:paraId="3868B9F5">
            <w:pPr>
              <w:pStyle w:val="12"/>
              <w:pageBreakBefore w:val="0"/>
              <w:wordWrap/>
              <w:bidi w:val="0"/>
              <w:adjustRightInd/>
              <w:snapToGrid/>
              <w:rPr>
                <w:color w:val="auto"/>
              </w:rPr>
            </w:pPr>
            <w:r>
              <w:rPr>
                <w:color w:val="auto"/>
              </w:rPr>
              <w:t>细菌病毒</w:t>
            </w:r>
          </w:p>
        </w:tc>
        <w:tc>
          <w:tcPr>
            <w:tcW w:w="3471" w:type="dxa"/>
            <w:tcBorders>
              <w:tl2br w:val="nil"/>
              <w:tr2bl w:val="nil"/>
            </w:tcBorders>
            <w:vAlign w:val="center"/>
          </w:tcPr>
          <w:p w14:paraId="5B2EB565">
            <w:pPr>
              <w:pStyle w:val="12"/>
              <w:pageBreakBefore w:val="0"/>
              <w:wordWrap/>
              <w:bidi w:val="0"/>
              <w:adjustRightInd/>
              <w:snapToGrid/>
              <w:rPr>
                <w:rFonts w:hint="eastAsia" w:eastAsia="宋体"/>
                <w:color w:val="auto"/>
                <w:lang w:eastAsia="zh-CN"/>
              </w:rPr>
            </w:pPr>
            <w:r>
              <w:rPr>
                <w:color w:val="auto"/>
              </w:rPr>
              <w:t>臭氧氧化、消毒</w:t>
            </w:r>
            <w:r>
              <w:rPr>
                <w:rFonts w:hint="eastAsia"/>
                <w:color w:val="auto"/>
                <w:lang w:eastAsia="zh-CN"/>
              </w:rPr>
              <w:t>（</w:t>
            </w:r>
            <w:r>
              <w:rPr>
                <w:color w:val="auto"/>
              </w:rPr>
              <w:t>氯气、次氯酸钠、紫外线</w:t>
            </w:r>
            <w:r>
              <w:rPr>
                <w:rFonts w:hint="eastAsia"/>
                <w:color w:val="auto"/>
                <w:lang w:eastAsia="zh-CN"/>
              </w:rPr>
              <w:t>）</w:t>
            </w:r>
          </w:p>
        </w:tc>
      </w:tr>
    </w:tbl>
    <w:p w14:paraId="5F8C35CA">
      <w:pPr>
        <w:keepNext w:val="0"/>
        <w:keepLines w:val="0"/>
        <w:pageBreakBefore w:val="0"/>
        <w:widowControl w:val="0"/>
        <w:kinsoku/>
        <w:wordWrap/>
        <w:overflowPunct/>
        <w:topLinePunct w:val="0"/>
        <w:autoSpaceDE/>
        <w:autoSpaceDN/>
        <w:bidi w:val="0"/>
        <w:adjustRightInd/>
        <w:snapToGrid/>
        <w:spacing w:before="0" w:beforeLines="50"/>
        <w:textAlignment w:val="auto"/>
        <w:rPr>
          <w:rFonts w:hint="eastAsia"/>
          <w:color w:val="auto"/>
        </w:rPr>
      </w:pPr>
      <w:r>
        <w:rPr>
          <w:rFonts w:hint="eastAsia"/>
          <w:color w:val="auto"/>
        </w:rPr>
        <w:t>根据国内</w:t>
      </w:r>
      <w:r>
        <w:rPr>
          <w:rFonts w:hint="eastAsia"/>
          <w:color w:val="auto"/>
          <w:lang w:eastAsia="zh-CN"/>
        </w:rPr>
        <w:t>污水处理厂</w:t>
      </w:r>
      <w:r>
        <w:rPr>
          <w:rFonts w:hint="eastAsia"/>
          <w:color w:val="auto"/>
        </w:rPr>
        <w:t>实际运行经验，只要设计合理，本工程污水经除磷脱氮工艺处理后，出水中TN、</w:t>
      </w:r>
      <m:oMath>
        <m:sSubSup>
          <m:sSubSupPr>
            <m:ctrlPr>
              <w:rPr>
                <w:rFonts w:hint="eastAsia" w:ascii="Cambria Math" w:hAnsi="Cambria Math"/>
                <w:color w:val="auto"/>
                <w:lang w:val="en-US" w:eastAsia="zh-CN"/>
              </w:rPr>
            </m:ctrlPr>
          </m:sSubSupPr>
          <m:e>
            <m:r>
              <m:rPr>
                <m:sty m:val="p"/>
              </m:rPr>
              <w:rPr>
                <w:rFonts w:hint="eastAsia" w:ascii="Cambria Math" w:hAnsi="Cambria Math"/>
                <w:color w:val="auto"/>
                <w:lang w:val="en-US" w:eastAsia="zh-CN"/>
              </w:rPr>
              <m:t>NH</m:t>
            </m:r>
            <m:ctrlPr>
              <w:rPr>
                <w:rFonts w:hint="eastAsia" w:ascii="Cambria Math" w:hAnsi="Cambria Math"/>
                <w:color w:val="auto"/>
                <w:lang w:val="en-US" w:eastAsia="zh-CN"/>
              </w:rPr>
            </m:ctrlPr>
          </m:e>
          <m:sub>
            <m:r>
              <m:rPr>
                <m:sty m:val="p"/>
              </m:rPr>
              <w:rPr>
                <w:rFonts w:hint="default" w:ascii="Cambria Math" w:hAnsi="Cambria Math"/>
                <w:color w:val="auto"/>
                <w:lang w:val="en-US" w:eastAsia="zh-CN"/>
              </w:rPr>
              <m:t>4</m:t>
            </m:r>
            <m:ctrlPr>
              <w:rPr>
                <w:rFonts w:hint="eastAsia" w:ascii="Cambria Math" w:hAnsi="Cambria Math"/>
                <w:color w:val="auto"/>
                <w:lang w:val="en-US" w:eastAsia="zh-CN"/>
              </w:rPr>
            </m:ctrlPr>
          </m:sub>
          <m:sup>
            <m:r>
              <m:rPr>
                <m:sty m:val="p"/>
              </m:rPr>
              <w:rPr>
                <w:rFonts w:hint="default" w:ascii="Cambria Math" w:hAnsi="Cambria Math"/>
                <w:color w:val="auto"/>
                <w:lang w:val="en-US" w:eastAsia="zh-CN"/>
              </w:rPr>
              <m:t>+</m:t>
            </m:r>
            <m:ctrlPr>
              <w:rPr>
                <w:rFonts w:hint="eastAsia" w:ascii="Cambria Math" w:hAnsi="Cambria Math"/>
                <w:color w:val="auto"/>
                <w:lang w:val="en-US" w:eastAsia="zh-CN"/>
              </w:rPr>
            </m:ctrlPr>
          </m:sup>
        </m:sSubSup>
        <m:r>
          <m:rPr>
            <m:sty m:val="p"/>
          </m:rPr>
          <w:rPr>
            <w:rFonts w:hint="default" w:ascii="Cambria Math" w:hAnsi="Cambria Math"/>
            <w:color w:val="auto"/>
            <w:lang w:val="en-US" w:eastAsia="zh-CN"/>
          </w:rPr>
          <m:t>−</m:t>
        </m:r>
        <m:r>
          <m:rPr>
            <m:sty m:val="p"/>
          </m:rPr>
          <w:rPr>
            <w:rFonts w:hint="eastAsia" w:ascii="Cambria Math" w:hAnsi="Cambria Math"/>
            <w:color w:val="auto"/>
            <w:lang w:val="en-US" w:eastAsia="zh-CN"/>
          </w:rPr>
          <m:t>N</m:t>
        </m:r>
      </m:oMath>
      <w:r>
        <w:rPr>
          <w:rFonts w:hint="eastAsia"/>
          <w:color w:val="auto"/>
        </w:rPr>
        <w:t>指标基本上均能达到处理目标要求，不超过15mg/L、5mg/L</w:t>
      </w:r>
      <w:r>
        <w:rPr>
          <w:rFonts w:hint="eastAsia"/>
          <w:color w:val="auto"/>
          <w:lang w:eastAsia="zh-CN"/>
        </w:rPr>
        <w:t>；</w:t>
      </w:r>
      <w:r>
        <w:rPr>
          <w:rFonts w:hint="eastAsia"/>
          <w:color w:val="auto"/>
        </w:rPr>
        <w:t>出水TP值接近1mg/L</w:t>
      </w:r>
      <w:r>
        <w:rPr>
          <w:rFonts w:hint="eastAsia"/>
          <w:color w:val="auto"/>
          <w:lang w:eastAsia="zh-CN"/>
        </w:rPr>
        <w:t>；</w:t>
      </w:r>
      <w:r>
        <w:rPr>
          <w:rFonts w:hint="eastAsia"/>
          <w:color w:val="auto"/>
        </w:rPr>
        <w:t>出水SS值低于20mg/L</w:t>
      </w:r>
      <w:r>
        <w:rPr>
          <w:rFonts w:hint="eastAsia"/>
          <w:color w:val="auto"/>
          <w:lang w:eastAsia="zh-CN"/>
        </w:rPr>
        <w:t>，</w:t>
      </w:r>
      <w:r>
        <w:rPr>
          <w:rFonts w:hint="eastAsia"/>
          <w:color w:val="auto"/>
        </w:rPr>
        <w:t>BOD</w:t>
      </w:r>
      <w:r>
        <w:rPr>
          <w:rFonts w:hint="eastAsia"/>
          <w:color w:val="auto"/>
          <w:lang w:val="en-US" w:eastAsia="zh-CN"/>
        </w:rPr>
        <w:t>5</w:t>
      </w:r>
      <w:r>
        <w:rPr>
          <w:rFonts w:hint="eastAsia"/>
          <w:color w:val="auto"/>
        </w:rPr>
        <w:t>的指标也基本能达到10mg/L的水平，CODcr降到50mg/L以下也可实现。因此，深度处理的目的主要是去除仍然较高的SS值以及进一步降低水中的BOD</w:t>
      </w:r>
      <w:r>
        <w:rPr>
          <w:rFonts w:hint="eastAsia"/>
          <w:color w:val="auto"/>
          <w:lang w:val="en-US" w:eastAsia="zh-CN"/>
        </w:rPr>
        <w:t>5</w:t>
      </w:r>
      <w:r>
        <w:rPr>
          <w:rFonts w:hint="eastAsia"/>
          <w:color w:val="auto"/>
        </w:rPr>
        <w:t>和TP</w:t>
      </w:r>
      <w:r>
        <w:rPr>
          <w:rFonts w:hint="eastAsia"/>
          <w:color w:val="auto"/>
          <w:lang w:eastAsia="zh-CN"/>
        </w:rPr>
        <w:t>，</w:t>
      </w:r>
      <w:r>
        <w:rPr>
          <w:rFonts w:hint="eastAsia"/>
          <w:color w:val="auto"/>
        </w:rPr>
        <w:t>确保出水达标。</w:t>
      </w:r>
    </w:p>
    <w:p w14:paraId="1D6A1C28">
      <w:pPr>
        <w:pageBreakBefore w:val="0"/>
        <w:wordWrap/>
        <w:bidi w:val="0"/>
        <w:adjustRightInd/>
        <w:snapToGrid/>
        <w:rPr>
          <w:rFonts w:hint="eastAsia"/>
          <w:color w:val="auto"/>
        </w:rPr>
      </w:pPr>
      <w:r>
        <w:rPr>
          <w:rFonts w:hint="eastAsia"/>
          <w:color w:val="auto"/>
        </w:rPr>
        <w:t>出水悬浮物的主要组成成分是活性污泥絮体，其本身的有机</w:t>
      </w:r>
      <w:r>
        <w:rPr>
          <w:rFonts w:hint="eastAsia"/>
          <w:color w:val="auto"/>
          <w:lang w:eastAsia="zh-CN"/>
        </w:rPr>
        <w:t>成分</w:t>
      </w:r>
      <w:r>
        <w:rPr>
          <w:rFonts w:hint="eastAsia"/>
          <w:color w:val="auto"/>
        </w:rPr>
        <w:t>高，而有机物含磷，较高的出水悬浮物SS会使得出水的BOD</w:t>
      </w:r>
      <w:r>
        <w:rPr>
          <w:rFonts w:hint="eastAsia"/>
          <w:color w:val="auto"/>
          <w:vertAlign w:val="subscript"/>
          <w:lang w:val="en-US" w:eastAsia="zh-CN"/>
        </w:rPr>
        <w:t>5</w:t>
      </w:r>
      <w:r>
        <w:rPr>
          <w:rFonts w:hint="eastAsia"/>
          <w:color w:val="auto"/>
        </w:rPr>
        <w:t>、CODcr和TP相应地增加。因此，降低SS值不只是单纯地使SS值指标合格，同时会减少污水中</w:t>
      </w:r>
      <w:r>
        <w:rPr>
          <w:rFonts w:hint="eastAsia"/>
          <w:color w:val="auto"/>
          <w:lang w:val="en-US" w:eastAsia="zh-CN"/>
        </w:rPr>
        <w:t>的</w:t>
      </w:r>
      <w:r>
        <w:rPr>
          <w:rFonts w:hint="eastAsia"/>
          <w:color w:val="auto"/>
        </w:rPr>
        <w:t>BOD</w:t>
      </w:r>
      <w:r>
        <w:rPr>
          <w:rFonts w:hint="eastAsia"/>
          <w:color w:val="auto"/>
          <w:vertAlign w:val="subscript"/>
          <w:lang w:val="en-US" w:eastAsia="zh-CN"/>
        </w:rPr>
        <w:t>5</w:t>
      </w:r>
      <w:r>
        <w:rPr>
          <w:rFonts w:hint="eastAsia"/>
          <w:color w:val="auto"/>
        </w:rPr>
        <w:t>、CODcr、TP及其他污染指标。同时，对色度较高的工业废水，生物处理去除率低，需通过混凝、沉淀、过滤去除。</w:t>
      </w:r>
    </w:p>
    <w:p w14:paraId="1995E24D">
      <w:pPr>
        <w:pageBreakBefore w:val="0"/>
        <w:wordWrap/>
        <w:bidi w:val="0"/>
        <w:adjustRightInd/>
        <w:snapToGrid/>
        <w:rPr>
          <w:color w:val="auto"/>
        </w:rPr>
      </w:pPr>
      <w:r>
        <w:rPr>
          <w:rFonts w:hint="eastAsia"/>
          <w:color w:val="auto"/>
        </w:rPr>
        <w:t>所以，本工程深度处理应以SS和色度的去除作为重点目标。</w:t>
      </w:r>
    </w:p>
    <w:p w14:paraId="69E1536F">
      <w:pPr>
        <w:pStyle w:val="334"/>
        <w:pageBreakBefore w:val="0"/>
        <w:tabs>
          <w:tab w:val="left" w:pos="981"/>
        </w:tabs>
        <w:wordWrap/>
        <w:bidi w:val="0"/>
        <w:adjustRightInd/>
        <w:snapToGrid/>
        <w:ind w:firstLine="480"/>
        <w:rPr>
          <w:rFonts w:hint="eastAsia"/>
          <w:color w:val="auto"/>
        </w:rPr>
      </w:pPr>
      <w:r>
        <w:rPr>
          <w:rFonts w:hint="eastAsia"/>
          <w:color w:val="auto"/>
        </w:rPr>
        <w:t>从上表和前节论述中可以看到，混凝沉淀及过滤是去除SS、VSS的主要技术手段。污水经二级处理沉淀后，其出水</w:t>
      </w:r>
      <w:r>
        <w:rPr>
          <w:rFonts w:hint="eastAsia"/>
          <w:color w:val="auto"/>
          <w:lang w:eastAsia="zh-CN"/>
        </w:rPr>
        <w:t>（</w:t>
      </w:r>
      <w:r>
        <w:rPr>
          <w:rFonts w:hint="eastAsia"/>
          <w:color w:val="auto"/>
        </w:rPr>
        <w:t>即深度构筑物的进水</w:t>
      </w:r>
      <w:r>
        <w:rPr>
          <w:rFonts w:hint="eastAsia"/>
          <w:color w:val="auto"/>
          <w:lang w:eastAsia="zh-CN"/>
        </w:rPr>
        <w:t>）</w:t>
      </w:r>
      <w:r>
        <w:rPr>
          <w:rFonts w:hint="eastAsia"/>
          <w:color w:val="auto"/>
        </w:rPr>
        <w:t>悬浮物总体来说不高，根据众多</w:t>
      </w:r>
      <w:r>
        <w:rPr>
          <w:rFonts w:hint="eastAsia"/>
          <w:color w:val="auto"/>
          <w:lang w:eastAsia="zh-CN"/>
        </w:rPr>
        <w:t>污水处理厂</w:t>
      </w:r>
      <w:r>
        <w:rPr>
          <w:rFonts w:hint="eastAsia"/>
          <w:color w:val="auto"/>
        </w:rPr>
        <w:t>、给水厂的运行经验，采用直接过滤并辅以投加铁盐或铝盐的方式可达到有效去除悬浮物的目的。投加铁盐或铝盐后，形成磷酸盐沉淀物与其他胶体、悬浮物，被滤料一并吸附、截留，降低磷值。根据</w:t>
      </w:r>
      <w:r>
        <w:rPr>
          <w:rFonts w:hint="eastAsia"/>
          <w:color w:val="auto"/>
          <w:lang w:eastAsia="zh-CN"/>
        </w:rPr>
        <w:t>污水处理厂</w:t>
      </w:r>
      <w:r>
        <w:rPr>
          <w:rFonts w:hint="eastAsia"/>
          <w:color w:val="auto"/>
        </w:rPr>
        <w:t>、给水厂运行经验及类似实验介绍，低浊度进水直接絮凝过滤，其出水浊度可低于3NTU</w:t>
      </w:r>
      <w:r>
        <w:rPr>
          <w:rFonts w:hint="eastAsia"/>
          <w:color w:val="auto"/>
          <w:lang w:eastAsia="zh-CN"/>
        </w:rPr>
        <w:t>，</w:t>
      </w:r>
      <w:r>
        <w:rPr>
          <w:rFonts w:hint="eastAsia"/>
          <w:color w:val="auto"/>
        </w:rPr>
        <w:t>完全可以保证其出水悬浮物低于10mg/L。因此，本工程的深度处理工艺拟采用混凝沉淀+过滤工艺。同时考虑到远期处理规模，预留高级氧化工艺用地。</w:t>
      </w:r>
    </w:p>
    <w:p w14:paraId="7D068B0F">
      <w:pPr>
        <w:pStyle w:val="334"/>
        <w:pageBreakBefore w:val="0"/>
        <w:tabs>
          <w:tab w:val="left" w:pos="981"/>
        </w:tabs>
        <w:wordWrap/>
        <w:bidi w:val="0"/>
        <w:adjustRightInd/>
        <w:snapToGrid/>
        <w:ind w:firstLine="480"/>
        <w:rPr>
          <w:color w:val="auto"/>
        </w:rPr>
      </w:pPr>
      <w:r>
        <w:rPr>
          <w:rFonts w:hint="eastAsia"/>
          <w:color w:val="auto"/>
        </w:rPr>
        <w:t>混凝沉淀+过滤工艺常规处理效率见</w:t>
      </w:r>
      <w:r>
        <w:rPr>
          <w:rFonts w:hint="eastAsia"/>
          <w:color w:val="auto"/>
          <w:lang w:val="en-US" w:eastAsia="zh-CN"/>
        </w:rPr>
        <w:t>下表</w:t>
      </w:r>
      <w:r>
        <w:rPr>
          <w:rFonts w:hint="eastAsia"/>
          <w:color w:val="auto"/>
        </w:rPr>
        <w:t>。</w:t>
      </w:r>
    </w:p>
    <w:p w14:paraId="733000B2">
      <w:pPr>
        <w:pStyle w:val="15"/>
        <w:numPr>
          <w:ilvl w:val="0"/>
          <w:numId w:val="16"/>
        </w:numPr>
        <w:bidi w:val="0"/>
        <w:ind w:left="0" w:leftChars="0" w:firstLine="0" w:firstLineChars="0"/>
        <w:rPr>
          <w:color w:val="auto"/>
        </w:rPr>
      </w:pPr>
      <w:r>
        <w:rPr>
          <w:rFonts w:hint="eastAsia"/>
          <w:color w:val="auto"/>
        </w:rPr>
        <w:t>混凝沉淀过滤的处理效率</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100"/>
        <w:gridCol w:w="1458"/>
        <w:gridCol w:w="815"/>
        <w:gridCol w:w="817"/>
        <w:gridCol w:w="1137"/>
        <w:gridCol w:w="1458"/>
        <w:gridCol w:w="815"/>
        <w:gridCol w:w="817"/>
      </w:tblGrid>
      <w:tr w14:paraId="34439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vMerge w:val="restart"/>
            <w:tcBorders>
              <w:tl2br w:val="nil"/>
              <w:tr2bl w:val="nil"/>
            </w:tcBorders>
            <w:vAlign w:val="center"/>
          </w:tcPr>
          <w:p w14:paraId="5B29FC55">
            <w:pPr>
              <w:pStyle w:val="12"/>
              <w:pageBreakBefore w:val="0"/>
              <w:wordWrap/>
              <w:bidi w:val="0"/>
              <w:adjustRightInd/>
              <w:snapToGrid/>
              <w:rPr>
                <w:b/>
                <w:bCs/>
                <w:color w:val="auto"/>
              </w:rPr>
            </w:pPr>
            <w:r>
              <w:rPr>
                <w:b/>
                <w:bCs/>
                <w:color w:val="auto"/>
              </w:rPr>
              <w:t>项目</w:t>
            </w:r>
          </w:p>
        </w:tc>
        <w:tc>
          <w:tcPr>
            <w:tcW w:w="1835" w:type="pct"/>
            <w:gridSpan w:val="3"/>
            <w:tcBorders>
              <w:tl2br w:val="nil"/>
              <w:tr2bl w:val="nil"/>
            </w:tcBorders>
            <w:vAlign w:val="center"/>
          </w:tcPr>
          <w:p w14:paraId="60630102">
            <w:pPr>
              <w:pStyle w:val="12"/>
              <w:pageBreakBefore w:val="0"/>
              <w:wordWrap/>
              <w:bidi w:val="0"/>
              <w:adjustRightInd/>
              <w:snapToGrid/>
              <w:rPr>
                <w:rFonts w:hint="eastAsia" w:eastAsia="宋体"/>
                <w:b/>
                <w:bCs/>
                <w:color w:val="auto"/>
                <w:lang w:eastAsia="zh-CN"/>
              </w:rPr>
            </w:pPr>
            <w:r>
              <w:rPr>
                <w:b/>
                <w:bCs/>
                <w:color w:val="auto"/>
              </w:rPr>
              <w:t>处理效果</w:t>
            </w:r>
            <w:r>
              <w:rPr>
                <w:rFonts w:hint="eastAsia"/>
                <w:b/>
                <w:bCs/>
                <w:color w:val="auto"/>
                <w:lang w:eastAsia="zh-CN"/>
              </w:rPr>
              <w:t>（</w:t>
            </w:r>
            <w:r>
              <w:rPr>
                <w:b/>
                <w:bCs/>
                <w:color w:val="auto"/>
              </w:rPr>
              <w:t>%</w:t>
            </w:r>
            <w:r>
              <w:rPr>
                <w:rFonts w:hint="eastAsia"/>
                <w:b/>
                <w:bCs/>
                <w:color w:val="auto"/>
                <w:lang w:eastAsia="zh-CN"/>
              </w:rPr>
              <w:t>）</w:t>
            </w:r>
          </w:p>
        </w:tc>
        <w:tc>
          <w:tcPr>
            <w:tcW w:w="675" w:type="pct"/>
            <w:vMerge w:val="restart"/>
            <w:tcBorders>
              <w:tl2br w:val="nil"/>
              <w:tr2bl w:val="nil"/>
            </w:tcBorders>
            <w:vAlign w:val="center"/>
          </w:tcPr>
          <w:p w14:paraId="10F2CAF3">
            <w:pPr>
              <w:pStyle w:val="12"/>
              <w:pageBreakBefore w:val="0"/>
              <w:wordWrap/>
              <w:bidi w:val="0"/>
              <w:adjustRightInd/>
              <w:snapToGrid/>
              <w:rPr>
                <w:b/>
                <w:bCs/>
                <w:color w:val="auto"/>
              </w:rPr>
            </w:pPr>
            <w:r>
              <w:rPr>
                <w:b/>
                <w:bCs/>
                <w:color w:val="auto"/>
              </w:rPr>
              <w:t>项目</w:t>
            </w:r>
          </w:p>
        </w:tc>
        <w:tc>
          <w:tcPr>
            <w:tcW w:w="1835" w:type="pct"/>
            <w:gridSpan w:val="3"/>
            <w:tcBorders>
              <w:tl2br w:val="nil"/>
              <w:tr2bl w:val="nil"/>
            </w:tcBorders>
            <w:vAlign w:val="center"/>
          </w:tcPr>
          <w:p w14:paraId="1C024C45">
            <w:pPr>
              <w:pStyle w:val="12"/>
              <w:pageBreakBefore w:val="0"/>
              <w:wordWrap/>
              <w:bidi w:val="0"/>
              <w:adjustRightInd/>
              <w:snapToGrid/>
              <w:rPr>
                <w:rFonts w:hint="eastAsia" w:eastAsia="宋体"/>
                <w:b/>
                <w:bCs/>
                <w:color w:val="auto"/>
                <w:lang w:eastAsia="zh-CN"/>
              </w:rPr>
            </w:pPr>
            <w:r>
              <w:rPr>
                <w:b/>
                <w:bCs/>
                <w:color w:val="auto"/>
              </w:rPr>
              <w:t>处理效果</w:t>
            </w:r>
            <w:r>
              <w:rPr>
                <w:rFonts w:hint="eastAsia"/>
                <w:b/>
                <w:bCs/>
                <w:color w:val="auto"/>
                <w:lang w:eastAsia="zh-CN"/>
              </w:rPr>
              <w:t>（</w:t>
            </w:r>
            <w:r>
              <w:rPr>
                <w:b/>
                <w:bCs/>
                <w:color w:val="auto"/>
              </w:rPr>
              <w:t>%</w:t>
            </w:r>
            <w:r>
              <w:rPr>
                <w:rFonts w:hint="eastAsia"/>
                <w:b/>
                <w:bCs/>
                <w:color w:val="auto"/>
                <w:lang w:eastAsia="zh-CN"/>
              </w:rPr>
              <w:t>）</w:t>
            </w:r>
          </w:p>
        </w:tc>
      </w:tr>
      <w:tr w14:paraId="374CE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vMerge w:val="continue"/>
            <w:tcBorders>
              <w:tl2br w:val="nil"/>
              <w:tr2bl w:val="nil"/>
            </w:tcBorders>
            <w:vAlign w:val="center"/>
          </w:tcPr>
          <w:p w14:paraId="6A416B49">
            <w:pPr>
              <w:pStyle w:val="12"/>
              <w:pageBreakBefore w:val="0"/>
              <w:wordWrap/>
              <w:bidi w:val="0"/>
              <w:adjustRightInd/>
              <w:snapToGrid/>
              <w:rPr>
                <w:b/>
                <w:bCs/>
                <w:color w:val="auto"/>
              </w:rPr>
            </w:pPr>
          </w:p>
        </w:tc>
        <w:tc>
          <w:tcPr>
            <w:tcW w:w="866" w:type="pct"/>
            <w:tcBorders>
              <w:tl2br w:val="nil"/>
              <w:tr2bl w:val="nil"/>
            </w:tcBorders>
            <w:vAlign w:val="center"/>
          </w:tcPr>
          <w:p w14:paraId="24EB3874">
            <w:pPr>
              <w:pStyle w:val="12"/>
              <w:pageBreakBefore w:val="0"/>
              <w:wordWrap/>
              <w:bidi w:val="0"/>
              <w:adjustRightInd/>
              <w:snapToGrid/>
              <w:rPr>
                <w:b/>
                <w:bCs/>
                <w:color w:val="auto"/>
              </w:rPr>
            </w:pPr>
            <w:r>
              <w:rPr>
                <w:b/>
                <w:bCs/>
                <w:color w:val="auto"/>
              </w:rPr>
              <w:t>混凝沉淀</w:t>
            </w:r>
          </w:p>
        </w:tc>
        <w:tc>
          <w:tcPr>
            <w:tcW w:w="484" w:type="pct"/>
            <w:tcBorders>
              <w:tl2br w:val="nil"/>
              <w:tr2bl w:val="nil"/>
            </w:tcBorders>
            <w:vAlign w:val="center"/>
          </w:tcPr>
          <w:p w14:paraId="404114B6">
            <w:pPr>
              <w:pStyle w:val="12"/>
              <w:pageBreakBefore w:val="0"/>
              <w:wordWrap/>
              <w:bidi w:val="0"/>
              <w:adjustRightInd/>
              <w:snapToGrid/>
              <w:rPr>
                <w:b/>
                <w:bCs/>
                <w:color w:val="auto"/>
              </w:rPr>
            </w:pPr>
            <w:r>
              <w:rPr>
                <w:b/>
                <w:bCs/>
                <w:color w:val="auto"/>
              </w:rPr>
              <w:t>过滤</w:t>
            </w:r>
          </w:p>
        </w:tc>
        <w:tc>
          <w:tcPr>
            <w:tcW w:w="484" w:type="pct"/>
            <w:tcBorders>
              <w:tl2br w:val="nil"/>
              <w:tr2bl w:val="nil"/>
            </w:tcBorders>
            <w:vAlign w:val="center"/>
          </w:tcPr>
          <w:p w14:paraId="0A87C746">
            <w:pPr>
              <w:pStyle w:val="12"/>
              <w:pageBreakBefore w:val="0"/>
              <w:wordWrap/>
              <w:bidi w:val="0"/>
              <w:adjustRightInd/>
              <w:snapToGrid/>
              <w:rPr>
                <w:b/>
                <w:bCs/>
                <w:color w:val="auto"/>
              </w:rPr>
            </w:pPr>
            <w:r>
              <w:rPr>
                <w:b/>
                <w:bCs/>
                <w:color w:val="auto"/>
              </w:rPr>
              <w:t>综合</w:t>
            </w:r>
          </w:p>
        </w:tc>
        <w:tc>
          <w:tcPr>
            <w:tcW w:w="675" w:type="pct"/>
            <w:vMerge w:val="continue"/>
            <w:tcBorders>
              <w:tl2br w:val="nil"/>
              <w:tr2bl w:val="nil"/>
            </w:tcBorders>
            <w:vAlign w:val="center"/>
          </w:tcPr>
          <w:p w14:paraId="64356123">
            <w:pPr>
              <w:pStyle w:val="12"/>
              <w:pageBreakBefore w:val="0"/>
              <w:wordWrap/>
              <w:bidi w:val="0"/>
              <w:adjustRightInd/>
              <w:snapToGrid/>
              <w:rPr>
                <w:b/>
                <w:bCs/>
                <w:color w:val="auto"/>
              </w:rPr>
            </w:pPr>
          </w:p>
        </w:tc>
        <w:tc>
          <w:tcPr>
            <w:tcW w:w="866" w:type="pct"/>
            <w:tcBorders>
              <w:tl2br w:val="nil"/>
              <w:tr2bl w:val="nil"/>
            </w:tcBorders>
            <w:vAlign w:val="center"/>
          </w:tcPr>
          <w:p w14:paraId="71B59261">
            <w:pPr>
              <w:pStyle w:val="12"/>
              <w:pageBreakBefore w:val="0"/>
              <w:wordWrap/>
              <w:bidi w:val="0"/>
              <w:adjustRightInd/>
              <w:snapToGrid/>
              <w:rPr>
                <w:b/>
                <w:bCs/>
                <w:color w:val="auto"/>
              </w:rPr>
            </w:pPr>
            <w:r>
              <w:rPr>
                <w:b/>
                <w:bCs/>
                <w:color w:val="auto"/>
              </w:rPr>
              <w:t>混凝沉淀</w:t>
            </w:r>
          </w:p>
        </w:tc>
        <w:tc>
          <w:tcPr>
            <w:tcW w:w="484" w:type="pct"/>
            <w:tcBorders>
              <w:tl2br w:val="nil"/>
              <w:tr2bl w:val="nil"/>
            </w:tcBorders>
            <w:vAlign w:val="center"/>
          </w:tcPr>
          <w:p w14:paraId="11F0671E">
            <w:pPr>
              <w:pStyle w:val="12"/>
              <w:pageBreakBefore w:val="0"/>
              <w:wordWrap/>
              <w:bidi w:val="0"/>
              <w:adjustRightInd/>
              <w:snapToGrid/>
              <w:rPr>
                <w:b/>
                <w:bCs/>
                <w:color w:val="auto"/>
              </w:rPr>
            </w:pPr>
            <w:r>
              <w:rPr>
                <w:b/>
                <w:bCs/>
                <w:color w:val="auto"/>
              </w:rPr>
              <w:t>过滤</w:t>
            </w:r>
          </w:p>
        </w:tc>
        <w:tc>
          <w:tcPr>
            <w:tcW w:w="484" w:type="pct"/>
            <w:tcBorders>
              <w:tl2br w:val="nil"/>
              <w:tr2bl w:val="nil"/>
            </w:tcBorders>
            <w:vAlign w:val="center"/>
          </w:tcPr>
          <w:p w14:paraId="40696151">
            <w:pPr>
              <w:pStyle w:val="12"/>
              <w:pageBreakBefore w:val="0"/>
              <w:wordWrap/>
              <w:bidi w:val="0"/>
              <w:adjustRightInd/>
              <w:snapToGrid/>
              <w:rPr>
                <w:b/>
                <w:bCs/>
                <w:color w:val="auto"/>
              </w:rPr>
            </w:pPr>
            <w:r>
              <w:rPr>
                <w:b/>
                <w:bCs/>
                <w:color w:val="auto"/>
              </w:rPr>
              <w:t>综合</w:t>
            </w:r>
          </w:p>
        </w:tc>
      </w:tr>
      <w:tr w14:paraId="631B0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7010FCDB">
            <w:pPr>
              <w:pStyle w:val="12"/>
              <w:pageBreakBefore w:val="0"/>
              <w:wordWrap/>
              <w:bidi w:val="0"/>
              <w:adjustRightInd/>
              <w:snapToGrid/>
              <w:rPr>
                <w:color w:val="auto"/>
              </w:rPr>
            </w:pPr>
            <w:r>
              <w:rPr>
                <w:color w:val="auto"/>
              </w:rPr>
              <w:t>浊度</w:t>
            </w:r>
          </w:p>
        </w:tc>
        <w:tc>
          <w:tcPr>
            <w:tcW w:w="1835" w:type="pct"/>
            <w:gridSpan w:val="3"/>
            <w:tcBorders>
              <w:tl2br w:val="nil"/>
              <w:tr2bl w:val="nil"/>
            </w:tcBorders>
            <w:vAlign w:val="center"/>
          </w:tcPr>
          <w:p w14:paraId="5D2A0629">
            <w:pPr>
              <w:pStyle w:val="12"/>
              <w:pageBreakBefore w:val="0"/>
              <w:wordWrap/>
              <w:bidi w:val="0"/>
              <w:adjustRightInd/>
              <w:snapToGrid/>
              <w:rPr>
                <w:color w:val="auto"/>
              </w:rPr>
            </w:pPr>
            <w:r>
              <w:rPr>
                <w:color w:val="auto"/>
              </w:rPr>
              <w:t>50</w:t>
            </w:r>
            <w:r>
              <w:rPr>
                <w:rFonts w:hint="eastAsia"/>
                <w:color w:val="auto"/>
                <w:lang w:eastAsia="zh-CN"/>
              </w:rPr>
              <w:t>~</w:t>
            </w:r>
            <w:r>
              <w:rPr>
                <w:color w:val="auto"/>
              </w:rPr>
              <w:t>60</w:t>
            </w:r>
          </w:p>
        </w:tc>
        <w:tc>
          <w:tcPr>
            <w:tcW w:w="675" w:type="pct"/>
            <w:tcBorders>
              <w:tl2br w:val="nil"/>
              <w:tr2bl w:val="nil"/>
            </w:tcBorders>
            <w:vAlign w:val="center"/>
          </w:tcPr>
          <w:p w14:paraId="7E4AFB14">
            <w:pPr>
              <w:pStyle w:val="12"/>
              <w:pageBreakBefore w:val="0"/>
              <w:wordWrap/>
              <w:bidi w:val="0"/>
              <w:adjustRightInd/>
              <w:snapToGrid/>
              <w:rPr>
                <w:color w:val="auto"/>
              </w:rPr>
            </w:pPr>
            <w:r>
              <w:rPr>
                <w:color w:val="auto"/>
              </w:rPr>
              <w:t>30</w:t>
            </w:r>
            <w:r>
              <w:rPr>
                <w:rFonts w:hint="eastAsia"/>
                <w:color w:val="auto"/>
                <w:lang w:eastAsia="zh-CN"/>
              </w:rPr>
              <w:t>~</w:t>
            </w:r>
            <w:r>
              <w:rPr>
                <w:color w:val="auto"/>
              </w:rPr>
              <w:t>50</w:t>
            </w:r>
          </w:p>
        </w:tc>
        <w:tc>
          <w:tcPr>
            <w:tcW w:w="1835" w:type="pct"/>
            <w:gridSpan w:val="3"/>
            <w:tcBorders>
              <w:tl2br w:val="nil"/>
              <w:tr2bl w:val="nil"/>
            </w:tcBorders>
            <w:vAlign w:val="center"/>
          </w:tcPr>
          <w:p w14:paraId="019FA143">
            <w:pPr>
              <w:pStyle w:val="12"/>
              <w:pageBreakBefore w:val="0"/>
              <w:wordWrap/>
              <w:bidi w:val="0"/>
              <w:adjustRightInd/>
              <w:snapToGrid/>
              <w:rPr>
                <w:color w:val="auto"/>
              </w:rPr>
            </w:pPr>
            <w:r>
              <w:rPr>
                <w:color w:val="auto"/>
              </w:rPr>
              <w:t>70</w:t>
            </w:r>
            <w:r>
              <w:rPr>
                <w:rFonts w:hint="eastAsia"/>
                <w:color w:val="auto"/>
                <w:lang w:eastAsia="zh-CN"/>
              </w:rPr>
              <w:t>~</w:t>
            </w:r>
            <w:r>
              <w:rPr>
                <w:color w:val="auto"/>
              </w:rPr>
              <w:t>80</w:t>
            </w:r>
          </w:p>
        </w:tc>
      </w:tr>
      <w:tr w14:paraId="45919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209CF57A">
            <w:pPr>
              <w:pStyle w:val="12"/>
              <w:pageBreakBefore w:val="0"/>
              <w:wordWrap/>
              <w:bidi w:val="0"/>
              <w:adjustRightInd/>
              <w:snapToGrid/>
              <w:rPr>
                <w:color w:val="auto"/>
              </w:rPr>
            </w:pPr>
            <w:r>
              <w:rPr>
                <w:color w:val="auto"/>
              </w:rPr>
              <w:t>SS</w:t>
            </w:r>
          </w:p>
        </w:tc>
        <w:tc>
          <w:tcPr>
            <w:tcW w:w="1835" w:type="pct"/>
            <w:gridSpan w:val="3"/>
            <w:tcBorders>
              <w:tl2br w:val="nil"/>
              <w:tr2bl w:val="nil"/>
            </w:tcBorders>
            <w:vAlign w:val="center"/>
          </w:tcPr>
          <w:p w14:paraId="7D447ED8">
            <w:pPr>
              <w:pStyle w:val="12"/>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675" w:type="pct"/>
            <w:tcBorders>
              <w:tl2br w:val="nil"/>
              <w:tr2bl w:val="nil"/>
            </w:tcBorders>
            <w:vAlign w:val="center"/>
          </w:tcPr>
          <w:p w14:paraId="062A90C9">
            <w:pPr>
              <w:pStyle w:val="12"/>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1835" w:type="pct"/>
            <w:gridSpan w:val="3"/>
            <w:tcBorders>
              <w:tl2br w:val="nil"/>
              <w:tr2bl w:val="nil"/>
            </w:tcBorders>
            <w:vAlign w:val="center"/>
          </w:tcPr>
          <w:p w14:paraId="271A007F">
            <w:pPr>
              <w:pStyle w:val="12"/>
              <w:pageBreakBefore w:val="0"/>
              <w:wordWrap/>
              <w:bidi w:val="0"/>
              <w:adjustRightInd/>
              <w:snapToGrid/>
              <w:rPr>
                <w:color w:val="auto"/>
              </w:rPr>
            </w:pPr>
            <w:r>
              <w:rPr>
                <w:color w:val="auto"/>
              </w:rPr>
              <w:t>70</w:t>
            </w:r>
            <w:r>
              <w:rPr>
                <w:rFonts w:hint="eastAsia"/>
                <w:color w:val="auto"/>
                <w:lang w:eastAsia="zh-CN"/>
              </w:rPr>
              <w:t>~</w:t>
            </w:r>
            <w:r>
              <w:rPr>
                <w:color w:val="auto"/>
              </w:rPr>
              <w:t>80</w:t>
            </w:r>
          </w:p>
        </w:tc>
      </w:tr>
      <w:tr w14:paraId="6D0F7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24CA88B9">
            <w:pPr>
              <w:pStyle w:val="12"/>
              <w:pageBreakBefore w:val="0"/>
              <w:wordWrap/>
              <w:bidi w:val="0"/>
              <w:adjustRightInd/>
              <w:snapToGrid/>
              <w:rPr>
                <w:color w:val="auto"/>
              </w:rPr>
            </w:pPr>
            <w:r>
              <w:rPr>
                <w:color w:val="auto"/>
              </w:rPr>
              <w:t>BOD₅</w:t>
            </w:r>
          </w:p>
        </w:tc>
        <w:tc>
          <w:tcPr>
            <w:tcW w:w="1835" w:type="pct"/>
            <w:gridSpan w:val="3"/>
            <w:tcBorders>
              <w:tl2br w:val="nil"/>
              <w:tr2bl w:val="nil"/>
            </w:tcBorders>
            <w:vAlign w:val="center"/>
          </w:tcPr>
          <w:p w14:paraId="6B37A772">
            <w:pPr>
              <w:pStyle w:val="12"/>
              <w:pageBreakBefore w:val="0"/>
              <w:wordWrap/>
              <w:bidi w:val="0"/>
              <w:adjustRightInd/>
              <w:snapToGrid/>
              <w:rPr>
                <w:color w:val="auto"/>
              </w:rPr>
            </w:pPr>
            <w:r>
              <w:rPr>
                <w:color w:val="auto"/>
              </w:rPr>
              <w:t>30</w:t>
            </w:r>
            <w:r>
              <w:rPr>
                <w:rFonts w:hint="eastAsia"/>
                <w:color w:val="auto"/>
                <w:lang w:eastAsia="zh-CN"/>
              </w:rPr>
              <w:t>~</w:t>
            </w:r>
            <w:r>
              <w:rPr>
                <w:color w:val="auto"/>
              </w:rPr>
              <w:t>50</w:t>
            </w:r>
          </w:p>
        </w:tc>
        <w:tc>
          <w:tcPr>
            <w:tcW w:w="675" w:type="pct"/>
            <w:tcBorders>
              <w:tl2br w:val="nil"/>
              <w:tr2bl w:val="nil"/>
            </w:tcBorders>
            <w:vAlign w:val="center"/>
          </w:tcPr>
          <w:p w14:paraId="0AC5A703">
            <w:pPr>
              <w:pStyle w:val="12"/>
              <w:pageBreakBefore w:val="0"/>
              <w:wordWrap/>
              <w:bidi w:val="0"/>
              <w:adjustRightInd/>
              <w:snapToGrid/>
              <w:rPr>
                <w:color w:val="auto"/>
              </w:rPr>
            </w:pPr>
            <w:r>
              <w:rPr>
                <w:color w:val="auto"/>
              </w:rPr>
              <w:t>25</w:t>
            </w:r>
            <w:r>
              <w:rPr>
                <w:rFonts w:hint="eastAsia"/>
                <w:color w:val="auto"/>
                <w:lang w:eastAsia="zh-CN"/>
              </w:rPr>
              <w:t>~</w:t>
            </w:r>
            <w:r>
              <w:rPr>
                <w:color w:val="auto"/>
              </w:rPr>
              <w:t>50</w:t>
            </w:r>
          </w:p>
        </w:tc>
        <w:tc>
          <w:tcPr>
            <w:tcW w:w="1835" w:type="pct"/>
            <w:gridSpan w:val="3"/>
            <w:tcBorders>
              <w:tl2br w:val="nil"/>
              <w:tr2bl w:val="nil"/>
            </w:tcBorders>
            <w:vAlign w:val="center"/>
          </w:tcPr>
          <w:p w14:paraId="031371EE">
            <w:pPr>
              <w:pStyle w:val="12"/>
              <w:pageBreakBefore w:val="0"/>
              <w:wordWrap/>
              <w:bidi w:val="0"/>
              <w:adjustRightInd/>
              <w:snapToGrid/>
              <w:rPr>
                <w:color w:val="auto"/>
              </w:rPr>
            </w:pPr>
            <w:r>
              <w:rPr>
                <w:color w:val="auto"/>
              </w:rPr>
              <w:t>60</w:t>
            </w:r>
            <w:r>
              <w:rPr>
                <w:rFonts w:hint="eastAsia"/>
                <w:color w:val="auto"/>
                <w:lang w:eastAsia="zh-CN"/>
              </w:rPr>
              <w:t>~</w:t>
            </w:r>
            <w:r>
              <w:rPr>
                <w:color w:val="auto"/>
              </w:rPr>
              <w:t>70</w:t>
            </w:r>
          </w:p>
        </w:tc>
      </w:tr>
      <w:tr w14:paraId="06EB4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42E7AD1D">
            <w:pPr>
              <w:pStyle w:val="12"/>
              <w:pageBreakBefore w:val="0"/>
              <w:wordWrap/>
              <w:bidi w:val="0"/>
              <w:adjustRightInd/>
              <w:snapToGrid/>
              <w:rPr>
                <w:color w:val="auto"/>
              </w:rPr>
            </w:pPr>
            <w:r>
              <w:rPr>
                <w:color w:val="auto"/>
              </w:rPr>
              <w:t>CODcr</w:t>
            </w:r>
          </w:p>
        </w:tc>
        <w:tc>
          <w:tcPr>
            <w:tcW w:w="1835" w:type="pct"/>
            <w:gridSpan w:val="3"/>
            <w:tcBorders>
              <w:tl2br w:val="nil"/>
              <w:tr2bl w:val="nil"/>
            </w:tcBorders>
            <w:vAlign w:val="center"/>
          </w:tcPr>
          <w:p w14:paraId="182B1787">
            <w:pPr>
              <w:pStyle w:val="12"/>
              <w:pageBreakBefore w:val="0"/>
              <w:wordWrap/>
              <w:bidi w:val="0"/>
              <w:adjustRightInd/>
              <w:snapToGrid/>
              <w:rPr>
                <w:color w:val="auto"/>
              </w:rPr>
            </w:pPr>
            <w:r>
              <w:rPr>
                <w:color w:val="auto"/>
              </w:rPr>
              <w:t>25</w:t>
            </w:r>
            <w:r>
              <w:rPr>
                <w:rFonts w:hint="eastAsia"/>
                <w:color w:val="auto"/>
                <w:lang w:eastAsia="zh-CN"/>
              </w:rPr>
              <w:t>~</w:t>
            </w:r>
            <w:r>
              <w:rPr>
                <w:color w:val="auto"/>
              </w:rPr>
              <w:t>40</w:t>
            </w:r>
          </w:p>
        </w:tc>
        <w:tc>
          <w:tcPr>
            <w:tcW w:w="675" w:type="pct"/>
            <w:tcBorders>
              <w:tl2br w:val="nil"/>
              <w:tr2bl w:val="nil"/>
            </w:tcBorders>
            <w:vAlign w:val="center"/>
          </w:tcPr>
          <w:p w14:paraId="6509E3BC">
            <w:pPr>
              <w:pStyle w:val="12"/>
              <w:pageBreakBefore w:val="0"/>
              <w:wordWrap/>
              <w:bidi w:val="0"/>
              <w:adjustRightInd/>
              <w:snapToGrid/>
              <w:rPr>
                <w:color w:val="auto"/>
              </w:rPr>
            </w:pPr>
            <w:r>
              <w:rPr>
                <w:color w:val="auto"/>
              </w:rPr>
              <w:t>15</w:t>
            </w:r>
            <w:r>
              <w:rPr>
                <w:rFonts w:hint="eastAsia"/>
                <w:color w:val="auto"/>
                <w:lang w:eastAsia="zh-CN"/>
              </w:rPr>
              <w:t>~</w:t>
            </w:r>
            <w:r>
              <w:rPr>
                <w:color w:val="auto"/>
              </w:rPr>
              <w:t>25</w:t>
            </w:r>
          </w:p>
        </w:tc>
        <w:tc>
          <w:tcPr>
            <w:tcW w:w="1835" w:type="pct"/>
            <w:gridSpan w:val="3"/>
            <w:tcBorders>
              <w:tl2br w:val="nil"/>
              <w:tr2bl w:val="nil"/>
            </w:tcBorders>
            <w:vAlign w:val="center"/>
          </w:tcPr>
          <w:p w14:paraId="1E97DDCF">
            <w:pPr>
              <w:pStyle w:val="12"/>
              <w:pageBreakBefore w:val="0"/>
              <w:wordWrap/>
              <w:bidi w:val="0"/>
              <w:adjustRightInd/>
              <w:snapToGrid/>
              <w:rPr>
                <w:color w:val="auto"/>
              </w:rPr>
            </w:pPr>
            <w:r>
              <w:rPr>
                <w:color w:val="auto"/>
              </w:rPr>
              <w:t>35</w:t>
            </w:r>
            <w:r>
              <w:rPr>
                <w:rFonts w:hint="eastAsia"/>
                <w:color w:val="auto"/>
                <w:lang w:eastAsia="zh-CN"/>
              </w:rPr>
              <w:t>~</w:t>
            </w:r>
            <w:r>
              <w:rPr>
                <w:color w:val="auto"/>
              </w:rPr>
              <w:t>60</w:t>
            </w:r>
          </w:p>
        </w:tc>
      </w:tr>
      <w:tr w14:paraId="4FA48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15FC1A93">
            <w:pPr>
              <w:pStyle w:val="12"/>
              <w:pageBreakBefore w:val="0"/>
              <w:wordWrap/>
              <w:bidi w:val="0"/>
              <w:adjustRightInd/>
              <w:snapToGrid/>
              <w:rPr>
                <w:color w:val="auto"/>
              </w:rPr>
            </w:pPr>
            <w:r>
              <w:rPr>
                <w:color w:val="auto"/>
              </w:rPr>
              <w:t>TN</w:t>
            </w:r>
          </w:p>
        </w:tc>
        <w:tc>
          <w:tcPr>
            <w:tcW w:w="1835" w:type="pct"/>
            <w:gridSpan w:val="3"/>
            <w:tcBorders>
              <w:tl2br w:val="nil"/>
              <w:tr2bl w:val="nil"/>
            </w:tcBorders>
            <w:vAlign w:val="center"/>
          </w:tcPr>
          <w:p w14:paraId="0B705A12">
            <w:pPr>
              <w:pStyle w:val="12"/>
              <w:pageBreakBefore w:val="0"/>
              <w:wordWrap/>
              <w:bidi w:val="0"/>
              <w:adjustRightInd/>
              <w:snapToGrid/>
              <w:rPr>
                <w:color w:val="auto"/>
              </w:rPr>
            </w:pPr>
            <w:r>
              <w:rPr>
                <w:color w:val="auto"/>
              </w:rPr>
              <w:t>5</w:t>
            </w:r>
            <w:r>
              <w:rPr>
                <w:rFonts w:hint="eastAsia"/>
                <w:color w:val="auto"/>
                <w:lang w:eastAsia="zh-CN"/>
              </w:rPr>
              <w:t>~</w:t>
            </w:r>
            <w:r>
              <w:rPr>
                <w:color w:val="auto"/>
              </w:rPr>
              <w:t>10</w:t>
            </w:r>
          </w:p>
        </w:tc>
        <w:tc>
          <w:tcPr>
            <w:tcW w:w="675" w:type="pct"/>
            <w:tcBorders>
              <w:tl2br w:val="nil"/>
              <w:tr2bl w:val="nil"/>
            </w:tcBorders>
            <w:vAlign w:val="center"/>
          </w:tcPr>
          <w:p w14:paraId="61FFB275">
            <w:pPr>
              <w:pStyle w:val="12"/>
              <w:pageBreakBefore w:val="0"/>
              <w:wordWrap/>
              <w:bidi w:val="0"/>
              <w:adjustRightInd/>
              <w:snapToGrid/>
              <w:rPr>
                <w:color w:val="auto"/>
              </w:rPr>
            </w:pPr>
            <w:r>
              <w:rPr>
                <w:color w:val="auto"/>
              </w:rPr>
              <w:t>5</w:t>
            </w:r>
            <w:r>
              <w:rPr>
                <w:rFonts w:hint="eastAsia"/>
                <w:color w:val="auto"/>
                <w:lang w:eastAsia="zh-CN"/>
              </w:rPr>
              <w:t>~</w:t>
            </w:r>
            <w:r>
              <w:rPr>
                <w:color w:val="auto"/>
              </w:rPr>
              <w:t>10</w:t>
            </w:r>
          </w:p>
        </w:tc>
        <w:tc>
          <w:tcPr>
            <w:tcW w:w="1835" w:type="pct"/>
            <w:gridSpan w:val="3"/>
            <w:tcBorders>
              <w:tl2br w:val="nil"/>
              <w:tr2bl w:val="nil"/>
            </w:tcBorders>
            <w:vAlign w:val="center"/>
          </w:tcPr>
          <w:p w14:paraId="312A2337">
            <w:pPr>
              <w:pStyle w:val="12"/>
              <w:pageBreakBefore w:val="0"/>
              <w:wordWrap/>
              <w:bidi w:val="0"/>
              <w:adjustRightInd/>
              <w:snapToGrid/>
              <w:rPr>
                <w:color w:val="auto"/>
              </w:rPr>
            </w:pPr>
            <w:r>
              <w:rPr>
                <w:color w:val="auto"/>
              </w:rPr>
              <w:t>10</w:t>
            </w:r>
            <w:r>
              <w:rPr>
                <w:rFonts w:hint="eastAsia"/>
                <w:color w:val="auto"/>
                <w:lang w:eastAsia="zh-CN"/>
              </w:rPr>
              <w:t>~</w:t>
            </w:r>
            <w:r>
              <w:rPr>
                <w:color w:val="auto"/>
              </w:rPr>
              <w:t>20</w:t>
            </w:r>
          </w:p>
        </w:tc>
      </w:tr>
      <w:tr w14:paraId="250E8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3" w:type="pct"/>
            <w:tcBorders>
              <w:tl2br w:val="nil"/>
              <w:tr2bl w:val="nil"/>
            </w:tcBorders>
            <w:vAlign w:val="center"/>
          </w:tcPr>
          <w:p w14:paraId="2FB759EB">
            <w:pPr>
              <w:pStyle w:val="12"/>
              <w:pageBreakBefore w:val="0"/>
              <w:wordWrap/>
              <w:bidi w:val="0"/>
              <w:adjustRightInd/>
              <w:snapToGrid/>
              <w:rPr>
                <w:color w:val="auto"/>
              </w:rPr>
            </w:pPr>
            <w:r>
              <w:rPr>
                <w:color w:val="auto"/>
              </w:rPr>
              <w:t>TP</w:t>
            </w:r>
          </w:p>
        </w:tc>
        <w:tc>
          <w:tcPr>
            <w:tcW w:w="1835" w:type="pct"/>
            <w:gridSpan w:val="3"/>
            <w:tcBorders>
              <w:tl2br w:val="nil"/>
              <w:tr2bl w:val="nil"/>
            </w:tcBorders>
            <w:vAlign w:val="center"/>
          </w:tcPr>
          <w:p w14:paraId="1A4362A4">
            <w:pPr>
              <w:pStyle w:val="12"/>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675" w:type="pct"/>
            <w:tcBorders>
              <w:tl2br w:val="nil"/>
              <w:tr2bl w:val="nil"/>
            </w:tcBorders>
            <w:vAlign w:val="center"/>
          </w:tcPr>
          <w:p w14:paraId="26E76202">
            <w:pPr>
              <w:pStyle w:val="12"/>
              <w:pageBreakBefore w:val="0"/>
              <w:wordWrap/>
              <w:bidi w:val="0"/>
              <w:adjustRightInd/>
              <w:snapToGrid/>
              <w:rPr>
                <w:color w:val="auto"/>
              </w:rPr>
            </w:pPr>
            <w:r>
              <w:rPr>
                <w:color w:val="auto"/>
              </w:rPr>
              <w:t>20</w:t>
            </w:r>
            <w:r>
              <w:rPr>
                <w:rFonts w:hint="eastAsia"/>
                <w:color w:val="auto"/>
                <w:lang w:eastAsia="zh-CN"/>
              </w:rPr>
              <w:t>~</w:t>
            </w:r>
            <w:r>
              <w:rPr>
                <w:color w:val="auto"/>
              </w:rPr>
              <w:t>30</w:t>
            </w:r>
          </w:p>
        </w:tc>
        <w:tc>
          <w:tcPr>
            <w:tcW w:w="1835" w:type="pct"/>
            <w:gridSpan w:val="3"/>
            <w:tcBorders>
              <w:tl2br w:val="nil"/>
              <w:tr2bl w:val="nil"/>
            </w:tcBorders>
            <w:vAlign w:val="center"/>
          </w:tcPr>
          <w:p w14:paraId="125178BE">
            <w:pPr>
              <w:pStyle w:val="12"/>
              <w:pageBreakBefore w:val="0"/>
              <w:wordWrap/>
              <w:bidi w:val="0"/>
              <w:adjustRightInd/>
              <w:snapToGrid/>
              <w:rPr>
                <w:color w:val="auto"/>
              </w:rPr>
            </w:pPr>
            <w:r>
              <w:rPr>
                <w:color w:val="auto"/>
              </w:rPr>
              <w:t>60</w:t>
            </w:r>
            <w:r>
              <w:rPr>
                <w:rFonts w:hint="eastAsia"/>
                <w:color w:val="auto"/>
                <w:lang w:eastAsia="zh-CN"/>
              </w:rPr>
              <w:t>~</w:t>
            </w:r>
            <w:r>
              <w:rPr>
                <w:color w:val="auto"/>
              </w:rPr>
              <w:t>80</w:t>
            </w:r>
          </w:p>
        </w:tc>
      </w:tr>
    </w:tbl>
    <w:p w14:paraId="7B000559">
      <w:pPr>
        <w:keepNext w:val="0"/>
        <w:keepLines w:val="0"/>
        <w:pageBreakBefore w:val="0"/>
        <w:widowControl/>
        <w:kinsoku w:val="0"/>
        <w:wordWrap/>
        <w:overflowPunct/>
        <w:topLinePunct w:val="0"/>
        <w:autoSpaceDE w:val="0"/>
        <w:autoSpaceDN w:val="0"/>
        <w:bidi w:val="0"/>
        <w:adjustRightInd/>
        <w:snapToGrid/>
        <w:spacing w:before="0" w:beforeLines="50"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4、</w:t>
      </w:r>
      <w:r>
        <w:rPr>
          <w:rFonts w:hint="default" w:ascii="Times New Roman" w:hAnsi="Times New Roman" w:cs="Times New Roman" w:eastAsiaTheme="minorEastAsia"/>
          <w:b/>
          <w:bCs/>
          <w:color w:val="auto"/>
          <w:sz w:val="24"/>
          <w:szCs w:val="24"/>
        </w:rPr>
        <w:t>除磷工艺的选择</w:t>
      </w:r>
    </w:p>
    <w:p w14:paraId="4494BD4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处理技术有：使磷成为不溶性的固体沉淀物从污水中分离出去的化学除磷法和使磷以溶解态为微生物所摄取，与微生物成为一体，并随同微生物从污水中分离出去的生物除磷法。深度处理段通常采用的是化学除磷法。</w:t>
      </w:r>
    </w:p>
    <w:p w14:paraId="526369C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化学除磷法主要有：化学沉淀除磷技术和晶体法除磷技术，应用广泛的是混凝沉淀除磷技术，主要有铝盐沉淀法、铁盐沉淀法、石灰沉淀法。根据本项目实际情况，建议采用铝盐沉淀法。下面就各种沉淀工艺进行论述。</w:t>
      </w:r>
    </w:p>
    <w:p w14:paraId="35E00FED">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斜管沉淀技术</w:t>
      </w:r>
    </w:p>
    <w:p w14:paraId="2ED7D01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池的结构与一般沉淀池相同，是由进口、沉淀区、出口与集泥区四个部分组成，只是在沉淀区设置有许多斜管或斜板。在斜板斜管沉淀池中，按照水流流过斜板的方向，可分为上向流、下向流和平向流三种。水流由下向上通过斜管或斜板，沉淀物由上向下，它们的方向正好相反，这种形式称作上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也称异向流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。水流向下通过斜管或斜板与沉淀。物的流向相同，这种形式称作下向流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也称同向流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。水流以水平方向流动的方式，称为平向流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也称横向流，仅适用于斜板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。目前，电厂的水处理中多采用上向流，多以斜管作为组件组成斜管沉淀池。</w:t>
      </w:r>
    </w:p>
    <w:p w14:paraId="5122715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沉淀池的特点是：</w:t>
      </w:r>
    </w:p>
    <w:p w14:paraId="79909C9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利用了层流原理，水流在板间或管内流动，水力半径很小，所以雷诺数较低，一般情况下，雷诺数Re在200左右，水流呈现层流状态，对沉淀极为有利</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斜管内水流的弗劳德数约在1×10</w:t>
      </w:r>
      <w:r>
        <w:rPr>
          <w:rFonts w:hint="default" w:ascii="Times New Roman" w:hAnsi="Times New Roman" w:cs="Times New Roman" w:eastAsiaTheme="minorEastAsia"/>
          <w:color w:val="auto"/>
          <w:sz w:val="24"/>
          <w:szCs w:val="24"/>
          <w:vertAlign w:val="superscript"/>
        </w:rPr>
        <w:t>-</w:t>
      </w:r>
      <w:r>
        <w:rPr>
          <w:rFonts w:hint="default" w:ascii="Times New Roman" w:hAnsi="Times New Roman" w:cs="Times New Roman" w:eastAsiaTheme="minorEastAsia"/>
          <w:color w:val="auto"/>
          <w:sz w:val="24"/>
          <w:szCs w:val="24"/>
        </w:rPr>
        <w:t>³~1×10</w:t>
      </w:r>
      <w:r>
        <w:rPr>
          <w:rFonts w:hint="default" w:ascii="Times New Roman" w:hAnsi="Times New Roman" w:cs="Times New Roman" w:eastAsiaTheme="minorEastAsia"/>
          <w:color w:val="auto"/>
          <w:sz w:val="24"/>
          <w:szCs w:val="24"/>
          <w:vertAlign w:val="superscript"/>
        </w:rPr>
        <w:t>-</w:t>
      </w:r>
      <w:r>
        <w:rPr>
          <w:rFonts w:hint="default" w:ascii="Times New Roman" w:hAnsi="Times New Roman" w:cs="Times New Roman" w:eastAsiaTheme="minorEastAsia"/>
          <w:color w:val="auto"/>
          <w:sz w:val="24"/>
          <w:szCs w:val="24"/>
        </w:rPr>
        <w:t>⁴之间，水流呈稳定状态。</w:t>
      </w:r>
    </w:p>
    <w:p w14:paraId="2D33030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增加了沉淀池的面积，使沉淀效率提高。当然，由于斜板的具体布置、进出水的影响及板或管内流态的影响等，处理能力不可能达到理论倍数。实际提高的沉淀效率与理论沉淀效率比称为有效系数。</w:t>
      </w:r>
    </w:p>
    <w:p w14:paraId="790ADA3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缩短了颗粒沉淀距离，使沉淀时间</w:t>
      </w:r>
      <w:r>
        <w:rPr>
          <w:rFonts w:hint="eastAsia" w:cs="Times New Roman" w:eastAsiaTheme="minorEastAsia"/>
          <w:color w:val="auto"/>
          <w:sz w:val="24"/>
          <w:szCs w:val="24"/>
          <w:lang w:eastAsia="zh-CN"/>
        </w:rPr>
        <w:t>大幅</w:t>
      </w:r>
      <w:r>
        <w:rPr>
          <w:rFonts w:hint="default" w:ascii="Times New Roman" w:hAnsi="Times New Roman" w:cs="Times New Roman" w:eastAsiaTheme="minorEastAsia"/>
          <w:color w:val="auto"/>
          <w:sz w:val="24"/>
          <w:szCs w:val="24"/>
        </w:rPr>
        <w:t>缩短。</w:t>
      </w:r>
    </w:p>
    <w:p w14:paraId="014C085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斜板或斜管填料内絮状颗粒的再凝聚，促进了颗粒进一步长大，提高了沉淀效率。</w:t>
      </w:r>
    </w:p>
    <w:p w14:paraId="103A633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缺点：</w:t>
      </w:r>
    </w:p>
    <w:p w14:paraId="6C991C7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相对于高密度沉淀和磁混凝沉淀技术，其负荷低且停留时间长；</w:t>
      </w:r>
    </w:p>
    <w:p w14:paraId="6DDE00E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由于沉淀需要较长的水力停留时间，需配建较大的沉淀池，因此该工艺占地面积大、土建工程量大且施工周期较长；</w:t>
      </w:r>
    </w:p>
    <w:p w14:paraId="5A312D5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因混凝沉淀是通过自然重力让絮体沉淀下来，有些比重不大的絮体由于沉淀时间不够长，导致不完全沉淀，部分随着水流流出导致出水水质不佳。</w:t>
      </w:r>
    </w:p>
    <w:p w14:paraId="37712EE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高密度沉淀技术</w:t>
      </w:r>
    </w:p>
    <w:p w14:paraId="49A1A13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磁混凝沉淀池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Densadeg</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是一种紧凑、高效、灵活的新型污水处理工艺，可以广泛地应用于各项领域。</w:t>
      </w:r>
    </w:p>
    <w:p w14:paraId="051EFB9F">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drawing>
          <wp:inline distT="0" distB="0" distL="0" distR="0">
            <wp:extent cx="4777740" cy="2766695"/>
            <wp:effectExtent l="0" t="0" r="3810" b="14605"/>
            <wp:docPr id="158" name="IM 36"/>
            <wp:cNvGraphicFramePr/>
            <a:graphic xmlns:a="http://schemas.openxmlformats.org/drawingml/2006/main">
              <a:graphicData uri="http://schemas.openxmlformats.org/drawingml/2006/picture">
                <pic:pic xmlns:pic="http://schemas.openxmlformats.org/drawingml/2006/picture">
                  <pic:nvPicPr>
                    <pic:cNvPr id="158" name="IM 36"/>
                    <pic:cNvPicPr/>
                  </pic:nvPicPr>
                  <pic:blipFill>
                    <a:blip r:embed="rId53"/>
                    <a:stretch>
                      <a:fillRect/>
                    </a:stretch>
                  </pic:blipFill>
                  <pic:spPr>
                    <a:xfrm>
                      <a:off x="0" y="0"/>
                      <a:ext cx="4777740" cy="2766695"/>
                    </a:xfrm>
                    <a:prstGeom prst="rect">
                      <a:avLst/>
                    </a:prstGeom>
                  </pic:spPr>
                </pic:pic>
              </a:graphicData>
            </a:graphic>
          </wp:inline>
        </w:drawing>
      </w:r>
    </w:p>
    <w:p w14:paraId="4298432E">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rFonts w:hint="eastAsia"/>
          <w:color w:val="auto"/>
          <w:lang w:val="en-US" w:eastAsia="zh-CN"/>
        </w:rPr>
        <w:t xml:space="preserve"> </w:t>
      </w:r>
      <w:r>
        <w:rPr>
          <w:rFonts w:hint="eastAsia"/>
          <w:color w:val="auto"/>
          <w:lang w:eastAsia="zh-CN"/>
        </w:rPr>
        <w:t>磁混凝沉淀池</w:t>
      </w:r>
      <w:r>
        <w:rPr>
          <w:rFonts w:hint="default"/>
          <w:color w:val="auto"/>
        </w:rPr>
        <w:t>的结构剖面图</w:t>
      </w:r>
    </w:p>
    <w:p w14:paraId="57B6DE4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lang w:eastAsia="zh-CN"/>
        </w:rPr>
      </w:pPr>
      <w:bookmarkStart w:id="84" w:name="bookmark66"/>
      <w:bookmarkEnd w:id="84"/>
      <w:r>
        <w:rPr>
          <w:rFonts w:hint="default" w:ascii="Times New Roman" w:hAnsi="Times New Roman" w:cs="Times New Roman" w:eastAsiaTheme="minorEastAsia"/>
          <w:b/>
          <w:bCs/>
          <w:color w:val="auto"/>
          <w:sz w:val="24"/>
          <w:szCs w:val="24"/>
        </w:rPr>
        <w:t>工艺流程</w:t>
      </w:r>
      <w:r>
        <w:rPr>
          <w:rFonts w:hint="default" w:ascii="Times New Roman" w:hAnsi="Times New Roman" w:cs="Times New Roman" w:eastAsiaTheme="minorEastAsia"/>
          <w:b/>
          <w:bCs/>
          <w:color w:val="auto"/>
          <w:sz w:val="24"/>
          <w:szCs w:val="24"/>
          <w:lang w:eastAsia="zh-CN"/>
        </w:rPr>
        <w:t>：</w:t>
      </w:r>
    </w:p>
    <w:p w14:paraId="4965DEFF">
      <w:pPr>
        <w:pageBreakBefore w:val="0"/>
        <w:wordWrap/>
        <w:bidi w:val="0"/>
        <w:adjustRightInd/>
        <w:snapToGrid/>
        <w:rPr>
          <w:rFonts w:hint="default"/>
          <w:color w:val="auto"/>
        </w:rPr>
      </w:pPr>
      <w:r>
        <w:rPr>
          <w:rFonts w:hint="default"/>
          <w:color w:val="auto"/>
        </w:rPr>
        <w:t>在混合池内设置快速搅拌机，使投加的混凝剂快速分散，与池内原水充分混合均匀，用以形成小的絮体。混凝剂一般为氯化铁，主要作用是使悬浮颗粒脱稳</w:t>
      </w:r>
      <w:r>
        <w:rPr>
          <w:rFonts w:hint="default"/>
          <w:color w:val="auto"/>
          <w:lang w:eastAsia="zh-CN"/>
        </w:rPr>
        <w:t>。</w:t>
      </w:r>
      <w:r>
        <w:rPr>
          <w:rFonts w:hint="default"/>
          <w:color w:val="auto"/>
        </w:rPr>
        <w:t>经过预混凝的原水流至反应池内圆形导流筒的底部，原水、回流污泥和助凝剂由导流筒内的搅拌桨由下至上混合均匀。由慢速搅拌反应池和推流式反应池组成串联反应单元，</w:t>
      </w:r>
      <w:r>
        <w:rPr>
          <w:rFonts w:hint="eastAsia"/>
          <w:color w:val="auto"/>
          <w:lang w:eastAsia="zh-CN"/>
        </w:rPr>
        <w:t>以</w:t>
      </w:r>
      <w:r>
        <w:rPr>
          <w:rFonts w:hint="default"/>
          <w:color w:val="auto"/>
        </w:rPr>
        <w:t>获得较大的絮体，达到沉淀区内快速沉淀。带有污泥回流的快速絮凝，由快速搅拌器搅拌，以确保快速絮凝及絮凝所需要的能量。絮凝剂投加在搅拌器的下方。从污泥浓缩区到快速絮凝区进行连续的外部泥渣回流，极高的污泥浓度提高了絮凝的效果。絮凝矾花慢速地进入到沉淀区，这样可以避免矾花损坏。絮凝矾花在沉淀池下部汇集成污泥并浓缩。斜板设置在沉淀池的上部，用于去除多余的矾花，保证出水水质。部分浓缩污泥在浓缩区内由污泥循环泵送至反应池入口，另一部分剩余污泥由污泥泵抽出，送至污泥脱水间或进行其他处理。</w:t>
      </w:r>
    </w:p>
    <w:p w14:paraId="1121BCE0">
      <w:pPr>
        <w:pageBreakBefore w:val="0"/>
        <w:wordWrap/>
        <w:bidi w:val="0"/>
        <w:adjustRightInd/>
        <w:snapToGrid/>
        <w:rPr>
          <w:rFonts w:hint="default"/>
          <w:color w:val="auto"/>
        </w:rPr>
      </w:pPr>
      <w:r>
        <w:rPr>
          <w:rFonts w:hint="default"/>
          <w:color w:val="auto"/>
        </w:rPr>
        <w:t>沉淀浓缩区保证了矾花增长所需的慢速絮凝，生成的矾花具有较高的密度。然后水慢速流至沉淀区以保证矾花的完整性。高密池底部刮泥机的连续刮扫促进了沉淀区污泥的浓缩。</w:t>
      </w:r>
    </w:p>
    <w:p w14:paraId="6B7E3958">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工艺特点</w:t>
      </w:r>
      <w:r>
        <w:rPr>
          <w:rFonts w:hint="default" w:ascii="Times New Roman" w:hAnsi="Times New Roman" w:cs="Times New Roman" w:eastAsiaTheme="minorEastAsia"/>
          <w:b/>
          <w:bCs/>
          <w:color w:val="auto"/>
          <w:sz w:val="24"/>
          <w:szCs w:val="24"/>
          <w:lang w:eastAsia="zh-CN"/>
        </w:rPr>
        <w:t>：</w:t>
      </w:r>
    </w:p>
    <w:p w14:paraId="179CAF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可产生较大的矾花，污泥回流可进一步增加矾花的密度和沉降性能，加快其沉淀速度。</w:t>
      </w:r>
    </w:p>
    <w:p w14:paraId="2E3B7CF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从慢速推流反应区到斜板沉淀区矾花能保持完整，并且产生的矾花颗粒大、密度高。</w:t>
      </w:r>
    </w:p>
    <w:p w14:paraId="2048435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高效的斜板沉淀可保证沉淀区较高的上升流速</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可达10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20m/h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絮凝矾花可得到很好的沉淀。</w:t>
      </w:r>
    </w:p>
    <w:p w14:paraId="6059034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处理效率高。作为深度处理，出水TP可到0.2mg/L以下，SS可到10mg/L以下。</w:t>
      </w:r>
    </w:p>
    <w:p w14:paraId="7D2F6A9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集混凝、沉淀和浓缩功能为一体的水处理构筑物，结构紧凑，降低了土建造价并且节约了建设用地。</w:t>
      </w:r>
    </w:p>
    <w:p w14:paraId="6291A35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运行费用较高，因此需对药剂的投加进行优化控制，以使完整的运行费用降至最低。</w:t>
      </w:r>
    </w:p>
    <w:p w14:paraId="749FDE7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微砂沉淀技术</w:t>
      </w:r>
    </w:p>
    <w:p w14:paraId="502ADCE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微砂沉淀工艺与传统的水处理技术</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混凝、絮凝和沉淀</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原理很相似，都使用混凝剂脱稳，高分子絮凝剂聚集悬浮物，斜管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沉淀去除悬浮物。微砂沉淀工艺的改进是加入了微砂作为形成高密度絮体的</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种子</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和压载物，絮体从而具有较大的密度而更容易被沉淀去除。</w:t>
      </w:r>
    </w:p>
    <w:p w14:paraId="38BECD00">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rPr>
        <w:drawing>
          <wp:inline distT="0" distB="0" distL="114300" distR="114300">
            <wp:extent cx="5080000" cy="3035935"/>
            <wp:effectExtent l="0" t="0" r="6350" b="12065"/>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54"/>
                    <a:stretch>
                      <a:fillRect/>
                    </a:stretch>
                  </pic:blipFill>
                  <pic:spPr>
                    <a:xfrm>
                      <a:off x="0" y="0"/>
                      <a:ext cx="5080000" cy="3035935"/>
                    </a:xfrm>
                    <a:prstGeom prst="rect">
                      <a:avLst/>
                    </a:prstGeom>
                    <a:noFill/>
                    <a:ln>
                      <a:noFill/>
                    </a:ln>
                  </pic:spPr>
                </pic:pic>
              </a:graphicData>
            </a:graphic>
          </wp:inline>
        </w:drawing>
      </w:r>
    </w:p>
    <w:p w14:paraId="6E1B0EDF">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4</w:t>
      </w:r>
      <w:r>
        <w:rPr>
          <w:color w:val="auto"/>
        </w:rPr>
        <w:fldChar w:fldCharType="end"/>
      </w:r>
      <w:r>
        <w:rPr>
          <w:rFonts w:hint="eastAsia"/>
          <w:color w:val="auto"/>
          <w:lang w:val="en-US" w:eastAsia="zh-CN"/>
        </w:rPr>
        <w:t xml:space="preserve"> </w:t>
      </w:r>
      <w:r>
        <w:rPr>
          <w:rFonts w:hint="default"/>
          <w:color w:val="auto"/>
        </w:rPr>
        <w:t>微砂絮凝沉淀工艺流程原理图</w:t>
      </w:r>
    </w:p>
    <w:p w14:paraId="0DF204B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预混凝池</w:t>
      </w:r>
      <w:r>
        <w:rPr>
          <w:rFonts w:hint="default" w:ascii="Times New Roman" w:hAnsi="Times New Roman" w:cs="Times New Roman" w:eastAsiaTheme="minorEastAsia"/>
          <w:color w:val="auto"/>
          <w:sz w:val="24"/>
          <w:szCs w:val="24"/>
          <w:lang w:eastAsia="zh-CN"/>
        </w:rPr>
        <w:t>：</w:t>
      </w:r>
    </w:p>
    <w:p w14:paraId="4CC586E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原水进入集成设备的第一个混合池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快速搅拌，预混凝池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。投加混凝剂与原水进行充分的混合。</w:t>
      </w:r>
    </w:p>
    <w:p w14:paraId="100520C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混凝池</w:t>
      </w:r>
      <w:r>
        <w:rPr>
          <w:rFonts w:hint="default" w:ascii="Times New Roman" w:hAnsi="Times New Roman" w:cs="Times New Roman" w:eastAsiaTheme="minorEastAsia"/>
          <w:color w:val="auto"/>
          <w:sz w:val="24"/>
          <w:szCs w:val="24"/>
          <w:lang w:eastAsia="zh-CN"/>
        </w:rPr>
        <w:t>：</w:t>
      </w:r>
    </w:p>
    <w:p w14:paraId="1EF3EF7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混合后原水进入第二个混合池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快速搅拌，混凝池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。悬浮固体和胶体物质在这里脱稳并形成细小的矾花。</w:t>
      </w:r>
    </w:p>
    <w:p w14:paraId="7F82821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絮凝池</w:t>
      </w:r>
      <w:r>
        <w:rPr>
          <w:rFonts w:hint="default" w:ascii="Times New Roman" w:hAnsi="Times New Roman" w:cs="Times New Roman" w:eastAsiaTheme="minorEastAsia"/>
          <w:color w:val="auto"/>
          <w:sz w:val="24"/>
          <w:szCs w:val="24"/>
          <w:lang w:eastAsia="zh-CN"/>
        </w:rPr>
        <w:t>：</w:t>
      </w:r>
    </w:p>
    <w:p w14:paraId="2AC8B07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混凝后出水进入第三个混合池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慢速搅拌，絮凝池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6A55853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投加微砂</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循环利用</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絮凝剂，微砂形成絮体的致密核心，高分子絮凝剂用于微砂和脱稳颗粒之间的架桥作用，以形成高密度的矾花。连续温和的搅拌可以形成利于矾花长大的环境。搅拌器装有手动变频器，以在调试阶段选择合适的搅拌速度。</w:t>
      </w:r>
    </w:p>
    <w:p w14:paraId="5B67055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微砂的主要作用如下：</w:t>
      </w:r>
    </w:p>
    <w:p w14:paraId="2704BF81">
      <w:pPr>
        <w:keepNext w:val="0"/>
        <w:keepLines w:val="0"/>
        <w:pageBreakBefore w:val="0"/>
        <w:widowControl/>
        <w:numPr>
          <w:ilvl w:val="0"/>
          <w:numId w:val="19"/>
        </w:numPr>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微砂的较高的比表面积可以作为絮体形成的种子</w:t>
      </w:r>
      <w:r>
        <w:rPr>
          <w:rFonts w:hint="default" w:ascii="Times New Roman" w:hAnsi="Times New Roman" w:cs="Times New Roman" w:eastAsiaTheme="minorEastAsia"/>
          <w:color w:val="auto"/>
          <w:sz w:val="24"/>
          <w:szCs w:val="24"/>
          <w:lang w:eastAsia="zh-CN"/>
        </w:rPr>
        <w:t>。</w:t>
      </w:r>
    </w:p>
    <w:p w14:paraId="2CA6488A">
      <w:pPr>
        <w:keepNext w:val="0"/>
        <w:keepLines w:val="0"/>
        <w:pageBreakBefore w:val="0"/>
        <w:widowControl/>
        <w:numPr>
          <w:ilvl w:val="0"/>
          <w:numId w:val="19"/>
        </w:numPr>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微砂和聚合物提高了颗粒的捕捉，从而形成大和稳定的絮体。</w:t>
      </w:r>
    </w:p>
    <w:p w14:paraId="397FF13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与传统工艺相比，使用微砂形成的絮体具有较大的密度和较高的稳定性。这些絮体具有更高的沉淀速度从而允许更高的上升流速。</w:t>
      </w:r>
    </w:p>
    <w:p w14:paraId="2F70EC3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较高的上升流速使微砂工艺的体积和占地面积更小，极大的减少了建筑成本。</w:t>
      </w:r>
    </w:p>
    <w:p w14:paraId="1764DD6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高浓度的微砂极大的改善了原水的水质。</w:t>
      </w:r>
    </w:p>
    <w:p w14:paraId="3F238DD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微砂不会发生化学反应，可以从污泥中分离并被循环使用。</w:t>
      </w:r>
    </w:p>
    <w:p w14:paraId="38EAF1E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沉淀池</w:t>
      </w:r>
      <w:r>
        <w:rPr>
          <w:rFonts w:hint="default" w:ascii="Times New Roman" w:hAnsi="Times New Roman" w:cs="Times New Roman" w:eastAsiaTheme="minorEastAsia"/>
          <w:color w:val="auto"/>
          <w:sz w:val="24"/>
          <w:szCs w:val="24"/>
          <w:lang w:eastAsia="zh-CN"/>
        </w:rPr>
        <w:t>：</w:t>
      </w:r>
    </w:p>
    <w:p w14:paraId="3B3E370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经过微砂加重的矾花从絮凝池离开，进入沉淀池。沉淀池中装有斜板模块，斜板长为0.8m</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倾斜角度60</w:t>
      </w:r>
      <w:r>
        <w:rPr>
          <w:rFonts w:hint="default"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rPr>
        <w:t>安装。</w:t>
      </w:r>
    </w:p>
    <w:p w14:paraId="2DFB2FF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由斜板组成的沉淀区帮助快速和有效的去除微砂和矾花形成的污泥。污泥沉淀在沉淀池底部的泥斗中被循环泵连续抽出。澄清的出水由安装在斜板上方长方形的集水槽收集排放，集水槽上装有高度可调的堰，用于保证水流的平均分配。</w:t>
      </w:r>
    </w:p>
    <w:p w14:paraId="20216B2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微砂循环泵</w:t>
      </w:r>
      <w:r>
        <w:rPr>
          <w:rFonts w:hint="default" w:ascii="Times New Roman" w:hAnsi="Times New Roman" w:cs="Times New Roman" w:eastAsiaTheme="minorEastAsia"/>
          <w:color w:val="auto"/>
          <w:sz w:val="24"/>
          <w:szCs w:val="24"/>
          <w:lang w:eastAsia="zh-CN"/>
        </w:rPr>
        <w:t>：</w:t>
      </w:r>
    </w:p>
    <w:p w14:paraId="55B9D6D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循环泵为离心泥浆泵，叶轮和泵壳都需要有橡胶内衬。该循环泵连续运行，由变频器控制。循环泵连续抽出沉淀池底部泥斗中的污泥</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微砂和絮体混合物</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以防止堵塞，然后送入水力旋流器。循环率意指循环的污泥/微砂和处理水量之间的比例，数值的多少依赖于进水水质的情况，大约9%进水量。</w:t>
      </w:r>
    </w:p>
    <w:p w14:paraId="14A233B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水力旋流器</w:t>
      </w:r>
      <w:r>
        <w:rPr>
          <w:rFonts w:hint="default" w:ascii="Times New Roman" w:hAnsi="Times New Roman" w:cs="Times New Roman" w:eastAsiaTheme="minorEastAsia"/>
          <w:color w:val="auto"/>
          <w:sz w:val="24"/>
          <w:szCs w:val="24"/>
          <w:lang w:eastAsia="zh-CN"/>
        </w:rPr>
        <w:t>：</w:t>
      </w:r>
      <w:bookmarkStart w:id="85" w:name="bookmark67"/>
      <w:bookmarkEnd w:id="85"/>
    </w:p>
    <w:p w14:paraId="1C4B29D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和化学污泥组成的泥浆被循环泵送入水力旋流器。来自循环泵的能量被转化为离心力在水力旋流器的进口处形成涡流作用，作用在颗粒上的离心力使较轻的化学污泥和密度较高的微砂被分离。微砂颗粒的密度较高，在离心力的作用下被送往水力旋流器的外壁，然后从水力旋流器的下端排出，并回流至絮凝池，污泥颗粒则从水力旋流器的上部溢流而出，通常去浓缩处理。</w:t>
      </w:r>
    </w:p>
    <w:p w14:paraId="26DA7BA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微砂的损失和补充</w:t>
      </w:r>
      <w:r>
        <w:rPr>
          <w:rFonts w:hint="default" w:ascii="Times New Roman" w:hAnsi="Times New Roman" w:cs="Times New Roman" w:eastAsiaTheme="minorEastAsia"/>
          <w:color w:val="auto"/>
          <w:sz w:val="24"/>
          <w:szCs w:val="24"/>
          <w:lang w:eastAsia="zh-CN"/>
        </w:rPr>
        <w:t>：</w:t>
      </w:r>
    </w:p>
    <w:p w14:paraId="3257101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微砂的粒度系数和水力分离器的选择性能保证了微砂的分离和循环。通过水力分离器的溢流损失微砂量3</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5g/</w:t>
      </w:r>
      <w:r>
        <w:rPr>
          <w:rFonts w:hint="eastAsia" w:cs="Times New Roman" w:eastAsiaTheme="minorEastAsia"/>
          <w:color w:val="auto"/>
          <w:sz w:val="24"/>
          <w:szCs w:val="24"/>
          <w:lang w:val="en-US" w:eastAsia="zh-CN"/>
        </w:rPr>
        <w:t>m³</w:t>
      </w:r>
      <w:r>
        <w:rPr>
          <w:rFonts w:hint="default" w:ascii="Times New Roman" w:hAnsi="Times New Roman" w:cs="Times New Roman" w:eastAsiaTheme="minorEastAsia"/>
          <w:color w:val="auto"/>
          <w:sz w:val="24"/>
          <w:szCs w:val="24"/>
        </w:rPr>
        <w:t>处理水，这个损失可以定期进行投加补充。</w:t>
      </w:r>
    </w:p>
    <w:p w14:paraId="62D2122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排出</w:t>
      </w:r>
      <w:r>
        <w:rPr>
          <w:rFonts w:hint="default" w:ascii="Times New Roman" w:hAnsi="Times New Roman" w:cs="Times New Roman" w:eastAsiaTheme="minorEastAsia"/>
          <w:color w:val="auto"/>
          <w:sz w:val="24"/>
          <w:szCs w:val="24"/>
        </w:rPr>
        <w:t>的污泥中含有很少量的微砂，按照我们的经验，污泥中含有的微砂不会对污泥的性质和处理产生特别的影响。</w:t>
      </w:r>
    </w:p>
    <w:p w14:paraId="41A67D1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磁混凝沉淀技术</w:t>
      </w:r>
      <w:r>
        <w:rPr>
          <w:rFonts w:hint="default" w:ascii="Times New Roman" w:hAnsi="Times New Roman" w:cs="Times New Roman" w:eastAsiaTheme="minorEastAsia"/>
          <w:color w:val="auto"/>
          <w:sz w:val="24"/>
          <w:szCs w:val="24"/>
          <w:lang w:eastAsia="zh-CN"/>
        </w:rPr>
        <w:t>：</w:t>
      </w:r>
    </w:p>
    <w:p w14:paraId="6DA61F0D">
      <w:pPr>
        <w:bidi w:val="0"/>
        <w:rPr>
          <w:rFonts w:hint="default"/>
          <w:color w:val="auto"/>
        </w:rPr>
      </w:pPr>
      <w:r>
        <w:rPr>
          <w:rFonts w:hint="default"/>
          <w:color w:val="auto"/>
        </w:rPr>
        <w:t>磁混凝沉淀系统技术是以重介质加载沉淀技术为基础，利用常规的絮凝沉淀法，通过在混凝阶段投加高效可回收的磁介质提高絮体的沉降速度，并辅以污泥回流装置来提高混凝反应效果的技术。</w:t>
      </w:r>
    </w:p>
    <w:p w14:paraId="6B7531FB">
      <w:pPr>
        <w:bidi w:val="0"/>
        <w:rPr>
          <w:rFonts w:hint="default"/>
          <w:color w:val="auto"/>
        </w:rPr>
      </w:pPr>
      <w:r>
        <w:rPr>
          <w:rFonts w:hint="default"/>
          <w:color w:val="auto"/>
        </w:rPr>
        <w:t>由于磁介质的比重较大，通过在絮凝反应过程中和絮体有效地进行结合，使絮体大而密实，可以有效提高絮体的比重，在澄清池中高速沉降，以此有效提高澄清池的处理效率。</w:t>
      </w:r>
    </w:p>
    <w:p w14:paraId="2D1BC95C">
      <w:pPr>
        <w:bidi w:val="0"/>
        <w:ind w:left="0" w:leftChars="0" w:firstLine="0" w:firstLineChars="0"/>
        <w:jc w:val="center"/>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drawing>
          <wp:inline distT="0" distB="0" distL="0" distR="0">
            <wp:extent cx="4977765" cy="2393315"/>
            <wp:effectExtent l="0" t="0" r="13335" b="6985"/>
            <wp:docPr id="160" name="IM 38"/>
            <wp:cNvGraphicFramePr/>
            <a:graphic xmlns:a="http://schemas.openxmlformats.org/drawingml/2006/main">
              <a:graphicData uri="http://schemas.openxmlformats.org/drawingml/2006/picture">
                <pic:pic xmlns:pic="http://schemas.openxmlformats.org/drawingml/2006/picture">
                  <pic:nvPicPr>
                    <pic:cNvPr id="160" name="IM 38"/>
                    <pic:cNvPicPr/>
                  </pic:nvPicPr>
                  <pic:blipFill>
                    <a:blip r:embed="rId55"/>
                    <a:stretch>
                      <a:fillRect/>
                    </a:stretch>
                  </pic:blipFill>
                  <pic:spPr>
                    <a:xfrm>
                      <a:off x="0" y="0"/>
                      <a:ext cx="4978373" cy="2393931"/>
                    </a:xfrm>
                    <a:prstGeom prst="rect">
                      <a:avLst/>
                    </a:prstGeom>
                  </pic:spPr>
                </pic:pic>
              </a:graphicData>
            </a:graphic>
          </wp:inline>
        </w:drawing>
      </w:r>
    </w:p>
    <w:p w14:paraId="2ADF3F6F">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rFonts w:hint="eastAsia"/>
          <w:color w:val="auto"/>
          <w:lang w:val="en-US" w:eastAsia="zh-CN"/>
        </w:rPr>
        <w:t xml:space="preserve"> </w:t>
      </w:r>
      <w:r>
        <w:rPr>
          <w:rFonts w:hint="default"/>
          <w:color w:val="auto"/>
        </w:rPr>
        <w:t>磁混凝沉淀工艺流程图</w:t>
      </w:r>
    </w:p>
    <w:p w14:paraId="1AFB7E75">
      <w:pPr>
        <w:bidi w:val="0"/>
        <w:rPr>
          <w:rFonts w:hint="default"/>
          <w:color w:val="auto"/>
        </w:rPr>
      </w:pPr>
      <w:r>
        <w:rPr>
          <w:rFonts w:hint="default"/>
          <w:color w:val="auto"/>
        </w:rPr>
        <w:t>系统来水经配水井配水后进入混凝装置</w:t>
      </w:r>
      <w:r>
        <w:rPr>
          <w:rFonts w:hint="default"/>
          <w:color w:val="auto"/>
          <w:lang w:eastAsia="zh-CN"/>
        </w:rPr>
        <w:t>（</w:t>
      </w:r>
      <w:r>
        <w:rPr>
          <w:rFonts w:hint="default"/>
          <w:color w:val="auto"/>
        </w:rPr>
        <w:t>含磁介质混合反应池及絮凝反应池</w:t>
      </w:r>
      <w:r>
        <w:rPr>
          <w:rFonts w:hint="default"/>
          <w:color w:val="auto"/>
          <w:lang w:eastAsia="zh-CN"/>
        </w:rPr>
        <w:t>），</w:t>
      </w:r>
      <w:r>
        <w:rPr>
          <w:rFonts w:hint="default"/>
          <w:color w:val="auto"/>
        </w:rPr>
        <w:t>通过投加PAC、PAM、磁介质</w:t>
      </w:r>
      <w:r>
        <w:rPr>
          <w:rFonts w:hint="default"/>
          <w:color w:val="auto"/>
          <w:lang w:eastAsia="zh-CN"/>
        </w:rPr>
        <w:t>（</w:t>
      </w:r>
      <w:r>
        <w:rPr>
          <w:rFonts w:hint="default"/>
          <w:color w:val="auto"/>
        </w:rPr>
        <w:t>含回收磁介质</w:t>
      </w:r>
      <w:r>
        <w:rPr>
          <w:rFonts w:hint="default"/>
          <w:color w:val="auto"/>
          <w:lang w:eastAsia="zh-CN"/>
        </w:rPr>
        <w:t>）</w:t>
      </w:r>
      <w:r>
        <w:rPr>
          <w:rFonts w:hint="default"/>
          <w:color w:val="auto"/>
        </w:rPr>
        <w:t>进行混凝反应，生成大颗粒的</w:t>
      </w:r>
      <w:r>
        <w:rPr>
          <w:rFonts w:hint="eastAsia"/>
          <w:color w:val="auto"/>
          <w:lang w:eastAsia="zh-CN"/>
        </w:rPr>
        <w:t>“</w:t>
      </w:r>
      <w:r>
        <w:rPr>
          <w:rFonts w:hint="default"/>
          <w:color w:val="auto"/>
        </w:rPr>
        <w:t>磁性絮团</w:t>
      </w:r>
      <w:r>
        <w:rPr>
          <w:rFonts w:hint="eastAsia"/>
          <w:color w:val="auto"/>
          <w:lang w:eastAsia="zh-CN"/>
        </w:rPr>
        <w:t>”</w:t>
      </w:r>
      <w:r>
        <w:rPr>
          <w:rFonts w:hint="default"/>
          <w:color w:val="auto"/>
          <w:lang w:eastAsia="zh-CN"/>
        </w:rPr>
        <w:t>，</w:t>
      </w:r>
      <w:r>
        <w:rPr>
          <w:rFonts w:hint="default"/>
          <w:color w:val="auto"/>
        </w:rPr>
        <w:t>进入斜管澄清池。</w:t>
      </w:r>
    </w:p>
    <w:p w14:paraId="2A201506">
      <w:pPr>
        <w:bidi w:val="0"/>
        <w:rPr>
          <w:rFonts w:hint="default"/>
          <w:color w:val="auto"/>
        </w:rPr>
      </w:pPr>
      <w:r>
        <w:rPr>
          <w:rFonts w:hint="default"/>
          <w:color w:val="auto"/>
        </w:rPr>
        <w:t>斜管澄清池结合传统斜管沉淀池原理，水流自下而上，通过斜管快速进行泥水分离，处理后的清水溢流至集水槽并排放出水，污泥通过斜管澄清池下的刮泥机收纳到泥斗。</w:t>
      </w:r>
    </w:p>
    <w:p w14:paraId="55B61E2D">
      <w:pPr>
        <w:bidi w:val="0"/>
        <w:rPr>
          <w:rFonts w:hint="default"/>
          <w:color w:val="auto"/>
        </w:rPr>
      </w:pPr>
      <w:r>
        <w:rPr>
          <w:rFonts w:hint="default"/>
          <w:color w:val="auto"/>
        </w:rPr>
        <w:t>澄清池泥斗内的污泥通过污泥泵提升，一部分通过回流污泥泵回流至混合反应池，剩余部分通过剩余污泥泵输送至磁回收机，通过磁回收机分离出污泥和磁介质，磁介质回流至磁介质混合反应池重复使用，不含磁介质的污泥排入厂区原有污泥处理系统。</w:t>
      </w:r>
    </w:p>
    <w:p w14:paraId="039BDB18">
      <w:pPr>
        <w:bidi w:val="0"/>
        <w:rPr>
          <w:rFonts w:hint="default"/>
          <w:color w:val="auto"/>
          <w:lang w:eastAsia="zh-CN"/>
        </w:rPr>
      </w:pPr>
      <w:r>
        <w:rPr>
          <w:rFonts w:hint="default"/>
          <w:color w:val="auto"/>
        </w:rPr>
        <w:t>主要特点</w:t>
      </w:r>
      <w:r>
        <w:rPr>
          <w:rFonts w:hint="default"/>
          <w:color w:val="auto"/>
          <w:lang w:eastAsia="zh-CN"/>
        </w:rPr>
        <w:t>：</w:t>
      </w:r>
    </w:p>
    <w:p w14:paraId="42D34B4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沉淀效率高。磁介质比重高达5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其沉淀絮体比高于其他加载物沉淀絮体，极大加强絮体重力沉降性，沉降速度可达50m/h。</w:t>
      </w:r>
    </w:p>
    <w:p w14:paraId="7E773F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对SS、TP去除效果好，作为深度处理使用时，出水SS、TP分别可到5mg/L、0.1mg/L。</w:t>
      </w:r>
    </w:p>
    <w:p w14:paraId="41A2982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耐冲击负荷能力强，出水稳定可靠。沉淀磁泥部分回流，混凝池污泥浓度高，沉淀池表面负荷可达20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50</w:t>
      </w:r>
      <w:r>
        <w:rPr>
          <w:rFonts w:hint="eastAsia" w:cs="Times New Roman" w:eastAsiaTheme="minorEastAsia"/>
          <w:color w:val="auto"/>
          <w:sz w:val="24"/>
          <w:szCs w:val="24"/>
          <w:lang w:eastAsia="zh-CN"/>
        </w:rPr>
        <w:t>m³</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lang w:eastAsia="zh-CN"/>
        </w:rPr>
        <w:t>（m²</w:t>
      </w:r>
      <w:r>
        <w:rPr>
          <w:rFonts w:hint="default" w:ascii="Times New Roman" w:hAnsi="Times New Roman" w:cs="Times New Roman" w:eastAsiaTheme="minorEastAsia"/>
          <w:color w:val="auto"/>
          <w:sz w:val="24"/>
          <w:szCs w:val="24"/>
        </w:rPr>
        <w:t>·h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可接受原水SS2000mg/L的突然变化，保证出水效果。</w:t>
      </w:r>
    </w:p>
    <w:p w14:paraId="2EC0324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处理时间短。系统工艺简单，水力总停留时间小于20min。</w:t>
      </w:r>
    </w:p>
    <w:p w14:paraId="79BB2FD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占地面积小，节约基础投资。占地省，土地利用率高，其沉淀池占地面积是斜管沉淀池或溶气气浮的1/5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传统沉淀池的1/20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大大降低工程基础投资。</w:t>
      </w:r>
    </w:p>
    <w:p w14:paraId="08855A9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运行成本低。磁介质循环利用，回收率高于99%</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磁介质损失极少；部分沉淀磁泥回流，充分提高混凝药剂使用效率，降低药剂投加量，节约运行成本。</w:t>
      </w:r>
    </w:p>
    <w:p w14:paraId="4ED456D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7</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设备的使用寿命长。设备自动化程度高，运行管理简单。设备功率小，磨损小，使用寿命长。</w:t>
      </w:r>
    </w:p>
    <w:p w14:paraId="2A059DAB">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混凝沉淀工艺选择</w:t>
      </w:r>
    </w:p>
    <w:p w14:paraId="3D5C504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混凝沉淀工艺的技术性能对比表如下所示：</w:t>
      </w:r>
    </w:p>
    <w:p w14:paraId="45583C3D">
      <w:pPr>
        <w:pStyle w:val="15"/>
        <w:numPr>
          <w:ilvl w:val="0"/>
          <w:numId w:val="16"/>
        </w:numPr>
        <w:bidi w:val="0"/>
        <w:ind w:left="0" w:leftChars="0" w:firstLine="0" w:firstLineChars="0"/>
        <w:rPr>
          <w:rFonts w:hint="default"/>
          <w:color w:val="auto"/>
        </w:rPr>
      </w:pPr>
      <w:r>
        <w:rPr>
          <w:rFonts w:hint="default"/>
          <w:color w:val="auto"/>
        </w:rPr>
        <w:t>混凝沉淀技术性能对比表</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31"/>
        <w:gridCol w:w="1326"/>
        <w:gridCol w:w="1561"/>
        <w:gridCol w:w="1778"/>
        <w:gridCol w:w="1551"/>
        <w:gridCol w:w="1556"/>
      </w:tblGrid>
      <w:tr w14:paraId="253880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320" w:type="pct"/>
            <w:tcBorders>
              <w:tl2br w:val="nil"/>
              <w:tr2bl w:val="nil"/>
            </w:tcBorders>
            <w:vAlign w:val="center"/>
          </w:tcPr>
          <w:p w14:paraId="75B3B2E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序号</w:t>
            </w:r>
          </w:p>
        </w:tc>
        <w:tc>
          <w:tcPr>
            <w:tcW w:w="798" w:type="pct"/>
            <w:tcBorders>
              <w:tl2br w:val="nil"/>
              <w:tr2bl w:val="nil"/>
            </w:tcBorders>
            <w:vAlign w:val="center"/>
          </w:tcPr>
          <w:p w14:paraId="6DE4419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对比指标</w:t>
            </w:r>
          </w:p>
        </w:tc>
        <w:tc>
          <w:tcPr>
            <w:tcW w:w="939" w:type="pct"/>
            <w:tcBorders>
              <w:tl2br w:val="nil"/>
              <w:tr2bl w:val="nil"/>
            </w:tcBorders>
            <w:vAlign w:val="center"/>
          </w:tcPr>
          <w:p w14:paraId="788A347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斜管沉淀技术</w:t>
            </w:r>
          </w:p>
        </w:tc>
        <w:tc>
          <w:tcPr>
            <w:tcW w:w="1070" w:type="pct"/>
            <w:tcBorders>
              <w:tl2br w:val="nil"/>
              <w:tr2bl w:val="nil"/>
            </w:tcBorders>
            <w:vAlign w:val="center"/>
          </w:tcPr>
          <w:p w14:paraId="26C32D2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高密度沉淀技术</w:t>
            </w:r>
          </w:p>
        </w:tc>
        <w:tc>
          <w:tcPr>
            <w:tcW w:w="933" w:type="pct"/>
            <w:tcBorders>
              <w:tl2br w:val="nil"/>
              <w:tr2bl w:val="nil"/>
            </w:tcBorders>
            <w:vAlign w:val="center"/>
          </w:tcPr>
          <w:p w14:paraId="5E6AB13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微砂沉淀技术</w:t>
            </w:r>
          </w:p>
        </w:tc>
        <w:tc>
          <w:tcPr>
            <w:tcW w:w="936" w:type="pct"/>
            <w:tcBorders>
              <w:tl2br w:val="nil"/>
              <w:tr2bl w:val="nil"/>
            </w:tcBorders>
            <w:vAlign w:val="center"/>
          </w:tcPr>
          <w:p w14:paraId="1BF39FC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磁混凝沉淀技术</w:t>
            </w:r>
          </w:p>
        </w:tc>
      </w:tr>
      <w:tr w14:paraId="3913E3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1AB2A6D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798" w:type="pct"/>
            <w:tcBorders>
              <w:tl2br w:val="nil"/>
              <w:tr2bl w:val="nil"/>
            </w:tcBorders>
            <w:vAlign w:val="center"/>
          </w:tcPr>
          <w:p w14:paraId="6A9AE01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表面负荷</w:t>
            </w:r>
          </w:p>
        </w:tc>
        <w:tc>
          <w:tcPr>
            <w:tcW w:w="939" w:type="pct"/>
            <w:tcBorders>
              <w:tl2br w:val="nil"/>
              <w:tr2bl w:val="nil"/>
            </w:tcBorders>
            <w:vAlign w:val="center"/>
          </w:tcPr>
          <w:p w14:paraId="7848065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1070" w:type="pct"/>
            <w:tcBorders>
              <w:tl2br w:val="nil"/>
              <w:tr2bl w:val="nil"/>
            </w:tcBorders>
            <w:vAlign w:val="center"/>
          </w:tcPr>
          <w:p w14:paraId="0BB9C53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933" w:type="pct"/>
            <w:tcBorders>
              <w:tl2br w:val="nil"/>
              <w:tr2bl w:val="nil"/>
            </w:tcBorders>
            <w:vAlign w:val="center"/>
          </w:tcPr>
          <w:p w14:paraId="324BED8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20-40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936" w:type="pct"/>
            <w:tcBorders>
              <w:tl2br w:val="nil"/>
              <w:tr2bl w:val="nil"/>
            </w:tcBorders>
            <w:vAlign w:val="center"/>
          </w:tcPr>
          <w:p w14:paraId="3DDD98D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20-40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r>
      <w:tr w14:paraId="056E40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7D26C37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798" w:type="pct"/>
            <w:tcBorders>
              <w:tl2br w:val="nil"/>
              <w:tr2bl w:val="nil"/>
            </w:tcBorders>
            <w:vAlign w:val="center"/>
          </w:tcPr>
          <w:p w14:paraId="6FD37EF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沉降速度</w:t>
            </w:r>
          </w:p>
        </w:tc>
        <w:tc>
          <w:tcPr>
            <w:tcW w:w="939" w:type="pct"/>
            <w:tcBorders>
              <w:tl2br w:val="nil"/>
              <w:tr2bl w:val="nil"/>
            </w:tcBorders>
            <w:vAlign w:val="center"/>
          </w:tcPr>
          <w:p w14:paraId="7F1EB77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较慢</w:t>
            </w:r>
          </w:p>
        </w:tc>
        <w:tc>
          <w:tcPr>
            <w:tcW w:w="1070" w:type="pct"/>
            <w:tcBorders>
              <w:tl2br w:val="nil"/>
              <w:tr2bl w:val="nil"/>
            </w:tcBorders>
            <w:vAlign w:val="center"/>
          </w:tcPr>
          <w:p w14:paraId="5A0C0AC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较快</w:t>
            </w:r>
          </w:p>
        </w:tc>
        <w:tc>
          <w:tcPr>
            <w:tcW w:w="933" w:type="pct"/>
            <w:tcBorders>
              <w:tl2br w:val="nil"/>
              <w:tr2bl w:val="nil"/>
            </w:tcBorders>
            <w:vAlign w:val="center"/>
          </w:tcPr>
          <w:p w14:paraId="7E6A6DE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快</w:t>
            </w:r>
          </w:p>
        </w:tc>
        <w:tc>
          <w:tcPr>
            <w:tcW w:w="936" w:type="pct"/>
            <w:tcBorders>
              <w:tl2br w:val="nil"/>
              <w:tr2bl w:val="nil"/>
            </w:tcBorders>
            <w:vAlign w:val="center"/>
          </w:tcPr>
          <w:p w14:paraId="1826877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快</w:t>
            </w:r>
          </w:p>
        </w:tc>
      </w:tr>
      <w:tr w14:paraId="3D1AEA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324B4BE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798" w:type="pct"/>
            <w:tcBorders>
              <w:tl2br w:val="nil"/>
              <w:tr2bl w:val="nil"/>
            </w:tcBorders>
            <w:vAlign w:val="center"/>
          </w:tcPr>
          <w:p w14:paraId="73326D5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进水SS</w:t>
            </w:r>
          </w:p>
        </w:tc>
        <w:tc>
          <w:tcPr>
            <w:tcW w:w="939" w:type="pct"/>
            <w:tcBorders>
              <w:tl2br w:val="nil"/>
              <w:tr2bl w:val="nil"/>
            </w:tcBorders>
            <w:vAlign w:val="center"/>
          </w:tcPr>
          <w:p w14:paraId="3B34071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&lt;50mg/L</w:t>
            </w:r>
          </w:p>
        </w:tc>
        <w:tc>
          <w:tcPr>
            <w:tcW w:w="1070" w:type="pct"/>
            <w:tcBorders>
              <w:tl2br w:val="nil"/>
              <w:tr2bl w:val="nil"/>
            </w:tcBorders>
            <w:vAlign w:val="center"/>
          </w:tcPr>
          <w:p w14:paraId="721E7CE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&lt;50mg/L</w:t>
            </w:r>
          </w:p>
        </w:tc>
        <w:tc>
          <w:tcPr>
            <w:tcW w:w="933" w:type="pct"/>
            <w:tcBorders>
              <w:tl2br w:val="nil"/>
              <w:tr2bl w:val="nil"/>
            </w:tcBorders>
            <w:vAlign w:val="center"/>
          </w:tcPr>
          <w:p w14:paraId="6EFF814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&lt;100mg/L</w:t>
            </w:r>
          </w:p>
        </w:tc>
        <w:tc>
          <w:tcPr>
            <w:tcW w:w="936" w:type="pct"/>
            <w:tcBorders>
              <w:tl2br w:val="nil"/>
              <w:tr2bl w:val="nil"/>
            </w:tcBorders>
            <w:vAlign w:val="center"/>
          </w:tcPr>
          <w:p w14:paraId="5C21A84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&lt;100mg/L</w:t>
            </w:r>
          </w:p>
        </w:tc>
      </w:tr>
      <w:tr w14:paraId="5D04A7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2968DBA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798" w:type="pct"/>
            <w:tcBorders>
              <w:tl2br w:val="nil"/>
              <w:tr2bl w:val="nil"/>
            </w:tcBorders>
            <w:vAlign w:val="center"/>
          </w:tcPr>
          <w:p w14:paraId="509379F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出水SS</w:t>
            </w:r>
          </w:p>
        </w:tc>
        <w:tc>
          <w:tcPr>
            <w:tcW w:w="939" w:type="pct"/>
            <w:tcBorders>
              <w:tl2br w:val="nil"/>
              <w:tr2bl w:val="nil"/>
            </w:tcBorders>
            <w:vAlign w:val="center"/>
          </w:tcPr>
          <w:p w14:paraId="775F6E7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1070" w:type="pct"/>
            <w:tcBorders>
              <w:tl2br w:val="nil"/>
              <w:tr2bl w:val="nil"/>
            </w:tcBorders>
            <w:vAlign w:val="center"/>
          </w:tcPr>
          <w:p w14:paraId="367E5A6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933" w:type="pct"/>
            <w:tcBorders>
              <w:tl2br w:val="nil"/>
              <w:tr2bl w:val="nil"/>
            </w:tcBorders>
            <w:vAlign w:val="center"/>
          </w:tcPr>
          <w:p w14:paraId="00EE7AA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936" w:type="pct"/>
            <w:tcBorders>
              <w:tl2br w:val="nil"/>
              <w:tr2bl w:val="nil"/>
            </w:tcBorders>
            <w:vAlign w:val="center"/>
          </w:tcPr>
          <w:p w14:paraId="6FD8A9A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&lt;5mg/L</w:t>
            </w:r>
          </w:p>
        </w:tc>
      </w:tr>
      <w:tr w14:paraId="67D030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0E5B585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798" w:type="pct"/>
            <w:tcBorders>
              <w:tl2br w:val="nil"/>
              <w:tr2bl w:val="nil"/>
            </w:tcBorders>
            <w:vAlign w:val="center"/>
          </w:tcPr>
          <w:p w14:paraId="58DC2D5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进水TP</w:t>
            </w:r>
          </w:p>
        </w:tc>
        <w:tc>
          <w:tcPr>
            <w:tcW w:w="939" w:type="pct"/>
            <w:tcBorders>
              <w:tl2br w:val="nil"/>
              <w:tr2bl w:val="nil"/>
            </w:tcBorders>
            <w:vAlign w:val="center"/>
          </w:tcPr>
          <w:p w14:paraId="31AF233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1070" w:type="pct"/>
            <w:tcBorders>
              <w:tl2br w:val="nil"/>
              <w:tr2bl w:val="nil"/>
            </w:tcBorders>
            <w:vAlign w:val="center"/>
          </w:tcPr>
          <w:p w14:paraId="4154B4D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933" w:type="pct"/>
            <w:tcBorders>
              <w:tl2br w:val="nil"/>
              <w:tr2bl w:val="nil"/>
            </w:tcBorders>
            <w:vAlign w:val="center"/>
          </w:tcPr>
          <w:p w14:paraId="1358B24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936" w:type="pct"/>
            <w:tcBorders>
              <w:tl2br w:val="nil"/>
              <w:tr2bl w:val="nil"/>
            </w:tcBorders>
            <w:vAlign w:val="center"/>
          </w:tcPr>
          <w:p w14:paraId="5B82C1A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r>
      <w:tr w14:paraId="01526D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592F47F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798" w:type="pct"/>
            <w:tcBorders>
              <w:tl2br w:val="nil"/>
              <w:tr2bl w:val="nil"/>
            </w:tcBorders>
            <w:vAlign w:val="center"/>
          </w:tcPr>
          <w:p w14:paraId="7266CF2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出水TP</w:t>
            </w:r>
          </w:p>
        </w:tc>
        <w:tc>
          <w:tcPr>
            <w:tcW w:w="939" w:type="pct"/>
            <w:tcBorders>
              <w:tl2br w:val="nil"/>
              <w:tr2bl w:val="nil"/>
            </w:tcBorders>
            <w:vAlign w:val="center"/>
          </w:tcPr>
          <w:p w14:paraId="6E86FA6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&lt;0.5mg/L</w:t>
            </w:r>
          </w:p>
        </w:tc>
        <w:tc>
          <w:tcPr>
            <w:tcW w:w="1070" w:type="pct"/>
            <w:tcBorders>
              <w:tl2br w:val="nil"/>
              <w:tr2bl w:val="nil"/>
            </w:tcBorders>
            <w:vAlign w:val="center"/>
          </w:tcPr>
          <w:p w14:paraId="2329492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&lt;0.3mg/L</w:t>
            </w:r>
          </w:p>
        </w:tc>
        <w:tc>
          <w:tcPr>
            <w:tcW w:w="933" w:type="pct"/>
            <w:tcBorders>
              <w:tl2br w:val="nil"/>
              <w:tr2bl w:val="nil"/>
            </w:tcBorders>
            <w:vAlign w:val="center"/>
          </w:tcPr>
          <w:p w14:paraId="688CD4E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&lt;0.1mg/L</w:t>
            </w:r>
          </w:p>
        </w:tc>
        <w:tc>
          <w:tcPr>
            <w:tcW w:w="936" w:type="pct"/>
            <w:tcBorders>
              <w:tl2br w:val="nil"/>
              <w:tr2bl w:val="nil"/>
            </w:tcBorders>
            <w:vAlign w:val="center"/>
          </w:tcPr>
          <w:p w14:paraId="257ACB2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&lt;0.1mg/L</w:t>
            </w:r>
          </w:p>
        </w:tc>
      </w:tr>
      <w:tr w14:paraId="2AFE77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2149241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798" w:type="pct"/>
            <w:tcBorders>
              <w:tl2br w:val="nil"/>
              <w:tr2bl w:val="nil"/>
            </w:tcBorders>
            <w:vAlign w:val="center"/>
          </w:tcPr>
          <w:p w14:paraId="1053C74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出水水质保证</w:t>
            </w:r>
          </w:p>
        </w:tc>
        <w:tc>
          <w:tcPr>
            <w:tcW w:w="939" w:type="pct"/>
            <w:tcBorders>
              <w:tl2br w:val="nil"/>
              <w:tr2bl w:val="nil"/>
            </w:tcBorders>
            <w:vAlign w:val="center"/>
          </w:tcPr>
          <w:p w14:paraId="378FBC2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1070" w:type="pct"/>
            <w:tcBorders>
              <w:tl2br w:val="nil"/>
              <w:tr2bl w:val="nil"/>
            </w:tcBorders>
            <w:vAlign w:val="center"/>
          </w:tcPr>
          <w:p w14:paraId="4DF21D7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933" w:type="pct"/>
            <w:tcBorders>
              <w:tl2br w:val="nil"/>
              <w:tr2bl w:val="nil"/>
            </w:tcBorders>
            <w:vAlign w:val="center"/>
          </w:tcPr>
          <w:p w14:paraId="5D00AD2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1DD4687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r>
      <w:tr w14:paraId="3F16C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2EF2C83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798" w:type="pct"/>
            <w:tcBorders>
              <w:tl2br w:val="nil"/>
              <w:tr2bl w:val="nil"/>
            </w:tcBorders>
            <w:vAlign w:val="center"/>
          </w:tcPr>
          <w:p w14:paraId="13071A8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耐水质冲击</w:t>
            </w:r>
          </w:p>
        </w:tc>
        <w:tc>
          <w:tcPr>
            <w:tcW w:w="939" w:type="pct"/>
            <w:tcBorders>
              <w:tl2br w:val="nil"/>
              <w:tr2bl w:val="nil"/>
            </w:tcBorders>
            <w:vAlign w:val="center"/>
          </w:tcPr>
          <w:p w14:paraId="2646D4A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1070" w:type="pct"/>
            <w:tcBorders>
              <w:tl2br w:val="nil"/>
              <w:tr2bl w:val="nil"/>
            </w:tcBorders>
            <w:vAlign w:val="center"/>
          </w:tcPr>
          <w:p w14:paraId="146F825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3" w:type="pct"/>
            <w:tcBorders>
              <w:tl2br w:val="nil"/>
              <w:tr2bl w:val="nil"/>
            </w:tcBorders>
            <w:vAlign w:val="center"/>
          </w:tcPr>
          <w:p w14:paraId="2756B71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4729E94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极好</w:t>
            </w:r>
          </w:p>
        </w:tc>
      </w:tr>
      <w:tr w14:paraId="72E85F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18DFE07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798" w:type="pct"/>
            <w:tcBorders>
              <w:tl2br w:val="nil"/>
              <w:tr2bl w:val="nil"/>
            </w:tcBorders>
            <w:vAlign w:val="center"/>
          </w:tcPr>
          <w:p w14:paraId="7F06394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加药除磷能力</w:t>
            </w:r>
          </w:p>
        </w:tc>
        <w:tc>
          <w:tcPr>
            <w:tcW w:w="939" w:type="pct"/>
            <w:tcBorders>
              <w:tl2br w:val="nil"/>
              <w:tr2bl w:val="nil"/>
            </w:tcBorders>
            <w:vAlign w:val="center"/>
          </w:tcPr>
          <w:p w14:paraId="236FD1E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1070" w:type="pct"/>
            <w:tcBorders>
              <w:tl2br w:val="nil"/>
              <w:tr2bl w:val="nil"/>
            </w:tcBorders>
            <w:vAlign w:val="center"/>
          </w:tcPr>
          <w:p w14:paraId="4773900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3" w:type="pct"/>
            <w:tcBorders>
              <w:tl2br w:val="nil"/>
              <w:tr2bl w:val="nil"/>
            </w:tcBorders>
            <w:vAlign w:val="center"/>
          </w:tcPr>
          <w:p w14:paraId="1D48AAF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71531F0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极好</w:t>
            </w:r>
          </w:p>
        </w:tc>
      </w:tr>
      <w:tr w14:paraId="74CAF9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753AFB5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798" w:type="pct"/>
            <w:tcBorders>
              <w:tl2br w:val="nil"/>
              <w:tr2bl w:val="nil"/>
            </w:tcBorders>
            <w:vAlign w:val="center"/>
          </w:tcPr>
          <w:p w14:paraId="1D90439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工程造价</w:t>
            </w:r>
          </w:p>
        </w:tc>
        <w:tc>
          <w:tcPr>
            <w:tcW w:w="939" w:type="pct"/>
            <w:tcBorders>
              <w:tl2br w:val="nil"/>
              <w:tr2bl w:val="nil"/>
            </w:tcBorders>
            <w:vAlign w:val="center"/>
          </w:tcPr>
          <w:p w14:paraId="499B31A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1070" w:type="pct"/>
            <w:tcBorders>
              <w:tl2br w:val="nil"/>
              <w:tr2bl w:val="nil"/>
            </w:tcBorders>
            <w:vAlign w:val="center"/>
          </w:tcPr>
          <w:p w14:paraId="79974D5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w:t>
            </w:r>
          </w:p>
        </w:tc>
        <w:tc>
          <w:tcPr>
            <w:tcW w:w="933" w:type="pct"/>
            <w:tcBorders>
              <w:tl2br w:val="nil"/>
              <w:tr2bl w:val="nil"/>
            </w:tcBorders>
            <w:vAlign w:val="center"/>
          </w:tcPr>
          <w:p w14:paraId="50E5770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936" w:type="pct"/>
            <w:tcBorders>
              <w:tl2br w:val="nil"/>
              <w:tr2bl w:val="nil"/>
            </w:tcBorders>
            <w:vAlign w:val="center"/>
          </w:tcPr>
          <w:p w14:paraId="34DA2B0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r>
      <w:tr w14:paraId="33A1AD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6E1A661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w:t>
            </w:r>
          </w:p>
        </w:tc>
        <w:tc>
          <w:tcPr>
            <w:tcW w:w="798" w:type="pct"/>
            <w:tcBorders>
              <w:tl2br w:val="nil"/>
              <w:tr2bl w:val="nil"/>
            </w:tcBorders>
            <w:vAlign w:val="center"/>
          </w:tcPr>
          <w:p w14:paraId="76DFDE4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征地费用</w:t>
            </w:r>
          </w:p>
        </w:tc>
        <w:tc>
          <w:tcPr>
            <w:tcW w:w="939" w:type="pct"/>
            <w:tcBorders>
              <w:tl2br w:val="nil"/>
              <w:tr2bl w:val="nil"/>
            </w:tcBorders>
            <w:vAlign w:val="center"/>
          </w:tcPr>
          <w:p w14:paraId="4AE796E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1070" w:type="pct"/>
            <w:tcBorders>
              <w:tl2br w:val="nil"/>
              <w:tr2bl w:val="nil"/>
            </w:tcBorders>
            <w:vAlign w:val="center"/>
          </w:tcPr>
          <w:p w14:paraId="61298C1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w:t>
            </w:r>
          </w:p>
        </w:tc>
        <w:tc>
          <w:tcPr>
            <w:tcW w:w="933" w:type="pct"/>
            <w:tcBorders>
              <w:tl2br w:val="nil"/>
              <w:tr2bl w:val="nil"/>
            </w:tcBorders>
            <w:vAlign w:val="center"/>
          </w:tcPr>
          <w:p w14:paraId="4B6F02F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较低</w:t>
            </w:r>
          </w:p>
        </w:tc>
        <w:tc>
          <w:tcPr>
            <w:tcW w:w="936" w:type="pct"/>
            <w:tcBorders>
              <w:tl2br w:val="nil"/>
              <w:tr2bl w:val="nil"/>
            </w:tcBorders>
            <w:vAlign w:val="center"/>
          </w:tcPr>
          <w:p w14:paraId="7CC631E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较低</w:t>
            </w:r>
          </w:p>
        </w:tc>
      </w:tr>
      <w:tr w14:paraId="1B3A85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5291647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798" w:type="pct"/>
            <w:tcBorders>
              <w:tl2br w:val="nil"/>
              <w:tr2bl w:val="nil"/>
            </w:tcBorders>
            <w:vAlign w:val="center"/>
          </w:tcPr>
          <w:p w14:paraId="547FACD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直接运行费用</w:t>
            </w:r>
          </w:p>
        </w:tc>
        <w:tc>
          <w:tcPr>
            <w:tcW w:w="939" w:type="pct"/>
            <w:tcBorders>
              <w:tl2br w:val="nil"/>
              <w:tr2bl w:val="nil"/>
            </w:tcBorders>
            <w:vAlign w:val="center"/>
          </w:tcPr>
          <w:p w14:paraId="4B662B1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0.15-0.3元/吨水</w:t>
            </w:r>
          </w:p>
        </w:tc>
        <w:tc>
          <w:tcPr>
            <w:tcW w:w="1070" w:type="pct"/>
            <w:tcBorders>
              <w:tl2br w:val="nil"/>
              <w:tr2bl w:val="nil"/>
            </w:tcBorders>
            <w:vAlign w:val="center"/>
          </w:tcPr>
          <w:p w14:paraId="3CF9157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0.1-0.15元/吨水</w:t>
            </w:r>
          </w:p>
        </w:tc>
        <w:tc>
          <w:tcPr>
            <w:tcW w:w="933" w:type="pct"/>
            <w:tcBorders>
              <w:tl2br w:val="nil"/>
              <w:tr2bl w:val="nil"/>
            </w:tcBorders>
            <w:vAlign w:val="center"/>
          </w:tcPr>
          <w:p w14:paraId="27A4912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0.15-0.20元/吨水</w:t>
            </w:r>
          </w:p>
        </w:tc>
        <w:tc>
          <w:tcPr>
            <w:tcW w:w="936" w:type="pct"/>
            <w:tcBorders>
              <w:tl2br w:val="nil"/>
              <w:tr2bl w:val="nil"/>
            </w:tcBorders>
            <w:vAlign w:val="center"/>
          </w:tcPr>
          <w:p w14:paraId="451B935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0.05-0.12元/吨水</w:t>
            </w:r>
          </w:p>
        </w:tc>
      </w:tr>
      <w:tr w14:paraId="377D62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35963B4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13</w:t>
            </w:r>
          </w:p>
        </w:tc>
        <w:tc>
          <w:tcPr>
            <w:tcW w:w="798" w:type="pct"/>
            <w:tcBorders>
              <w:tl2br w:val="nil"/>
              <w:tr2bl w:val="nil"/>
            </w:tcBorders>
            <w:vAlign w:val="center"/>
          </w:tcPr>
          <w:p w14:paraId="1C481AA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设备维修损坏</w:t>
            </w:r>
          </w:p>
        </w:tc>
        <w:tc>
          <w:tcPr>
            <w:tcW w:w="939" w:type="pct"/>
            <w:tcBorders>
              <w:tl2br w:val="nil"/>
              <w:tr2bl w:val="nil"/>
            </w:tcBorders>
            <w:vAlign w:val="center"/>
          </w:tcPr>
          <w:p w14:paraId="75C40DF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w:t>
            </w:r>
          </w:p>
        </w:tc>
        <w:tc>
          <w:tcPr>
            <w:tcW w:w="1070" w:type="pct"/>
            <w:tcBorders>
              <w:tl2br w:val="nil"/>
              <w:tr2bl w:val="nil"/>
            </w:tcBorders>
            <w:vAlign w:val="center"/>
          </w:tcPr>
          <w:p w14:paraId="33E7DA1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c>
          <w:tcPr>
            <w:tcW w:w="933" w:type="pct"/>
            <w:tcBorders>
              <w:tl2br w:val="nil"/>
              <w:tr2bl w:val="nil"/>
            </w:tcBorders>
            <w:vAlign w:val="center"/>
          </w:tcPr>
          <w:p w14:paraId="2011458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c>
          <w:tcPr>
            <w:tcW w:w="936" w:type="pct"/>
            <w:tcBorders>
              <w:tl2br w:val="nil"/>
              <w:tr2bl w:val="nil"/>
            </w:tcBorders>
            <w:vAlign w:val="center"/>
          </w:tcPr>
          <w:p w14:paraId="0318277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r>
    </w:tbl>
    <w:p w14:paraId="148895B7">
      <w:pPr>
        <w:pageBreakBefore w:val="0"/>
        <w:wordWrap/>
        <w:bidi w:val="0"/>
        <w:adjustRightInd/>
        <w:snapToGrid/>
        <w:rPr>
          <w:rFonts w:hint="default"/>
          <w:b/>
          <w:bCs/>
          <w:color w:val="auto"/>
        </w:rPr>
      </w:pPr>
      <w:r>
        <w:rPr>
          <w:rFonts w:hint="default"/>
          <w:b/>
          <w:bCs/>
          <w:color w:val="auto"/>
        </w:rPr>
        <w:t>通过对比分析，磁混凝沉淀技术建设投资合理、运行效果更好、运行更加稳定、处理费用更低，所以选择磁混凝沉淀作为深度除TP的工艺。</w:t>
      </w:r>
    </w:p>
    <w:p w14:paraId="396EED09">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7、</w:t>
      </w:r>
      <w:r>
        <w:rPr>
          <w:rFonts w:hint="default" w:ascii="Times New Roman" w:hAnsi="Times New Roman" w:cs="Times New Roman" w:eastAsiaTheme="minorEastAsia"/>
          <w:b/>
          <w:bCs/>
          <w:color w:val="auto"/>
          <w:sz w:val="24"/>
          <w:szCs w:val="24"/>
        </w:rPr>
        <w:t>滤池的选择</w:t>
      </w:r>
    </w:p>
    <w:p w14:paraId="1B422FDE">
      <w:pPr>
        <w:pageBreakBefore w:val="0"/>
        <w:wordWrap/>
        <w:bidi w:val="0"/>
        <w:adjustRightInd/>
        <w:snapToGrid/>
        <w:rPr>
          <w:rFonts w:hint="default"/>
          <w:color w:val="auto"/>
        </w:rPr>
      </w:pPr>
      <w:r>
        <w:rPr>
          <w:rFonts w:hint="default"/>
          <w:color w:val="auto"/>
        </w:rPr>
        <w:t>常规的滤池有V型砂滤池、活性砂滤池、滤布滤池、反硝化滤池。而具有反硝化作用的就只有反硝化滤池。</w:t>
      </w:r>
    </w:p>
    <w:p w14:paraId="61C34FE9">
      <w:pPr>
        <w:pageBreakBefore w:val="0"/>
        <w:wordWrap/>
        <w:bidi w:val="0"/>
        <w:adjustRightInd/>
        <w:snapToGrid/>
        <w:rPr>
          <w:rFonts w:hint="default"/>
          <w:color w:val="auto"/>
        </w:rPr>
      </w:pPr>
      <w:r>
        <w:rPr>
          <w:rFonts w:hint="default"/>
          <w:color w:val="auto"/>
        </w:rPr>
        <w:t>反硝化滤池属于缺氧生物膜法工艺，生物膜法污泥浓度极高，缺氧生物膜法约为20000mg/L左右，远远高于常规活性污泥法的3000</w:t>
      </w:r>
      <w:r>
        <w:rPr>
          <w:rFonts w:hint="eastAsia"/>
          <w:color w:val="auto"/>
          <w:lang w:eastAsia="zh-CN"/>
        </w:rPr>
        <w:t>～</w:t>
      </w:r>
      <w:r>
        <w:rPr>
          <w:rFonts w:hint="default"/>
          <w:color w:val="auto"/>
        </w:rPr>
        <w:t>5000mg/L</w:t>
      </w:r>
      <w:r>
        <w:rPr>
          <w:rFonts w:hint="default"/>
          <w:color w:val="auto"/>
          <w:lang w:eastAsia="zh-CN"/>
        </w:rPr>
        <w:t>，</w:t>
      </w:r>
      <w:r>
        <w:rPr>
          <w:rFonts w:hint="default"/>
          <w:color w:val="auto"/>
        </w:rPr>
        <w:t>水流方向为降流式，从上而下经过生物填料层，具有推流生物反应器的特点，且生物附着于填料表面不断更新，不存在污泥流失等问题，也不存在泥龄等限制，这决定了该工艺的特点：反应效率高，具有高度的反硝化与脱氮功能；对水质水量的变化有较强的适应性；对低浓度的污水也能进行有效的处理；生物膜法工艺中脱落的生物膜，易于固液分离，沉淀池的处理效果良好，即使丝状菌异常增殖，也不像活性污泥法那样产生污泥膨胀现象；污泥产率低，节省污泥处理费用；负荷高，占地非常节省。</w:t>
      </w:r>
    </w:p>
    <w:p w14:paraId="5A4DF13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生物滤池由滤料床、曝气系统、脉冲反冲洗排泥系统、配水及出水收集系统组成。原水通过分配槽进入滤池底部，滤池底部设置的布气设施，水气上升过程中通过滤料阻力均匀分布，滤料表面附着大量的微生物降解部分有机物及氨氮，出水由上部排出。过滤进行时生物膜不断增厚，需要定期反冲洗。针对适用本厂规模等具体情况，生物滤池工艺方案采用深床反硝化滤池。在</w:t>
      </w:r>
      <w:r>
        <w:rPr>
          <w:rFonts w:hint="eastAsia" w:cs="Times New Roman" w:eastAsiaTheme="minorEastAsia"/>
          <w:color w:val="auto"/>
          <w:sz w:val="24"/>
          <w:szCs w:val="24"/>
          <w:lang w:eastAsia="zh-CN"/>
        </w:rPr>
        <w:t>磁混凝沉淀池</w:t>
      </w:r>
      <w:r>
        <w:rPr>
          <w:rFonts w:hint="default" w:ascii="Times New Roman" w:hAnsi="Times New Roman" w:cs="Times New Roman" w:eastAsiaTheme="minorEastAsia"/>
          <w:color w:val="auto"/>
          <w:sz w:val="24"/>
          <w:szCs w:val="24"/>
        </w:rPr>
        <w:t>基础上，确保深床反硝化滤池出水SS小于5mg/L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同时具备反硝化功能。深床反硝化滤池运行操作简单，维护少，出水水质稳定。</w:t>
      </w:r>
    </w:p>
    <w:p w14:paraId="6C82C49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反硝化深床滤池是集生物脱氮及过滤功能合二为一的处理单元，是脱氮及过滤并举的先进处理工艺。滤池采用2</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3mm石英砂介质滤料，滤床深度通常为1.83m</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滤池可保证出水SS低于5mg/L以下。绝大多数滤池表层很容易堵塞或板结，很快失去水头，而反硝化深床滤池采用独特的均质石英砂允许固体杂质透过滤床的表层，深入滤池的滤料中，从而达到整个滤池纵深截留固体物的优异效果。</w:t>
      </w:r>
    </w:p>
    <w:p w14:paraId="3E1FCC6B">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5304155" cy="3522345"/>
            <wp:effectExtent l="0" t="0" r="10795" b="1905"/>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56"/>
                    <a:stretch>
                      <a:fillRect/>
                    </a:stretch>
                  </pic:blipFill>
                  <pic:spPr>
                    <a:xfrm>
                      <a:off x="0" y="0"/>
                      <a:ext cx="5304155" cy="3522345"/>
                    </a:xfrm>
                    <a:prstGeom prst="rect">
                      <a:avLst/>
                    </a:prstGeom>
                    <a:noFill/>
                    <a:ln>
                      <a:noFill/>
                    </a:ln>
                  </pic:spPr>
                </pic:pic>
              </a:graphicData>
            </a:graphic>
          </wp:inline>
        </w:drawing>
      </w:r>
    </w:p>
    <w:p w14:paraId="0C30E26A">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6</w:t>
      </w:r>
      <w:r>
        <w:rPr>
          <w:color w:val="auto"/>
        </w:rPr>
        <w:fldChar w:fldCharType="end"/>
      </w:r>
      <w:r>
        <w:rPr>
          <w:rFonts w:hint="eastAsia"/>
          <w:color w:val="auto"/>
          <w:lang w:val="en-US" w:eastAsia="zh-CN"/>
        </w:rPr>
        <w:t xml:space="preserve"> </w:t>
      </w:r>
      <w:r>
        <w:rPr>
          <w:rFonts w:hint="default"/>
          <w:color w:val="auto"/>
        </w:rPr>
        <w:t>反硝化深床滤池工艺流程图</w:t>
      </w:r>
    </w:p>
    <w:p w14:paraId="08BBC37C">
      <w:pPr>
        <w:pageBreakBefore w:val="0"/>
        <w:wordWrap/>
        <w:bidi w:val="0"/>
        <w:adjustRightInd/>
        <w:snapToGrid/>
        <w:rPr>
          <w:rFonts w:hint="default" w:ascii="Times New Roman" w:hAnsi="Times New Roman" w:cs="Times New Roman" w:eastAsiaTheme="minorEastAsia"/>
          <w:color w:val="auto"/>
          <w:sz w:val="24"/>
          <w:szCs w:val="24"/>
        </w:rPr>
      </w:pPr>
      <w:r>
        <w:rPr>
          <w:rFonts w:hint="default"/>
          <w:color w:val="auto"/>
        </w:rPr>
        <w:t>反硝化滤池采用特殊规格及形状的石英砂作为反硝化生物的挂膜介质，同时深床又是硝态氮</w:t>
      </w:r>
      <w:r>
        <w:rPr>
          <w:rFonts w:hint="default"/>
          <w:color w:val="auto"/>
          <w:lang w:eastAsia="zh-CN"/>
        </w:rPr>
        <w:t>（</w:t>
      </w:r>
      <w:r>
        <w:rPr>
          <w:rFonts w:hint="default"/>
          <w:color w:val="auto"/>
        </w:rPr>
        <w:t>NO</w:t>
      </w:r>
      <w:r>
        <w:rPr>
          <w:rFonts w:hint="default"/>
          <w:color w:val="auto"/>
          <w:vertAlign w:val="subscript"/>
        </w:rPr>
        <w:t>3</w:t>
      </w:r>
      <w:r>
        <w:rPr>
          <w:rFonts w:hint="default"/>
          <w:color w:val="auto"/>
        </w:rPr>
        <w:t>-N</w:t>
      </w:r>
      <w:r>
        <w:rPr>
          <w:rFonts w:hint="default"/>
          <w:color w:val="auto"/>
          <w:lang w:eastAsia="zh-CN"/>
        </w:rPr>
        <w:t>）</w:t>
      </w:r>
      <w:r>
        <w:rPr>
          <w:rFonts w:hint="default"/>
          <w:color w:val="auto"/>
        </w:rPr>
        <w:t>及悬浮物极好的去除构筑物。2</w:t>
      </w:r>
      <w:r>
        <w:rPr>
          <w:rFonts w:hint="eastAsia"/>
          <w:color w:val="auto"/>
          <w:lang w:eastAsia="zh-CN"/>
        </w:rPr>
        <w:t>～</w:t>
      </w:r>
      <w:r>
        <w:rPr>
          <w:rFonts w:hint="default"/>
          <w:color w:val="auto"/>
        </w:rPr>
        <w:t>3毫米介质的比表面积较大。1.83m深介质的滤床足以避免窜流或穿透现象，即使前段处理工艺发生污泥膨胀或异常情况也不会使滤床发生水力穿透。介质有极好的悬浮物截留功效，在反冲洗周期区间，每单位过滤面积能保证截留7.3kg的固体悬浮物。固体物负荷高的特性大大延长了滤池过滤周期，减少了反冲洗次数，并能轻松应对峰值</w:t>
      </w:r>
      <w:r>
        <w:rPr>
          <w:rFonts w:hint="default" w:ascii="Times New Roman" w:hAnsi="Times New Roman" w:cs="Times New Roman" w:eastAsiaTheme="minorEastAsia"/>
          <w:color w:val="auto"/>
          <w:sz w:val="24"/>
          <w:szCs w:val="24"/>
        </w:rPr>
        <w:t>流量或处理厂污泥膨胀等异常情况。</w:t>
      </w:r>
    </w:p>
    <w:p w14:paraId="10E2133E">
      <w:pPr>
        <w:bidi w:val="0"/>
        <w:rPr>
          <w:rFonts w:hint="default"/>
          <w:color w:val="auto"/>
        </w:rPr>
      </w:pPr>
      <w:r>
        <w:rPr>
          <w:rFonts w:hint="default"/>
          <w:color w:val="auto"/>
        </w:rPr>
        <w:t>悬浮物不断的被截留会增加水头损失，因此需要反冲洗来去除截留的固体物。由于固体物负荷高、床体深，因此需要高强度的反冲洗。反硝化滤池采用气、水协同进行反冲洗。反冲洗污水一般返回到前段生物处理单元。</w:t>
      </w:r>
    </w:p>
    <w:p w14:paraId="27439294">
      <w:pPr>
        <w:bidi w:val="0"/>
        <w:rPr>
          <w:rFonts w:hint="default"/>
          <w:color w:val="auto"/>
        </w:rPr>
      </w:pPr>
      <w:r>
        <w:rPr>
          <w:rFonts w:hint="default"/>
          <w:color w:val="auto"/>
        </w:rPr>
        <w:t>滤池反冲洗流程通常需要三个阶段：气洗；气水联合反冲洗；水洗或漂洗。</w:t>
      </w:r>
    </w:p>
    <w:p w14:paraId="5D447794">
      <w:pPr>
        <w:bidi w:val="0"/>
        <w:rPr>
          <w:rFonts w:hint="default"/>
          <w:color w:val="auto"/>
        </w:rPr>
      </w:pPr>
      <w:r>
        <w:rPr>
          <w:rFonts w:hint="default"/>
          <w:color w:val="auto"/>
        </w:rPr>
        <w:t>反硝化深床滤池主要功能：</w:t>
      </w:r>
    </w:p>
    <w:p w14:paraId="6E1C2BC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反硝化深床滤池结构简单实用，集多种污染物去除功能于一个处理单元，对悬浮物、TN和TP均有相当好的去除效果。运行经验表明，在无需化学加药除磷的情况下，可以满足出水水质BOD&lt;5mg/L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SS&lt;5mg/L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TN&lt;10mg/L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TP&lt;1mg/L。在进行化学除磷的情况下，出水TP&lt;0.3mg/L。</w:t>
      </w:r>
    </w:p>
    <w:p w14:paraId="57D17DC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去除TN</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利用适量优质碳源，附着生长在石英砂表面上的反硝化细菌把NOx-N转换成N₂完成脱氮反应过程。在反硝化过程中，由于硝态氮不断被还原为氮气，深床滤池中会集聚大量的氮气，增强微生物与水流的接触，同时也提高了过滤效率。</w:t>
      </w:r>
    </w:p>
    <w:p w14:paraId="403FCDE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去除SS</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每毫克SS中含BOD5约0.4~0.5毫克，因此去除出水中固体悬浮物的同时，也降低了出水中的BOD</w:t>
      </w:r>
      <w:r>
        <w:rPr>
          <w:rFonts w:hint="default" w:ascii="Times New Roman" w:hAnsi="Times New Roman" w:cs="Times New Roman" w:eastAsiaTheme="minorEastAsia"/>
          <w:color w:val="auto"/>
          <w:sz w:val="24"/>
          <w:szCs w:val="24"/>
          <w:vertAlign w:val="subscript"/>
        </w:rPr>
        <w:t>5</w:t>
      </w:r>
      <w:r>
        <w:rPr>
          <w:rFonts w:hint="default" w:ascii="Times New Roman" w:hAnsi="Times New Roman" w:cs="Times New Roman" w:eastAsiaTheme="minorEastAsia"/>
          <w:color w:val="auto"/>
          <w:sz w:val="24"/>
          <w:szCs w:val="24"/>
        </w:rPr>
        <w:t>。另外，出水中固体悬浮物含有氮、磷及其他重金属物质，去除固体悬浮物通常能降低1mg/L以上的上述杂质。</w:t>
      </w:r>
      <w:r>
        <w:rPr>
          <w:rFonts w:hint="default" w:ascii="Times New Roman" w:hAnsi="Times New Roman" w:cs="Times New Roman" w:eastAsiaTheme="minorEastAsia"/>
          <w:b/>
          <w:bCs/>
          <w:color w:val="auto"/>
          <w:sz w:val="24"/>
          <w:szCs w:val="24"/>
        </w:rPr>
        <w:t>配合适当的化学处理，能使出水总磷稳定降至0.3mg/L以下。反硝化滤池能轻松满足浊度&lt;2NTU或SS&lt;5mg/L的要求。</w:t>
      </w:r>
    </w:p>
    <w:p w14:paraId="1D3A248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8、</w:t>
      </w:r>
      <w:r>
        <w:rPr>
          <w:rFonts w:hint="default" w:ascii="Times New Roman" w:hAnsi="Times New Roman" w:cs="Times New Roman" w:eastAsiaTheme="minorEastAsia"/>
          <w:b/>
          <w:bCs/>
          <w:color w:val="auto"/>
          <w:sz w:val="24"/>
          <w:szCs w:val="24"/>
        </w:rPr>
        <w:t>消毒工艺的选择</w:t>
      </w:r>
    </w:p>
    <w:p w14:paraId="3F0DAD5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国家环保总局和国家质量监督检验检疫总局颁布的《城镇污水处理厂污染物排放标准》</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GB18918-2002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中，将处理后出水中的微生物指标列为基本控制指标，将粪大肠菌群列为基本控制项目。本处理厂执行该标准规定的一级A类标准，其粪便大肠菌群最高允许排放浓度不超过1000个/L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以便使污水处理标准的病理指标与国际接轨。</w:t>
      </w:r>
    </w:p>
    <w:p w14:paraId="5BD1DBE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因此，要求处理后的出水必须进行消毒处理。</w:t>
      </w:r>
    </w:p>
    <w:p w14:paraId="3BBB459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1</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消毒方法概述</w:t>
      </w:r>
    </w:p>
    <w:p w14:paraId="75CF1F5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常用的消毒方法有氯消毒、ClO₂、紫外线、臭氧、热处理、膜过滤等。</w:t>
      </w:r>
    </w:p>
    <w:p w14:paraId="1A0733E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氯、ClO₂法</w:t>
      </w:r>
    </w:p>
    <w:p w14:paraId="2E98653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加氯法主要是投加液氯或氯化合物。二氧化氯是迄今为止最常用的方法，其特点是液氯成本低、工艺成熟、效果稳定可靠。由于加氯法一般要求不少于30min的接触时间，接触池容积较大；氯气是剧毒危险品，存储氯气的钢瓶属高压容器，有潜在威胁，需要按安全规定兴建氯库和加氯间，需要设置漏氯吸收装置；液氯消毒将生成有害的有机氯化物，在国外和我国，污水采用液氯消毒往往是应急措施，只是季节性或疫病流行时使用。</w:t>
      </w:r>
    </w:p>
    <w:p w14:paraId="4B06D23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含氯化合物包括次氯酸钠、漂白粉和二氧化氯等。其特点与液氯相似，但危险性小，对环境影响较小，但运行成本较高。二氧化氯发生器原理是采用盐酸和氯酸钠为原理经过负压曝气工艺制取复合二氧化氯消毒液。在法国，离海岸较近的部分污水排放口和南部的几个排河二级污水处理厂采用了二氧化氯消毒。</w:t>
      </w:r>
    </w:p>
    <w:p w14:paraId="3063CB2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氧化法</w:t>
      </w:r>
    </w:p>
    <w:p w14:paraId="5379BEEA">
      <w:pPr>
        <w:bidi w:val="0"/>
        <w:rPr>
          <w:rFonts w:hint="default"/>
          <w:color w:val="auto"/>
        </w:rPr>
      </w:pPr>
      <w:r>
        <w:rPr>
          <w:rFonts w:hint="default"/>
          <w:color w:val="auto"/>
        </w:rPr>
        <w:t>氧化剂可以作为二级处理出水的消毒剂，最常用的是臭氧。臭氧消毒是杀菌彻底可靠，危险性较小，对环境基本上无副作用，接触时间比加氯法小。缺点是基建投资大，运行成本高。目前，一般只用于</w:t>
      </w:r>
      <w:bookmarkStart w:id="86" w:name="bookmark68"/>
      <w:bookmarkEnd w:id="86"/>
      <w:r>
        <w:rPr>
          <w:rFonts w:hint="default"/>
          <w:color w:val="auto"/>
        </w:rPr>
        <w:t>游泳池水和饮用水的消毒。北美个别污水处理厂采用O₃消毒污水，德国有几个</w:t>
      </w:r>
      <w:r>
        <w:rPr>
          <w:rFonts w:hint="eastAsia"/>
          <w:color w:val="auto"/>
          <w:lang w:eastAsia="zh-CN"/>
        </w:rPr>
        <w:t>污水处理厂</w:t>
      </w:r>
      <w:r>
        <w:rPr>
          <w:rFonts w:hint="default"/>
          <w:color w:val="auto"/>
        </w:rPr>
        <w:t>在结合紫外线照射法做试验。</w:t>
      </w:r>
    </w:p>
    <w:p w14:paraId="259B44C5">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紫外线消毒法</w:t>
      </w:r>
    </w:p>
    <w:p w14:paraId="2C905C8F">
      <w:pPr>
        <w:bidi w:val="0"/>
        <w:rPr>
          <w:rFonts w:hint="default"/>
          <w:color w:val="auto"/>
        </w:rPr>
      </w:pPr>
      <w:r>
        <w:rPr>
          <w:rFonts w:hint="default"/>
          <w:color w:val="auto"/>
        </w:rPr>
        <w:t>紫外线是近十多年来发展得最快的一种方法。在一些国家，紫外线有逐步取代氯消毒、成为污水处理厂主要消毒方式的趋势。</w:t>
      </w:r>
    </w:p>
    <w:p w14:paraId="6770CF39">
      <w:pPr>
        <w:bidi w:val="0"/>
        <w:rPr>
          <w:rFonts w:hint="default"/>
          <w:color w:val="auto"/>
        </w:rPr>
      </w:pPr>
      <w:r>
        <w:rPr>
          <w:rFonts w:hint="default"/>
          <w:color w:val="auto"/>
        </w:rPr>
        <w:t>紫外线消毒的基本原理为：紫外线对微生物的遗传物质</w:t>
      </w:r>
      <w:r>
        <w:rPr>
          <w:rFonts w:hint="default"/>
          <w:color w:val="auto"/>
          <w:lang w:eastAsia="zh-CN"/>
        </w:rPr>
        <w:t>（</w:t>
      </w:r>
      <w:r>
        <w:rPr>
          <w:rFonts w:hint="default"/>
          <w:color w:val="auto"/>
        </w:rPr>
        <w:t>即DNA</w:t>
      </w:r>
      <w:r>
        <w:rPr>
          <w:rFonts w:hint="default"/>
          <w:color w:val="auto"/>
          <w:lang w:eastAsia="zh-CN"/>
        </w:rPr>
        <w:t>）</w:t>
      </w:r>
      <w:r>
        <w:rPr>
          <w:rFonts w:hint="default"/>
          <w:color w:val="auto"/>
        </w:rPr>
        <w:t>有畸变作用，在吸收了一定剂量的紫外线后，DNA的结合键断裂，细胞失去活力，无法进行繁殖，细菌数量大幅度减少，达到灭菌的目的。因为当紫外线的波长为254mm时，DNA对紫外线的吸收达到最大，在这一波长具有最大能量输出的低压水银弧灯被广泛使用，在水量较大时，也使用中压或高压水银弧灯。</w:t>
      </w:r>
    </w:p>
    <w:p w14:paraId="0FB3C333">
      <w:pPr>
        <w:bidi w:val="0"/>
        <w:rPr>
          <w:rFonts w:hint="default"/>
          <w:color w:val="auto"/>
        </w:rPr>
      </w:pPr>
      <w:r>
        <w:rPr>
          <w:rFonts w:hint="default"/>
          <w:color w:val="auto"/>
        </w:rPr>
        <w:t>紫外线消毒的主要优点是灭菌效率高，作用时间短，危险性小，无二次污染等。并且消毒时间短，不需建造较大的接触池，建消毒渠即可，占地面积和土建费用大大减少。缺点是设备投资高，灯管寿命短，运行费用高，管理维修麻烦，抗悬浮固体干扰的能力差，对水中SS浓度有严格要求。由于采用紫外线消毒方案危险性小，没有二次污染的特点，在国内的应用实例逐渐增多。</w:t>
      </w:r>
    </w:p>
    <w:p w14:paraId="19DCA4FB">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热处理法</w:t>
      </w:r>
    </w:p>
    <w:p w14:paraId="4604CD5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热处理法是最彻底的消毒方法，也是最昂贵的方法。为保证可靠的灭菌效果，废水要在高压、100℃以上的条件下加热一定时间，排放前又要降低到排放要求的温度，能耗很高。运行方式常为间歇运行方式，水量较大时也采用连续运行方式。一般都安装了热交换器，回收余热。目前，该法只用于一些要求高、危险性大的废水。在德国，热处理法用于医院、基因工程工厂、动物尸体销毁站的废水消毒。</w:t>
      </w:r>
    </w:p>
    <w:p w14:paraId="404F04D9">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膜过滤法</w:t>
      </w:r>
    </w:p>
    <w:p w14:paraId="36E3020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膜过滤法主要用于饮用水和特种工业用水的消毒处理，用于废水消毒的只有英国和澳大利亚，各有一个厂在运行，德国有几个厂在试验中。该法的特点是除消毒外，还可去除</w:t>
      </w:r>
      <w:r>
        <w:rPr>
          <w:rFonts w:hint="eastAsia" w:cs="Times New Roman" w:eastAsiaTheme="minorEastAsia"/>
          <w:color w:val="auto"/>
          <w:sz w:val="24"/>
          <w:szCs w:val="24"/>
          <w:lang w:eastAsia="zh-CN"/>
        </w:rPr>
        <w:t>其他杂质</w:t>
      </w:r>
      <w:r>
        <w:rPr>
          <w:rFonts w:hint="default" w:ascii="Times New Roman" w:hAnsi="Times New Roman" w:cs="Times New Roman" w:eastAsiaTheme="minorEastAsia"/>
          <w:color w:val="auto"/>
          <w:sz w:val="24"/>
          <w:szCs w:val="24"/>
        </w:rPr>
        <w:t>。由于孔易堵塞，膜易积垢且冲洗困难，能耗高，化学药昂贵，成本也高，目前无法推广。</w:t>
      </w:r>
    </w:p>
    <w:p w14:paraId="76630DB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现将几种常用的消毒方法比较列于</w:t>
      </w:r>
      <w:r>
        <w:rPr>
          <w:rFonts w:hint="eastAsia" w:cs="Times New Roman" w:eastAsiaTheme="minorEastAsia"/>
          <w:color w:val="auto"/>
          <w:sz w:val="24"/>
          <w:szCs w:val="24"/>
          <w:lang w:val="en-US" w:eastAsia="zh-CN"/>
        </w:rPr>
        <w:t>下表</w:t>
      </w:r>
      <w:r>
        <w:rPr>
          <w:rFonts w:hint="default" w:ascii="Times New Roman" w:hAnsi="Times New Roman" w:cs="Times New Roman" w:eastAsiaTheme="minorEastAsia"/>
          <w:color w:val="auto"/>
          <w:sz w:val="24"/>
          <w:szCs w:val="24"/>
        </w:rPr>
        <w:t>中。</w:t>
      </w:r>
    </w:p>
    <w:p w14:paraId="73E374B3">
      <w:pPr>
        <w:pStyle w:val="15"/>
        <w:numPr>
          <w:ilvl w:val="0"/>
          <w:numId w:val="16"/>
        </w:numPr>
        <w:bidi w:val="0"/>
        <w:ind w:left="0" w:leftChars="0" w:firstLine="0" w:firstLineChars="0"/>
        <w:rPr>
          <w:rFonts w:hint="default"/>
          <w:color w:val="auto"/>
        </w:rPr>
      </w:pPr>
      <w:r>
        <w:rPr>
          <w:rFonts w:hint="default"/>
          <w:color w:val="auto"/>
        </w:rPr>
        <w:t>各种消毒技术的比较</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18"/>
        <w:gridCol w:w="1040"/>
        <w:gridCol w:w="1187"/>
        <w:gridCol w:w="1075"/>
        <w:gridCol w:w="984"/>
        <w:gridCol w:w="1256"/>
        <w:gridCol w:w="906"/>
        <w:gridCol w:w="1137"/>
      </w:tblGrid>
      <w:tr w14:paraId="0F0990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432" w:type="pct"/>
            <w:tcBorders>
              <w:tl2br w:val="nil"/>
              <w:tr2bl w:val="nil"/>
            </w:tcBorders>
            <w:vAlign w:val="center"/>
          </w:tcPr>
          <w:p w14:paraId="6A48E2A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626" w:type="pct"/>
            <w:tcBorders>
              <w:tl2br w:val="nil"/>
              <w:tr2bl w:val="nil"/>
            </w:tcBorders>
            <w:vAlign w:val="center"/>
          </w:tcPr>
          <w:p w14:paraId="573D5FA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液氯</w:t>
            </w:r>
          </w:p>
        </w:tc>
        <w:tc>
          <w:tcPr>
            <w:tcW w:w="714" w:type="pct"/>
            <w:tcBorders>
              <w:tl2br w:val="nil"/>
              <w:tr2bl w:val="nil"/>
            </w:tcBorders>
            <w:vAlign w:val="center"/>
          </w:tcPr>
          <w:p w14:paraId="49F2BED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二氧化氯</w:t>
            </w:r>
          </w:p>
        </w:tc>
        <w:tc>
          <w:tcPr>
            <w:tcW w:w="647" w:type="pct"/>
            <w:tcBorders>
              <w:tl2br w:val="nil"/>
              <w:tr2bl w:val="nil"/>
            </w:tcBorders>
            <w:vAlign w:val="center"/>
          </w:tcPr>
          <w:p w14:paraId="0B26055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臭氧</w:t>
            </w:r>
          </w:p>
        </w:tc>
        <w:tc>
          <w:tcPr>
            <w:tcW w:w="592" w:type="pct"/>
            <w:tcBorders>
              <w:tl2br w:val="nil"/>
              <w:tr2bl w:val="nil"/>
            </w:tcBorders>
            <w:vAlign w:val="center"/>
          </w:tcPr>
          <w:p w14:paraId="0F4B112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过醋酸</w:t>
            </w:r>
          </w:p>
        </w:tc>
        <w:tc>
          <w:tcPr>
            <w:tcW w:w="756" w:type="pct"/>
            <w:tcBorders>
              <w:tl2br w:val="nil"/>
              <w:tr2bl w:val="nil"/>
            </w:tcBorders>
            <w:vAlign w:val="center"/>
          </w:tcPr>
          <w:p w14:paraId="17E83B0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紫外线照射</w:t>
            </w:r>
          </w:p>
        </w:tc>
        <w:tc>
          <w:tcPr>
            <w:tcW w:w="545" w:type="pct"/>
            <w:tcBorders>
              <w:tl2br w:val="nil"/>
              <w:tr2bl w:val="nil"/>
            </w:tcBorders>
            <w:vAlign w:val="center"/>
          </w:tcPr>
          <w:p w14:paraId="5313888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热处理</w:t>
            </w:r>
          </w:p>
        </w:tc>
        <w:tc>
          <w:tcPr>
            <w:tcW w:w="684" w:type="pct"/>
            <w:tcBorders>
              <w:tl2br w:val="nil"/>
              <w:tr2bl w:val="nil"/>
            </w:tcBorders>
            <w:vAlign w:val="center"/>
          </w:tcPr>
          <w:p w14:paraId="4F384EF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膜过滤</w:t>
            </w:r>
          </w:p>
        </w:tc>
      </w:tr>
      <w:tr w14:paraId="268A51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3761837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应用范围</w:t>
            </w:r>
          </w:p>
        </w:tc>
        <w:tc>
          <w:tcPr>
            <w:tcW w:w="626" w:type="pct"/>
            <w:tcBorders>
              <w:tl2br w:val="nil"/>
              <w:tr2bl w:val="nil"/>
            </w:tcBorders>
            <w:vAlign w:val="center"/>
          </w:tcPr>
          <w:p w14:paraId="7EF4049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自来水和各种废水</w:t>
            </w:r>
          </w:p>
        </w:tc>
        <w:tc>
          <w:tcPr>
            <w:tcW w:w="714" w:type="pct"/>
            <w:tcBorders>
              <w:tl2br w:val="nil"/>
              <w:tr2bl w:val="nil"/>
            </w:tcBorders>
            <w:vAlign w:val="center"/>
          </w:tcPr>
          <w:p w14:paraId="1666E23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自来水和各种废水</w:t>
            </w:r>
          </w:p>
        </w:tc>
        <w:tc>
          <w:tcPr>
            <w:tcW w:w="647" w:type="pct"/>
            <w:tcBorders>
              <w:tl2br w:val="nil"/>
              <w:tr2bl w:val="nil"/>
            </w:tcBorders>
            <w:vAlign w:val="center"/>
          </w:tcPr>
          <w:p w14:paraId="67252A7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饮用水和游泳池水</w:t>
            </w:r>
          </w:p>
        </w:tc>
        <w:tc>
          <w:tcPr>
            <w:tcW w:w="592" w:type="pct"/>
            <w:tcBorders>
              <w:tl2br w:val="nil"/>
              <w:tr2bl w:val="nil"/>
            </w:tcBorders>
            <w:vAlign w:val="center"/>
          </w:tcPr>
          <w:p w14:paraId="57DDA51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各种废水</w:t>
            </w:r>
          </w:p>
        </w:tc>
        <w:tc>
          <w:tcPr>
            <w:tcW w:w="756" w:type="pct"/>
            <w:tcBorders>
              <w:tl2br w:val="nil"/>
              <w:tr2bl w:val="nil"/>
            </w:tcBorders>
            <w:vAlign w:val="center"/>
          </w:tcPr>
          <w:p w14:paraId="471E96D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自来水和经二级或三级处理的废水</w:t>
            </w:r>
          </w:p>
        </w:tc>
        <w:tc>
          <w:tcPr>
            <w:tcW w:w="545" w:type="pct"/>
            <w:tcBorders>
              <w:tl2br w:val="nil"/>
              <w:tr2bl w:val="nil"/>
            </w:tcBorders>
            <w:vAlign w:val="center"/>
          </w:tcPr>
          <w:p w14:paraId="0BA2008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医院、屠宰场等含病原菌的污水</w:t>
            </w:r>
          </w:p>
        </w:tc>
        <w:tc>
          <w:tcPr>
            <w:tcW w:w="684" w:type="pct"/>
            <w:tcBorders>
              <w:tl2br w:val="nil"/>
              <w:tr2bl w:val="nil"/>
            </w:tcBorders>
            <w:vAlign w:val="center"/>
          </w:tcPr>
          <w:p w14:paraId="01C1429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饮用水和特种工业用水</w:t>
            </w:r>
          </w:p>
        </w:tc>
      </w:tr>
      <w:tr w14:paraId="3EB3B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0EC5AF4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优点</w:t>
            </w:r>
          </w:p>
        </w:tc>
        <w:tc>
          <w:tcPr>
            <w:tcW w:w="626" w:type="pct"/>
            <w:tcBorders>
              <w:tl2br w:val="nil"/>
              <w:tr2bl w:val="nil"/>
            </w:tcBorders>
            <w:vAlign w:val="center"/>
          </w:tcPr>
          <w:p w14:paraId="0C1220B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工艺成熟、处理效果稳定，设备投资和运行费用低</w:t>
            </w:r>
          </w:p>
        </w:tc>
        <w:tc>
          <w:tcPr>
            <w:tcW w:w="714" w:type="pct"/>
            <w:tcBorders>
              <w:tl2br w:val="nil"/>
              <w:tr2bl w:val="nil"/>
            </w:tcBorders>
            <w:vAlign w:val="center"/>
          </w:tcPr>
          <w:p w14:paraId="4853F72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处理效果稳定，设备投资少，对环境影响较液氯小</w:t>
            </w:r>
          </w:p>
        </w:tc>
        <w:tc>
          <w:tcPr>
            <w:tcW w:w="647" w:type="pct"/>
            <w:tcBorders>
              <w:tl2br w:val="nil"/>
              <w:tr2bl w:val="nil"/>
            </w:tcBorders>
            <w:vAlign w:val="center"/>
          </w:tcPr>
          <w:p w14:paraId="0920E79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占地面积小，杀菌效率高，并有脱色和除臭效果，对环境影响小</w:t>
            </w:r>
          </w:p>
        </w:tc>
        <w:tc>
          <w:tcPr>
            <w:tcW w:w="592" w:type="pct"/>
            <w:tcBorders>
              <w:tl2br w:val="nil"/>
              <w:tr2bl w:val="nil"/>
            </w:tcBorders>
            <w:vAlign w:val="center"/>
          </w:tcPr>
          <w:p w14:paraId="2943D6B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占地面积小，杀菌效率高，并有除臭和控制污泥膨胀的效果</w:t>
            </w:r>
          </w:p>
        </w:tc>
        <w:tc>
          <w:tcPr>
            <w:tcW w:w="756" w:type="pct"/>
            <w:tcBorders>
              <w:tl2br w:val="nil"/>
              <w:tr2bl w:val="nil"/>
            </w:tcBorders>
            <w:vAlign w:val="center"/>
          </w:tcPr>
          <w:p w14:paraId="2110273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占地面积小，杀菌效率高，危险性小，无二次污染</w:t>
            </w:r>
          </w:p>
        </w:tc>
        <w:tc>
          <w:tcPr>
            <w:tcW w:w="545" w:type="pct"/>
            <w:tcBorders>
              <w:tl2br w:val="nil"/>
              <w:tr2bl w:val="nil"/>
            </w:tcBorders>
            <w:vAlign w:val="center"/>
          </w:tcPr>
          <w:p w14:paraId="21D9B57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杀菌彻底</w:t>
            </w:r>
          </w:p>
        </w:tc>
        <w:tc>
          <w:tcPr>
            <w:tcW w:w="684" w:type="pct"/>
            <w:tcBorders>
              <w:tl2br w:val="nil"/>
              <w:tr2bl w:val="nil"/>
            </w:tcBorders>
            <w:vAlign w:val="center"/>
          </w:tcPr>
          <w:p w14:paraId="67EB174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可过滤其他杂质，无危险性，无副作用</w:t>
            </w:r>
          </w:p>
        </w:tc>
      </w:tr>
      <w:tr w14:paraId="69041E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3B00AF1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缺点</w:t>
            </w:r>
          </w:p>
        </w:tc>
        <w:tc>
          <w:tcPr>
            <w:tcW w:w="626" w:type="pct"/>
            <w:tcBorders>
              <w:tl2br w:val="nil"/>
              <w:tr2bl w:val="nil"/>
            </w:tcBorders>
            <w:vAlign w:val="center"/>
          </w:tcPr>
          <w:p w14:paraId="232BBF0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占地面积大，有潜在危险性和二次污染</w:t>
            </w:r>
          </w:p>
        </w:tc>
        <w:tc>
          <w:tcPr>
            <w:tcW w:w="714" w:type="pct"/>
            <w:tcBorders>
              <w:tl2br w:val="nil"/>
              <w:tr2bl w:val="nil"/>
            </w:tcBorders>
            <w:vAlign w:val="center"/>
          </w:tcPr>
          <w:p w14:paraId="308E2C8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占地面积大，运行费用比液氯略高，有二次污染</w:t>
            </w:r>
          </w:p>
        </w:tc>
        <w:tc>
          <w:tcPr>
            <w:tcW w:w="647" w:type="pct"/>
            <w:tcBorders>
              <w:tl2br w:val="nil"/>
              <w:tr2bl w:val="nil"/>
            </w:tcBorders>
            <w:vAlign w:val="center"/>
          </w:tcPr>
          <w:p w14:paraId="6A8F917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设备投资大，运行费用高</w:t>
            </w:r>
          </w:p>
        </w:tc>
        <w:tc>
          <w:tcPr>
            <w:tcW w:w="592" w:type="pct"/>
            <w:tcBorders>
              <w:tl2br w:val="nil"/>
              <w:tr2bl w:val="nil"/>
            </w:tcBorders>
            <w:vAlign w:val="center"/>
          </w:tcPr>
          <w:p w14:paraId="1384985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运行费用高</w:t>
            </w:r>
          </w:p>
        </w:tc>
        <w:tc>
          <w:tcPr>
            <w:tcW w:w="756" w:type="pct"/>
            <w:tcBorders>
              <w:tl2br w:val="nil"/>
              <w:tr2bl w:val="nil"/>
            </w:tcBorders>
            <w:vAlign w:val="center"/>
          </w:tcPr>
          <w:p w14:paraId="1E765AB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设备费用高，运行费高，灯管寿命短，受水质影响大</w:t>
            </w:r>
          </w:p>
        </w:tc>
        <w:tc>
          <w:tcPr>
            <w:tcW w:w="545" w:type="pct"/>
            <w:tcBorders>
              <w:tl2br w:val="nil"/>
              <w:tr2bl w:val="nil"/>
            </w:tcBorders>
            <w:vAlign w:val="center"/>
          </w:tcPr>
          <w:p w14:paraId="439E0BE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能耗大，操作复杂</w:t>
            </w:r>
          </w:p>
        </w:tc>
        <w:tc>
          <w:tcPr>
            <w:tcW w:w="684" w:type="pct"/>
            <w:tcBorders>
              <w:tl2br w:val="nil"/>
              <w:tr2bl w:val="nil"/>
            </w:tcBorders>
            <w:vAlign w:val="center"/>
          </w:tcPr>
          <w:p w14:paraId="030DAFC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效果不稳定，操作复杂，运行费用高</w:t>
            </w:r>
          </w:p>
        </w:tc>
      </w:tr>
      <w:tr w14:paraId="5F2486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206CE18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基建投资</w:t>
            </w:r>
          </w:p>
        </w:tc>
        <w:tc>
          <w:tcPr>
            <w:tcW w:w="626" w:type="pct"/>
            <w:tcBorders>
              <w:tl2br w:val="nil"/>
              <w:tr2bl w:val="nil"/>
            </w:tcBorders>
            <w:vAlign w:val="center"/>
          </w:tcPr>
          <w:p w14:paraId="158AEC1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w:t>
            </w:r>
          </w:p>
        </w:tc>
        <w:tc>
          <w:tcPr>
            <w:tcW w:w="714" w:type="pct"/>
            <w:tcBorders>
              <w:tl2br w:val="nil"/>
              <w:tr2bl w:val="nil"/>
            </w:tcBorders>
            <w:vAlign w:val="center"/>
          </w:tcPr>
          <w:p w14:paraId="63FEAD6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647" w:type="pct"/>
            <w:tcBorders>
              <w:tl2br w:val="nil"/>
              <w:tr2bl w:val="nil"/>
            </w:tcBorders>
            <w:vAlign w:val="center"/>
          </w:tcPr>
          <w:p w14:paraId="5BB1714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92" w:type="pct"/>
            <w:tcBorders>
              <w:tl2br w:val="nil"/>
              <w:tr2bl w:val="nil"/>
            </w:tcBorders>
            <w:vAlign w:val="center"/>
          </w:tcPr>
          <w:p w14:paraId="11860C0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756" w:type="pct"/>
            <w:tcBorders>
              <w:tl2br w:val="nil"/>
              <w:tr2bl w:val="nil"/>
            </w:tcBorders>
            <w:vAlign w:val="center"/>
          </w:tcPr>
          <w:p w14:paraId="63AD906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45" w:type="pct"/>
            <w:tcBorders>
              <w:tl2br w:val="nil"/>
              <w:tr2bl w:val="nil"/>
            </w:tcBorders>
            <w:vAlign w:val="center"/>
          </w:tcPr>
          <w:p w14:paraId="0C82151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684" w:type="pct"/>
            <w:tcBorders>
              <w:tl2br w:val="nil"/>
              <w:tr2bl w:val="nil"/>
            </w:tcBorders>
            <w:vAlign w:val="center"/>
          </w:tcPr>
          <w:p w14:paraId="591CEC5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r>
      <w:tr w14:paraId="045BB2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1F50B5E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运行费</w:t>
            </w:r>
          </w:p>
        </w:tc>
        <w:tc>
          <w:tcPr>
            <w:tcW w:w="626" w:type="pct"/>
            <w:tcBorders>
              <w:tl2br w:val="nil"/>
              <w:tr2bl w:val="nil"/>
            </w:tcBorders>
            <w:vAlign w:val="center"/>
          </w:tcPr>
          <w:p w14:paraId="7496147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714" w:type="pct"/>
            <w:tcBorders>
              <w:tl2br w:val="nil"/>
              <w:tr2bl w:val="nil"/>
            </w:tcBorders>
            <w:vAlign w:val="center"/>
          </w:tcPr>
          <w:p w14:paraId="7B865C0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w:t>
            </w:r>
          </w:p>
        </w:tc>
        <w:tc>
          <w:tcPr>
            <w:tcW w:w="647" w:type="pct"/>
            <w:tcBorders>
              <w:tl2br w:val="nil"/>
              <w:tr2bl w:val="nil"/>
            </w:tcBorders>
            <w:vAlign w:val="center"/>
          </w:tcPr>
          <w:p w14:paraId="6BEC95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92" w:type="pct"/>
            <w:tcBorders>
              <w:tl2br w:val="nil"/>
              <w:tr2bl w:val="nil"/>
            </w:tcBorders>
            <w:vAlign w:val="center"/>
          </w:tcPr>
          <w:p w14:paraId="5AFB2FB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756" w:type="pct"/>
            <w:tcBorders>
              <w:tl2br w:val="nil"/>
              <w:tr2bl w:val="nil"/>
            </w:tcBorders>
            <w:vAlign w:val="center"/>
          </w:tcPr>
          <w:p w14:paraId="4B1E375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较高</w:t>
            </w:r>
          </w:p>
        </w:tc>
        <w:tc>
          <w:tcPr>
            <w:tcW w:w="545" w:type="pct"/>
            <w:tcBorders>
              <w:tl2br w:val="nil"/>
              <w:tr2bl w:val="nil"/>
            </w:tcBorders>
            <w:vAlign w:val="center"/>
          </w:tcPr>
          <w:p w14:paraId="213C203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684" w:type="pct"/>
            <w:tcBorders>
              <w:tl2br w:val="nil"/>
              <w:tr2bl w:val="nil"/>
            </w:tcBorders>
            <w:vAlign w:val="center"/>
          </w:tcPr>
          <w:p w14:paraId="2538309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r>
    </w:tbl>
    <w:p w14:paraId="33776603">
      <w:pPr>
        <w:keepNext w:val="0"/>
        <w:keepLines w:val="0"/>
        <w:pageBreakBefore w:val="0"/>
        <w:widowControl/>
        <w:kinsoku w:val="0"/>
        <w:wordWrap/>
        <w:overflowPunct/>
        <w:topLinePunct w:val="0"/>
        <w:autoSpaceDE w:val="0"/>
        <w:autoSpaceDN w:val="0"/>
        <w:bidi w:val="0"/>
        <w:adjustRightInd/>
        <w:snapToGrid/>
        <w:spacing w:before="0" w:beforeLines="50"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（2）</w:t>
      </w:r>
      <w:r>
        <w:rPr>
          <w:rFonts w:hint="default" w:ascii="Times New Roman" w:hAnsi="Times New Roman" w:cs="Times New Roman" w:eastAsiaTheme="minorEastAsia"/>
          <w:b/>
          <w:bCs/>
          <w:color w:val="auto"/>
          <w:sz w:val="24"/>
          <w:szCs w:val="24"/>
        </w:rPr>
        <w:t>消毒方案选择</w:t>
      </w:r>
    </w:p>
    <w:p w14:paraId="118BB14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从以上比较可以看出，二氧化氯消毒处理效果好，投资低，占地面积小，运行费用最低</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除液氯外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同时考虑厂内中水回用对余氯指标也有一定的要求。根据可研及其批复，</w:t>
      </w:r>
      <w:r>
        <w:rPr>
          <w:rFonts w:hint="default" w:ascii="Times New Roman" w:hAnsi="Times New Roman" w:cs="Times New Roman" w:eastAsiaTheme="minorEastAsia"/>
          <w:b/>
          <w:bCs/>
          <w:color w:val="auto"/>
          <w:sz w:val="24"/>
          <w:szCs w:val="24"/>
        </w:rPr>
        <w:t>本工程消毒推荐紫外线消毒+次氯酸钠辅助消毒。</w:t>
      </w:r>
    </w:p>
    <w:p w14:paraId="7E79CD9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9、</w:t>
      </w:r>
      <w:r>
        <w:rPr>
          <w:rFonts w:hint="default" w:ascii="Times New Roman" w:hAnsi="Times New Roman" w:cs="Times New Roman" w:eastAsiaTheme="minorEastAsia"/>
          <w:b/>
          <w:bCs/>
          <w:color w:val="auto"/>
          <w:sz w:val="24"/>
          <w:szCs w:val="24"/>
        </w:rPr>
        <w:t>污泥处理工艺方案</w:t>
      </w:r>
    </w:p>
    <w:p w14:paraId="671C2EC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污水处理过程中大部分污染物质转化成污泥。生污泥含水率高、有机物含量较高，不稳定，还含有致病菌和寄生虫卵，若不妥善处理和处置，将造成二次污染。因此，必须对污泥进行处理和处置。</w:t>
      </w:r>
    </w:p>
    <w:p w14:paraId="4991E50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污泥处理的目的是：分解有机物，杀灭致病菌和寄生虫卵，使污泥稳定化；降低水分，减少污泥体积，便于运输和处置；尽量利用污泥中的资源；避免磷的释放和污染。</w:t>
      </w:r>
    </w:p>
    <w:p w14:paraId="6BEDD18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城市污水处理厂传统的污泥处理流程框图如下图所示。</w:t>
      </w:r>
    </w:p>
    <w:p w14:paraId="02852715">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textAlignment w:val="baseline"/>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eastAsiaTheme="minorEastAsia"/>
          <w:color w:val="auto"/>
          <w:sz w:val="24"/>
          <w:szCs w:val="24"/>
          <w:lang w:eastAsia="zh-CN"/>
        </w:rPr>
        <w:drawing>
          <wp:inline distT="0" distB="0" distL="114300" distR="114300">
            <wp:extent cx="5495925" cy="494030"/>
            <wp:effectExtent l="0" t="0" r="9525" b="1270"/>
            <wp:docPr id="162" name="图片 162" descr="1526f8fd60a32916db326e46d064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1526f8fd60a32916db326e46d064a7b"/>
                    <pic:cNvPicPr>
                      <a:picLocks noChangeAspect="1"/>
                    </pic:cNvPicPr>
                  </pic:nvPicPr>
                  <pic:blipFill>
                    <a:blip r:embed="rId57"/>
                    <a:stretch>
                      <a:fillRect/>
                    </a:stretch>
                  </pic:blipFill>
                  <pic:spPr>
                    <a:xfrm>
                      <a:off x="0" y="0"/>
                      <a:ext cx="5495925" cy="494030"/>
                    </a:xfrm>
                    <a:prstGeom prst="rect">
                      <a:avLst/>
                    </a:prstGeom>
                  </pic:spPr>
                </pic:pic>
              </a:graphicData>
            </a:graphic>
          </wp:inline>
        </w:drawing>
      </w:r>
    </w:p>
    <w:p w14:paraId="49F88DDD">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7</w:t>
      </w:r>
      <w:r>
        <w:rPr>
          <w:color w:val="auto"/>
        </w:rPr>
        <w:fldChar w:fldCharType="end"/>
      </w:r>
      <w:r>
        <w:rPr>
          <w:rFonts w:hint="default"/>
          <w:color w:val="auto"/>
          <w:lang w:val="en-US" w:eastAsia="zh-CN"/>
        </w:rPr>
        <w:t xml:space="preserve"> </w:t>
      </w:r>
      <w:r>
        <w:rPr>
          <w:rFonts w:hint="default"/>
          <w:color w:val="auto"/>
        </w:rPr>
        <w:t>污泥处理流程图</w:t>
      </w:r>
    </w:p>
    <w:p w14:paraId="7FA3C34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1</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污泥产量</w:t>
      </w:r>
    </w:p>
    <w:p w14:paraId="4F8F235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中悬浮物质含量越多、溶解性污染浓度越高、污水的净化率越高，其产泥量也就越多。由于进水水质及处理效率在不断变化，难以精确计算污泥产生量。设计时往往根据有关公式计算污泥产量，再结合生产中污泥产量统计值，确定污泥产量。</w:t>
      </w:r>
    </w:p>
    <w:p w14:paraId="5E40CBC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2</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污泥消化工艺</w:t>
      </w:r>
    </w:p>
    <w:p w14:paraId="1F55542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污泥的消化主要有厌氧消化和好氧消化。</w:t>
      </w:r>
    </w:p>
    <w:p w14:paraId="2AF7A0F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厌氧消化</w:t>
      </w:r>
    </w:p>
    <w:p w14:paraId="3BC992B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厌氧消化是最为普遍的污泥稳定处理工艺，一般分为常温消化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不加热</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、中温消化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消化温度约35℃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和高温消化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消化温度约55℃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1445D69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污泥厌氧消化的处理费用相对适中，可以产生沼气。在大型污水处理厂中产生的沼气可以用于加热消化池、驱动鼓风机和发电。</w:t>
      </w:r>
    </w:p>
    <w:p w14:paraId="10F4122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厌氧消化的主要优点</w:t>
      </w:r>
      <w:r>
        <w:rPr>
          <w:rFonts w:hint="eastAsia" w:cs="Times New Roman" w:eastAsiaTheme="minorEastAsia"/>
          <w:color w:val="auto"/>
          <w:sz w:val="24"/>
          <w:szCs w:val="24"/>
          <w:lang w:eastAsia="zh-CN"/>
        </w:rPr>
        <w:t>：</w:t>
      </w:r>
    </w:p>
    <w:p w14:paraId="2EE7F86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·可以产生甲烷</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超过消化加热所需数量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即可以回收能源。</w:t>
      </w:r>
    </w:p>
    <w:p w14:paraId="2B0CACA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·可以使污泥中有机物浓度降低</w:t>
      </w:r>
      <w:r>
        <w:rPr>
          <w:rFonts w:hint="eastAsia" w:cs="Times New Roman" w:eastAsiaTheme="minorEastAsia"/>
          <w:color w:val="auto"/>
          <w:sz w:val="24"/>
          <w:szCs w:val="24"/>
          <w:lang w:eastAsia="zh-CN"/>
        </w:rPr>
        <w:t>40%~60%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减少污泥体积</w:t>
      </w:r>
      <w:r>
        <w:rPr>
          <w:rFonts w:hint="eastAsia" w:cs="Times New Roman" w:eastAsiaTheme="minorEastAsia"/>
          <w:color w:val="auto"/>
          <w:sz w:val="24"/>
          <w:szCs w:val="24"/>
          <w:lang w:eastAsia="zh-CN"/>
        </w:rPr>
        <w:t>30%~50%</w:t>
      </w:r>
      <w:r>
        <w:rPr>
          <w:rFonts w:hint="default" w:ascii="Times New Roman" w:hAnsi="Times New Roman" w:cs="Times New Roman" w:eastAsiaTheme="minorEastAsia"/>
          <w:color w:val="auto"/>
          <w:sz w:val="24"/>
          <w:szCs w:val="24"/>
        </w:rPr>
        <w:t>。</w:t>
      </w:r>
    </w:p>
    <w:p w14:paraId="68429A5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·有利于污泥的脱水处理，进一步减少脱水污泥的体积。</w:t>
      </w:r>
    </w:p>
    <w:p w14:paraId="3AF32AE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·消化稳定后使污泥臭味减少。</w:t>
      </w:r>
    </w:p>
    <w:p w14:paraId="426FE2C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·采用加热高温消化的病原体去除率高。</w:t>
      </w:r>
    </w:p>
    <w:p w14:paraId="7298384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厌氧消化的主要缺点</w:t>
      </w:r>
      <w:r>
        <w:rPr>
          <w:rFonts w:hint="eastAsia" w:cs="Times New Roman" w:eastAsiaTheme="minorEastAsia"/>
          <w:color w:val="auto"/>
          <w:sz w:val="24"/>
          <w:szCs w:val="24"/>
          <w:lang w:eastAsia="zh-CN"/>
        </w:rPr>
        <w:t>：</w:t>
      </w:r>
    </w:p>
    <w:p w14:paraId="7D4DEFA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·基建费用高，机械设备多</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部分是沼气利用设备</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135C743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·需要再次处理的量大</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例如对消化液需要进行除磷处理</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需要加热维持消化所需要的温度等。</w:t>
      </w:r>
    </w:p>
    <w:p w14:paraId="775B426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·从火灾安全角度考虑，需要设置禁火区域，</w:t>
      </w:r>
      <w:r>
        <w:rPr>
          <w:rFonts w:hint="eastAsia" w:cs="Times New Roman" w:eastAsiaTheme="minorEastAsia"/>
          <w:color w:val="auto"/>
          <w:sz w:val="24"/>
          <w:szCs w:val="24"/>
          <w:lang w:eastAsia="zh-CN"/>
        </w:rPr>
        <w:t>使用</w:t>
      </w:r>
      <w:r>
        <w:rPr>
          <w:rFonts w:hint="default" w:ascii="Times New Roman" w:hAnsi="Times New Roman" w:cs="Times New Roman" w:eastAsiaTheme="minorEastAsia"/>
          <w:color w:val="auto"/>
          <w:sz w:val="24"/>
          <w:szCs w:val="24"/>
        </w:rPr>
        <w:t>范围进一步加大。</w:t>
      </w:r>
    </w:p>
    <w:p w14:paraId="51E2104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·管理比较麻烦，运行费用高。</w:t>
      </w:r>
    </w:p>
    <w:p w14:paraId="4F432A2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从国内污水处理厂实际运行情况来看，由于消化产生沼气的甲烷含量不稳定，发的电亦不稳定，给并网和利用造成了困难，因此，大多数污水处理厂都不能很好地利用厌氧消化所产生的沼气。</w:t>
      </w:r>
    </w:p>
    <w:p w14:paraId="338D4BF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研究和实测证明，中温消化对不稳定的污泥，有稳定和减量作用，但其无害化效果不明显。污泥在消化过程中产生的热量少，不能靠此来杀菌，要从外部加热消化池才能达到中温。当污泥温度大于53℃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密闭30min以上时，才能使蛔虫卵100%死亡。当保持120min左右时，大肠菌群才为阴性。我国南方城市多采用常温消化，常温消化无法使污泥达到无害化，也难以达到完全稳定和取得较好的减量效果。</w:t>
      </w:r>
    </w:p>
    <w:p w14:paraId="0589BAC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好氧消化</w:t>
      </w:r>
    </w:p>
    <w:p w14:paraId="2D056FAA">
      <w:pPr>
        <w:pageBreakBefore w:val="0"/>
        <w:wordWrap/>
        <w:bidi w:val="0"/>
        <w:adjustRightInd/>
        <w:snapToGrid/>
        <w:rPr>
          <w:rFonts w:hint="default"/>
          <w:color w:val="auto"/>
        </w:rPr>
      </w:pPr>
      <w:r>
        <w:rPr>
          <w:rFonts w:hint="default"/>
          <w:color w:val="auto"/>
        </w:rPr>
        <w:t>好氧消化主要用于小型污水处理厂中，与厌氧消化相比，该工艺的特点是初期投资较低，动力消耗较大，因为好氧消化需要靠充氧来维持。</w:t>
      </w:r>
    </w:p>
    <w:p w14:paraId="2FCAACFF">
      <w:pPr>
        <w:pageBreakBefore w:val="0"/>
        <w:wordWrap/>
        <w:bidi w:val="0"/>
        <w:adjustRightInd/>
        <w:snapToGrid/>
        <w:rPr>
          <w:rFonts w:hint="default"/>
          <w:color w:val="auto"/>
        </w:rPr>
      </w:pPr>
      <w:r>
        <w:rPr>
          <w:rFonts w:hint="default"/>
          <w:color w:val="auto"/>
        </w:rPr>
        <w:t>实际上在污水处理厂中，厌氧和好氧消化不一定是一种单独的污泥处理工艺，例如采用了泥龄很长的工艺时，水解池内厌氧微生物对去除污泥的水解作用和好氧池内微生物的内源呼吸作用，都使污泥已经部分达到了稳定的程度。由于该种方式总体效果较好，且污泥可直接脱水，故目前已在小型城市污水处理厂中得到广泛应用。</w:t>
      </w:r>
    </w:p>
    <w:p w14:paraId="358FF060">
      <w:pPr>
        <w:pageBreakBefore w:val="0"/>
        <w:wordWrap/>
        <w:bidi w:val="0"/>
        <w:adjustRightInd/>
        <w:snapToGrid/>
        <w:rPr>
          <w:rFonts w:hint="default"/>
          <w:color w:val="auto"/>
        </w:rPr>
      </w:pPr>
      <w:r>
        <w:rPr>
          <w:rFonts w:hint="default"/>
          <w:color w:val="auto"/>
        </w:rPr>
        <w:t>目前对污泥处理，国内已有共识，即对于规模小于10×10⁴</w:t>
      </w:r>
      <w:r>
        <w:rPr>
          <w:rFonts w:hint="eastAsia"/>
          <w:color w:val="auto"/>
          <w:lang w:eastAsia="zh-CN"/>
        </w:rPr>
        <w:t>m³</w:t>
      </w:r>
      <w:r>
        <w:rPr>
          <w:rFonts w:hint="default"/>
          <w:color w:val="auto"/>
        </w:rPr>
        <w:t>/d的</w:t>
      </w:r>
      <w:r>
        <w:rPr>
          <w:rFonts w:hint="eastAsia"/>
          <w:color w:val="auto"/>
          <w:lang w:eastAsia="zh-CN"/>
        </w:rPr>
        <w:t>污水处理厂</w:t>
      </w:r>
      <w:r>
        <w:rPr>
          <w:rFonts w:hint="default"/>
          <w:color w:val="auto"/>
        </w:rPr>
        <w:t>，污泥采用厌氧消化都是不经济的。在《城市污水处理工程项目建设标准》</w:t>
      </w:r>
      <w:r>
        <w:rPr>
          <w:rFonts w:hint="default"/>
          <w:color w:val="auto"/>
          <w:lang w:eastAsia="zh-CN"/>
        </w:rPr>
        <w:t>（</w:t>
      </w:r>
      <w:r>
        <w:rPr>
          <w:rFonts w:hint="default"/>
          <w:color w:val="auto"/>
        </w:rPr>
        <w:t>修订</w:t>
      </w:r>
      <w:r>
        <w:rPr>
          <w:rFonts w:hint="default"/>
          <w:color w:val="auto"/>
          <w:lang w:eastAsia="zh-CN"/>
        </w:rPr>
        <w:t>）</w:t>
      </w:r>
      <w:r>
        <w:rPr>
          <w:rFonts w:hint="default"/>
          <w:color w:val="auto"/>
        </w:rPr>
        <w:t>第三十五条对污泥的消化也指出</w:t>
      </w:r>
      <w:r>
        <w:rPr>
          <w:rFonts w:hint="eastAsia"/>
          <w:color w:val="auto"/>
          <w:lang w:eastAsia="zh-CN"/>
        </w:rPr>
        <w:t>“</w:t>
      </w:r>
      <w:r>
        <w:rPr>
          <w:rFonts w:hint="default"/>
          <w:color w:val="auto"/>
        </w:rPr>
        <w:t>Ⅲ类及以上规模的</w:t>
      </w:r>
      <w:r>
        <w:rPr>
          <w:rFonts w:hint="eastAsia"/>
          <w:color w:val="auto"/>
          <w:lang w:eastAsia="zh-CN"/>
        </w:rPr>
        <w:t>污水处理厂</w:t>
      </w:r>
      <w:r>
        <w:rPr>
          <w:rFonts w:hint="default"/>
          <w:color w:val="auto"/>
        </w:rPr>
        <w:t>宜采用中温厌氧消化</w:t>
      </w:r>
      <w:r>
        <w:rPr>
          <w:rFonts w:hint="eastAsia"/>
          <w:color w:val="auto"/>
          <w:lang w:eastAsia="zh-CN"/>
        </w:rPr>
        <w:t>”</w:t>
      </w:r>
      <w:r>
        <w:rPr>
          <w:rFonts w:hint="default"/>
          <w:color w:val="auto"/>
        </w:rPr>
        <w:t>。</w:t>
      </w:r>
    </w:p>
    <w:p w14:paraId="7BF8258D">
      <w:pPr>
        <w:pageBreakBefore w:val="0"/>
        <w:wordWrap/>
        <w:bidi w:val="0"/>
        <w:adjustRightInd/>
        <w:snapToGrid/>
        <w:rPr>
          <w:rFonts w:hint="default"/>
          <w:color w:val="auto"/>
        </w:rPr>
      </w:pPr>
      <w:r>
        <w:rPr>
          <w:rFonts w:hint="default"/>
          <w:color w:val="auto"/>
        </w:rPr>
        <w:t>国外发达国家污泥均经厌氧消化，是由它们国情决定的：严格的环境保护要求和发达的经济水平。这与我国连污水处理费用尚不能保证是截然不同的。</w:t>
      </w:r>
    </w:p>
    <w:p w14:paraId="39954B6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就本项目而言，由于规模不大，属V类污水厂，采用污泥消化的费效比相当低，且用地面积有限，污泥采用直接浓缩脱水，不经消化。</w:t>
      </w:r>
    </w:p>
    <w:p w14:paraId="2957AE2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3</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污泥浓缩脱水工艺</w:t>
      </w:r>
    </w:p>
    <w:p w14:paraId="6CE117F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污泥浓缩</w:t>
      </w:r>
    </w:p>
    <w:p w14:paraId="7275152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污泥的浓缩是为了减容，为污泥的后续处理创造条件，故它是预处理作业，由于方法简单，成本低，又是必须的作业。</w:t>
      </w:r>
    </w:p>
    <w:p w14:paraId="1D21494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污泥浓缩的方法主要有三种：重力浓缩，气浮浓缩，离心浓缩。其中，应用最多的是重力浓缩。三种方法优缺点如下：</w:t>
      </w:r>
    </w:p>
    <w:p w14:paraId="0DBE47D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a.重力浓缩法</w:t>
      </w:r>
    </w:p>
    <w:p w14:paraId="23EB7FB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操作简单，处理费用低；但占地面积大，效率低</w:t>
      </w:r>
      <w:r>
        <w:rPr>
          <w:rFonts w:hint="eastAsia" w:cs="Times New Roman" w:eastAsiaTheme="minorEastAsia"/>
          <w:color w:val="auto"/>
          <w:sz w:val="24"/>
          <w:szCs w:val="24"/>
          <w:lang w:eastAsia="zh-CN"/>
        </w:rPr>
        <w:t>。</w:t>
      </w:r>
    </w:p>
    <w:p w14:paraId="6CF1D4C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87" w:name="bookmark69"/>
      <w:bookmarkEnd w:id="87"/>
      <w:r>
        <w:rPr>
          <w:rFonts w:hint="default" w:ascii="Times New Roman" w:hAnsi="Times New Roman" w:cs="Times New Roman" w:eastAsiaTheme="minorEastAsia"/>
          <w:color w:val="auto"/>
          <w:sz w:val="24"/>
          <w:szCs w:val="24"/>
        </w:rPr>
        <w:t>b.气浮浓缩法</w:t>
      </w:r>
    </w:p>
    <w:p w14:paraId="703432D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效率高，速度快</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时间为重力法的1/3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污泥稳定性好</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混入了空气，不易腐败</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但基建费和操作费用高，管理复杂。</w:t>
      </w:r>
    </w:p>
    <w:p w14:paraId="08621B3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c.离心浓缩法</w:t>
      </w:r>
    </w:p>
    <w:p w14:paraId="4B12196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效率高</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污泥可被浓缩到</w:t>
      </w:r>
      <w:r>
        <w:rPr>
          <w:rFonts w:hint="eastAsia" w:cs="Times New Roman" w:eastAsiaTheme="minorEastAsia"/>
          <w:color w:val="auto"/>
          <w:sz w:val="24"/>
          <w:szCs w:val="24"/>
          <w:lang w:eastAsia="zh-CN"/>
        </w:rPr>
        <w:t>74%~78%</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速度快</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螺旋卸料型，直径300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400处理速度可达50</w:t>
      </w:r>
      <w:r>
        <w:rPr>
          <w:rFonts w:hint="eastAsia" w:cs="Times New Roman" w:eastAsiaTheme="minorEastAsia"/>
          <w:color w:val="auto"/>
          <w:sz w:val="24"/>
          <w:szCs w:val="24"/>
          <w:lang w:eastAsia="zh-CN"/>
        </w:rPr>
        <w:t>m³</w:t>
      </w:r>
      <w:r>
        <w:rPr>
          <w:rFonts w:hint="default" w:ascii="Times New Roman" w:hAnsi="Times New Roman" w:cs="Times New Roman" w:eastAsiaTheme="minorEastAsia"/>
          <w:color w:val="auto"/>
          <w:sz w:val="24"/>
          <w:szCs w:val="24"/>
        </w:rPr>
        <w:t>/h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但动力和维修管理费高，一般不采用。</w:t>
      </w:r>
    </w:p>
    <w:p w14:paraId="3F69BE23">
      <w:pPr>
        <w:pStyle w:val="15"/>
        <w:numPr>
          <w:ilvl w:val="0"/>
          <w:numId w:val="16"/>
        </w:numPr>
        <w:bidi w:val="0"/>
        <w:ind w:left="0" w:leftChars="0" w:firstLine="0" w:firstLineChars="0"/>
        <w:rPr>
          <w:rFonts w:hint="default"/>
          <w:color w:val="auto"/>
        </w:rPr>
      </w:pPr>
      <w:r>
        <w:rPr>
          <w:rFonts w:hint="default"/>
          <w:color w:val="auto"/>
        </w:rPr>
        <w:t>常用污泥浓缩方法及比较</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129"/>
        <w:gridCol w:w="2019"/>
        <w:gridCol w:w="2331"/>
        <w:gridCol w:w="2880"/>
      </w:tblGrid>
      <w:tr w14:paraId="54E2CB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3440933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浓缩方法</w:t>
            </w:r>
          </w:p>
        </w:tc>
        <w:tc>
          <w:tcPr>
            <w:tcW w:w="1207" w:type="pct"/>
            <w:tcBorders>
              <w:tl2br w:val="nil"/>
              <w:tr2bl w:val="nil"/>
            </w:tcBorders>
            <w:vAlign w:val="center"/>
          </w:tcPr>
          <w:p w14:paraId="43F145B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优点</w:t>
            </w:r>
          </w:p>
        </w:tc>
        <w:tc>
          <w:tcPr>
            <w:tcW w:w="1394" w:type="pct"/>
            <w:tcBorders>
              <w:tl2br w:val="nil"/>
              <w:tr2bl w:val="nil"/>
            </w:tcBorders>
            <w:vAlign w:val="center"/>
          </w:tcPr>
          <w:p w14:paraId="7049FAF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缺点</w:t>
            </w:r>
          </w:p>
        </w:tc>
        <w:tc>
          <w:tcPr>
            <w:tcW w:w="1722" w:type="pct"/>
            <w:tcBorders>
              <w:tl2br w:val="nil"/>
              <w:tr2bl w:val="nil"/>
            </w:tcBorders>
            <w:vAlign w:val="center"/>
          </w:tcPr>
          <w:p w14:paraId="353CE4C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适用范围</w:t>
            </w:r>
          </w:p>
        </w:tc>
      </w:tr>
      <w:tr w14:paraId="021BF5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122B44F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重力浓缩法</w:t>
            </w:r>
          </w:p>
        </w:tc>
        <w:tc>
          <w:tcPr>
            <w:tcW w:w="1207" w:type="pct"/>
            <w:tcBorders>
              <w:tl2br w:val="nil"/>
              <w:tr2bl w:val="nil"/>
            </w:tcBorders>
            <w:vAlign w:val="center"/>
          </w:tcPr>
          <w:p w14:paraId="1ACA960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贮泥能力强，动力消耗小；运行费用低，操作简便</w:t>
            </w:r>
          </w:p>
        </w:tc>
        <w:tc>
          <w:tcPr>
            <w:tcW w:w="1394" w:type="pct"/>
            <w:tcBorders>
              <w:tl2br w:val="nil"/>
              <w:tr2bl w:val="nil"/>
            </w:tcBorders>
            <w:vAlign w:val="center"/>
          </w:tcPr>
          <w:p w14:paraId="253FD34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占地面积较大；浓缩效果较差，浓缩后污泥含水率高；易发酵</w:t>
            </w:r>
            <w:r>
              <w:rPr>
                <w:rFonts w:hint="eastAsia" w:cs="Times New Roman"/>
                <w:color w:val="auto"/>
                <w:sz w:val="21"/>
                <w:szCs w:val="21"/>
                <w:lang w:eastAsia="zh-CN"/>
              </w:rPr>
              <w:t>产生</w:t>
            </w:r>
            <w:r>
              <w:rPr>
                <w:rFonts w:hint="default" w:ascii="Times New Roman" w:hAnsi="Times New Roman" w:eastAsia="宋体" w:cs="Times New Roman"/>
                <w:color w:val="auto"/>
                <w:sz w:val="21"/>
                <w:szCs w:val="21"/>
              </w:rPr>
              <w:t>臭气</w:t>
            </w:r>
          </w:p>
        </w:tc>
        <w:tc>
          <w:tcPr>
            <w:tcW w:w="1722" w:type="pct"/>
            <w:tcBorders>
              <w:tl2br w:val="nil"/>
              <w:tr2bl w:val="nil"/>
            </w:tcBorders>
            <w:vAlign w:val="center"/>
          </w:tcPr>
          <w:p w14:paraId="0CB7C52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主要用于浓缩初沉污泥；初沉污泥和剩余活性污泥的混合污泥浓缩脱水一体机</w:t>
            </w:r>
          </w:p>
        </w:tc>
      </w:tr>
      <w:tr w14:paraId="5F5887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437C52F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气浮浓缩法</w:t>
            </w:r>
          </w:p>
        </w:tc>
        <w:tc>
          <w:tcPr>
            <w:tcW w:w="1207" w:type="pct"/>
            <w:tcBorders>
              <w:tl2br w:val="nil"/>
              <w:tr2bl w:val="nil"/>
            </w:tcBorders>
            <w:vAlign w:val="center"/>
          </w:tcPr>
          <w:p w14:paraId="0B39FA2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占地面积小；浓缩效果较好，浓缩后污泥含水率较低；能同时去除油脂，臭气较少</w:t>
            </w:r>
          </w:p>
        </w:tc>
        <w:tc>
          <w:tcPr>
            <w:tcW w:w="1394" w:type="pct"/>
            <w:tcBorders>
              <w:tl2br w:val="nil"/>
              <w:tr2bl w:val="nil"/>
            </w:tcBorders>
            <w:vAlign w:val="center"/>
          </w:tcPr>
          <w:p w14:paraId="0EF19BE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占地面积、运行费用小于重力浓缩法；污泥贮存能力小于重力浓缩法；动力消耗、操作要求高于重力浓缩法</w:t>
            </w:r>
          </w:p>
        </w:tc>
        <w:tc>
          <w:tcPr>
            <w:tcW w:w="1722" w:type="pct"/>
            <w:tcBorders>
              <w:tl2br w:val="nil"/>
              <w:tr2bl w:val="nil"/>
            </w:tcBorders>
            <w:vAlign w:val="center"/>
          </w:tcPr>
          <w:p w14:paraId="659B3D0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主要用于浓缩初沉污泥；初沉污泥和剩余活性污泥的混合污泥。特别适用于浓缩过程中易发生污泥膨胀、易发酵的剩余活性污泥和生物膜法污泥</w:t>
            </w:r>
          </w:p>
        </w:tc>
      </w:tr>
      <w:tr w14:paraId="6A48D7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3673D48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离心浓缩法</w:t>
            </w:r>
          </w:p>
        </w:tc>
        <w:tc>
          <w:tcPr>
            <w:tcW w:w="1207" w:type="pct"/>
            <w:tcBorders>
              <w:tl2br w:val="nil"/>
              <w:tr2bl w:val="nil"/>
            </w:tcBorders>
            <w:vAlign w:val="center"/>
          </w:tcPr>
          <w:p w14:paraId="0D8CEC8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占地面积很小；处理能力大；浓缩后污泥含水率低，全封闭，无臭气发生</w:t>
            </w:r>
          </w:p>
        </w:tc>
        <w:tc>
          <w:tcPr>
            <w:tcW w:w="1394" w:type="pct"/>
            <w:tcBorders>
              <w:tl2br w:val="nil"/>
              <w:tr2bl w:val="nil"/>
            </w:tcBorders>
            <w:vAlign w:val="center"/>
          </w:tcPr>
          <w:p w14:paraId="657065D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专用离心机价格高；电耗是气浮法的10倍；操作管理要求高</w:t>
            </w:r>
          </w:p>
        </w:tc>
        <w:tc>
          <w:tcPr>
            <w:tcW w:w="1722" w:type="pct"/>
            <w:tcBorders>
              <w:tl2br w:val="nil"/>
              <w:tr2bl w:val="nil"/>
            </w:tcBorders>
            <w:vAlign w:val="center"/>
          </w:tcPr>
          <w:p w14:paraId="5850910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目前主要用于难以浓缩的剩余活性污泥和场地小，卫生要求高，浓缩后污泥含水率很低的场合</w:t>
            </w:r>
          </w:p>
        </w:tc>
      </w:tr>
    </w:tbl>
    <w:p w14:paraId="457A4182">
      <w:pPr>
        <w:pageBreakBefore w:val="0"/>
        <w:wordWrap/>
        <w:bidi w:val="0"/>
        <w:adjustRightInd/>
        <w:snapToGrid/>
        <w:rPr>
          <w:rFonts w:hint="default"/>
          <w:b/>
          <w:bCs/>
          <w:color w:val="auto"/>
        </w:rPr>
      </w:pPr>
      <w:r>
        <w:rPr>
          <w:rFonts w:hint="default"/>
          <w:b/>
          <w:bCs/>
          <w:color w:val="auto"/>
        </w:rPr>
        <w:t>由以上对比分析可知，并结合污水厂运行经验以及管理难易程度来考虑，本项目建议使用重力浓缩法或浓缩脱水一体机对污泥进行浓缩。</w:t>
      </w:r>
    </w:p>
    <w:p w14:paraId="353A5F6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污泥脱水</w:t>
      </w:r>
    </w:p>
    <w:p w14:paraId="1B862E5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污泥脱水的目的是进一步降低含水率，对污泥进行减容处理，污泥脱水的方法有自然干化、机械脱水、污泥烘干及焚烧等，目前，国内外普遍采用机械脱水。</w:t>
      </w:r>
    </w:p>
    <w:p w14:paraId="7398147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就机械脱水处理污泥而言，目前主要有三种方式：</w:t>
      </w:r>
    </w:p>
    <w:p w14:paraId="4F485B1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a.带式污泥浓缩机+带式脱水机；</w:t>
      </w:r>
    </w:p>
    <w:p w14:paraId="3C8D34D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b.离心浓缩+离心脱水机；</w:t>
      </w:r>
    </w:p>
    <w:p w14:paraId="7622B77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c.带式污泥浓缩机+板框脱水机。</w:t>
      </w:r>
    </w:p>
    <w:p w14:paraId="15A720C9">
      <w:pPr>
        <w:pStyle w:val="15"/>
        <w:numPr>
          <w:ilvl w:val="0"/>
          <w:numId w:val="16"/>
        </w:numPr>
        <w:bidi w:val="0"/>
        <w:ind w:left="0" w:leftChars="0" w:firstLine="0" w:firstLineChars="0"/>
        <w:rPr>
          <w:rFonts w:hint="default"/>
          <w:color w:val="auto"/>
        </w:rPr>
      </w:pPr>
      <w:r>
        <w:rPr>
          <w:rFonts w:hint="default"/>
          <w:color w:val="auto"/>
        </w:rPr>
        <w:t>干化工艺比较表</w:t>
      </w:r>
    </w:p>
    <w:tbl>
      <w:tblPr>
        <w:tblStyle w:val="70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1022"/>
        <w:gridCol w:w="1617"/>
        <w:gridCol w:w="1386"/>
        <w:gridCol w:w="1737"/>
        <w:gridCol w:w="1401"/>
        <w:gridCol w:w="1252"/>
      </w:tblGrid>
      <w:tr w14:paraId="2B4592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1A58E03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比较项目</w:t>
            </w:r>
          </w:p>
        </w:tc>
        <w:tc>
          <w:tcPr>
            <w:tcW w:w="960" w:type="pct"/>
            <w:tcBorders>
              <w:tl2br w:val="nil"/>
              <w:tr2bl w:val="nil"/>
            </w:tcBorders>
            <w:vAlign w:val="center"/>
          </w:tcPr>
          <w:p w14:paraId="3309722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技术可靠性</w:t>
            </w:r>
          </w:p>
        </w:tc>
        <w:tc>
          <w:tcPr>
            <w:tcW w:w="823" w:type="pct"/>
            <w:tcBorders>
              <w:tl2br w:val="nil"/>
              <w:tr2bl w:val="nil"/>
            </w:tcBorders>
            <w:vAlign w:val="center"/>
          </w:tcPr>
          <w:p w14:paraId="1495C34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占地和投资</w:t>
            </w:r>
          </w:p>
        </w:tc>
        <w:tc>
          <w:tcPr>
            <w:tcW w:w="1031" w:type="pct"/>
            <w:tcBorders>
              <w:tl2br w:val="nil"/>
              <w:tr2bl w:val="nil"/>
            </w:tcBorders>
            <w:vAlign w:val="center"/>
          </w:tcPr>
          <w:p w14:paraId="330087F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实施难度</w:t>
            </w:r>
          </w:p>
        </w:tc>
        <w:tc>
          <w:tcPr>
            <w:tcW w:w="832" w:type="pct"/>
            <w:tcBorders>
              <w:tl2br w:val="nil"/>
              <w:tr2bl w:val="nil"/>
            </w:tcBorders>
            <w:vAlign w:val="center"/>
          </w:tcPr>
          <w:p w14:paraId="1EFE476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环境影响</w:t>
            </w:r>
          </w:p>
        </w:tc>
        <w:tc>
          <w:tcPr>
            <w:tcW w:w="743" w:type="pct"/>
            <w:tcBorders>
              <w:tl2br w:val="nil"/>
              <w:tr2bl w:val="nil"/>
            </w:tcBorders>
            <w:vAlign w:val="center"/>
          </w:tcPr>
          <w:p w14:paraId="3E963C0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处置成本</w:t>
            </w:r>
          </w:p>
        </w:tc>
      </w:tr>
      <w:tr w14:paraId="7222D2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557AC86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带式或板框脱水</w:t>
            </w:r>
          </w:p>
        </w:tc>
        <w:tc>
          <w:tcPr>
            <w:tcW w:w="960" w:type="pct"/>
            <w:tcBorders>
              <w:tl2br w:val="nil"/>
              <w:tr2bl w:val="nil"/>
            </w:tcBorders>
            <w:vAlign w:val="center"/>
          </w:tcPr>
          <w:p w14:paraId="14BF6DB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利用带式或板框式进行机械挤压干化，技术可靠</w:t>
            </w:r>
          </w:p>
        </w:tc>
        <w:tc>
          <w:tcPr>
            <w:tcW w:w="823" w:type="pct"/>
            <w:tcBorders>
              <w:tl2br w:val="nil"/>
              <w:tr2bl w:val="nil"/>
            </w:tcBorders>
            <w:vAlign w:val="center"/>
          </w:tcPr>
          <w:p w14:paraId="34C9EEC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占地面积很大，工程总投资较小</w:t>
            </w:r>
          </w:p>
        </w:tc>
        <w:tc>
          <w:tcPr>
            <w:tcW w:w="1031" w:type="pct"/>
            <w:tcBorders>
              <w:tl2br w:val="nil"/>
              <w:tr2bl w:val="nil"/>
            </w:tcBorders>
            <w:vAlign w:val="center"/>
          </w:tcPr>
          <w:p w14:paraId="621229B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污泥减量能力有限，最终含水率在65-85%左右</w:t>
            </w:r>
          </w:p>
        </w:tc>
        <w:tc>
          <w:tcPr>
            <w:tcW w:w="832" w:type="pct"/>
            <w:tcBorders>
              <w:tl2br w:val="nil"/>
              <w:tr2bl w:val="nil"/>
            </w:tcBorders>
            <w:vAlign w:val="center"/>
          </w:tcPr>
          <w:p w14:paraId="2B5F003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产生脱水废水，需进一步处理</w:t>
            </w:r>
          </w:p>
        </w:tc>
        <w:tc>
          <w:tcPr>
            <w:tcW w:w="743" w:type="pct"/>
            <w:tcBorders>
              <w:tl2br w:val="nil"/>
              <w:tr2bl w:val="nil"/>
            </w:tcBorders>
            <w:vAlign w:val="center"/>
          </w:tcPr>
          <w:p w14:paraId="6B0DB64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约250元/吨，成本较小</w:t>
            </w:r>
          </w:p>
        </w:tc>
      </w:tr>
      <w:tr w14:paraId="203D49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1CE444E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离心脱水</w:t>
            </w:r>
          </w:p>
        </w:tc>
        <w:tc>
          <w:tcPr>
            <w:tcW w:w="960" w:type="pct"/>
            <w:tcBorders>
              <w:tl2br w:val="nil"/>
              <w:tr2bl w:val="nil"/>
            </w:tcBorders>
            <w:vAlign w:val="center"/>
          </w:tcPr>
          <w:p w14:paraId="2C51282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利用高速旋转产生的离心力作用</w:t>
            </w:r>
          </w:p>
        </w:tc>
        <w:tc>
          <w:tcPr>
            <w:tcW w:w="823" w:type="pct"/>
            <w:tcBorders>
              <w:tl2br w:val="nil"/>
              <w:tr2bl w:val="nil"/>
            </w:tcBorders>
            <w:vAlign w:val="center"/>
          </w:tcPr>
          <w:p w14:paraId="18302E0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占地面积小，工程总投资较大</w:t>
            </w:r>
          </w:p>
        </w:tc>
        <w:tc>
          <w:tcPr>
            <w:tcW w:w="1031" w:type="pct"/>
            <w:tcBorders>
              <w:tl2br w:val="nil"/>
              <w:tr2bl w:val="nil"/>
            </w:tcBorders>
            <w:vAlign w:val="center"/>
          </w:tcPr>
          <w:p w14:paraId="7F25896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污泥减量能力有限，最终含水率在70%左右</w:t>
            </w:r>
          </w:p>
        </w:tc>
        <w:tc>
          <w:tcPr>
            <w:tcW w:w="832" w:type="pct"/>
            <w:tcBorders>
              <w:tl2br w:val="nil"/>
              <w:tr2bl w:val="nil"/>
            </w:tcBorders>
            <w:vAlign w:val="center"/>
          </w:tcPr>
          <w:p w14:paraId="29210D6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产生脱水废水，需进一步处理</w:t>
            </w:r>
          </w:p>
        </w:tc>
        <w:tc>
          <w:tcPr>
            <w:tcW w:w="743" w:type="pct"/>
            <w:tcBorders>
              <w:tl2br w:val="nil"/>
              <w:tr2bl w:val="nil"/>
            </w:tcBorders>
            <w:vAlign w:val="center"/>
          </w:tcPr>
          <w:p w14:paraId="228D3F4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约300元/吨，成本中等</w:t>
            </w:r>
          </w:p>
        </w:tc>
      </w:tr>
    </w:tbl>
    <w:p w14:paraId="2A6269E1">
      <w:pPr>
        <w:pageBreakBefore w:val="0"/>
        <w:wordWrap/>
        <w:bidi w:val="0"/>
        <w:adjustRightInd/>
        <w:snapToGrid/>
        <w:rPr>
          <w:rFonts w:hint="default"/>
          <w:b/>
          <w:bCs/>
          <w:color w:val="auto"/>
        </w:rPr>
      </w:pPr>
      <w:r>
        <w:rPr>
          <w:rFonts w:hint="default"/>
          <w:b/>
          <w:bCs/>
          <w:color w:val="auto"/>
        </w:rPr>
        <w:t>结合本工程情况，脱水污泥含水率需不高于60%</w:t>
      </w:r>
      <w:r>
        <w:rPr>
          <w:rFonts w:hint="default"/>
          <w:b/>
          <w:bCs/>
          <w:color w:val="auto"/>
          <w:lang w:eastAsia="zh-CN"/>
        </w:rPr>
        <w:t>，</w:t>
      </w:r>
      <w:r>
        <w:rPr>
          <w:rFonts w:hint="default"/>
          <w:b/>
          <w:bCs/>
          <w:color w:val="auto"/>
        </w:rPr>
        <w:t>因此最终拟采用带式浓缩脱水机+板框脱水机。</w:t>
      </w:r>
    </w:p>
    <w:p w14:paraId="6CF5326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4</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污泥最终处置</w:t>
      </w:r>
    </w:p>
    <w:p w14:paraId="68D5D4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目前我国城市污水处理厂污泥大都采用填埋方式处置，国外许多国家对污泥处置采用较多的方法是焚烧、卫生填埋、堆肥、干化利用和投海等。</w:t>
      </w:r>
    </w:p>
    <w:p w14:paraId="06D2811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污泥处置工艺概述</w:t>
      </w:r>
    </w:p>
    <w:p w14:paraId="17D3111B">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
          <w:bCs/>
          <w:color w:val="auto"/>
          <w:sz w:val="24"/>
          <w:szCs w:val="24"/>
        </w:rPr>
        <w:t>焚烧处置</w:t>
      </w:r>
      <w:r>
        <w:rPr>
          <w:rFonts w:hint="eastAsia" w:cs="Times New Roman" w:eastAsiaTheme="minorEastAsia"/>
          <w:b/>
          <w:bCs/>
          <w:color w:val="auto"/>
          <w:sz w:val="24"/>
          <w:szCs w:val="24"/>
          <w:lang w:eastAsia="zh-CN"/>
        </w:rPr>
        <w:t>：</w:t>
      </w:r>
    </w:p>
    <w:p w14:paraId="5463834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对污泥进行焚烧处置，可以做到污泥的无机化和无害化。</w:t>
      </w:r>
    </w:p>
    <w:p w14:paraId="5062DB2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用于污泥焚烧处理的焚烧炉有多层焚烧炉、流化床焚烧炉、电红外焚烧炉、复合床焚烧炉等，常用的是多层焚烧炉和流化床焚烧炉。</w:t>
      </w:r>
    </w:p>
    <w:p w14:paraId="2286CCF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88" w:name="bookmark72"/>
      <w:bookmarkEnd w:id="88"/>
      <w:bookmarkStart w:id="89" w:name="bookmark71"/>
      <w:bookmarkEnd w:id="89"/>
      <w:bookmarkStart w:id="90" w:name="bookmark70"/>
      <w:bookmarkEnd w:id="90"/>
      <w:r>
        <w:rPr>
          <w:rFonts w:hint="default" w:ascii="Times New Roman" w:hAnsi="Times New Roman" w:cs="Times New Roman" w:eastAsiaTheme="minorEastAsia"/>
          <w:color w:val="auto"/>
          <w:sz w:val="24"/>
          <w:szCs w:val="24"/>
        </w:rPr>
        <w:t>污泥焚烧是否需要外加燃料，取决于污泥本身的热值</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如有机物含量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和污泥的含水率。含水率为</w:t>
      </w:r>
      <w:r>
        <w:rPr>
          <w:rFonts w:hint="eastAsia" w:cs="Times New Roman" w:eastAsiaTheme="minorEastAsia"/>
          <w:color w:val="auto"/>
          <w:sz w:val="24"/>
          <w:szCs w:val="24"/>
          <w:lang w:eastAsia="zh-CN"/>
        </w:rPr>
        <w:t>70%~80%</w:t>
      </w:r>
      <w:r>
        <w:rPr>
          <w:rFonts w:hint="default" w:ascii="Times New Roman" w:hAnsi="Times New Roman" w:cs="Times New Roman" w:eastAsiaTheme="minorEastAsia"/>
          <w:color w:val="auto"/>
          <w:sz w:val="24"/>
          <w:szCs w:val="24"/>
        </w:rPr>
        <w:t>的污泥进行焚烧时一般需要添加辅助燃料，污泥的热值为5×10³kJ/kgDS以上的污泥一般不需辅助燃料就可以焚烧。</w:t>
      </w:r>
    </w:p>
    <w:p w14:paraId="1091605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焚烧处置需要配套前处理和后续处理设施。重要的配套处理工艺包括三方面：对于焚烧前的污泥进行干化处理，以便使污泥能够自燃，从而减少辅助燃料的消耗量，降低运行成本；需要对尾气进行处理，以便达到规定的排放标准，保护大气；对废热进行回收利用等。</w:t>
      </w:r>
    </w:p>
    <w:p w14:paraId="7377388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①焚烧处置优点</w:t>
      </w:r>
    </w:p>
    <w:p w14:paraId="769C9E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对污泥处置迅速，减容量大</w:t>
      </w:r>
      <w:r>
        <w:rPr>
          <w:rFonts w:hint="default" w:ascii="Times New Roman" w:hAnsi="Times New Roman" w:cs="Times New Roman" w:eastAsiaTheme="minorEastAsia"/>
          <w:color w:val="auto"/>
          <w:sz w:val="24"/>
          <w:szCs w:val="24"/>
          <w:lang w:eastAsia="zh-CN"/>
        </w:rPr>
        <w:t>（</w:t>
      </w:r>
      <w:r>
        <w:rPr>
          <w:rFonts w:hint="eastAsia" w:cs="Times New Roman" w:eastAsiaTheme="minorEastAsia"/>
          <w:color w:val="auto"/>
          <w:sz w:val="24"/>
          <w:szCs w:val="24"/>
          <w:lang w:eastAsia="zh-CN"/>
        </w:rPr>
        <w:t>70%~90%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无害化程度高，占地面积小。</w:t>
      </w:r>
    </w:p>
    <w:p w14:paraId="420DC41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②焚烧处置缺点</w:t>
      </w:r>
    </w:p>
    <w:p w14:paraId="12564D3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工艺复杂，一次性投资大；设备数量多，操作管理复杂，能耗高，运行管理费亦高；潜在的大气污染及二噁英危险。</w:t>
      </w:r>
    </w:p>
    <w:p w14:paraId="248D81D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焚烧法适于经济发达地区。</w:t>
      </w:r>
    </w:p>
    <w:p w14:paraId="31CA459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
          <w:bCs/>
          <w:color w:val="auto"/>
          <w:sz w:val="24"/>
          <w:szCs w:val="24"/>
        </w:rPr>
        <w:t>堆肥</w:t>
      </w:r>
      <w:r>
        <w:rPr>
          <w:rFonts w:hint="eastAsia" w:cs="Times New Roman" w:eastAsiaTheme="minorEastAsia"/>
          <w:color w:val="auto"/>
          <w:sz w:val="24"/>
          <w:szCs w:val="24"/>
          <w:lang w:eastAsia="zh-CN"/>
        </w:rPr>
        <w:t>：</w:t>
      </w:r>
    </w:p>
    <w:p w14:paraId="3E7E040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与城市生活垃圾混合高温堆肥，污泥腐熟程度高，病原体和寄生虫卵去除较彻底。堆肥可以使富含氮、磷等元素的污泥用作肥料或者土壤改良剂。生污泥、消化污泥或经过化学稳定处理的污泥都可以进行堆肥处理。</w:t>
      </w:r>
    </w:p>
    <w:p w14:paraId="5C2DF2C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常用的污泥堆肥方法有三种。</w:t>
      </w:r>
    </w:p>
    <w:p w14:paraId="49141DC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①好氧静态堆肥</w:t>
      </w:r>
    </w:p>
    <w:p w14:paraId="79A4B02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脱水泥饼与粗的填充剂如</w:t>
      </w:r>
      <w:r>
        <w:rPr>
          <w:rFonts w:hint="eastAsia" w:cs="Times New Roman" w:eastAsiaTheme="minorEastAsia"/>
          <w:color w:val="auto"/>
          <w:sz w:val="24"/>
          <w:szCs w:val="24"/>
          <w:lang w:eastAsia="zh-CN"/>
        </w:rPr>
        <w:t>木屑</w:t>
      </w:r>
      <w:r>
        <w:rPr>
          <w:rFonts w:hint="default" w:ascii="Times New Roman" w:hAnsi="Times New Roman" w:cs="Times New Roman" w:eastAsiaTheme="minorEastAsia"/>
          <w:color w:val="auto"/>
          <w:sz w:val="24"/>
          <w:szCs w:val="24"/>
        </w:rPr>
        <w:t>混合，混合物堆放在填料床上，填料床内设有风管，采用鼓风机进行供氧，空气流动方式可以是上流式或下流式。料堆表面用一层熟料覆盖，以便隔离和吸收臭气。堆肥过</w:t>
      </w:r>
      <w:bookmarkStart w:id="91" w:name="bookmark74"/>
      <w:bookmarkEnd w:id="91"/>
      <w:bookmarkStart w:id="92" w:name="bookmark75"/>
      <w:bookmarkEnd w:id="92"/>
      <w:bookmarkStart w:id="93" w:name="bookmark76"/>
      <w:bookmarkEnd w:id="93"/>
      <w:bookmarkStart w:id="94" w:name="bookmark73"/>
      <w:bookmarkEnd w:id="94"/>
      <w:r>
        <w:rPr>
          <w:rFonts w:hint="default" w:ascii="Times New Roman" w:hAnsi="Times New Roman" w:cs="Times New Roman" w:eastAsiaTheme="minorEastAsia"/>
          <w:color w:val="auto"/>
          <w:sz w:val="24"/>
          <w:szCs w:val="24"/>
        </w:rPr>
        <w:t>程完成后，可以将堆料打碎，采用筛分机把填充剂分离出来，以便再用。</w:t>
      </w:r>
    </w:p>
    <w:p w14:paraId="1EAAE80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②好氧动态堆肥</w:t>
      </w:r>
    </w:p>
    <w:p w14:paraId="406E6EE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料被堆放成长条形，料堆应具有较大的比表面积，以便进行空气的对流与扩散。也可以进行强制鼓风。料堆由机械设备进行周期性的翻堆。还有一种DANO工艺，污泥在旋转的滚筒中进行好氧发酵，需氧由鼓风机供给。该法机械化程度高，周期短，环境条件好，是最先进的堆肥工艺。但动力消耗和维护工作量大。</w:t>
      </w:r>
    </w:p>
    <w:p w14:paraId="21C2299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③料仓堆肥</w:t>
      </w:r>
    </w:p>
    <w:p w14:paraId="2D5186D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混合料从堆肥仓的一端进入，向堆肥仓的出料端运动，达到足够的停留时间后离开堆肥仓。采用强制鼓风的方式使空气通过堆肥仓，混合料则可以以不进行扰动的推流方式或进行周期性混合的方式经过堆肥仓。</w:t>
      </w:r>
    </w:p>
    <w:p w14:paraId="0531080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在堆肥过程中，微生物活动需要氧气，产生二氧化碳、水蒸气和热量。虽然堆肥的温度可以超过70℃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但是常用的堆肥温度为50~60℃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经过3</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10d</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堆肥温度逐渐下降。在堆肥过程中除需要供氧外，还需要除去废气、水蒸气和热量。通气量可以控制堆肥温度和干化速率。</w:t>
      </w:r>
    </w:p>
    <w:p w14:paraId="0E59A72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堆肥过程可以除去水分，污泥的含固率可以由40%提高到55%。堆肥最大的缺点是生产周期较长，必须严格控制污泥中的重金属等有害物，堆肥产品受市场影响较大。</w:t>
      </w:r>
    </w:p>
    <w:p w14:paraId="690CC445">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卫生填埋</w:t>
      </w:r>
      <w:r>
        <w:rPr>
          <w:rFonts w:hint="eastAsia" w:cs="Times New Roman" w:eastAsiaTheme="minorEastAsia"/>
          <w:b/>
          <w:bCs/>
          <w:color w:val="auto"/>
          <w:sz w:val="24"/>
          <w:szCs w:val="24"/>
          <w:lang w:eastAsia="zh-CN"/>
        </w:rPr>
        <w:t>：</w:t>
      </w:r>
    </w:p>
    <w:p w14:paraId="42EF444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污泥卫生填埋是把脱水污泥运到卫生填埋场与城市垃圾一起，按卫生填埋操作进行处置的工艺。常见的有厌氧和兼氧卫生填埋两种。</w:t>
      </w:r>
    </w:p>
    <w:p w14:paraId="6EB6A55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95" w:name="bookmark77"/>
      <w:bookmarkEnd w:id="95"/>
      <w:bookmarkStart w:id="96" w:name="bookmark78"/>
      <w:bookmarkEnd w:id="96"/>
      <w:r>
        <w:rPr>
          <w:rFonts w:hint="default" w:ascii="Times New Roman" w:hAnsi="Times New Roman" w:cs="Times New Roman" w:eastAsiaTheme="minorEastAsia"/>
          <w:color w:val="auto"/>
          <w:sz w:val="24"/>
          <w:szCs w:val="24"/>
        </w:rPr>
        <w:t>卫生填埋法处置具有处理量大、投资省、运行费低、操作简单、管理方便，对污泥适应能力强等优点。但亦具有占地大，渗滤液及臭气污染较重等缺点。</w:t>
      </w:r>
    </w:p>
    <w:p w14:paraId="73100A5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卫生填埋法适宜于填埋场地容易选取、运距较近、有覆盖土的地方。迄今为止，卫生填埋法是国内外处理城市污水处理厂脱水污泥最常用的方法。</w:t>
      </w:r>
    </w:p>
    <w:p w14:paraId="03ECA75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干化利用</w:t>
      </w:r>
      <w:r>
        <w:rPr>
          <w:rFonts w:hint="eastAsia" w:cs="Times New Roman" w:eastAsiaTheme="minorEastAsia"/>
          <w:b/>
          <w:bCs/>
          <w:color w:val="auto"/>
          <w:sz w:val="24"/>
          <w:szCs w:val="24"/>
          <w:lang w:eastAsia="zh-CN"/>
        </w:rPr>
        <w:t>：</w:t>
      </w:r>
    </w:p>
    <w:p w14:paraId="69C8C88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采用热干化工艺的产品一般含水率10%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20%、粒径为1</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4mm的固体颗粒，污泥颗粒可直接用于农业、园林、燃料或进行填埋处置。</w:t>
      </w:r>
    </w:p>
    <w:p w14:paraId="206C6349">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污泥处置工艺选择</w:t>
      </w:r>
    </w:p>
    <w:p w14:paraId="0D019F2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要确定适宜的污泥处置工艺，特别是要走污泥综合利用的道路，</w:t>
      </w:r>
    </w:p>
    <w:p w14:paraId="3FD3DC4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就应知道现有</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，并预测未来</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，才能收到良好的效果。</w:t>
      </w:r>
    </w:p>
    <w:p w14:paraId="30AD11F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鉴于目前A在</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方面积累的资料有限，同时考虑到本</w:t>
      </w:r>
      <w:r>
        <w:rPr>
          <w:rFonts w:hint="eastAsia" w:cs="Times New Roman" w:eastAsiaTheme="minorEastAsia"/>
          <w:color w:val="auto"/>
          <w:sz w:val="24"/>
          <w:szCs w:val="24"/>
          <w:lang w:eastAsia="zh-CN"/>
        </w:rPr>
        <w:t>污水处理厂</w:t>
      </w:r>
      <w:r>
        <w:rPr>
          <w:rFonts w:hint="default" w:ascii="Times New Roman" w:hAnsi="Times New Roman" w:cs="Times New Roman" w:eastAsiaTheme="minorEastAsia"/>
          <w:color w:val="auto"/>
          <w:sz w:val="24"/>
          <w:szCs w:val="24"/>
        </w:rPr>
        <w:t>工业废水比例很大，</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复杂，不适宜用于堆肥处理；而焚烧处置则需要更大的工程投资。</w:t>
      </w:r>
      <w:r>
        <w:rPr>
          <w:rFonts w:hint="default" w:ascii="Times New Roman" w:hAnsi="Times New Roman" w:cs="Times New Roman" w:eastAsiaTheme="minorEastAsia"/>
          <w:b/>
          <w:bCs/>
          <w:color w:val="auto"/>
          <w:sz w:val="24"/>
          <w:szCs w:val="24"/>
        </w:rPr>
        <w:t>因此，本项目污泥暂定为卫生填埋，待正式运营对污泥成分进行测定后再确定最终的处置去除。</w:t>
      </w:r>
    </w:p>
    <w:p w14:paraId="7B2A0F01">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10、</w:t>
      </w:r>
      <w:r>
        <w:rPr>
          <w:rFonts w:hint="default" w:ascii="Times New Roman" w:hAnsi="Times New Roman" w:cs="Times New Roman" w:eastAsiaTheme="minorEastAsia"/>
          <w:b/>
          <w:bCs/>
          <w:color w:val="auto"/>
          <w:sz w:val="24"/>
          <w:szCs w:val="24"/>
        </w:rPr>
        <w:t>厂区除臭工艺方案</w:t>
      </w:r>
    </w:p>
    <w:p w14:paraId="763B7925">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一</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污水处理设施中臭气的来源</w:t>
      </w:r>
      <w:r>
        <w:rPr>
          <w:rFonts w:hint="eastAsia" w:cs="Times New Roman" w:eastAsiaTheme="minorEastAsia"/>
          <w:b/>
          <w:bCs/>
          <w:color w:val="auto"/>
          <w:sz w:val="24"/>
          <w:szCs w:val="24"/>
          <w:lang w:eastAsia="zh-CN"/>
        </w:rPr>
        <w:t>与成分</w:t>
      </w:r>
    </w:p>
    <w:p w14:paraId="35049FD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臭气的来源</w:t>
      </w:r>
    </w:p>
    <w:p w14:paraId="696AA72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污水处理设施中臭气的来源与气味值如</w:t>
      </w:r>
      <w:r>
        <w:rPr>
          <w:rFonts w:hint="eastAsia" w:cs="Times New Roman" w:eastAsiaTheme="minorEastAsia"/>
          <w:color w:val="auto"/>
          <w:sz w:val="24"/>
          <w:szCs w:val="24"/>
          <w:lang w:val="en-US" w:eastAsia="zh-CN"/>
        </w:rPr>
        <w:t>下表</w:t>
      </w:r>
      <w:r>
        <w:rPr>
          <w:rFonts w:hint="default" w:ascii="Times New Roman" w:hAnsi="Times New Roman" w:cs="Times New Roman" w:eastAsiaTheme="minorEastAsia"/>
          <w:color w:val="auto"/>
          <w:sz w:val="24"/>
          <w:szCs w:val="24"/>
        </w:rPr>
        <w:t>所示。</w:t>
      </w:r>
    </w:p>
    <w:p w14:paraId="1FED8EC7">
      <w:pPr>
        <w:pStyle w:val="15"/>
        <w:numPr>
          <w:ilvl w:val="0"/>
          <w:numId w:val="16"/>
        </w:numPr>
        <w:bidi w:val="0"/>
        <w:ind w:left="0" w:leftChars="0" w:firstLine="0" w:firstLineChars="0"/>
        <w:rPr>
          <w:rFonts w:hint="default"/>
          <w:color w:val="auto"/>
        </w:rPr>
      </w:pPr>
      <w:r>
        <w:rPr>
          <w:rFonts w:hint="default"/>
          <w:color w:val="auto"/>
        </w:rPr>
        <w:t>臭气的来源与气味值</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15"/>
        <w:gridCol w:w="3175"/>
        <w:gridCol w:w="1769"/>
        <w:gridCol w:w="1944"/>
      </w:tblGrid>
      <w:tr w14:paraId="264DDA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7D5DFCED">
            <w:pPr>
              <w:pStyle w:val="12"/>
              <w:pageBreakBefore w:val="0"/>
              <w:wordWrap/>
              <w:bidi w:val="0"/>
              <w:adjustRightInd/>
              <w:snapToGrid/>
              <w:rPr>
                <w:rFonts w:hint="default"/>
                <w:b/>
                <w:bCs/>
                <w:color w:val="auto"/>
              </w:rPr>
            </w:pPr>
            <w:r>
              <w:rPr>
                <w:rFonts w:hint="default"/>
                <w:b/>
                <w:bCs/>
                <w:color w:val="auto"/>
              </w:rPr>
              <w:t>序号</w:t>
            </w:r>
          </w:p>
        </w:tc>
        <w:tc>
          <w:tcPr>
            <w:tcW w:w="1911" w:type="pct"/>
            <w:tcBorders>
              <w:tl2br w:val="nil"/>
              <w:tr2bl w:val="nil"/>
            </w:tcBorders>
            <w:vAlign w:val="center"/>
          </w:tcPr>
          <w:p w14:paraId="109F866C">
            <w:pPr>
              <w:pStyle w:val="12"/>
              <w:pageBreakBefore w:val="0"/>
              <w:wordWrap/>
              <w:bidi w:val="0"/>
              <w:adjustRightInd/>
              <w:snapToGrid/>
              <w:rPr>
                <w:rFonts w:hint="default"/>
                <w:b/>
                <w:bCs/>
                <w:color w:val="auto"/>
              </w:rPr>
            </w:pPr>
            <w:r>
              <w:rPr>
                <w:rFonts w:hint="default"/>
                <w:b/>
                <w:bCs/>
                <w:color w:val="auto"/>
              </w:rPr>
              <w:t>名称</w:t>
            </w:r>
          </w:p>
        </w:tc>
        <w:tc>
          <w:tcPr>
            <w:tcW w:w="1065" w:type="pct"/>
            <w:tcBorders>
              <w:tl2br w:val="nil"/>
              <w:tr2bl w:val="nil"/>
            </w:tcBorders>
            <w:vAlign w:val="center"/>
          </w:tcPr>
          <w:p w14:paraId="34152945">
            <w:pPr>
              <w:pStyle w:val="12"/>
              <w:pageBreakBefore w:val="0"/>
              <w:wordWrap/>
              <w:bidi w:val="0"/>
              <w:adjustRightInd/>
              <w:snapToGrid/>
              <w:rPr>
                <w:rFonts w:hint="default"/>
                <w:b/>
                <w:bCs/>
                <w:color w:val="auto"/>
              </w:rPr>
            </w:pPr>
            <w:r>
              <w:rPr>
                <w:rFonts w:hint="default"/>
                <w:b/>
                <w:bCs/>
                <w:color w:val="auto"/>
              </w:rPr>
              <w:t>气味值</w:t>
            </w:r>
          </w:p>
        </w:tc>
        <w:tc>
          <w:tcPr>
            <w:tcW w:w="1170" w:type="pct"/>
            <w:tcBorders>
              <w:tl2br w:val="nil"/>
              <w:tr2bl w:val="nil"/>
            </w:tcBorders>
            <w:vAlign w:val="center"/>
          </w:tcPr>
          <w:p w14:paraId="0705D37F">
            <w:pPr>
              <w:pStyle w:val="12"/>
              <w:pageBreakBefore w:val="0"/>
              <w:wordWrap/>
              <w:bidi w:val="0"/>
              <w:adjustRightInd/>
              <w:snapToGrid/>
              <w:rPr>
                <w:rFonts w:hint="default"/>
                <w:b/>
                <w:bCs/>
                <w:color w:val="auto"/>
              </w:rPr>
            </w:pPr>
            <w:r>
              <w:rPr>
                <w:rFonts w:hint="default"/>
                <w:b/>
                <w:bCs/>
                <w:color w:val="auto"/>
              </w:rPr>
              <w:t>波动值</w:t>
            </w:r>
          </w:p>
        </w:tc>
      </w:tr>
      <w:tr w14:paraId="37C525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3633B1FD">
            <w:pPr>
              <w:pStyle w:val="12"/>
              <w:pageBreakBefore w:val="0"/>
              <w:wordWrap/>
              <w:bidi w:val="0"/>
              <w:adjustRightInd/>
              <w:snapToGrid/>
              <w:rPr>
                <w:rFonts w:hint="default"/>
                <w:color w:val="auto"/>
              </w:rPr>
            </w:pPr>
            <w:r>
              <w:rPr>
                <w:rFonts w:hint="default"/>
                <w:color w:val="auto"/>
              </w:rPr>
              <w:t>1</w:t>
            </w:r>
          </w:p>
        </w:tc>
        <w:tc>
          <w:tcPr>
            <w:tcW w:w="1911" w:type="pct"/>
            <w:tcBorders>
              <w:tl2br w:val="nil"/>
              <w:tr2bl w:val="nil"/>
            </w:tcBorders>
            <w:vAlign w:val="center"/>
          </w:tcPr>
          <w:p w14:paraId="2AA3C53F">
            <w:pPr>
              <w:pStyle w:val="12"/>
              <w:pageBreakBefore w:val="0"/>
              <w:wordWrap/>
              <w:bidi w:val="0"/>
              <w:adjustRightInd/>
              <w:snapToGrid/>
              <w:rPr>
                <w:rFonts w:hint="default"/>
                <w:color w:val="auto"/>
              </w:rPr>
            </w:pPr>
            <w:r>
              <w:rPr>
                <w:rFonts w:hint="default"/>
                <w:color w:val="auto"/>
              </w:rPr>
              <w:t>进水</w:t>
            </w:r>
          </w:p>
        </w:tc>
        <w:tc>
          <w:tcPr>
            <w:tcW w:w="1065" w:type="pct"/>
            <w:tcBorders>
              <w:tl2br w:val="nil"/>
              <w:tr2bl w:val="nil"/>
            </w:tcBorders>
            <w:vAlign w:val="center"/>
          </w:tcPr>
          <w:p w14:paraId="59C1D03E">
            <w:pPr>
              <w:pStyle w:val="12"/>
              <w:pageBreakBefore w:val="0"/>
              <w:wordWrap/>
              <w:bidi w:val="0"/>
              <w:adjustRightInd/>
              <w:snapToGrid/>
              <w:rPr>
                <w:rFonts w:hint="default"/>
                <w:color w:val="auto"/>
              </w:rPr>
            </w:pPr>
            <w:r>
              <w:rPr>
                <w:rFonts w:hint="default"/>
                <w:color w:val="auto"/>
              </w:rPr>
              <w:t>45</w:t>
            </w:r>
          </w:p>
        </w:tc>
        <w:tc>
          <w:tcPr>
            <w:tcW w:w="1170" w:type="pct"/>
            <w:tcBorders>
              <w:tl2br w:val="nil"/>
              <w:tr2bl w:val="nil"/>
            </w:tcBorders>
            <w:vAlign w:val="center"/>
          </w:tcPr>
          <w:p w14:paraId="2FAFA65E">
            <w:pPr>
              <w:pStyle w:val="12"/>
              <w:pageBreakBefore w:val="0"/>
              <w:wordWrap/>
              <w:bidi w:val="0"/>
              <w:adjustRightInd/>
              <w:snapToGrid/>
              <w:rPr>
                <w:rFonts w:hint="default"/>
                <w:color w:val="auto"/>
              </w:rPr>
            </w:pPr>
            <w:r>
              <w:rPr>
                <w:rFonts w:hint="default"/>
                <w:color w:val="auto"/>
              </w:rPr>
              <w:t>25</w:t>
            </w:r>
            <w:r>
              <w:rPr>
                <w:rFonts w:hint="eastAsia"/>
                <w:color w:val="auto"/>
                <w:lang w:eastAsia="zh-CN"/>
              </w:rPr>
              <w:t>~</w:t>
            </w:r>
            <w:r>
              <w:rPr>
                <w:rFonts w:hint="default"/>
                <w:color w:val="auto"/>
              </w:rPr>
              <w:t>80</w:t>
            </w:r>
          </w:p>
        </w:tc>
      </w:tr>
      <w:tr w14:paraId="3EE3A0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4A7AC8CB">
            <w:pPr>
              <w:pStyle w:val="12"/>
              <w:pageBreakBefore w:val="0"/>
              <w:wordWrap/>
              <w:bidi w:val="0"/>
              <w:adjustRightInd/>
              <w:snapToGrid/>
              <w:rPr>
                <w:rFonts w:hint="default"/>
                <w:color w:val="auto"/>
              </w:rPr>
            </w:pPr>
            <w:r>
              <w:rPr>
                <w:rFonts w:hint="default"/>
                <w:color w:val="auto"/>
              </w:rPr>
              <w:t>2</w:t>
            </w:r>
          </w:p>
        </w:tc>
        <w:tc>
          <w:tcPr>
            <w:tcW w:w="1911" w:type="pct"/>
            <w:tcBorders>
              <w:tl2br w:val="nil"/>
              <w:tr2bl w:val="nil"/>
            </w:tcBorders>
            <w:vAlign w:val="center"/>
          </w:tcPr>
          <w:p w14:paraId="4E13F4D4">
            <w:pPr>
              <w:pStyle w:val="12"/>
              <w:pageBreakBefore w:val="0"/>
              <w:wordWrap/>
              <w:bidi w:val="0"/>
              <w:adjustRightInd/>
              <w:snapToGrid/>
              <w:rPr>
                <w:rFonts w:hint="default"/>
                <w:color w:val="auto"/>
              </w:rPr>
            </w:pPr>
            <w:r>
              <w:rPr>
                <w:rFonts w:hint="default"/>
                <w:color w:val="auto"/>
              </w:rPr>
              <w:t>格栅井、提升泵</w:t>
            </w:r>
          </w:p>
        </w:tc>
        <w:tc>
          <w:tcPr>
            <w:tcW w:w="1065" w:type="pct"/>
            <w:tcBorders>
              <w:tl2br w:val="nil"/>
              <w:tr2bl w:val="nil"/>
            </w:tcBorders>
            <w:vAlign w:val="center"/>
          </w:tcPr>
          <w:p w14:paraId="413B53EE">
            <w:pPr>
              <w:pStyle w:val="12"/>
              <w:pageBreakBefore w:val="0"/>
              <w:wordWrap/>
              <w:bidi w:val="0"/>
              <w:adjustRightInd/>
              <w:snapToGrid/>
              <w:rPr>
                <w:rFonts w:hint="default"/>
                <w:color w:val="auto"/>
              </w:rPr>
            </w:pPr>
            <w:r>
              <w:rPr>
                <w:rFonts w:hint="default"/>
                <w:color w:val="auto"/>
              </w:rPr>
              <w:t>85</w:t>
            </w:r>
          </w:p>
        </w:tc>
        <w:tc>
          <w:tcPr>
            <w:tcW w:w="1170" w:type="pct"/>
            <w:tcBorders>
              <w:tl2br w:val="nil"/>
              <w:tr2bl w:val="nil"/>
            </w:tcBorders>
            <w:vAlign w:val="center"/>
          </w:tcPr>
          <w:p w14:paraId="6D409C59">
            <w:pPr>
              <w:pStyle w:val="12"/>
              <w:pageBreakBefore w:val="0"/>
              <w:wordWrap/>
              <w:bidi w:val="0"/>
              <w:adjustRightInd/>
              <w:snapToGrid/>
              <w:rPr>
                <w:rFonts w:hint="default"/>
                <w:color w:val="auto"/>
              </w:rPr>
            </w:pPr>
            <w:r>
              <w:rPr>
                <w:rFonts w:hint="default"/>
                <w:color w:val="auto"/>
              </w:rPr>
              <w:t>32</w:t>
            </w:r>
            <w:r>
              <w:rPr>
                <w:rFonts w:hint="eastAsia"/>
                <w:color w:val="auto"/>
                <w:lang w:eastAsia="zh-CN"/>
              </w:rPr>
              <w:t>~</w:t>
            </w:r>
            <w:r>
              <w:rPr>
                <w:rFonts w:hint="default"/>
                <w:color w:val="auto"/>
              </w:rPr>
              <w:t>136</w:t>
            </w:r>
          </w:p>
        </w:tc>
      </w:tr>
      <w:tr w14:paraId="796B6A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655003F8">
            <w:pPr>
              <w:pStyle w:val="12"/>
              <w:pageBreakBefore w:val="0"/>
              <w:wordWrap/>
              <w:bidi w:val="0"/>
              <w:adjustRightInd/>
              <w:snapToGrid/>
              <w:rPr>
                <w:rFonts w:hint="default"/>
                <w:color w:val="auto"/>
              </w:rPr>
            </w:pPr>
            <w:r>
              <w:rPr>
                <w:rFonts w:hint="default"/>
                <w:color w:val="auto"/>
              </w:rPr>
              <w:t>3</w:t>
            </w:r>
          </w:p>
        </w:tc>
        <w:tc>
          <w:tcPr>
            <w:tcW w:w="1911" w:type="pct"/>
            <w:tcBorders>
              <w:tl2br w:val="nil"/>
              <w:tr2bl w:val="nil"/>
            </w:tcBorders>
            <w:vAlign w:val="center"/>
          </w:tcPr>
          <w:p w14:paraId="37DBA97D">
            <w:pPr>
              <w:pStyle w:val="12"/>
              <w:pageBreakBefore w:val="0"/>
              <w:wordWrap/>
              <w:bidi w:val="0"/>
              <w:adjustRightInd/>
              <w:snapToGrid/>
              <w:rPr>
                <w:rFonts w:hint="default"/>
                <w:color w:val="auto"/>
              </w:rPr>
            </w:pPr>
            <w:r>
              <w:rPr>
                <w:rFonts w:hint="default"/>
                <w:color w:val="auto"/>
              </w:rPr>
              <w:t>沉砂池</w:t>
            </w:r>
          </w:p>
        </w:tc>
        <w:tc>
          <w:tcPr>
            <w:tcW w:w="1065" w:type="pct"/>
            <w:tcBorders>
              <w:tl2br w:val="nil"/>
              <w:tr2bl w:val="nil"/>
            </w:tcBorders>
            <w:vAlign w:val="center"/>
          </w:tcPr>
          <w:p w14:paraId="4F01F19A">
            <w:pPr>
              <w:pStyle w:val="12"/>
              <w:pageBreakBefore w:val="0"/>
              <w:wordWrap/>
              <w:bidi w:val="0"/>
              <w:adjustRightInd/>
              <w:snapToGrid/>
              <w:rPr>
                <w:rFonts w:hint="default"/>
                <w:color w:val="auto"/>
              </w:rPr>
            </w:pPr>
            <w:r>
              <w:rPr>
                <w:rFonts w:hint="default"/>
                <w:color w:val="auto"/>
              </w:rPr>
              <w:t>60</w:t>
            </w:r>
          </w:p>
        </w:tc>
        <w:tc>
          <w:tcPr>
            <w:tcW w:w="1170" w:type="pct"/>
            <w:tcBorders>
              <w:tl2br w:val="nil"/>
              <w:tr2bl w:val="nil"/>
            </w:tcBorders>
            <w:vAlign w:val="center"/>
          </w:tcPr>
          <w:p w14:paraId="66DBBD5B">
            <w:pPr>
              <w:pStyle w:val="12"/>
              <w:pageBreakBefore w:val="0"/>
              <w:wordWrap/>
              <w:bidi w:val="0"/>
              <w:adjustRightInd/>
              <w:snapToGrid/>
              <w:rPr>
                <w:rFonts w:hint="default"/>
                <w:color w:val="auto"/>
              </w:rPr>
            </w:pPr>
            <w:r>
              <w:rPr>
                <w:rFonts w:hint="default"/>
                <w:color w:val="auto"/>
              </w:rPr>
              <w:t>30</w:t>
            </w:r>
            <w:r>
              <w:rPr>
                <w:rFonts w:hint="eastAsia"/>
                <w:color w:val="auto"/>
                <w:lang w:eastAsia="zh-CN"/>
              </w:rPr>
              <w:t>~</w:t>
            </w:r>
            <w:r>
              <w:rPr>
                <w:rFonts w:hint="default"/>
                <w:color w:val="auto"/>
              </w:rPr>
              <w:t>90</w:t>
            </w:r>
          </w:p>
        </w:tc>
      </w:tr>
      <w:tr w14:paraId="3B41E2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0B3059B0">
            <w:pPr>
              <w:pStyle w:val="12"/>
              <w:pageBreakBefore w:val="0"/>
              <w:wordWrap/>
              <w:bidi w:val="0"/>
              <w:adjustRightInd/>
              <w:snapToGrid/>
              <w:rPr>
                <w:rFonts w:hint="default"/>
                <w:color w:val="auto"/>
              </w:rPr>
            </w:pPr>
            <w:r>
              <w:rPr>
                <w:rFonts w:hint="default"/>
                <w:color w:val="auto"/>
              </w:rPr>
              <w:t>4</w:t>
            </w:r>
          </w:p>
        </w:tc>
        <w:tc>
          <w:tcPr>
            <w:tcW w:w="1911" w:type="pct"/>
            <w:tcBorders>
              <w:tl2br w:val="nil"/>
              <w:tr2bl w:val="nil"/>
            </w:tcBorders>
            <w:vAlign w:val="center"/>
          </w:tcPr>
          <w:p w14:paraId="76D59A81">
            <w:pPr>
              <w:pStyle w:val="12"/>
              <w:pageBreakBefore w:val="0"/>
              <w:wordWrap/>
              <w:bidi w:val="0"/>
              <w:adjustRightInd/>
              <w:snapToGrid/>
              <w:rPr>
                <w:rFonts w:hint="default"/>
                <w:color w:val="auto"/>
              </w:rPr>
            </w:pPr>
            <w:r>
              <w:rPr>
                <w:rFonts w:hint="default"/>
                <w:color w:val="auto"/>
              </w:rPr>
              <w:t>一般负荷曝气池</w:t>
            </w:r>
          </w:p>
        </w:tc>
        <w:tc>
          <w:tcPr>
            <w:tcW w:w="1065" w:type="pct"/>
            <w:tcBorders>
              <w:tl2br w:val="nil"/>
              <w:tr2bl w:val="nil"/>
            </w:tcBorders>
            <w:vAlign w:val="center"/>
          </w:tcPr>
          <w:p w14:paraId="7CEBC733">
            <w:pPr>
              <w:pStyle w:val="12"/>
              <w:pageBreakBefore w:val="0"/>
              <w:wordWrap/>
              <w:bidi w:val="0"/>
              <w:adjustRightInd/>
              <w:snapToGrid/>
              <w:rPr>
                <w:rFonts w:hint="default"/>
                <w:color w:val="auto"/>
              </w:rPr>
            </w:pPr>
            <w:r>
              <w:rPr>
                <w:rFonts w:hint="default"/>
                <w:color w:val="auto"/>
              </w:rPr>
              <w:t>50</w:t>
            </w:r>
          </w:p>
        </w:tc>
        <w:tc>
          <w:tcPr>
            <w:tcW w:w="1170" w:type="pct"/>
            <w:tcBorders>
              <w:tl2br w:val="nil"/>
              <w:tr2bl w:val="nil"/>
            </w:tcBorders>
            <w:vAlign w:val="center"/>
          </w:tcPr>
          <w:p w14:paraId="2F86F4BD">
            <w:pPr>
              <w:pStyle w:val="12"/>
              <w:pageBreakBefore w:val="0"/>
              <w:wordWrap/>
              <w:bidi w:val="0"/>
              <w:adjustRightInd/>
              <w:snapToGrid/>
              <w:rPr>
                <w:rFonts w:hint="default"/>
                <w:color w:val="auto"/>
              </w:rPr>
            </w:pPr>
            <w:r>
              <w:rPr>
                <w:rFonts w:hint="default"/>
                <w:color w:val="auto"/>
              </w:rPr>
              <w:t>21</w:t>
            </w:r>
            <w:r>
              <w:rPr>
                <w:rFonts w:hint="eastAsia"/>
                <w:color w:val="auto"/>
                <w:lang w:eastAsia="zh-CN"/>
              </w:rPr>
              <w:t>~</w:t>
            </w:r>
            <w:r>
              <w:rPr>
                <w:rFonts w:hint="default"/>
                <w:color w:val="auto"/>
              </w:rPr>
              <w:t>101</w:t>
            </w:r>
          </w:p>
        </w:tc>
      </w:tr>
      <w:tr w14:paraId="152749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52" w:type="pct"/>
            <w:tcBorders>
              <w:tl2br w:val="nil"/>
              <w:tr2bl w:val="nil"/>
            </w:tcBorders>
            <w:vAlign w:val="center"/>
          </w:tcPr>
          <w:p w14:paraId="43693A4A">
            <w:pPr>
              <w:pStyle w:val="12"/>
              <w:pageBreakBefore w:val="0"/>
              <w:wordWrap/>
              <w:bidi w:val="0"/>
              <w:adjustRightInd/>
              <w:snapToGrid/>
              <w:rPr>
                <w:rFonts w:hint="default"/>
                <w:color w:val="auto"/>
              </w:rPr>
            </w:pPr>
            <w:r>
              <w:rPr>
                <w:rFonts w:hint="default"/>
                <w:color w:val="auto"/>
              </w:rPr>
              <w:t>6</w:t>
            </w:r>
          </w:p>
        </w:tc>
        <w:tc>
          <w:tcPr>
            <w:tcW w:w="1911" w:type="pct"/>
            <w:tcBorders>
              <w:tl2br w:val="nil"/>
              <w:tr2bl w:val="nil"/>
            </w:tcBorders>
            <w:vAlign w:val="center"/>
          </w:tcPr>
          <w:p w14:paraId="6B35214D">
            <w:pPr>
              <w:pStyle w:val="12"/>
              <w:pageBreakBefore w:val="0"/>
              <w:wordWrap/>
              <w:bidi w:val="0"/>
              <w:adjustRightInd/>
              <w:snapToGrid/>
              <w:rPr>
                <w:rFonts w:hint="default"/>
                <w:color w:val="auto"/>
              </w:rPr>
            </w:pPr>
            <w:r>
              <w:rPr>
                <w:rFonts w:hint="default"/>
                <w:color w:val="auto"/>
              </w:rPr>
              <w:t>二沉池</w:t>
            </w:r>
          </w:p>
        </w:tc>
        <w:tc>
          <w:tcPr>
            <w:tcW w:w="1065" w:type="pct"/>
            <w:tcBorders>
              <w:tl2br w:val="nil"/>
              <w:tr2bl w:val="nil"/>
            </w:tcBorders>
            <w:vAlign w:val="center"/>
          </w:tcPr>
          <w:p w14:paraId="02A0DA0C">
            <w:pPr>
              <w:pStyle w:val="12"/>
              <w:pageBreakBefore w:val="0"/>
              <w:wordWrap/>
              <w:bidi w:val="0"/>
              <w:adjustRightInd/>
              <w:snapToGrid/>
              <w:rPr>
                <w:rFonts w:hint="default"/>
                <w:color w:val="auto"/>
              </w:rPr>
            </w:pPr>
            <w:r>
              <w:rPr>
                <w:rFonts w:hint="default"/>
                <w:color w:val="auto"/>
              </w:rPr>
              <w:t>30</w:t>
            </w:r>
          </w:p>
        </w:tc>
        <w:tc>
          <w:tcPr>
            <w:tcW w:w="1170" w:type="pct"/>
            <w:tcBorders>
              <w:tl2br w:val="nil"/>
              <w:tr2bl w:val="nil"/>
            </w:tcBorders>
            <w:vAlign w:val="center"/>
          </w:tcPr>
          <w:p w14:paraId="4FA43668">
            <w:pPr>
              <w:pStyle w:val="12"/>
              <w:pageBreakBefore w:val="0"/>
              <w:wordWrap/>
              <w:bidi w:val="0"/>
              <w:adjustRightInd/>
              <w:snapToGrid/>
              <w:rPr>
                <w:rFonts w:hint="default"/>
                <w:color w:val="auto"/>
              </w:rPr>
            </w:pPr>
            <w:r>
              <w:rPr>
                <w:rFonts w:hint="default"/>
                <w:color w:val="auto"/>
              </w:rPr>
              <w:t>12</w:t>
            </w:r>
            <w:r>
              <w:rPr>
                <w:rFonts w:hint="eastAsia"/>
                <w:color w:val="auto"/>
                <w:lang w:eastAsia="zh-CN"/>
              </w:rPr>
              <w:t>~</w:t>
            </w:r>
            <w:r>
              <w:rPr>
                <w:rFonts w:hint="default"/>
                <w:color w:val="auto"/>
              </w:rPr>
              <w:t>50</w:t>
            </w:r>
          </w:p>
        </w:tc>
      </w:tr>
      <w:tr w14:paraId="6B2726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51" w:type="pct"/>
            <w:tcBorders>
              <w:tl2br w:val="nil"/>
              <w:tr2bl w:val="nil"/>
            </w:tcBorders>
            <w:vAlign w:val="center"/>
          </w:tcPr>
          <w:p w14:paraId="33DD45D3">
            <w:pPr>
              <w:pStyle w:val="12"/>
              <w:pageBreakBefore w:val="0"/>
              <w:wordWrap/>
              <w:bidi w:val="0"/>
              <w:adjustRightInd/>
              <w:snapToGrid/>
              <w:rPr>
                <w:rFonts w:hint="default"/>
                <w:color w:val="auto"/>
              </w:rPr>
            </w:pPr>
            <w:bookmarkStart w:id="97" w:name="bookmark79"/>
            <w:bookmarkEnd w:id="97"/>
            <w:r>
              <w:rPr>
                <w:rFonts w:hint="default"/>
                <w:color w:val="auto"/>
              </w:rPr>
              <w:t>7</w:t>
            </w:r>
          </w:p>
        </w:tc>
        <w:tc>
          <w:tcPr>
            <w:tcW w:w="1911" w:type="pct"/>
            <w:tcBorders>
              <w:tl2br w:val="nil"/>
              <w:tr2bl w:val="nil"/>
            </w:tcBorders>
            <w:vAlign w:val="center"/>
          </w:tcPr>
          <w:p w14:paraId="19566881">
            <w:pPr>
              <w:pStyle w:val="12"/>
              <w:pageBreakBefore w:val="0"/>
              <w:wordWrap/>
              <w:bidi w:val="0"/>
              <w:adjustRightInd/>
              <w:snapToGrid/>
              <w:rPr>
                <w:rFonts w:hint="default"/>
                <w:color w:val="auto"/>
              </w:rPr>
            </w:pPr>
            <w:r>
              <w:rPr>
                <w:rFonts w:hint="default"/>
                <w:color w:val="auto"/>
              </w:rPr>
              <w:t>二沉污泥提升</w:t>
            </w:r>
          </w:p>
        </w:tc>
        <w:tc>
          <w:tcPr>
            <w:tcW w:w="1065" w:type="pct"/>
            <w:tcBorders>
              <w:tl2br w:val="nil"/>
              <w:tr2bl w:val="nil"/>
            </w:tcBorders>
            <w:vAlign w:val="center"/>
          </w:tcPr>
          <w:p w14:paraId="1BE73141">
            <w:pPr>
              <w:pStyle w:val="12"/>
              <w:pageBreakBefore w:val="0"/>
              <w:wordWrap/>
              <w:bidi w:val="0"/>
              <w:adjustRightInd/>
              <w:snapToGrid/>
              <w:rPr>
                <w:rFonts w:hint="default"/>
                <w:color w:val="auto"/>
              </w:rPr>
            </w:pPr>
            <w:r>
              <w:rPr>
                <w:rFonts w:hint="default"/>
                <w:color w:val="auto"/>
              </w:rPr>
              <w:t>45</w:t>
            </w:r>
          </w:p>
        </w:tc>
        <w:tc>
          <w:tcPr>
            <w:tcW w:w="1170" w:type="pct"/>
            <w:tcBorders>
              <w:tl2br w:val="nil"/>
              <w:tr2bl w:val="nil"/>
            </w:tcBorders>
            <w:vAlign w:val="center"/>
          </w:tcPr>
          <w:p w14:paraId="5E3969C7">
            <w:pPr>
              <w:pStyle w:val="12"/>
              <w:pageBreakBefore w:val="0"/>
              <w:wordWrap/>
              <w:bidi w:val="0"/>
              <w:adjustRightInd/>
              <w:snapToGrid/>
              <w:rPr>
                <w:rFonts w:hint="default"/>
                <w:color w:val="auto"/>
              </w:rPr>
            </w:pPr>
            <w:r>
              <w:rPr>
                <w:rFonts w:hint="default"/>
                <w:color w:val="auto"/>
              </w:rPr>
              <w:t>26</w:t>
            </w:r>
            <w:r>
              <w:rPr>
                <w:rFonts w:hint="eastAsia"/>
                <w:color w:val="auto"/>
                <w:lang w:eastAsia="zh-CN"/>
              </w:rPr>
              <w:t>~</w:t>
            </w:r>
            <w:r>
              <w:rPr>
                <w:rFonts w:hint="default"/>
                <w:color w:val="auto"/>
              </w:rPr>
              <w:t>82</w:t>
            </w:r>
          </w:p>
        </w:tc>
      </w:tr>
      <w:tr w14:paraId="35504B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8" w:hRule="atLeast"/>
          <w:jc w:val="center"/>
        </w:trPr>
        <w:tc>
          <w:tcPr>
            <w:tcW w:w="851" w:type="pct"/>
            <w:tcBorders>
              <w:tl2br w:val="nil"/>
              <w:tr2bl w:val="nil"/>
            </w:tcBorders>
            <w:vAlign w:val="center"/>
          </w:tcPr>
          <w:p w14:paraId="193618B7">
            <w:pPr>
              <w:pStyle w:val="12"/>
              <w:pageBreakBefore w:val="0"/>
              <w:wordWrap/>
              <w:bidi w:val="0"/>
              <w:adjustRightInd/>
              <w:snapToGrid/>
              <w:rPr>
                <w:rFonts w:hint="default"/>
                <w:color w:val="auto"/>
              </w:rPr>
            </w:pPr>
            <w:r>
              <w:rPr>
                <w:rFonts w:hint="default"/>
                <w:color w:val="auto"/>
              </w:rPr>
              <w:t>8</w:t>
            </w:r>
          </w:p>
        </w:tc>
        <w:tc>
          <w:tcPr>
            <w:tcW w:w="1911" w:type="pct"/>
            <w:tcBorders>
              <w:tl2br w:val="nil"/>
              <w:tr2bl w:val="nil"/>
            </w:tcBorders>
            <w:vAlign w:val="center"/>
          </w:tcPr>
          <w:p w14:paraId="2A48DD91">
            <w:pPr>
              <w:pStyle w:val="12"/>
              <w:pageBreakBefore w:val="0"/>
              <w:wordWrap/>
              <w:bidi w:val="0"/>
              <w:adjustRightInd/>
              <w:snapToGrid/>
              <w:rPr>
                <w:rFonts w:hint="default"/>
                <w:color w:val="auto"/>
              </w:rPr>
            </w:pPr>
            <w:r>
              <w:rPr>
                <w:rFonts w:hint="default"/>
                <w:color w:val="auto"/>
              </w:rPr>
              <w:t>生污泥存放</w:t>
            </w:r>
          </w:p>
        </w:tc>
        <w:tc>
          <w:tcPr>
            <w:tcW w:w="1065" w:type="pct"/>
            <w:tcBorders>
              <w:tl2br w:val="nil"/>
              <w:tr2bl w:val="nil"/>
            </w:tcBorders>
            <w:vAlign w:val="center"/>
          </w:tcPr>
          <w:p w14:paraId="31F53874">
            <w:pPr>
              <w:pStyle w:val="12"/>
              <w:pageBreakBefore w:val="0"/>
              <w:wordWrap/>
              <w:bidi w:val="0"/>
              <w:adjustRightInd/>
              <w:snapToGrid/>
              <w:rPr>
                <w:rFonts w:hint="default"/>
                <w:color w:val="auto"/>
              </w:rPr>
            </w:pPr>
            <w:r>
              <w:rPr>
                <w:rFonts w:hint="default"/>
                <w:color w:val="auto"/>
              </w:rPr>
              <w:t>200</w:t>
            </w:r>
          </w:p>
        </w:tc>
        <w:tc>
          <w:tcPr>
            <w:tcW w:w="1170" w:type="pct"/>
            <w:tcBorders>
              <w:tl2br w:val="nil"/>
              <w:tr2bl w:val="nil"/>
            </w:tcBorders>
            <w:vAlign w:val="center"/>
          </w:tcPr>
          <w:p w14:paraId="1F7C90E4">
            <w:pPr>
              <w:pStyle w:val="12"/>
              <w:pageBreakBefore w:val="0"/>
              <w:wordWrap/>
              <w:bidi w:val="0"/>
              <w:adjustRightInd/>
              <w:snapToGrid/>
              <w:rPr>
                <w:rFonts w:hint="default"/>
                <w:color w:val="auto"/>
              </w:rPr>
            </w:pPr>
            <w:r>
              <w:rPr>
                <w:rFonts w:hint="default"/>
                <w:color w:val="auto"/>
              </w:rPr>
              <w:t>30</w:t>
            </w:r>
            <w:r>
              <w:rPr>
                <w:rFonts w:hint="eastAsia"/>
                <w:color w:val="auto"/>
                <w:lang w:eastAsia="zh-CN"/>
              </w:rPr>
              <w:t>~</w:t>
            </w:r>
            <w:r>
              <w:rPr>
                <w:rFonts w:hint="default"/>
                <w:color w:val="auto"/>
              </w:rPr>
              <w:t>800</w:t>
            </w:r>
          </w:p>
        </w:tc>
      </w:tr>
      <w:tr w14:paraId="5DB72E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51" w:type="pct"/>
            <w:tcBorders>
              <w:tl2br w:val="nil"/>
              <w:tr2bl w:val="nil"/>
            </w:tcBorders>
            <w:vAlign w:val="center"/>
          </w:tcPr>
          <w:p w14:paraId="5D4D11D3">
            <w:pPr>
              <w:pStyle w:val="12"/>
              <w:pageBreakBefore w:val="0"/>
              <w:wordWrap/>
              <w:bidi w:val="0"/>
              <w:adjustRightInd/>
              <w:snapToGrid/>
              <w:rPr>
                <w:rFonts w:hint="default"/>
                <w:color w:val="auto"/>
              </w:rPr>
            </w:pPr>
            <w:r>
              <w:rPr>
                <w:rFonts w:hint="default"/>
                <w:color w:val="auto"/>
              </w:rPr>
              <w:t>9</w:t>
            </w:r>
          </w:p>
        </w:tc>
        <w:tc>
          <w:tcPr>
            <w:tcW w:w="1911" w:type="pct"/>
            <w:tcBorders>
              <w:tl2br w:val="nil"/>
              <w:tr2bl w:val="nil"/>
            </w:tcBorders>
            <w:vAlign w:val="center"/>
          </w:tcPr>
          <w:p w14:paraId="2B63C19A">
            <w:pPr>
              <w:pStyle w:val="12"/>
              <w:pageBreakBefore w:val="0"/>
              <w:wordWrap/>
              <w:bidi w:val="0"/>
              <w:adjustRightInd/>
              <w:snapToGrid/>
              <w:rPr>
                <w:rFonts w:hint="default"/>
                <w:color w:val="auto"/>
              </w:rPr>
            </w:pPr>
            <w:r>
              <w:rPr>
                <w:rFonts w:hint="default"/>
                <w:color w:val="auto"/>
              </w:rPr>
              <w:t>机械污泥脱水室</w:t>
            </w:r>
          </w:p>
        </w:tc>
        <w:tc>
          <w:tcPr>
            <w:tcW w:w="1065" w:type="pct"/>
            <w:tcBorders>
              <w:tl2br w:val="nil"/>
              <w:tr2bl w:val="nil"/>
            </w:tcBorders>
            <w:vAlign w:val="center"/>
          </w:tcPr>
          <w:p w14:paraId="1A6BA53F">
            <w:pPr>
              <w:pStyle w:val="12"/>
              <w:pageBreakBefore w:val="0"/>
              <w:wordWrap/>
              <w:bidi w:val="0"/>
              <w:adjustRightInd/>
              <w:snapToGrid/>
              <w:rPr>
                <w:rFonts w:hint="default"/>
                <w:color w:val="auto"/>
              </w:rPr>
            </w:pPr>
            <w:r>
              <w:rPr>
                <w:rFonts w:hint="default"/>
                <w:color w:val="auto"/>
              </w:rPr>
              <w:t>400</w:t>
            </w:r>
          </w:p>
        </w:tc>
        <w:tc>
          <w:tcPr>
            <w:tcW w:w="1170" w:type="pct"/>
            <w:tcBorders>
              <w:tl2br w:val="nil"/>
              <w:tr2bl w:val="nil"/>
            </w:tcBorders>
            <w:vAlign w:val="center"/>
          </w:tcPr>
          <w:p w14:paraId="229DD2B1">
            <w:pPr>
              <w:pStyle w:val="12"/>
              <w:pageBreakBefore w:val="0"/>
              <w:wordWrap/>
              <w:bidi w:val="0"/>
              <w:adjustRightInd/>
              <w:snapToGrid/>
              <w:rPr>
                <w:rFonts w:hint="default"/>
                <w:color w:val="auto"/>
              </w:rPr>
            </w:pPr>
            <w:r>
              <w:rPr>
                <w:rFonts w:hint="default"/>
                <w:color w:val="auto"/>
              </w:rPr>
              <w:t>50</w:t>
            </w:r>
            <w:r>
              <w:rPr>
                <w:rFonts w:hint="eastAsia"/>
                <w:color w:val="auto"/>
                <w:lang w:eastAsia="zh-CN"/>
              </w:rPr>
              <w:t>~</w:t>
            </w:r>
            <w:r>
              <w:rPr>
                <w:rFonts w:hint="default"/>
                <w:color w:val="auto"/>
              </w:rPr>
              <w:t>770</w:t>
            </w:r>
          </w:p>
        </w:tc>
      </w:tr>
      <w:tr w14:paraId="77A19B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3" w:hRule="atLeast"/>
          <w:jc w:val="center"/>
        </w:trPr>
        <w:tc>
          <w:tcPr>
            <w:tcW w:w="851" w:type="pct"/>
            <w:tcBorders>
              <w:tl2br w:val="nil"/>
              <w:tr2bl w:val="nil"/>
            </w:tcBorders>
            <w:vAlign w:val="center"/>
          </w:tcPr>
          <w:p w14:paraId="4F91DA0F">
            <w:pPr>
              <w:pStyle w:val="12"/>
              <w:pageBreakBefore w:val="0"/>
              <w:wordWrap/>
              <w:bidi w:val="0"/>
              <w:adjustRightInd/>
              <w:snapToGrid/>
              <w:rPr>
                <w:rFonts w:hint="default"/>
                <w:color w:val="auto"/>
              </w:rPr>
            </w:pPr>
            <w:r>
              <w:rPr>
                <w:rFonts w:hint="default"/>
                <w:color w:val="auto"/>
              </w:rPr>
              <w:t>10</w:t>
            </w:r>
          </w:p>
        </w:tc>
        <w:tc>
          <w:tcPr>
            <w:tcW w:w="1911" w:type="pct"/>
            <w:tcBorders>
              <w:tl2br w:val="nil"/>
              <w:tr2bl w:val="nil"/>
            </w:tcBorders>
            <w:vAlign w:val="center"/>
          </w:tcPr>
          <w:p w14:paraId="4BD855C1">
            <w:pPr>
              <w:pStyle w:val="12"/>
              <w:pageBreakBefore w:val="0"/>
              <w:wordWrap/>
              <w:bidi w:val="0"/>
              <w:adjustRightInd/>
              <w:snapToGrid/>
              <w:rPr>
                <w:rFonts w:hint="default"/>
                <w:color w:val="auto"/>
              </w:rPr>
            </w:pPr>
            <w:r>
              <w:rPr>
                <w:rFonts w:hint="default"/>
                <w:color w:val="auto"/>
              </w:rPr>
              <w:t>污泥脱水滤液</w:t>
            </w:r>
          </w:p>
        </w:tc>
        <w:tc>
          <w:tcPr>
            <w:tcW w:w="1065" w:type="pct"/>
            <w:tcBorders>
              <w:tl2br w:val="nil"/>
              <w:tr2bl w:val="nil"/>
            </w:tcBorders>
            <w:vAlign w:val="center"/>
          </w:tcPr>
          <w:p w14:paraId="1A006E57">
            <w:pPr>
              <w:pStyle w:val="12"/>
              <w:pageBreakBefore w:val="0"/>
              <w:wordWrap/>
              <w:bidi w:val="0"/>
              <w:adjustRightInd/>
              <w:snapToGrid/>
              <w:rPr>
                <w:rFonts w:hint="default"/>
                <w:color w:val="auto"/>
              </w:rPr>
            </w:pPr>
          </w:p>
        </w:tc>
        <w:tc>
          <w:tcPr>
            <w:tcW w:w="1170" w:type="pct"/>
            <w:tcBorders>
              <w:tl2br w:val="nil"/>
              <w:tr2bl w:val="nil"/>
            </w:tcBorders>
            <w:vAlign w:val="center"/>
          </w:tcPr>
          <w:p w14:paraId="500693EC">
            <w:pPr>
              <w:pStyle w:val="12"/>
              <w:pageBreakBefore w:val="0"/>
              <w:wordWrap/>
              <w:bidi w:val="0"/>
              <w:adjustRightInd/>
              <w:snapToGrid/>
              <w:rPr>
                <w:rFonts w:hint="default"/>
                <w:color w:val="auto"/>
              </w:rPr>
            </w:pPr>
            <w:r>
              <w:rPr>
                <w:rFonts w:hint="default"/>
                <w:color w:val="auto"/>
              </w:rPr>
              <w:t>3300</w:t>
            </w:r>
            <w:r>
              <w:rPr>
                <w:rFonts w:hint="eastAsia"/>
                <w:color w:val="auto"/>
                <w:lang w:eastAsia="zh-CN"/>
              </w:rPr>
              <w:t>~</w:t>
            </w:r>
            <w:r>
              <w:rPr>
                <w:rFonts w:hint="default"/>
                <w:color w:val="auto"/>
              </w:rPr>
              <w:t>95500</w:t>
            </w:r>
          </w:p>
        </w:tc>
      </w:tr>
    </w:tbl>
    <w:p w14:paraId="5A7DD417">
      <w:pPr>
        <w:pageBreakBefore w:val="0"/>
        <w:wordWrap/>
        <w:bidi w:val="0"/>
        <w:adjustRightInd/>
        <w:snapToGrid/>
        <w:rPr>
          <w:rFonts w:hint="default"/>
          <w:color w:val="auto"/>
        </w:rPr>
      </w:pPr>
      <w:r>
        <w:rPr>
          <w:rFonts w:hint="default"/>
          <w:color w:val="auto"/>
        </w:rPr>
        <w:t>从表中可看出，臭气值较大的地方主要是污水处理部分</w:t>
      </w:r>
      <w:r>
        <w:rPr>
          <w:rFonts w:hint="default"/>
          <w:color w:val="auto"/>
          <w:lang w:eastAsia="zh-CN"/>
        </w:rPr>
        <w:t>（</w:t>
      </w:r>
      <w:r>
        <w:rPr>
          <w:rFonts w:hint="default"/>
          <w:color w:val="auto"/>
        </w:rPr>
        <w:t>格栅井、水解酸化池、生化池</w:t>
      </w:r>
      <w:r>
        <w:rPr>
          <w:rFonts w:hint="default"/>
          <w:color w:val="auto"/>
          <w:lang w:eastAsia="zh-CN"/>
        </w:rPr>
        <w:t>）</w:t>
      </w:r>
      <w:r>
        <w:rPr>
          <w:rFonts w:hint="default"/>
          <w:color w:val="auto"/>
        </w:rPr>
        <w:t>和污泥处理部分</w:t>
      </w:r>
      <w:r>
        <w:rPr>
          <w:rFonts w:hint="default"/>
          <w:color w:val="auto"/>
          <w:lang w:eastAsia="zh-CN"/>
        </w:rPr>
        <w:t>（</w:t>
      </w:r>
      <w:r>
        <w:rPr>
          <w:rFonts w:hint="eastAsia"/>
          <w:color w:val="auto"/>
          <w:lang w:eastAsia="zh-CN"/>
        </w:rPr>
        <w:t>污泥池</w:t>
      </w:r>
      <w:r>
        <w:rPr>
          <w:rFonts w:hint="default"/>
          <w:color w:val="auto"/>
        </w:rPr>
        <w:t>、脱水间等</w:t>
      </w:r>
      <w:r>
        <w:rPr>
          <w:rFonts w:hint="default"/>
          <w:color w:val="auto"/>
          <w:lang w:eastAsia="zh-CN"/>
        </w:rPr>
        <w:t>），</w:t>
      </w:r>
      <w:r>
        <w:rPr>
          <w:rFonts w:hint="default"/>
          <w:color w:val="auto"/>
        </w:rPr>
        <w:t>是除臭的重点；曝气池负荷低，可适当考虑除臭措施。</w:t>
      </w:r>
    </w:p>
    <w:p w14:paraId="793C7B2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臭气的</w:t>
      </w:r>
      <w:r>
        <w:rPr>
          <w:rFonts w:hint="eastAsia" w:cs="Times New Roman" w:eastAsiaTheme="minorEastAsia"/>
          <w:b/>
          <w:bCs/>
          <w:color w:val="auto"/>
          <w:sz w:val="24"/>
          <w:szCs w:val="24"/>
          <w:lang w:eastAsia="zh-CN"/>
        </w:rPr>
        <w:t>成分</w:t>
      </w:r>
    </w:p>
    <w:p w14:paraId="6E81E93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几种主要臭气的</w:t>
      </w:r>
      <w:r>
        <w:rPr>
          <w:rFonts w:hint="eastAsia" w:cs="Times New Roman" w:eastAsiaTheme="minorEastAsia"/>
          <w:color w:val="auto"/>
          <w:sz w:val="24"/>
          <w:szCs w:val="24"/>
          <w:lang w:eastAsia="zh-CN"/>
        </w:rPr>
        <w:t>成分</w:t>
      </w:r>
      <w:r>
        <w:rPr>
          <w:rFonts w:hint="default" w:ascii="Times New Roman" w:hAnsi="Times New Roman" w:cs="Times New Roman" w:eastAsiaTheme="minorEastAsia"/>
          <w:color w:val="auto"/>
          <w:sz w:val="24"/>
          <w:szCs w:val="24"/>
        </w:rPr>
        <w:t>如</w:t>
      </w:r>
      <w:r>
        <w:rPr>
          <w:rFonts w:hint="eastAsia" w:cs="Times New Roman" w:eastAsiaTheme="minorEastAsia"/>
          <w:color w:val="auto"/>
          <w:sz w:val="24"/>
          <w:szCs w:val="24"/>
          <w:lang w:val="en-US" w:eastAsia="zh-CN"/>
        </w:rPr>
        <w:t>下表</w:t>
      </w:r>
      <w:r>
        <w:rPr>
          <w:rFonts w:hint="default" w:ascii="Times New Roman" w:hAnsi="Times New Roman" w:cs="Times New Roman" w:eastAsiaTheme="minorEastAsia"/>
          <w:color w:val="auto"/>
          <w:sz w:val="24"/>
          <w:szCs w:val="24"/>
        </w:rPr>
        <w:t>所示。</w:t>
      </w:r>
    </w:p>
    <w:p w14:paraId="0C305E6F">
      <w:pPr>
        <w:pStyle w:val="15"/>
        <w:numPr>
          <w:ilvl w:val="0"/>
          <w:numId w:val="16"/>
        </w:numPr>
        <w:bidi w:val="0"/>
        <w:ind w:left="0" w:leftChars="0" w:firstLine="0" w:firstLineChars="0"/>
        <w:rPr>
          <w:rFonts w:hint="default"/>
          <w:color w:val="auto"/>
        </w:rPr>
      </w:pPr>
      <w:r>
        <w:rPr>
          <w:rFonts w:hint="default"/>
          <w:color w:val="auto"/>
        </w:rPr>
        <w:t>主要臭气</w:t>
      </w:r>
      <w:r>
        <w:rPr>
          <w:rFonts w:hint="eastAsia"/>
          <w:color w:val="auto"/>
          <w:lang w:eastAsia="zh-CN"/>
        </w:rPr>
        <w:t>成分表</w:t>
      </w:r>
    </w:p>
    <w:tbl>
      <w:tblPr>
        <w:tblStyle w:val="703"/>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044"/>
        <w:gridCol w:w="3954"/>
        <w:gridCol w:w="2306"/>
      </w:tblGrid>
      <w:tr w14:paraId="501237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1231" w:type="pct"/>
            <w:tcBorders>
              <w:tl2br w:val="nil"/>
              <w:tr2bl w:val="nil"/>
            </w:tcBorders>
            <w:vAlign w:val="center"/>
          </w:tcPr>
          <w:p w14:paraId="249FBDF7">
            <w:pPr>
              <w:pStyle w:val="12"/>
              <w:pageBreakBefore w:val="0"/>
              <w:wordWrap/>
              <w:bidi w:val="0"/>
              <w:adjustRightInd/>
              <w:snapToGrid/>
              <w:rPr>
                <w:rFonts w:hint="default"/>
                <w:b/>
                <w:bCs/>
                <w:color w:val="auto"/>
              </w:rPr>
            </w:pPr>
            <w:r>
              <w:rPr>
                <w:rFonts w:hint="default"/>
                <w:b/>
                <w:bCs/>
                <w:color w:val="auto"/>
              </w:rPr>
              <w:t>化合物</w:t>
            </w:r>
          </w:p>
        </w:tc>
        <w:tc>
          <w:tcPr>
            <w:tcW w:w="2380" w:type="pct"/>
            <w:tcBorders>
              <w:tl2br w:val="nil"/>
              <w:tr2bl w:val="nil"/>
            </w:tcBorders>
            <w:vAlign w:val="center"/>
          </w:tcPr>
          <w:p w14:paraId="78A07BE3">
            <w:pPr>
              <w:pStyle w:val="12"/>
              <w:pageBreakBefore w:val="0"/>
              <w:wordWrap/>
              <w:bidi w:val="0"/>
              <w:adjustRightInd/>
              <w:snapToGrid/>
              <w:rPr>
                <w:rFonts w:hint="default"/>
                <w:b/>
                <w:bCs/>
                <w:color w:val="auto"/>
              </w:rPr>
            </w:pPr>
            <w:r>
              <w:rPr>
                <w:rFonts w:hint="default"/>
                <w:b/>
                <w:bCs/>
                <w:color w:val="auto"/>
              </w:rPr>
              <w:t>典型分子式</w:t>
            </w:r>
          </w:p>
        </w:tc>
        <w:tc>
          <w:tcPr>
            <w:tcW w:w="1388" w:type="pct"/>
            <w:tcBorders>
              <w:tl2br w:val="nil"/>
              <w:tr2bl w:val="nil"/>
            </w:tcBorders>
            <w:vAlign w:val="center"/>
          </w:tcPr>
          <w:p w14:paraId="677FBBFE">
            <w:pPr>
              <w:pStyle w:val="12"/>
              <w:pageBreakBefore w:val="0"/>
              <w:wordWrap/>
              <w:bidi w:val="0"/>
              <w:adjustRightInd/>
              <w:snapToGrid/>
              <w:rPr>
                <w:rFonts w:hint="default"/>
                <w:b/>
                <w:bCs/>
                <w:color w:val="auto"/>
              </w:rPr>
            </w:pPr>
            <w:r>
              <w:rPr>
                <w:rFonts w:hint="default"/>
                <w:b/>
                <w:bCs/>
                <w:color w:val="auto"/>
              </w:rPr>
              <w:t>特性</w:t>
            </w:r>
          </w:p>
        </w:tc>
      </w:tr>
      <w:tr w14:paraId="23D1CD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8" w:hRule="atLeast"/>
          <w:jc w:val="center"/>
        </w:trPr>
        <w:tc>
          <w:tcPr>
            <w:tcW w:w="1231" w:type="pct"/>
            <w:tcBorders>
              <w:tl2br w:val="nil"/>
              <w:tr2bl w:val="nil"/>
            </w:tcBorders>
            <w:vAlign w:val="center"/>
          </w:tcPr>
          <w:p w14:paraId="63E7C1EA">
            <w:pPr>
              <w:pStyle w:val="12"/>
              <w:pageBreakBefore w:val="0"/>
              <w:wordWrap/>
              <w:bidi w:val="0"/>
              <w:adjustRightInd/>
              <w:snapToGrid/>
              <w:rPr>
                <w:rFonts w:hint="default"/>
                <w:color w:val="auto"/>
              </w:rPr>
            </w:pPr>
            <w:r>
              <w:rPr>
                <w:rFonts w:hint="default"/>
                <w:color w:val="auto"/>
              </w:rPr>
              <w:t>胺类</w:t>
            </w:r>
          </w:p>
        </w:tc>
        <w:tc>
          <w:tcPr>
            <w:tcW w:w="2380" w:type="pct"/>
            <w:tcBorders>
              <w:tl2br w:val="nil"/>
              <w:tr2bl w:val="nil"/>
            </w:tcBorders>
            <w:vAlign w:val="center"/>
          </w:tcPr>
          <w:p w14:paraId="72833A59">
            <w:pPr>
              <w:pStyle w:val="12"/>
              <w:pageBreakBefore w:val="0"/>
              <w:wordWrap/>
              <w:bidi w:val="0"/>
              <w:adjustRightInd/>
              <w:snapToGrid/>
              <w:rPr>
                <w:rFonts w:hint="default"/>
                <w:color w:val="auto"/>
              </w:rPr>
            </w:pPr>
            <w:r>
              <w:rPr>
                <w:rFonts w:hint="default"/>
                <w:color w:val="auto"/>
              </w:rPr>
              <w:t>CH₃NH₂</w:t>
            </w:r>
            <w:r>
              <w:rPr>
                <w:rFonts w:hint="default"/>
                <w:color w:val="auto"/>
                <w:lang w:eastAsia="zh-CN"/>
              </w:rPr>
              <w:t>（</w:t>
            </w:r>
            <w:r>
              <w:rPr>
                <w:rFonts w:hint="default"/>
                <w:color w:val="auto"/>
              </w:rPr>
              <w:t>CH₃</w:t>
            </w:r>
            <w:r>
              <w:rPr>
                <w:rFonts w:hint="default"/>
                <w:color w:val="auto"/>
                <w:lang w:eastAsia="zh-CN"/>
              </w:rPr>
              <w:t>）</w:t>
            </w:r>
            <w:r>
              <w:rPr>
                <w:rFonts w:hint="default"/>
                <w:color w:val="auto"/>
              </w:rPr>
              <w:t>₃N</w:t>
            </w:r>
          </w:p>
        </w:tc>
        <w:tc>
          <w:tcPr>
            <w:tcW w:w="1388" w:type="pct"/>
            <w:tcBorders>
              <w:tl2br w:val="nil"/>
              <w:tr2bl w:val="nil"/>
            </w:tcBorders>
            <w:vAlign w:val="center"/>
          </w:tcPr>
          <w:p w14:paraId="3CD36B56">
            <w:pPr>
              <w:pStyle w:val="12"/>
              <w:pageBreakBefore w:val="0"/>
              <w:wordWrap/>
              <w:bidi w:val="0"/>
              <w:adjustRightInd/>
              <w:snapToGrid/>
              <w:rPr>
                <w:rFonts w:hint="default"/>
                <w:color w:val="auto"/>
              </w:rPr>
            </w:pPr>
            <w:r>
              <w:rPr>
                <w:rFonts w:hint="default"/>
                <w:color w:val="auto"/>
              </w:rPr>
              <w:t>鱼腥味</w:t>
            </w:r>
          </w:p>
        </w:tc>
      </w:tr>
      <w:tr w14:paraId="1B909F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9" w:hRule="atLeast"/>
          <w:jc w:val="center"/>
        </w:trPr>
        <w:tc>
          <w:tcPr>
            <w:tcW w:w="1231" w:type="pct"/>
            <w:tcBorders>
              <w:tl2br w:val="nil"/>
              <w:tr2bl w:val="nil"/>
            </w:tcBorders>
            <w:vAlign w:val="center"/>
          </w:tcPr>
          <w:p w14:paraId="75102D52">
            <w:pPr>
              <w:pStyle w:val="12"/>
              <w:pageBreakBefore w:val="0"/>
              <w:wordWrap/>
              <w:bidi w:val="0"/>
              <w:adjustRightInd/>
              <w:snapToGrid/>
              <w:rPr>
                <w:rFonts w:hint="default"/>
                <w:color w:val="auto"/>
              </w:rPr>
            </w:pPr>
            <w:r>
              <w:rPr>
                <w:rFonts w:hint="default"/>
                <w:color w:val="auto"/>
              </w:rPr>
              <w:t>氨</w:t>
            </w:r>
          </w:p>
        </w:tc>
        <w:tc>
          <w:tcPr>
            <w:tcW w:w="2380" w:type="pct"/>
            <w:tcBorders>
              <w:tl2br w:val="nil"/>
              <w:tr2bl w:val="nil"/>
            </w:tcBorders>
            <w:vAlign w:val="center"/>
          </w:tcPr>
          <w:p w14:paraId="7F2FCBC0">
            <w:pPr>
              <w:pStyle w:val="12"/>
              <w:pageBreakBefore w:val="0"/>
              <w:wordWrap/>
              <w:bidi w:val="0"/>
              <w:adjustRightInd/>
              <w:snapToGrid/>
              <w:rPr>
                <w:rFonts w:hint="default"/>
                <w:color w:val="auto"/>
              </w:rPr>
            </w:pPr>
            <w:r>
              <w:rPr>
                <w:rFonts w:hint="default"/>
                <w:color w:val="auto"/>
              </w:rPr>
              <w:t>NH₃</w:t>
            </w:r>
          </w:p>
        </w:tc>
        <w:tc>
          <w:tcPr>
            <w:tcW w:w="1388" w:type="pct"/>
            <w:tcBorders>
              <w:tl2br w:val="nil"/>
              <w:tr2bl w:val="nil"/>
            </w:tcBorders>
            <w:vAlign w:val="center"/>
          </w:tcPr>
          <w:p w14:paraId="22193C2C">
            <w:pPr>
              <w:pStyle w:val="12"/>
              <w:pageBreakBefore w:val="0"/>
              <w:wordWrap/>
              <w:bidi w:val="0"/>
              <w:adjustRightInd/>
              <w:snapToGrid/>
              <w:rPr>
                <w:rFonts w:hint="default"/>
                <w:color w:val="auto"/>
              </w:rPr>
            </w:pPr>
            <w:r>
              <w:rPr>
                <w:rFonts w:hint="default"/>
                <w:color w:val="auto"/>
              </w:rPr>
              <w:t>氨味</w:t>
            </w:r>
          </w:p>
        </w:tc>
      </w:tr>
      <w:tr w14:paraId="04B99C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231" w:type="pct"/>
            <w:tcBorders>
              <w:tl2br w:val="nil"/>
              <w:tr2bl w:val="nil"/>
            </w:tcBorders>
            <w:vAlign w:val="center"/>
          </w:tcPr>
          <w:p w14:paraId="36C8C9B7">
            <w:pPr>
              <w:pStyle w:val="12"/>
              <w:pageBreakBefore w:val="0"/>
              <w:wordWrap/>
              <w:bidi w:val="0"/>
              <w:adjustRightInd/>
              <w:snapToGrid/>
              <w:rPr>
                <w:rFonts w:hint="default"/>
                <w:color w:val="auto"/>
              </w:rPr>
            </w:pPr>
            <w:r>
              <w:rPr>
                <w:rFonts w:hint="default"/>
                <w:color w:val="auto"/>
              </w:rPr>
              <w:t>二胺</w:t>
            </w:r>
          </w:p>
        </w:tc>
        <w:tc>
          <w:tcPr>
            <w:tcW w:w="2380" w:type="pct"/>
            <w:tcBorders>
              <w:tl2br w:val="nil"/>
              <w:tr2bl w:val="nil"/>
            </w:tcBorders>
            <w:vAlign w:val="center"/>
          </w:tcPr>
          <w:p w14:paraId="41ABE6E1">
            <w:pPr>
              <w:pStyle w:val="12"/>
              <w:pageBreakBefore w:val="0"/>
              <w:wordWrap/>
              <w:bidi w:val="0"/>
              <w:adjustRightInd/>
              <w:snapToGrid/>
              <w:rPr>
                <w:rFonts w:hint="default"/>
                <w:color w:val="auto"/>
              </w:rPr>
            </w:pPr>
            <w:r>
              <w:rPr>
                <w:rFonts w:hint="default"/>
                <w:color w:val="auto"/>
              </w:rPr>
              <w:t>NH₂</w:t>
            </w:r>
            <w:r>
              <w:rPr>
                <w:rFonts w:hint="default"/>
                <w:color w:val="auto"/>
                <w:lang w:eastAsia="zh-CN"/>
              </w:rPr>
              <w:t>（</w:t>
            </w:r>
            <w:r>
              <w:rPr>
                <w:rFonts w:hint="default"/>
                <w:color w:val="auto"/>
              </w:rPr>
              <w:t>CH₂</w:t>
            </w:r>
            <w:r>
              <w:rPr>
                <w:rFonts w:hint="default"/>
                <w:color w:val="auto"/>
                <w:lang w:eastAsia="zh-CN"/>
              </w:rPr>
              <w:t>）</w:t>
            </w:r>
            <w:r>
              <w:rPr>
                <w:rFonts w:hint="default"/>
                <w:color w:val="auto"/>
              </w:rPr>
              <w:t>₄NH₂NH₂</w:t>
            </w:r>
            <w:r>
              <w:rPr>
                <w:rFonts w:hint="default"/>
                <w:color w:val="auto"/>
                <w:lang w:eastAsia="zh-CN"/>
              </w:rPr>
              <w:t>（</w:t>
            </w:r>
            <w:r>
              <w:rPr>
                <w:rFonts w:hint="default"/>
                <w:color w:val="auto"/>
              </w:rPr>
              <w:t>CH₂</w:t>
            </w:r>
            <w:r>
              <w:rPr>
                <w:rFonts w:hint="default"/>
                <w:color w:val="auto"/>
                <w:lang w:eastAsia="zh-CN"/>
              </w:rPr>
              <w:t>）</w:t>
            </w:r>
            <w:r>
              <w:rPr>
                <w:rFonts w:hint="default"/>
                <w:color w:val="auto"/>
              </w:rPr>
              <w:t>₅NH₂</w:t>
            </w:r>
          </w:p>
        </w:tc>
        <w:tc>
          <w:tcPr>
            <w:tcW w:w="1388" w:type="pct"/>
            <w:tcBorders>
              <w:tl2br w:val="nil"/>
              <w:tr2bl w:val="nil"/>
            </w:tcBorders>
            <w:vAlign w:val="center"/>
          </w:tcPr>
          <w:p w14:paraId="3E618279">
            <w:pPr>
              <w:pStyle w:val="12"/>
              <w:pageBreakBefore w:val="0"/>
              <w:wordWrap/>
              <w:bidi w:val="0"/>
              <w:adjustRightInd/>
              <w:snapToGrid/>
              <w:rPr>
                <w:rFonts w:hint="default"/>
                <w:color w:val="auto"/>
              </w:rPr>
            </w:pPr>
            <w:r>
              <w:rPr>
                <w:rFonts w:hint="default"/>
                <w:color w:val="auto"/>
              </w:rPr>
              <w:t>腐肉味</w:t>
            </w:r>
          </w:p>
        </w:tc>
      </w:tr>
      <w:tr w14:paraId="16D902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8" w:hRule="atLeast"/>
          <w:jc w:val="center"/>
        </w:trPr>
        <w:tc>
          <w:tcPr>
            <w:tcW w:w="1231" w:type="pct"/>
            <w:tcBorders>
              <w:tl2br w:val="nil"/>
              <w:tr2bl w:val="nil"/>
            </w:tcBorders>
            <w:vAlign w:val="center"/>
          </w:tcPr>
          <w:p w14:paraId="1C26D854">
            <w:pPr>
              <w:pStyle w:val="12"/>
              <w:pageBreakBefore w:val="0"/>
              <w:wordWrap/>
              <w:bidi w:val="0"/>
              <w:adjustRightInd/>
              <w:snapToGrid/>
              <w:rPr>
                <w:rFonts w:hint="default"/>
                <w:color w:val="auto"/>
              </w:rPr>
            </w:pPr>
            <w:r>
              <w:rPr>
                <w:rFonts w:hint="default"/>
                <w:color w:val="auto"/>
              </w:rPr>
              <w:t>硫化氢</w:t>
            </w:r>
          </w:p>
        </w:tc>
        <w:tc>
          <w:tcPr>
            <w:tcW w:w="2380" w:type="pct"/>
            <w:tcBorders>
              <w:tl2br w:val="nil"/>
              <w:tr2bl w:val="nil"/>
            </w:tcBorders>
            <w:vAlign w:val="center"/>
          </w:tcPr>
          <w:p w14:paraId="5BA6675B">
            <w:pPr>
              <w:pStyle w:val="12"/>
              <w:pageBreakBefore w:val="0"/>
              <w:wordWrap/>
              <w:bidi w:val="0"/>
              <w:adjustRightInd/>
              <w:snapToGrid/>
              <w:rPr>
                <w:rFonts w:hint="default"/>
                <w:color w:val="auto"/>
              </w:rPr>
            </w:pPr>
            <w:r>
              <w:rPr>
                <w:rFonts w:hint="default"/>
                <w:color w:val="auto"/>
              </w:rPr>
              <w:t>H₂S</w:t>
            </w:r>
          </w:p>
        </w:tc>
        <w:tc>
          <w:tcPr>
            <w:tcW w:w="1388" w:type="pct"/>
            <w:tcBorders>
              <w:tl2br w:val="nil"/>
              <w:tr2bl w:val="nil"/>
            </w:tcBorders>
            <w:vAlign w:val="center"/>
          </w:tcPr>
          <w:p w14:paraId="7B6B823D">
            <w:pPr>
              <w:pStyle w:val="12"/>
              <w:pageBreakBefore w:val="0"/>
              <w:wordWrap/>
              <w:bidi w:val="0"/>
              <w:adjustRightInd/>
              <w:snapToGrid/>
              <w:rPr>
                <w:rFonts w:hint="default"/>
                <w:color w:val="auto"/>
              </w:rPr>
            </w:pPr>
            <w:r>
              <w:rPr>
                <w:rFonts w:hint="default"/>
                <w:color w:val="auto"/>
              </w:rPr>
              <w:t>臭鸡蛋味</w:t>
            </w:r>
          </w:p>
        </w:tc>
      </w:tr>
      <w:tr w14:paraId="278318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231" w:type="pct"/>
            <w:tcBorders>
              <w:tl2br w:val="nil"/>
              <w:tr2bl w:val="nil"/>
            </w:tcBorders>
            <w:vAlign w:val="center"/>
          </w:tcPr>
          <w:p w14:paraId="3A04C235">
            <w:pPr>
              <w:pStyle w:val="12"/>
              <w:pageBreakBefore w:val="0"/>
              <w:wordWrap/>
              <w:bidi w:val="0"/>
              <w:adjustRightInd/>
              <w:snapToGrid/>
              <w:rPr>
                <w:rFonts w:hint="default"/>
                <w:color w:val="auto"/>
              </w:rPr>
            </w:pPr>
            <w:r>
              <w:rPr>
                <w:rFonts w:hint="default"/>
                <w:color w:val="auto"/>
              </w:rPr>
              <w:t>硫醇</w:t>
            </w:r>
          </w:p>
        </w:tc>
        <w:tc>
          <w:tcPr>
            <w:tcW w:w="2380" w:type="pct"/>
            <w:tcBorders>
              <w:tl2br w:val="nil"/>
              <w:tr2bl w:val="nil"/>
            </w:tcBorders>
            <w:vAlign w:val="center"/>
          </w:tcPr>
          <w:p w14:paraId="3297EF5B">
            <w:pPr>
              <w:pStyle w:val="12"/>
              <w:pageBreakBefore w:val="0"/>
              <w:wordWrap/>
              <w:bidi w:val="0"/>
              <w:adjustRightInd/>
              <w:snapToGrid/>
              <w:rPr>
                <w:rFonts w:hint="default"/>
                <w:color w:val="auto"/>
              </w:rPr>
            </w:pPr>
            <w:r>
              <w:rPr>
                <w:rFonts w:hint="default"/>
                <w:color w:val="auto"/>
              </w:rPr>
              <w:t>CH₃SHCH₃SSCH₃</w:t>
            </w:r>
          </w:p>
        </w:tc>
        <w:tc>
          <w:tcPr>
            <w:tcW w:w="1388" w:type="pct"/>
            <w:tcBorders>
              <w:tl2br w:val="nil"/>
              <w:tr2bl w:val="nil"/>
            </w:tcBorders>
            <w:vAlign w:val="center"/>
          </w:tcPr>
          <w:p w14:paraId="564E064E">
            <w:pPr>
              <w:pStyle w:val="12"/>
              <w:pageBreakBefore w:val="0"/>
              <w:wordWrap/>
              <w:bidi w:val="0"/>
              <w:adjustRightInd/>
              <w:snapToGrid/>
              <w:rPr>
                <w:rFonts w:hint="default"/>
                <w:color w:val="auto"/>
              </w:rPr>
            </w:pPr>
            <w:r>
              <w:rPr>
                <w:rFonts w:hint="default"/>
                <w:color w:val="auto"/>
              </w:rPr>
              <w:t>烂洋葱味</w:t>
            </w:r>
          </w:p>
        </w:tc>
      </w:tr>
      <w:tr w14:paraId="794481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1231" w:type="pct"/>
            <w:tcBorders>
              <w:tl2br w:val="nil"/>
              <w:tr2bl w:val="nil"/>
            </w:tcBorders>
            <w:vAlign w:val="center"/>
          </w:tcPr>
          <w:p w14:paraId="4F62BC0B">
            <w:pPr>
              <w:pStyle w:val="12"/>
              <w:pageBreakBefore w:val="0"/>
              <w:wordWrap/>
              <w:bidi w:val="0"/>
              <w:adjustRightInd/>
              <w:snapToGrid/>
              <w:rPr>
                <w:rFonts w:hint="default"/>
                <w:color w:val="auto"/>
              </w:rPr>
            </w:pPr>
            <w:r>
              <w:rPr>
                <w:rFonts w:hint="default"/>
                <w:color w:val="auto"/>
              </w:rPr>
              <w:t>粪臭素</w:t>
            </w:r>
          </w:p>
        </w:tc>
        <w:tc>
          <w:tcPr>
            <w:tcW w:w="2380" w:type="pct"/>
            <w:tcBorders>
              <w:tl2br w:val="nil"/>
              <w:tr2bl w:val="nil"/>
            </w:tcBorders>
            <w:vAlign w:val="center"/>
          </w:tcPr>
          <w:p w14:paraId="2FD9339F">
            <w:pPr>
              <w:pStyle w:val="12"/>
              <w:pageBreakBefore w:val="0"/>
              <w:wordWrap/>
              <w:bidi w:val="0"/>
              <w:adjustRightInd/>
              <w:snapToGrid/>
              <w:rPr>
                <w:rFonts w:hint="default"/>
                <w:color w:val="auto"/>
              </w:rPr>
            </w:pPr>
            <w:r>
              <w:rPr>
                <w:rFonts w:hint="default"/>
                <w:color w:val="auto"/>
              </w:rPr>
              <w:t>C₈H₅NHCH₃</w:t>
            </w:r>
          </w:p>
        </w:tc>
        <w:tc>
          <w:tcPr>
            <w:tcW w:w="1388" w:type="pct"/>
            <w:tcBorders>
              <w:tl2br w:val="nil"/>
              <w:tr2bl w:val="nil"/>
            </w:tcBorders>
            <w:vAlign w:val="center"/>
          </w:tcPr>
          <w:p w14:paraId="7A2156FD">
            <w:pPr>
              <w:pStyle w:val="12"/>
              <w:pageBreakBefore w:val="0"/>
              <w:wordWrap/>
              <w:bidi w:val="0"/>
              <w:adjustRightInd/>
              <w:snapToGrid/>
              <w:rPr>
                <w:rFonts w:hint="default"/>
                <w:color w:val="auto"/>
              </w:rPr>
            </w:pPr>
            <w:r>
              <w:rPr>
                <w:rFonts w:hint="default"/>
                <w:color w:val="auto"/>
              </w:rPr>
              <w:t>粪便味</w:t>
            </w:r>
          </w:p>
        </w:tc>
      </w:tr>
    </w:tbl>
    <w:p w14:paraId="1E9E6B27">
      <w:pPr>
        <w:pageBreakBefore w:val="0"/>
        <w:wordWrap/>
        <w:bidi w:val="0"/>
        <w:adjustRightInd/>
        <w:snapToGrid/>
        <w:rPr>
          <w:rFonts w:hint="default"/>
          <w:b/>
          <w:bCs/>
          <w:color w:val="auto"/>
        </w:rPr>
      </w:pPr>
      <w:r>
        <w:rPr>
          <w:rFonts w:hint="eastAsia"/>
          <w:b/>
          <w:bCs/>
          <w:color w:val="auto"/>
          <w:lang w:eastAsia="zh-CN"/>
        </w:rPr>
        <w:t>（</w:t>
      </w:r>
      <w:r>
        <w:rPr>
          <w:rFonts w:hint="eastAsia"/>
          <w:b/>
          <w:bCs/>
          <w:color w:val="auto"/>
          <w:lang w:val="en-US" w:eastAsia="zh-CN"/>
        </w:rPr>
        <w:t>二</w:t>
      </w:r>
      <w:r>
        <w:rPr>
          <w:rFonts w:hint="eastAsia"/>
          <w:b/>
          <w:bCs/>
          <w:color w:val="auto"/>
          <w:lang w:eastAsia="zh-CN"/>
        </w:rPr>
        <w:t>）</w:t>
      </w:r>
      <w:r>
        <w:rPr>
          <w:rFonts w:hint="default"/>
          <w:b/>
          <w:bCs/>
          <w:color w:val="auto"/>
        </w:rPr>
        <w:t>除臭方法</w:t>
      </w:r>
    </w:p>
    <w:p w14:paraId="48D9650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脱臭方法从最初采用的水洗法，逐步发展到效果较好的微生物脱臭法。常见的方法有水清洗和药液清洗法、活性炭吸附法、臭氧氧化法、土壤脱臭法、燃烧法、填充式微生物脱臭法等。</w:t>
      </w:r>
    </w:p>
    <w:p w14:paraId="670C9BA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水清洗和药液清洗法</w:t>
      </w:r>
    </w:p>
    <w:p w14:paraId="1CF19D5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水清洗是利用臭气中的某些物质能溶于水的特性，使臭气中氨气、硫化氢气体和水接触、溶解，达到脱臭的目的。</w:t>
      </w:r>
    </w:p>
    <w:p w14:paraId="058D623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药液清洗是利用臭气中的某些物质和药液产生中和反应的特性，如利用呈碱性的苛性钠和次氯酸钠溶液，去除臭气中硫化氢等酸性物质，利用盐酸等酸性溶液，去除臭气中的氨气等碱性物质。与活性炭</w:t>
      </w:r>
      <w:bookmarkStart w:id="98" w:name="bookmark80"/>
      <w:bookmarkEnd w:id="98"/>
      <w:r>
        <w:rPr>
          <w:rFonts w:hint="default" w:ascii="Times New Roman" w:hAnsi="Times New Roman" w:cs="Times New Roman" w:eastAsiaTheme="minorEastAsia"/>
          <w:color w:val="auto"/>
          <w:sz w:val="24"/>
          <w:szCs w:val="24"/>
        </w:rPr>
        <w:t>吸附法相比较，它必须配备较多的附属设施，如药液贮存装置、药液输送装置、排出装置等，运行管理较为复杂，与药液不反应的臭气较难去除，效率较低。</w:t>
      </w:r>
    </w:p>
    <w:p w14:paraId="48C812F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活性炭吸附法</w:t>
      </w:r>
    </w:p>
    <w:p w14:paraId="65C597D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活性炭吸附法是利用活性炭能吸附臭气中致臭物质的特点，达到脱臭目的。为了有效地脱臭，通常利用各种不同性质的活性炭，在吸附塔内设置吸附酸性物质的活性炭，吸附碱性物质的活性炭和吸附中性物质的活性炭，臭气和各种活性炭接触后，排出吸附塔。该法与水清洗和药液清洗法相比较，具有较高的效率，但活性炭有一饱和期限，超过这一期限，就必须更换活性炭。这种方法常用于低浓度臭气和脱臭的后处理。</w:t>
      </w:r>
    </w:p>
    <w:p w14:paraId="6A7CD301">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臭氧氧化法</w:t>
      </w:r>
    </w:p>
    <w:p w14:paraId="730D256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臭氧氧化法是利用臭氧强氧化剂，使臭气中的</w:t>
      </w:r>
      <w:r>
        <w:rPr>
          <w:rFonts w:hint="eastAsia" w:cs="Times New Roman" w:eastAsiaTheme="minorEastAsia"/>
          <w:color w:val="auto"/>
          <w:sz w:val="24"/>
          <w:szCs w:val="24"/>
          <w:lang w:eastAsia="zh-CN"/>
        </w:rPr>
        <w:t>化学成分</w:t>
      </w:r>
      <w:r>
        <w:rPr>
          <w:rFonts w:hint="default" w:ascii="Times New Roman" w:hAnsi="Times New Roman" w:cs="Times New Roman" w:eastAsiaTheme="minorEastAsia"/>
          <w:color w:val="auto"/>
          <w:sz w:val="24"/>
          <w:szCs w:val="24"/>
        </w:rPr>
        <w:t>氧化，达到脱臭的目的。臭氧氧化法有气相和液相之分，由于臭氧发生的化学反应较慢，一般先通过药液清洗法，去除大部分致臭物质，然后再进行臭氧氧化。</w:t>
      </w:r>
    </w:p>
    <w:p w14:paraId="03AB7BFE">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土壤脱臭法</w:t>
      </w:r>
    </w:p>
    <w:p w14:paraId="3801B8C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土壤脱臭法是利用土壤中微生物分解臭气中的</w:t>
      </w:r>
      <w:r>
        <w:rPr>
          <w:rFonts w:hint="eastAsia" w:cs="Times New Roman" w:eastAsiaTheme="minorEastAsia"/>
          <w:color w:val="auto"/>
          <w:sz w:val="24"/>
          <w:szCs w:val="24"/>
          <w:lang w:eastAsia="zh-CN"/>
        </w:rPr>
        <w:t>化学成分</w:t>
      </w:r>
      <w:r>
        <w:rPr>
          <w:rFonts w:hint="default" w:ascii="Times New Roman" w:hAnsi="Times New Roman" w:cs="Times New Roman" w:eastAsiaTheme="minorEastAsia"/>
          <w:color w:val="auto"/>
          <w:sz w:val="24"/>
          <w:szCs w:val="24"/>
        </w:rPr>
        <w:t>，达到脱臭目的。属于生物脱臭法的范畴。与前几种方法相比较，不需要加药等附属设施，运行管理费用较低，但需有宽阔的场地，定时进行场地修整，设置</w:t>
      </w:r>
      <w:r>
        <w:rPr>
          <w:rFonts w:hint="eastAsia" w:cs="Times New Roman" w:eastAsiaTheme="minorEastAsia"/>
          <w:color w:val="auto"/>
          <w:sz w:val="24"/>
          <w:szCs w:val="24"/>
          <w:lang w:eastAsia="zh-CN"/>
        </w:rPr>
        <w:t>洒水装置</w:t>
      </w:r>
      <w:r>
        <w:rPr>
          <w:rFonts w:hint="default" w:ascii="Times New Roman" w:hAnsi="Times New Roman" w:cs="Times New Roman" w:eastAsiaTheme="minorEastAsia"/>
          <w:color w:val="auto"/>
          <w:sz w:val="24"/>
          <w:szCs w:val="24"/>
        </w:rPr>
        <w:t>，以保持较好的运行状态，并且处理效果不够稳定、总体效率较低。</w:t>
      </w:r>
    </w:p>
    <w:p w14:paraId="7C1B50E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生物过滤法</w:t>
      </w:r>
    </w:p>
    <w:p w14:paraId="5213030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生物滤池法除臭工艺是一种安全可靠的处理方法，除臭效率大于90%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其原理是将臭气源散发的臭气经收集系统收集后集中送到生物</w:t>
      </w:r>
      <w:bookmarkStart w:id="99" w:name="bookmark81"/>
      <w:bookmarkEnd w:id="99"/>
      <w:r>
        <w:rPr>
          <w:rFonts w:hint="default" w:ascii="Times New Roman" w:hAnsi="Times New Roman" w:cs="Times New Roman" w:eastAsiaTheme="minorEastAsia"/>
          <w:color w:val="auto"/>
          <w:sz w:val="24"/>
          <w:szCs w:val="24"/>
        </w:rPr>
        <w:t>滤池除臭装置进行处理，臭气通过湿润、多孔和充满活性微生物的滤层，利用微生物细胞对恶臭物质的吸附、吸收和降解功能，微生物的细胞个体小、表面积大、吸附性强、代谢类型多样的特点，将恶臭物质吸附后分解成CO₂、H₂O、H₂SO4、HNO₃等简单无机物。</w:t>
      </w:r>
    </w:p>
    <w:p w14:paraId="09C6AA7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生物除臭主要有三个步骤：</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水溶渗透；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生物吸收；</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生物氧化。</w:t>
      </w:r>
    </w:p>
    <w:p w14:paraId="2C69BBA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2447925" cy="1419225"/>
            <wp:effectExtent l="0" t="0" r="9525" b="9525"/>
            <wp:docPr id="1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
                    <pic:cNvPicPr>
                      <a:picLocks noChangeAspect="1"/>
                    </pic:cNvPicPr>
                  </pic:nvPicPr>
                  <pic:blipFill>
                    <a:blip r:embed="rId58"/>
                    <a:stretch>
                      <a:fillRect/>
                    </a:stretch>
                  </pic:blipFill>
                  <pic:spPr>
                    <a:xfrm>
                      <a:off x="0" y="0"/>
                      <a:ext cx="2447925" cy="1419225"/>
                    </a:xfrm>
                    <a:prstGeom prst="rect">
                      <a:avLst/>
                    </a:prstGeom>
                    <a:noFill/>
                    <a:ln>
                      <a:noFill/>
                    </a:ln>
                  </pic:spPr>
                </pic:pic>
              </a:graphicData>
            </a:graphic>
          </wp:inline>
        </w:drawing>
      </w:r>
    </w:p>
    <w:p w14:paraId="5DA6FFE6">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8</w:t>
      </w:r>
      <w:r>
        <w:rPr>
          <w:color w:val="auto"/>
        </w:rPr>
        <w:fldChar w:fldCharType="end"/>
      </w:r>
      <w:r>
        <w:rPr>
          <w:rFonts w:hint="eastAsia"/>
          <w:color w:val="auto"/>
          <w:lang w:val="en-US" w:eastAsia="zh-CN"/>
        </w:rPr>
        <w:t xml:space="preserve"> </w:t>
      </w:r>
      <w:r>
        <w:rPr>
          <w:rFonts w:hint="default"/>
          <w:color w:val="auto"/>
        </w:rPr>
        <w:t>生物除臭原理示意图</w:t>
      </w:r>
    </w:p>
    <w:p w14:paraId="56029F1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第一步：水溶渗透。滤料表面覆盖有水层，臭气中的化学物质与滤料接触后在表层溶解，并从气相转化为水相，以利于滤料中的细菌</w:t>
      </w:r>
      <w:r>
        <w:rPr>
          <w:rFonts w:hint="eastAsia" w:cs="Times New Roman" w:eastAsiaTheme="minorEastAsia"/>
          <w:color w:val="auto"/>
          <w:sz w:val="24"/>
          <w:szCs w:val="24"/>
          <w:lang w:eastAsia="zh-CN"/>
        </w:rPr>
        <w:t>做进一步</w:t>
      </w:r>
      <w:r>
        <w:rPr>
          <w:rFonts w:hint="default" w:ascii="Times New Roman" w:hAnsi="Times New Roman" w:cs="Times New Roman" w:eastAsiaTheme="minorEastAsia"/>
          <w:color w:val="auto"/>
          <w:sz w:val="24"/>
          <w:szCs w:val="24"/>
        </w:rPr>
        <w:t>的吸收和分解。另外，滤料的多孔性使其具有超大的比表面积，使气、水两相有更大的接触面积，有效增大了气相化学物质在水相中的传送扩散速率</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经实验测试所得，其产生的瞬时效应是化学清洗的好几百倍</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。所以，水溶渗透过程其实是</w:t>
      </w:r>
      <w:r>
        <w:rPr>
          <w:rFonts w:hint="eastAsia" w:cs="Times New Roman" w:eastAsiaTheme="minorEastAsia"/>
          <w:color w:val="auto"/>
          <w:sz w:val="24"/>
          <w:szCs w:val="24"/>
          <w:lang w:eastAsia="zh-CN"/>
        </w:rPr>
        <w:t>一个</w:t>
      </w:r>
      <w:r>
        <w:rPr>
          <w:rFonts w:hint="default" w:ascii="Times New Roman" w:hAnsi="Times New Roman" w:cs="Times New Roman" w:eastAsiaTheme="minorEastAsia"/>
          <w:color w:val="auto"/>
          <w:sz w:val="24"/>
          <w:szCs w:val="24"/>
        </w:rPr>
        <w:t>物理作用过程，高速的传送扩散意味着滤料可迅速将臭气的浓度降到极低的水平。</w:t>
      </w:r>
    </w:p>
    <w:p w14:paraId="4A17F4B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第二步：水溶液中的恶臭成分被微生物吸附、吸收，恶臭成分从水中转移至微生物体内。</w:t>
      </w:r>
    </w:p>
    <w:p w14:paraId="04E8B20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color w:val="auto"/>
        </w:rPr>
      </w:pPr>
      <w:r>
        <w:rPr>
          <w:rFonts w:hint="default" w:ascii="Times New Roman" w:hAnsi="Times New Roman" w:cs="Times New Roman" w:eastAsiaTheme="minorEastAsia"/>
          <w:color w:val="auto"/>
          <w:sz w:val="24"/>
          <w:szCs w:val="24"/>
        </w:rPr>
        <w:t>第三步：通过生物氧化来降解污染物的过程。滤料中的专性细菌</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根据臭源的类型筛选而得到的处理菌种</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将以污染物为食，把污染物转化为自身的营养物质，使碳、氢、氧、氮、硫等元素从化合物的</w:t>
      </w:r>
      <w:bookmarkStart w:id="100" w:name="bookmark82"/>
      <w:bookmarkEnd w:id="100"/>
      <w:r>
        <w:rPr>
          <w:rFonts w:hint="default" w:ascii="Times New Roman" w:hAnsi="Times New Roman" w:cs="Times New Roman" w:eastAsiaTheme="minorEastAsia"/>
          <w:color w:val="auto"/>
          <w:sz w:val="24"/>
          <w:szCs w:val="24"/>
        </w:rPr>
        <w:t>形式转化为游离态，进入微生物的自身循环过程，从而达到降解的目的。同时，专性细菌等微生物又可实现自身的繁殖，当作为食物的污染化合物与专性细菌的营养需要达到平衡，且水分、温度、酸碱度等条件均符合微生物所需时，专性细菌的代谢繁殖将会达到一个稳定平</w:t>
      </w:r>
      <w:r>
        <w:rPr>
          <w:rFonts w:hint="default"/>
          <w:color w:val="auto"/>
        </w:rPr>
        <w:t>衡，最终的产物是无污染的二氧化碳，水和盐，从而将污染物去除。</w:t>
      </w:r>
    </w:p>
    <w:p w14:paraId="213BB85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通过以上的分析，针对污水</w:t>
      </w:r>
      <w:r>
        <w:rPr>
          <w:rFonts w:hint="eastAsia" w:cs="Times New Roman" w:eastAsiaTheme="minorEastAsia"/>
          <w:color w:val="auto"/>
          <w:sz w:val="24"/>
          <w:szCs w:val="24"/>
          <w:lang w:eastAsia="zh-CN"/>
        </w:rPr>
        <w:t>处理厂</w:t>
      </w:r>
      <w:r>
        <w:rPr>
          <w:rFonts w:hint="default" w:ascii="Times New Roman" w:hAnsi="Times New Roman" w:cs="Times New Roman" w:eastAsiaTheme="minorEastAsia"/>
          <w:color w:val="auto"/>
          <w:sz w:val="24"/>
          <w:szCs w:val="24"/>
        </w:rPr>
        <w:t>这种污染气体，生物除臭法具有低投资，操作和维护费用低，运行、维护最少，且不产生二次污染。就目前我公司在以往除臭项目的运行状况来看，生物滤池表现出良好的臭气去除效果，且运行维护极其简单，运行费用低。</w:t>
      </w:r>
      <w:r>
        <w:rPr>
          <w:rFonts w:hint="default" w:ascii="Times New Roman" w:hAnsi="Times New Roman" w:cs="Times New Roman" w:eastAsiaTheme="minorEastAsia"/>
          <w:b/>
          <w:bCs/>
          <w:color w:val="auto"/>
          <w:sz w:val="24"/>
          <w:szCs w:val="24"/>
        </w:rPr>
        <w:t>所以本项目采取降温措施后采用生物除臭装置是经济、可靠的处理工艺。</w:t>
      </w:r>
    </w:p>
    <w:p w14:paraId="2CC9513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工艺流程如下：</w:t>
      </w:r>
    </w:p>
    <w:p w14:paraId="619DEDFB">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5133975" cy="1809750"/>
            <wp:effectExtent l="0" t="0" r="9525" b="0"/>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59"/>
                    <a:stretch>
                      <a:fillRect/>
                    </a:stretch>
                  </pic:blipFill>
                  <pic:spPr>
                    <a:xfrm>
                      <a:off x="0" y="0"/>
                      <a:ext cx="5133975" cy="1809750"/>
                    </a:xfrm>
                    <a:prstGeom prst="rect">
                      <a:avLst/>
                    </a:prstGeom>
                    <a:noFill/>
                    <a:ln>
                      <a:noFill/>
                    </a:ln>
                  </pic:spPr>
                </pic:pic>
              </a:graphicData>
            </a:graphic>
          </wp:inline>
        </w:drawing>
      </w:r>
    </w:p>
    <w:p w14:paraId="359E82EB">
      <w:pPr>
        <w:pStyle w:val="15"/>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9</w:t>
      </w:r>
      <w:r>
        <w:rPr>
          <w:color w:val="auto"/>
        </w:rPr>
        <w:fldChar w:fldCharType="end"/>
      </w:r>
      <w:r>
        <w:rPr>
          <w:rFonts w:hint="eastAsia"/>
          <w:color w:val="auto"/>
          <w:lang w:val="en-US" w:eastAsia="zh-CN"/>
        </w:rPr>
        <w:t xml:space="preserve"> </w:t>
      </w:r>
      <w:r>
        <w:rPr>
          <w:rFonts w:hint="default"/>
          <w:color w:val="auto"/>
        </w:rPr>
        <w:t>生物除臭流程图</w:t>
      </w:r>
    </w:p>
    <w:p w14:paraId="3703AB1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6</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燃烧法</w:t>
      </w:r>
    </w:p>
    <w:p w14:paraId="33F227C8">
      <w:pPr>
        <w:pageBreakBefore w:val="0"/>
        <w:wordWrap/>
        <w:bidi w:val="0"/>
        <w:adjustRightInd/>
        <w:snapToGrid/>
        <w:rPr>
          <w:rFonts w:hint="default"/>
          <w:color w:val="auto"/>
        </w:rPr>
      </w:pPr>
      <w:r>
        <w:rPr>
          <w:rFonts w:hint="default"/>
          <w:color w:val="auto"/>
        </w:rPr>
        <w:t>燃烧法有直接燃烧法和</w:t>
      </w:r>
      <w:r>
        <w:rPr>
          <w:rFonts w:hint="eastAsia"/>
          <w:color w:val="auto"/>
          <w:lang w:eastAsia="zh-CN"/>
        </w:rPr>
        <w:t>触媒</w:t>
      </w:r>
      <w:r>
        <w:rPr>
          <w:rFonts w:hint="default"/>
          <w:color w:val="auto"/>
        </w:rPr>
        <w:t>燃烧法。根据臭气的特点，当温度达到648℃</w:t>
      </w:r>
      <w:r>
        <w:rPr>
          <w:rFonts w:hint="default"/>
          <w:color w:val="auto"/>
          <w:lang w:eastAsia="zh-CN"/>
        </w:rPr>
        <w:t>，</w:t>
      </w:r>
      <w:r>
        <w:rPr>
          <w:rFonts w:hint="default"/>
          <w:color w:val="auto"/>
        </w:rPr>
        <w:t>接触时间0.3s以上时，臭气会直接燃烧，达到脱臭的目的。在污水处理厂内，常利用污泥消化后产生的沼气，使一些强烈的臭气燃烧，但工程实例较少。</w:t>
      </w:r>
    </w:p>
    <w:p w14:paraId="601620C9">
      <w:pPr>
        <w:pageBreakBefore w:val="0"/>
        <w:wordWrap/>
        <w:bidi w:val="0"/>
        <w:adjustRightInd/>
        <w:snapToGrid/>
        <w:rPr>
          <w:rFonts w:hint="default"/>
          <w:color w:val="auto"/>
        </w:rPr>
      </w:pPr>
      <w:r>
        <w:rPr>
          <w:rFonts w:hint="default"/>
          <w:color w:val="auto"/>
        </w:rPr>
        <w:t>在工程设计中，单一选用上述的一种工艺，尚不能取得满意的效果，往往需要相互组合，更好地达到脱臭的目的。如水清洗药液清洗法和活性炭吸附法相结合，水清洗药液清洗法和土壤吸附法相结合。</w:t>
      </w:r>
    </w:p>
    <w:p w14:paraId="6A737EB9">
      <w:pPr>
        <w:pageBreakBefore w:val="0"/>
        <w:wordWrap/>
        <w:bidi w:val="0"/>
        <w:adjustRightInd/>
        <w:snapToGrid/>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所以必须根据当地的实际情况，选择合适的工艺流程。</w:t>
      </w:r>
    </w:p>
    <w:p w14:paraId="523C2B7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bookmarkStart w:id="101" w:name="bookmark84"/>
      <w:bookmarkEnd w:id="101"/>
      <w:bookmarkStart w:id="102" w:name="bookmark83"/>
      <w:bookmarkEnd w:id="102"/>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三</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除臭方法的选择</w:t>
      </w:r>
    </w:p>
    <w:p w14:paraId="735624C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如前所述，几种常见除臭方式如下所示：</w:t>
      </w:r>
    </w:p>
    <w:p w14:paraId="5138F653">
      <w:pPr>
        <w:pStyle w:val="15"/>
        <w:numPr>
          <w:ilvl w:val="0"/>
          <w:numId w:val="16"/>
        </w:numPr>
        <w:bidi w:val="0"/>
        <w:ind w:left="0" w:leftChars="0" w:firstLine="0" w:firstLineChars="0"/>
        <w:rPr>
          <w:rFonts w:hint="default"/>
          <w:color w:val="auto"/>
        </w:rPr>
      </w:pPr>
      <w:r>
        <w:rPr>
          <w:rFonts w:hint="default"/>
          <w:color w:val="auto"/>
        </w:rPr>
        <w:t>除臭方式比较</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52"/>
        <w:gridCol w:w="1276"/>
        <w:gridCol w:w="1385"/>
        <w:gridCol w:w="1385"/>
        <w:gridCol w:w="1269"/>
        <w:gridCol w:w="2136"/>
      </w:tblGrid>
      <w:tr w14:paraId="5892C6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513" w:type="pct"/>
            <w:tcBorders>
              <w:tl2br w:val="nil"/>
              <w:tr2bl w:val="nil"/>
            </w:tcBorders>
            <w:vAlign w:val="center"/>
          </w:tcPr>
          <w:p w14:paraId="4D51152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处理方法</w:t>
            </w:r>
          </w:p>
        </w:tc>
        <w:tc>
          <w:tcPr>
            <w:tcW w:w="768" w:type="pct"/>
            <w:tcBorders>
              <w:tl2br w:val="nil"/>
              <w:tr2bl w:val="nil"/>
            </w:tcBorders>
            <w:vAlign w:val="center"/>
          </w:tcPr>
          <w:p w14:paraId="25725A0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热氧化法</w:t>
            </w:r>
          </w:p>
        </w:tc>
        <w:tc>
          <w:tcPr>
            <w:tcW w:w="834" w:type="pct"/>
            <w:tcBorders>
              <w:tl2br w:val="nil"/>
              <w:tr2bl w:val="nil"/>
            </w:tcBorders>
            <w:vAlign w:val="center"/>
          </w:tcPr>
          <w:p w14:paraId="21C7CEB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物理化学法</w:t>
            </w:r>
          </w:p>
        </w:tc>
        <w:tc>
          <w:tcPr>
            <w:tcW w:w="834" w:type="pct"/>
            <w:tcBorders>
              <w:tl2br w:val="nil"/>
              <w:tr2bl w:val="nil"/>
            </w:tcBorders>
            <w:vAlign w:val="center"/>
          </w:tcPr>
          <w:p w14:paraId="6571A52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低温等离子法</w:t>
            </w:r>
          </w:p>
        </w:tc>
        <w:tc>
          <w:tcPr>
            <w:tcW w:w="764" w:type="pct"/>
            <w:tcBorders>
              <w:tl2br w:val="nil"/>
              <w:tr2bl w:val="nil"/>
            </w:tcBorders>
            <w:vAlign w:val="center"/>
          </w:tcPr>
          <w:p w14:paraId="4449834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植物液法</w:t>
            </w:r>
          </w:p>
        </w:tc>
        <w:tc>
          <w:tcPr>
            <w:tcW w:w="1285" w:type="pct"/>
            <w:tcBorders>
              <w:tl2br w:val="nil"/>
              <w:tr2bl w:val="nil"/>
            </w:tcBorders>
            <w:vAlign w:val="center"/>
          </w:tcPr>
          <w:p w14:paraId="0329AD2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生物过滤法</w:t>
            </w:r>
          </w:p>
        </w:tc>
      </w:tr>
      <w:tr w14:paraId="3686E5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13" w:type="pct"/>
            <w:tcBorders>
              <w:tl2br w:val="nil"/>
              <w:tr2bl w:val="nil"/>
            </w:tcBorders>
            <w:vAlign w:val="center"/>
          </w:tcPr>
          <w:p w14:paraId="146E9DD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处理原理</w:t>
            </w:r>
          </w:p>
        </w:tc>
        <w:tc>
          <w:tcPr>
            <w:tcW w:w="768" w:type="pct"/>
            <w:tcBorders>
              <w:tl2br w:val="nil"/>
              <w:tr2bl w:val="nil"/>
            </w:tcBorders>
            <w:vAlign w:val="center"/>
          </w:tcPr>
          <w:p w14:paraId="0613635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利用高温下的氧化作用，将污染成分燃烧、分解</w:t>
            </w:r>
          </w:p>
        </w:tc>
        <w:tc>
          <w:tcPr>
            <w:tcW w:w="834" w:type="pct"/>
            <w:tcBorders>
              <w:tl2br w:val="nil"/>
              <w:tr2bl w:val="nil"/>
            </w:tcBorders>
            <w:vAlign w:val="center"/>
          </w:tcPr>
          <w:p w14:paraId="28D3367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经过一系列化学药剂处理，再经吸附剂吸附</w:t>
            </w:r>
          </w:p>
        </w:tc>
        <w:tc>
          <w:tcPr>
            <w:tcW w:w="834" w:type="pct"/>
            <w:tcBorders>
              <w:tl2br w:val="nil"/>
              <w:tr2bl w:val="nil"/>
            </w:tcBorders>
            <w:vAlign w:val="center"/>
          </w:tcPr>
          <w:p w14:paraId="571888E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利用高温粒子流，对目标分子进行轰击，将要处理的物质打碎、氧化</w:t>
            </w:r>
          </w:p>
        </w:tc>
        <w:tc>
          <w:tcPr>
            <w:tcW w:w="764" w:type="pct"/>
            <w:tcBorders>
              <w:tl2br w:val="nil"/>
              <w:tr2bl w:val="nil"/>
            </w:tcBorders>
            <w:vAlign w:val="center"/>
          </w:tcPr>
          <w:p w14:paraId="77C0E10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通过专业雾化设备，吸附、包裹臭气分子</w:t>
            </w:r>
          </w:p>
        </w:tc>
        <w:tc>
          <w:tcPr>
            <w:tcW w:w="1285" w:type="pct"/>
            <w:tcBorders>
              <w:tl2br w:val="nil"/>
              <w:tr2bl w:val="nil"/>
            </w:tcBorders>
            <w:vAlign w:val="center"/>
          </w:tcPr>
          <w:p w14:paraId="2B1367A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利用特种微生物群以污染气体为营养源的特点，经过生物化学反应将污染物转化为简单的物质</w:t>
            </w:r>
          </w:p>
        </w:tc>
      </w:tr>
      <w:tr w14:paraId="4ABAA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13" w:type="pct"/>
            <w:tcBorders>
              <w:tl2br w:val="nil"/>
              <w:tr2bl w:val="nil"/>
            </w:tcBorders>
            <w:vAlign w:val="center"/>
          </w:tcPr>
          <w:p w14:paraId="0D5C4AB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技术普遍性</w:t>
            </w:r>
          </w:p>
        </w:tc>
        <w:tc>
          <w:tcPr>
            <w:tcW w:w="768" w:type="pct"/>
            <w:tcBorders>
              <w:tl2br w:val="nil"/>
              <w:tr2bl w:val="nil"/>
            </w:tcBorders>
            <w:vAlign w:val="center"/>
          </w:tcPr>
          <w:p w14:paraId="424E257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常规</w:t>
            </w:r>
          </w:p>
        </w:tc>
        <w:tc>
          <w:tcPr>
            <w:tcW w:w="834" w:type="pct"/>
            <w:tcBorders>
              <w:tl2br w:val="nil"/>
              <w:tr2bl w:val="nil"/>
            </w:tcBorders>
            <w:vAlign w:val="center"/>
          </w:tcPr>
          <w:p w14:paraId="543C787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普遍</w:t>
            </w:r>
          </w:p>
        </w:tc>
        <w:tc>
          <w:tcPr>
            <w:tcW w:w="834" w:type="pct"/>
            <w:tcBorders>
              <w:tl2br w:val="nil"/>
              <w:tr2bl w:val="nil"/>
            </w:tcBorders>
            <w:vAlign w:val="center"/>
          </w:tcPr>
          <w:p w14:paraId="2090204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开始盛行</w:t>
            </w:r>
          </w:p>
        </w:tc>
        <w:tc>
          <w:tcPr>
            <w:tcW w:w="764" w:type="pct"/>
            <w:tcBorders>
              <w:tl2br w:val="nil"/>
              <w:tr2bl w:val="nil"/>
            </w:tcBorders>
            <w:vAlign w:val="center"/>
          </w:tcPr>
          <w:p w14:paraId="0B38B17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普遍</w:t>
            </w:r>
          </w:p>
        </w:tc>
        <w:tc>
          <w:tcPr>
            <w:tcW w:w="1285" w:type="pct"/>
            <w:tcBorders>
              <w:tl2br w:val="nil"/>
              <w:tr2bl w:val="nil"/>
            </w:tcBorders>
            <w:vAlign w:val="center"/>
          </w:tcPr>
          <w:p w14:paraId="14CBDC1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普遍</w:t>
            </w:r>
          </w:p>
        </w:tc>
      </w:tr>
      <w:tr w14:paraId="79970A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13" w:type="pct"/>
            <w:tcBorders>
              <w:tl2br w:val="nil"/>
              <w:tr2bl w:val="nil"/>
            </w:tcBorders>
            <w:vAlign w:val="center"/>
          </w:tcPr>
          <w:p w14:paraId="00863C1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优点</w:t>
            </w:r>
          </w:p>
        </w:tc>
        <w:tc>
          <w:tcPr>
            <w:tcW w:w="768" w:type="pct"/>
            <w:tcBorders>
              <w:tl2br w:val="nil"/>
              <w:tr2bl w:val="nil"/>
            </w:tcBorders>
            <w:vAlign w:val="center"/>
          </w:tcPr>
          <w:p w14:paraId="192789E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对所有污染气体都能去除，处理量大</w:t>
            </w:r>
          </w:p>
        </w:tc>
        <w:tc>
          <w:tcPr>
            <w:tcW w:w="834" w:type="pct"/>
            <w:tcBorders>
              <w:tl2br w:val="nil"/>
              <w:tr2bl w:val="nil"/>
            </w:tcBorders>
            <w:vAlign w:val="center"/>
          </w:tcPr>
          <w:p w14:paraId="0C5489E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通过选用不同的化学制剂，可快速彻底去除污染物</w:t>
            </w:r>
          </w:p>
        </w:tc>
        <w:tc>
          <w:tcPr>
            <w:tcW w:w="834" w:type="pct"/>
            <w:tcBorders>
              <w:tl2br w:val="nil"/>
              <w:tr2bl w:val="nil"/>
            </w:tcBorders>
            <w:vAlign w:val="center"/>
          </w:tcPr>
          <w:p w14:paraId="697A5C2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自动化程度高、工艺简洁、运行费用低、使用寿命长</w:t>
            </w:r>
          </w:p>
        </w:tc>
        <w:tc>
          <w:tcPr>
            <w:tcW w:w="764" w:type="pct"/>
            <w:tcBorders>
              <w:tl2br w:val="nil"/>
              <w:tr2bl w:val="nil"/>
            </w:tcBorders>
            <w:vAlign w:val="center"/>
          </w:tcPr>
          <w:p w14:paraId="2F57DEA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灵活方便，安装费用少</w:t>
            </w:r>
          </w:p>
        </w:tc>
        <w:tc>
          <w:tcPr>
            <w:tcW w:w="1285" w:type="pct"/>
            <w:tcBorders>
              <w:tl2br w:val="nil"/>
              <w:tr2bl w:val="nil"/>
            </w:tcBorders>
            <w:vAlign w:val="center"/>
          </w:tcPr>
          <w:p w14:paraId="7932FA8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运行和维护费用低，不产生二次污染</w:t>
            </w:r>
          </w:p>
        </w:tc>
      </w:tr>
      <w:tr w14:paraId="7EAAC4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13" w:type="pct"/>
            <w:tcBorders>
              <w:tl2br w:val="nil"/>
              <w:tr2bl w:val="nil"/>
            </w:tcBorders>
            <w:vAlign w:val="center"/>
          </w:tcPr>
          <w:p w14:paraId="0F72908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缺点</w:t>
            </w:r>
          </w:p>
        </w:tc>
        <w:tc>
          <w:tcPr>
            <w:tcW w:w="768" w:type="pct"/>
            <w:tcBorders>
              <w:tl2br w:val="nil"/>
              <w:tr2bl w:val="nil"/>
            </w:tcBorders>
            <w:vAlign w:val="center"/>
          </w:tcPr>
          <w:p w14:paraId="25B76B0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产生二次污染</w:t>
            </w:r>
          </w:p>
        </w:tc>
        <w:tc>
          <w:tcPr>
            <w:tcW w:w="834" w:type="pct"/>
            <w:tcBorders>
              <w:tl2br w:val="nil"/>
              <w:tr2bl w:val="nil"/>
            </w:tcBorders>
            <w:vAlign w:val="center"/>
          </w:tcPr>
          <w:p w14:paraId="128B69E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有少量的废液产生二次污染</w:t>
            </w:r>
          </w:p>
        </w:tc>
        <w:tc>
          <w:tcPr>
            <w:tcW w:w="834" w:type="pct"/>
            <w:tcBorders>
              <w:tl2br w:val="nil"/>
              <w:tr2bl w:val="nil"/>
            </w:tcBorders>
            <w:vAlign w:val="center"/>
          </w:tcPr>
          <w:p w14:paraId="1E6E87F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对浓度较高的除臭效果不明显</w:t>
            </w:r>
          </w:p>
        </w:tc>
        <w:tc>
          <w:tcPr>
            <w:tcW w:w="764" w:type="pct"/>
            <w:tcBorders>
              <w:tl2br w:val="nil"/>
              <w:tr2bl w:val="nil"/>
            </w:tcBorders>
            <w:vAlign w:val="center"/>
          </w:tcPr>
          <w:p w14:paraId="225F2C6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间歇运行，运行成本略高，除臭效果不明显</w:t>
            </w:r>
          </w:p>
        </w:tc>
        <w:tc>
          <w:tcPr>
            <w:tcW w:w="1285" w:type="pct"/>
            <w:tcBorders>
              <w:tl2br w:val="nil"/>
              <w:tr2bl w:val="nil"/>
            </w:tcBorders>
            <w:vAlign w:val="center"/>
          </w:tcPr>
          <w:p w14:paraId="427079A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处理范围</w:t>
            </w:r>
            <w:r>
              <w:rPr>
                <w:rFonts w:hint="eastAsia" w:cs="Times New Roman" w:eastAsiaTheme="minorEastAsia"/>
                <w:color w:val="auto"/>
                <w:sz w:val="21"/>
                <w:szCs w:val="21"/>
                <w:lang w:eastAsia="zh-CN"/>
              </w:rPr>
              <w:t>受</w:t>
            </w:r>
            <w:r>
              <w:rPr>
                <w:rFonts w:hint="default" w:ascii="Times New Roman" w:hAnsi="Times New Roman" w:cs="Times New Roman" w:eastAsiaTheme="minorEastAsia"/>
                <w:color w:val="auto"/>
                <w:sz w:val="21"/>
                <w:szCs w:val="21"/>
              </w:rPr>
              <w:t>生物种群影响，受气候条件的影响比较大，前期投入比较大，占地面积大</w:t>
            </w:r>
          </w:p>
        </w:tc>
      </w:tr>
    </w:tbl>
    <w:p w14:paraId="760D067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z w:val="24"/>
          <w:szCs w:val="24"/>
        </w:rPr>
        <w:t>根据比较，可根据本工程气量小，综合考虑设备投资、系统运行费等因素，建议选配生物滤池除臭处理工艺。</w:t>
      </w:r>
      <w:bookmarkStart w:id="103" w:name="bookmark85"/>
      <w:bookmarkEnd w:id="103"/>
    </w:p>
    <w:p w14:paraId="48484F9C">
      <w:pPr>
        <w:pageBreakBefore w:val="0"/>
        <w:wordWrap/>
        <w:bidi w:val="0"/>
        <w:adjustRightInd/>
        <w:snapToGrid/>
        <w:spacing w:before="156" w:beforeLines="50"/>
        <w:ind w:firstLine="480"/>
        <w:rPr>
          <w:color w:val="auto"/>
        </w:rPr>
      </w:pPr>
    </w:p>
    <w:p w14:paraId="23DEB749">
      <w:pPr>
        <w:pageBreakBefore w:val="0"/>
        <w:wordWrap/>
        <w:bidi w:val="0"/>
        <w:adjustRightInd/>
        <w:snapToGrid/>
        <w:spacing w:before="156" w:beforeLines="50"/>
        <w:ind w:firstLine="480"/>
        <w:rPr>
          <w:color w:val="auto"/>
        </w:rPr>
        <w:sectPr>
          <w:headerReference r:id="rId16" w:type="default"/>
          <w:footerReference r:id="rId1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266FABC">
      <w:pPr>
        <w:pStyle w:val="6"/>
        <w:pageBreakBefore w:val="0"/>
        <w:wordWrap/>
        <w:bidi w:val="0"/>
        <w:adjustRightInd/>
        <w:snapToGrid/>
        <w:rPr>
          <w:rFonts w:hint="eastAsia"/>
          <w:color w:val="auto"/>
        </w:rPr>
      </w:pPr>
      <w:r>
        <w:rPr>
          <w:rFonts w:hint="eastAsia"/>
          <w:color w:val="auto"/>
          <w:lang w:val="en-US" w:eastAsia="zh-CN"/>
        </w:rPr>
        <w:t xml:space="preserve"> </w:t>
      </w:r>
      <w:r>
        <w:rPr>
          <w:color w:val="auto"/>
        </w:rPr>
        <w:t>本项目处理工艺介绍</w:t>
      </w:r>
    </w:p>
    <w:p w14:paraId="48A3EC1F">
      <w:pPr>
        <w:pStyle w:val="321"/>
        <w:pageBreakBefore w:val="0"/>
        <w:wordWrap/>
        <w:bidi w:val="0"/>
        <w:adjustRightInd/>
        <w:snapToGrid/>
        <w:spacing w:line="360" w:lineRule="auto"/>
        <w:ind w:firstLine="0" w:firstLineChars="0"/>
        <w:rPr>
          <w:rFonts w:hint="eastAsia" w:eastAsia="宋体"/>
          <w:color w:val="auto"/>
          <w:lang w:eastAsia="zh-CN"/>
        </w:rPr>
      </w:pPr>
      <w:r>
        <w:rPr>
          <w:color w:val="auto"/>
        </w:rPr>
        <w:drawing>
          <wp:inline distT="0" distB="0" distL="114300" distR="114300">
            <wp:extent cx="8176260" cy="4700905"/>
            <wp:effectExtent l="0" t="0" r="0" b="4445"/>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60"/>
                    <a:stretch>
                      <a:fillRect/>
                    </a:stretch>
                  </pic:blipFill>
                  <pic:spPr>
                    <a:xfrm>
                      <a:off x="0" y="0"/>
                      <a:ext cx="8176260" cy="4700905"/>
                    </a:xfrm>
                    <a:prstGeom prst="rect">
                      <a:avLst/>
                    </a:prstGeom>
                    <a:noFill/>
                    <a:ln>
                      <a:noFill/>
                    </a:ln>
                  </pic:spPr>
                </pic:pic>
              </a:graphicData>
            </a:graphic>
          </wp:inline>
        </w:drawing>
      </w:r>
    </w:p>
    <w:p w14:paraId="6CBC6F11">
      <w:pPr>
        <w:pStyle w:val="15"/>
        <w:numPr>
          <w:ilvl w:val="0"/>
          <w:numId w:val="0"/>
        </w:numPr>
        <w:tabs>
          <w:tab w:val="clear" w:pos="0"/>
        </w:tabs>
        <w:bidi w:val="0"/>
        <w:ind w:leftChars="0"/>
        <w:jc w:val="center"/>
        <w:rPr>
          <w:color w:val="auto"/>
        </w:rPr>
        <w:sectPr>
          <w:pgSz w:w="16840" w:h="11907" w:orient="landscape"/>
          <w:pgMar w:top="1418" w:right="1701" w:bottom="1701" w:left="1701" w:header="992" w:footer="992" w:gutter="284"/>
          <w:pgBorders>
            <w:top w:val="none" w:sz="0" w:space="0"/>
            <w:left w:val="none" w:sz="0" w:space="0"/>
            <w:bottom w:val="none" w:sz="0" w:space="0"/>
            <w:right w:val="none" w:sz="0" w:space="0"/>
          </w:pgBorders>
          <w:pgNumType w:fmt="decimal"/>
          <w:cols w:space="720" w:num="1"/>
          <w:docGrid w:linePitch="326" w:charSpace="0"/>
        </w:sect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10</w:t>
      </w:r>
      <w:r>
        <w:rPr>
          <w:color w:val="auto"/>
        </w:rPr>
        <w:fldChar w:fldCharType="end"/>
      </w:r>
      <w:r>
        <w:rPr>
          <w:color w:val="auto"/>
        </w:rPr>
        <w:t xml:space="preserve">  污水处理工艺流程图</w:t>
      </w:r>
    </w:p>
    <w:p w14:paraId="73250E97">
      <w:pPr>
        <w:pageBreakBefore w:val="0"/>
        <w:wordWrap/>
        <w:bidi w:val="0"/>
        <w:adjustRightInd/>
        <w:snapToGrid/>
        <w:ind w:firstLine="480"/>
        <w:rPr>
          <w:rFonts w:hint="eastAsia"/>
          <w:color w:val="auto"/>
        </w:rPr>
      </w:pPr>
      <w:r>
        <w:rPr>
          <w:rFonts w:hint="eastAsia"/>
          <w:color w:val="auto"/>
        </w:rPr>
        <w:t>本项目采用的污水处理工艺如下：</w:t>
      </w:r>
    </w:p>
    <w:p w14:paraId="04CF33D9">
      <w:pPr>
        <w:pageBreakBefore w:val="0"/>
        <w:wordWrap/>
        <w:bidi w:val="0"/>
        <w:adjustRightInd/>
        <w:snapToGrid/>
        <w:rPr>
          <w:rFonts w:hint="eastAsia"/>
          <w:color w:val="auto"/>
        </w:rPr>
      </w:pPr>
      <w:r>
        <w:rPr>
          <w:rFonts w:hint="eastAsia"/>
          <w:color w:val="auto"/>
        </w:rPr>
        <w:t>本项目园区综合废水</w:t>
      </w:r>
      <w:r>
        <w:rPr>
          <w:rFonts w:hint="eastAsia"/>
          <w:color w:val="auto"/>
          <w:lang w:eastAsia="zh-CN"/>
        </w:rPr>
        <w:t>（</w:t>
      </w:r>
      <w:r>
        <w:rPr>
          <w:rFonts w:hint="eastAsia"/>
          <w:color w:val="auto"/>
        </w:rPr>
        <w:t>压力来水，一厂一管，专管排水</w:t>
      </w:r>
      <w:r>
        <w:rPr>
          <w:rFonts w:hint="eastAsia"/>
          <w:color w:val="auto"/>
          <w:lang w:eastAsia="zh-CN"/>
        </w:rPr>
        <w:t>）</w:t>
      </w:r>
      <w:r>
        <w:rPr>
          <w:rFonts w:hint="eastAsia"/>
          <w:color w:val="auto"/>
        </w:rPr>
        <w:t>首先进入超细格栅去除废水中的较细悬浮物和杂质，然后进入综合调节池进行均质均量，避免了由于原水水量和水质的变化对后续处理系统带来的冲击影响；经综合废水调节池调节后，废水进入高级氧化工艺段和水解酸化池，通过高级氧化段将难降解的污染物开环断链同时通过水解酸化作用提高污水的可生化性，进入到改良式A/</w:t>
      </w:r>
      <w:r>
        <w:rPr>
          <w:rFonts w:hint="eastAsia"/>
          <w:color w:val="auto"/>
          <w:lang w:val="en-US" w:eastAsia="zh-CN"/>
        </w:rPr>
        <w:t>O</w:t>
      </w:r>
      <w:r>
        <w:rPr>
          <w:rFonts w:hint="eastAsia"/>
          <w:color w:val="auto"/>
        </w:rPr>
        <w:t>生化池，经曝气生化池处理后，进水中的COD、氨氮、硝酸盐可得到有效去除，之后进入到沉淀池进行自然沉降。上清液自流进入到磁混凝沉淀池，经磁混凝沉淀池处理后，进水中的SS、总硬度可得到有效去除，之后进入到深床反硝化滤池，进水中的总磷可得到有效去除；至此水分两路，一路经高级氧化保证出水COD达标后再经紫外线消毒计量排入自然水体，另一路水进入回用水再生处理流程。</w:t>
      </w:r>
    </w:p>
    <w:p w14:paraId="158F0D0F">
      <w:pPr>
        <w:pageBreakBefore w:val="0"/>
        <w:wordWrap/>
        <w:bidi w:val="0"/>
        <w:adjustRightInd/>
        <w:snapToGrid/>
        <w:rPr>
          <w:rFonts w:hint="eastAsia"/>
          <w:color w:val="auto"/>
        </w:rPr>
      </w:pPr>
      <w:r>
        <w:rPr>
          <w:rFonts w:hint="eastAsia"/>
          <w:color w:val="auto"/>
        </w:rPr>
        <w:t>深床反硝化滤池的部分出水进入超滤进水池后，首先经过多介质过滤器+自清洗过滤器过滤后，然后经超滤1和反渗透1过滤，反渗透1的产水至回用水池1</w:t>
      </w:r>
      <w:r>
        <w:rPr>
          <w:rFonts w:hint="eastAsia"/>
          <w:color w:val="auto"/>
          <w:lang w:eastAsia="zh-CN"/>
        </w:rPr>
        <w:t>，</w:t>
      </w:r>
      <w:r>
        <w:rPr>
          <w:rFonts w:hint="eastAsia"/>
          <w:color w:val="auto"/>
        </w:rPr>
        <w:t>反渗透1的浓水进入1级浓水池暂存；然后1级浓水池的浓水经除氟除钙高密池去除氟化物和钙离子后，经砂滤+自清洗+超滤过滤后进入反渗透2</w:t>
      </w:r>
      <w:r>
        <w:rPr>
          <w:rFonts w:hint="eastAsia"/>
          <w:color w:val="auto"/>
          <w:lang w:eastAsia="zh-CN"/>
        </w:rPr>
        <w:t>；</w:t>
      </w:r>
      <w:r>
        <w:rPr>
          <w:rFonts w:hint="eastAsia"/>
          <w:color w:val="auto"/>
        </w:rPr>
        <w:t>反渗透2的产水直接去1#回用水池，反渗透浓水进入2级浓水池暂存，然后2级浓水池的浓水经除硅高密池去除硅元素后进入CTUF进行过滤，经脱气塔除碳及板式换热器降温处理</w:t>
      </w:r>
      <w:r>
        <w:rPr>
          <w:rFonts w:hint="eastAsia"/>
          <w:color w:val="auto"/>
          <w:lang w:eastAsia="zh-CN"/>
        </w:rPr>
        <w:t>（</w:t>
      </w:r>
      <w:r>
        <w:rPr>
          <w:rFonts w:hint="eastAsia"/>
          <w:color w:val="auto"/>
        </w:rPr>
        <w:t>仅在夏季或夏秋两季使用</w:t>
      </w:r>
      <w:r>
        <w:rPr>
          <w:rFonts w:hint="eastAsia"/>
          <w:color w:val="auto"/>
          <w:lang w:eastAsia="zh-CN"/>
        </w:rPr>
        <w:t>）</w:t>
      </w:r>
      <w:r>
        <w:rPr>
          <w:rFonts w:hint="eastAsia"/>
          <w:color w:val="auto"/>
        </w:rPr>
        <w:t>后进入均质缓冲池缓存，然后进入高压反渗透装置；高压反渗透的产水进入反渗透3再进行一次脱盐处理，反渗透3的产水直接去回用水池1#</w:t>
      </w:r>
      <w:r>
        <w:rPr>
          <w:rFonts w:hint="eastAsia"/>
          <w:color w:val="auto"/>
          <w:lang w:eastAsia="zh-CN"/>
        </w:rPr>
        <w:t>，</w:t>
      </w:r>
      <w:r>
        <w:rPr>
          <w:rFonts w:hint="eastAsia"/>
          <w:color w:val="auto"/>
        </w:rPr>
        <w:t>反渗透3的浓水进入1#浓水池继续处理；高压反渗透的浓水经除钙高密池后进行高级氧化，最后浓水进入蒸发结晶系统进行蒸盐，产生杂盐结晶运至仓库暂存，达到一定量后外运处置，冷凝液回调节池进入生化处理系统处理，而母液则经ACMf压滤处理后回至1级浓水池继续循环处理。</w:t>
      </w:r>
    </w:p>
    <w:p w14:paraId="70779193">
      <w:pPr>
        <w:pStyle w:val="5"/>
        <w:pageBreakBefore w:val="0"/>
        <w:wordWrap/>
        <w:bidi w:val="0"/>
        <w:adjustRightInd/>
        <w:snapToGrid/>
        <w:spacing w:before="62" w:after="62"/>
        <w:ind w:left="0"/>
        <w:rPr>
          <w:rFonts w:hint="default" w:eastAsia="宋体"/>
          <w:color w:val="auto"/>
          <w:lang w:val="en-US"/>
        </w:rPr>
      </w:pPr>
      <w:r>
        <w:rPr>
          <w:rFonts w:hint="eastAsia" w:eastAsia="宋体"/>
          <w:color w:val="auto"/>
        </w:rPr>
        <w:t xml:space="preserve"> </w:t>
      </w:r>
      <w:r>
        <w:rPr>
          <w:rFonts w:hint="eastAsia"/>
          <w:color w:val="auto"/>
          <w:lang w:val="en-US" w:eastAsia="zh-CN"/>
        </w:rPr>
        <w:t>特征污染物识别分析</w:t>
      </w:r>
    </w:p>
    <w:p w14:paraId="113379DD">
      <w:pPr>
        <w:bidi w:val="0"/>
        <w:rPr>
          <w:rFonts w:hint="default" w:eastAsia="宋体"/>
          <w:color w:val="auto"/>
          <w:lang w:val="en-US" w:eastAsia="zh-CN"/>
        </w:rPr>
      </w:pPr>
      <w:r>
        <w:rPr>
          <w:rFonts w:hint="eastAsia"/>
          <w:color w:val="auto"/>
          <w:lang w:val="en-US" w:eastAsia="zh-CN"/>
        </w:rPr>
        <w:t>根据《四川巴中经济开发区规划修编环境影响报告书》，四川经济开发区-曾口区块主导产业为天然气化工和新能源新材料，本项目特征污染物分析如下：</w:t>
      </w:r>
    </w:p>
    <w:p w14:paraId="02197483">
      <w:pPr>
        <w:bidi w:val="0"/>
        <w:rPr>
          <w:rFonts w:hint="default" w:eastAsia="宋体"/>
          <w:color w:val="auto"/>
          <w:lang w:val="en-US" w:eastAsia="zh-CN"/>
        </w:rPr>
      </w:pPr>
      <w:r>
        <w:rPr>
          <w:rFonts w:hint="eastAsia"/>
          <w:color w:val="auto"/>
          <w:lang w:val="en-US" w:eastAsia="zh-CN"/>
        </w:rPr>
        <w:t>1、天然气化工产业链</w:t>
      </w:r>
    </w:p>
    <w:p w14:paraId="0A6A38F1">
      <w:pPr>
        <w:bidi w:val="0"/>
        <w:rPr>
          <w:rFonts w:hint="eastAsia"/>
          <w:color w:val="auto"/>
        </w:rPr>
      </w:pPr>
      <w:r>
        <w:rPr>
          <w:rFonts w:hint="eastAsia"/>
          <w:color w:val="auto"/>
        </w:rPr>
        <w:t>以天然气部分氧化制乙炔为基础，打造市场前景较为广阔的乙炔系列精细化学品产品链，最终产品包括PTMEG（纺织原料）、差别化氨纶（弹性纤维）、PBAT（可降解材料）、PBT（工程塑料）、PBS（可降解塑料）、TPEE（弹性体）、NMP（电子级溶剂）等。该产业链总体工艺流程如下：</w:t>
      </w:r>
    </w:p>
    <w:p w14:paraId="7286BEF4">
      <w:pPr>
        <w:bidi w:val="0"/>
        <w:ind w:left="0" w:leftChars="0" w:firstLine="0" w:firstLineChars="0"/>
        <w:rPr>
          <w:color w:val="auto"/>
        </w:rPr>
      </w:pPr>
      <w:r>
        <w:rPr>
          <w:color w:val="auto"/>
        </w:rPr>
        <w:drawing>
          <wp:inline distT="0" distB="0" distL="114300" distR="114300">
            <wp:extent cx="5267960" cy="2431415"/>
            <wp:effectExtent l="0" t="0" r="8890" b="6985"/>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61"/>
                    <a:stretch>
                      <a:fillRect/>
                    </a:stretch>
                  </pic:blipFill>
                  <pic:spPr>
                    <a:xfrm>
                      <a:off x="0" y="0"/>
                      <a:ext cx="5267960" cy="2431415"/>
                    </a:xfrm>
                    <a:prstGeom prst="rect">
                      <a:avLst/>
                    </a:prstGeom>
                    <a:noFill/>
                    <a:ln>
                      <a:noFill/>
                    </a:ln>
                  </pic:spPr>
                </pic:pic>
              </a:graphicData>
            </a:graphic>
          </wp:inline>
        </w:drawing>
      </w:r>
    </w:p>
    <w:p w14:paraId="4A8D6508">
      <w:pPr>
        <w:pStyle w:val="15"/>
        <w:numPr>
          <w:ilvl w:val="0"/>
          <w:numId w:val="0"/>
        </w:numPr>
        <w:tabs>
          <w:tab w:val="clear" w:pos="0"/>
        </w:tabs>
        <w:bidi w:val="0"/>
        <w:ind w:leftChars="0"/>
        <w:jc w:val="center"/>
        <w:rPr>
          <w:rFonts w:hint="eastAsia" w:eastAsia="宋体"/>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11</w:t>
      </w:r>
      <w:r>
        <w:rPr>
          <w:color w:val="auto"/>
        </w:rPr>
        <w:fldChar w:fldCharType="end"/>
      </w:r>
      <w:r>
        <w:rPr>
          <w:rFonts w:hint="eastAsia"/>
          <w:color w:val="auto"/>
          <w:lang w:val="en-US" w:eastAsia="zh-CN"/>
        </w:rPr>
        <w:t xml:space="preserve"> 曾口区块规划天然气化工产业链关联图</w:t>
      </w:r>
    </w:p>
    <w:p w14:paraId="7D54508B">
      <w:pPr>
        <w:bidi w:val="0"/>
        <w:rPr>
          <w:rFonts w:hint="eastAsia"/>
          <w:b/>
          <w:bCs/>
          <w:color w:val="auto"/>
        </w:rPr>
      </w:pPr>
      <w:r>
        <w:rPr>
          <w:rFonts w:hint="eastAsia"/>
          <w:b/>
          <w:bCs/>
          <w:color w:val="auto"/>
        </w:rPr>
        <w:t>对该条产业链进行工艺流程和产排污节点分析如下：</w:t>
      </w:r>
    </w:p>
    <w:p w14:paraId="7C243B58">
      <w:pPr>
        <w:bidi w:val="0"/>
        <w:rPr>
          <w:rFonts w:hint="eastAsia"/>
          <w:color w:val="auto"/>
        </w:rPr>
      </w:pPr>
      <w:r>
        <w:rPr>
          <w:rFonts w:hint="eastAsia"/>
          <w:color w:val="auto"/>
        </w:rPr>
        <w:t>①生产工艺</w:t>
      </w:r>
    </w:p>
    <w:p w14:paraId="6C4A2377">
      <w:pPr>
        <w:bidi w:val="0"/>
        <w:rPr>
          <w:rFonts w:hint="eastAsia"/>
          <w:color w:val="auto"/>
        </w:rPr>
      </w:pPr>
      <w:r>
        <w:rPr>
          <w:rFonts w:hint="eastAsia"/>
          <w:color w:val="auto"/>
          <w:u w:val="single"/>
        </w:rPr>
        <w:t>天然气制乙炔：</w:t>
      </w:r>
      <w:r>
        <w:rPr>
          <w:rFonts w:hint="eastAsia"/>
          <w:color w:val="auto"/>
        </w:rPr>
        <w:t>天然气中的甲烷与氧气发生部分氧化反应，并发生甲烷的裂解反应生成乙炔，同时生成氢气、一氧化碳和水，以及少量的二氧化碳、丁二炔、乙烯基乙炔、其他烃类物质以及碳黑。</w:t>
      </w:r>
    </w:p>
    <w:p w14:paraId="230B2AEA">
      <w:pPr>
        <w:bidi w:val="0"/>
        <w:rPr>
          <w:rFonts w:hint="eastAsia"/>
          <w:color w:val="auto"/>
        </w:rPr>
      </w:pPr>
      <w:r>
        <w:rPr>
          <w:rFonts w:hint="eastAsia"/>
          <w:color w:val="auto"/>
          <w:u w:val="single"/>
        </w:rPr>
        <w:t>甲醇制甲醛：</w:t>
      </w:r>
      <w:r>
        <w:rPr>
          <w:rFonts w:hint="eastAsia"/>
          <w:color w:val="auto"/>
        </w:rPr>
        <w:t>采用铁-钼氧化法生产甲醛，甲醇通过催化氧化制甲醛，废气仅在甲醛吸收塔产生。</w:t>
      </w:r>
    </w:p>
    <w:p w14:paraId="75B16AC1">
      <w:pPr>
        <w:bidi w:val="0"/>
        <w:rPr>
          <w:rFonts w:hint="eastAsia"/>
          <w:color w:val="auto"/>
        </w:rPr>
      </w:pPr>
      <w:r>
        <w:rPr>
          <w:rFonts w:hint="eastAsia"/>
          <w:color w:val="auto"/>
          <w:u w:val="single"/>
        </w:rPr>
        <w:t>BDO工艺：</w:t>
      </w:r>
      <w:r>
        <w:rPr>
          <w:rFonts w:hint="eastAsia"/>
          <w:color w:val="auto"/>
        </w:rPr>
        <w:t>采取甲醛、乙炔在铜-铋催化剂作用下反应生成1，4-丁炔二醇（BYD）；BYD在镍催化剂作用下进一步加氢反应生成1，4-丁二醇（BDO）。</w:t>
      </w:r>
    </w:p>
    <w:p w14:paraId="52A54BAC">
      <w:pPr>
        <w:bidi w:val="0"/>
        <w:rPr>
          <w:rFonts w:hint="eastAsia"/>
          <w:color w:val="auto"/>
        </w:rPr>
      </w:pPr>
      <w:r>
        <w:rPr>
          <w:rFonts w:hint="eastAsia"/>
          <w:color w:val="auto"/>
          <w:u w:val="single"/>
        </w:rPr>
        <w:t>PBAT装置工艺：</w:t>
      </w:r>
      <w:r>
        <w:rPr>
          <w:rFonts w:hint="eastAsia"/>
          <w:color w:val="auto"/>
        </w:rPr>
        <w:t>采用直接酯化法合成PBAT，主要是以对苯二甲酸（PTA）、1，6己二酸（AA）与1，4丁二醇（BDO）为主要原料，在催化剂的作用下直接进行酯化、缩聚反应而制得，副产THF。</w:t>
      </w:r>
    </w:p>
    <w:p w14:paraId="52384554">
      <w:pPr>
        <w:bidi w:val="0"/>
        <w:rPr>
          <w:rFonts w:hint="eastAsia"/>
          <w:color w:val="auto"/>
        </w:rPr>
      </w:pPr>
      <w:r>
        <w:rPr>
          <w:rFonts w:hint="eastAsia"/>
          <w:color w:val="auto"/>
          <w:u w:val="single"/>
        </w:rPr>
        <w:t>PTMEG装置工艺：</w:t>
      </w:r>
      <w:r>
        <w:rPr>
          <w:rFonts w:hint="eastAsia"/>
          <w:color w:val="auto"/>
        </w:rPr>
        <w:t>采用THF、醋酐为原料在催化剂的作用下反应聚合，再经脱色、酯化、精制等工段生产PTMEG。在不同工段采用不同的催化剂。在脱色工段加入氢气，酯化工段加入甲醇，产生的少量低聚合物和生成的不合格PTMEG产品在催化剂作用下分解处理，产生的THF循环使用。</w:t>
      </w:r>
    </w:p>
    <w:p w14:paraId="5BE972CF">
      <w:pPr>
        <w:bidi w:val="0"/>
        <w:rPr>
          <w:rFonts w:hint="eastAsia"/>
          <w:color w:val="auto"/>
        </w:rPr>
      </w:pPr>
      <w:r>
        <w:rPr>
          <w:rFonts w:hint="eastAsia"/>
          <w:color w:val="auto"/>
          <w:u w:val="single"/>
        </w:rPr>
        <w:t>氨纶装置工艺：</w:t>
      </w:r>
      <w:r>
        <w:rPr>
          <w:rFonts w:hint="eastAsia"/>
          <w:color w:val="auto"/>
        </w:rPr>
        <w:t>采用PTMEG、MDI为原料连续聚合合成聚氨酯，使用干法纺丝技术，加工为聚氨酯纤维。</w:t>
      </w:r>
    </w:p>
    <w:p w14:paraId="7EF2BAE2">
      <w:pPr>
        <w:bidi w:val="0"/>
        <w:rPr>
          <w:rFonts w:hint="eastAsia"/>
          <w:color w:val="auto"/>
        </w:rPr>
      </w:pPr>
      <w:r>
        <w:rPr>
          <w:rFonts w:hint="eastAsia"/>
          <w:color w:val="auto"/>
          <w:u w:val="single"/>
        </w:rPr>
        <w:t>NMP装置工艺：</w:t>
      </w:r>
      <w:r>
        <w:rPr>
          <w:rFonts w:hint="eastAsia"/>
          <w:color w:val="auto"/>
        </w:rPr>
        <w:t>采用BDO为原料，催化脱氢生成γ-丁内脂，再与外购的单甲基胺反应合成N甲基吡咯烷酮。</w:t>
      </w:r>
    </w:p>
    <w:p w14:paraId="209898B4">
      <w:pPr>
        <w:bidi w:val="0"/>
        <w:rPr>
          <w:rFonts w:hint="eastAsia"/>
          <w:color w:val="auto"/>
        </w:rPr>
      </w:pPr>
      <w:r>
        <w:rPr>
          <w:rFonts w:hint="eastAsia"/>
          <w:color w:val="auto"/>
          <w:u w:val="single"/>
        </w:rPr>
        <w:t>TPEE装置工艺：</w:t>
      </w:r>
      <w:r>
        <w:rPr>
          <w:rFonts w:hint="eastAsia"/>
          <w:color w:val="auto"/>
        </w:rPr>
        <w:t>采用对苯二甲酸二甲酯（DMT）、BDO、PTMEG为原料，通过酯交换反应、缩聚反应制备TPEE。</w:t>
      </w:r>
    </w:p>
    <w:p w14:paraId="7FF37700">
      <w:pPr>
        <w:bidi w:val="0"/>
        <w:rPr>
          <w:rFonts w:hint="eastAsia"/>
          <w:color w:val="auto"/>
        </w:rPr>
      </w:pPr>
      <w:r>
        <w:rPr>
          <w:rFonts w:hint="eastAsia"/>
          <w:color w:val="auto"/>
          <w:u w:val="single"/>
        </w:rPr>
        <w:t>PBS装置工艺：</w:t>
      </w:r>
      <w:r>
        <w:rPr>
          <w:rFonts w:hint="eastAsia"/>
          <w:color w:val="auto"/>
        </w:rPr>
        <w:t>采用丁二醇（BDO）、丁二酸酐/丁二酸为原料先经配比投料混合打浆后，浆料供应去进行酯化反应、在低真空条件下酯化反应生成酯化低聚物，低聚物在高真空条件下经预缩、终缩聚反应到终点后水下造粒、干燥脱水后得到产品PBS（聚丁二酸丁二醇酯）。</w:t>
      </w:r>
    </w:p>
    <w:p w14:paraId="79708441">
      <w:pPr>
        <w:bidi w:val="0"/>
        <w:rPr>
          <w:rFonts w:hint="eastAsia"/>
          <w:color w:val="auto"/>
        </w:rPr>
      </w:pPr>
      <w:r>
        <w:rPr>
          <w:rFonts w:hint="eastAsia"/>
          <w:color w:val="auto"/>
          <w:u w:val="single"/>
        </w:rPr>
        <w:t>PBT装置工艺：</w:t>
      </w:r>
      <w:r>
        <w:rPr>
          <w:rFonts w:hint="eastAsia"/>
          <w:color w:val="auto"/>
        </w:rPr>
        <w:t>采用高纯度对苯二甲酸（PTA）与BDO直接酯化，再进行缩聚而制得PBT。酯化反应过程中产生水，BDO在高温下环化生成THF。</w:t>
      </w:r>
    </w:p>
    <w:p w14:paraId="3FDA03B8">
      <w:pPr>
        <w:bidi w:val="0"/>
        <w:rPr>
          <w:rFonts w:hint="eastAsia"/>
          <w:color w:val="auto"/>
        </w:rPr>
      </w:pPr>
      <w:r>
        <w:rPr>
          <w:rFonts w:hint="eastAsia"/>
          <w:color w:val="auto"/>
        </w:rPr>
        <w:t>②主要产污</w:t>
      </w:r>
    </w:p>
    <w:p w14:paraId="0371F51E">
      <w:pPr>
        <w:bidi w:val="0"/>
        <w:rPr>
          <w:rFonts w:hint="eastAsia"/>
          <w:color w:val="auto"/>
        </w:rPr>
      </w:pPr>
      <w:r>
        <w:rPr>
          <w:rFonts w:hint="eastAsia"/>
          <w:color w:val="auto"/>
          <w:u w:val="single"/>
        </w:rPr>
        <w:t>废水：</w:t>
      </w:r>
      <w:r>
        <w:rPr>
          <w:rFonts w:hint="eastAsia"/>
          <w:color w:val="auto"/>
        </w:rPr>
        <w:t>废水可分为反应生成水、工艺物料洗涤水、工艺设备及管道清洗水、直接加热或作为反应介质的蒸汽冷凝水、地面冲洗水和生产区域污染雨水等，主要污染物包括pH、COD、SS、氨氮、氯离子、甲醛、石油类等。</w:t>
      </w:r>
    </w:p>
    <w:p w14:paraId="073E6989">
      <w:pPr>
        <w:bidi w:val="0"/>
        <w:rPr>
          <w:rFonts w:hint="eastAsia"/>
          <w:color w:val="auto"/>
        </w:rPr>
      </w:pPr>
      <w:r>
        <w:rPr>
          <w:rFonts w:hint="eastAsia"/>
          <w:i w:val="0"/>
          <w:iCs w:val="0"/>
          <w:color w:val="auto"/>
          <w:u w:val="single"/>
        </w:rPr>
        <w:t>废气：</w:t>
      </w:r>
      <w:r>
        <w:rPr>
          <w:rFonts w:hint="eastAsia"/>
          <w:color w:val="auto"/>
        </w:rPr>
        <w:t>按照排放源分，可分为燃烧源、工艺源和面源。燃烧源主要有工艺加热炉、裂解炉等烟气；工艺源包括氧化反应、酯交换反应、缩聚反应工艺尾气、固体颗粒物料输送尾气等；面源包括储罐呼吸排气、设备阀门泄漏</w:t>
      </w:r>
      <w:r>
        <w:rPr>
          <w:rFonts w:hint="eastAsia"/>
          <w:color w:val="auto"/>
          <w:lang w:eastAsia="zh-CN"/>
        </w:rPr>
        <w:t>、</w:t>
      </w:r>
      <w:r>
        <w:rPr>
          <w:rFonts w:hint="eastAsia"/>
          <w:color w:val="auto"/>
        </w:rPr>
        <w:t>采样过程、序批式反应器的进料、出料及惰性气体保护过程、设备阀门检维修过程、非正常工况等。就本次曾口区块规划区规划的天然气精细化学品产业链而言，主要污染物包括颗粒物、二氧化硫、氮氧化物、CO、VOCs、甲醇、甲醛、碳黑尘等。</w:t>
      </w:r>
    </w:p>
    <w:p w14:paraId="37A8DCEE">
      <w:pPr>
        <w:bidi w:val="0"/>
        <w:rPr>
          <w:rFonts w:hint="eastAsia"/>
          <w:color w:val="auto"/>
        </w:rPr>
      </w:pPr>
      <w:r>
        <w:rPr>
          <w:rFonts w:hint="eastAsia"/>
          <w:color w:val="auto"/>
          <w:u w:val="single"/>
        </w:rPr>
        <w:t>固废：</w:t>
      </w:r>
      <w:r>
        <w:rPr>
          <w:rFonts w:hint="eastAsia"/>
          <w:color w:val="auto"/>
        </w:rPr>
        <w:t>主要为过滤杂质、氧化炉再生炉产生的残炭，以及大量的危险废物，包括溶剂再生蒸发器蒸发后的水和聚合物混合浆料、甲醇装置废脱硫剂、废催化剂（钯、铜、铁铬、铁钼、铂金等）、PSA制氢装置产生的废吸附剂、甲醇过滤器少量杂质（石蜡）、预精馏塔甲醇回收塔废液（杂醇油）、BYD废催化剂、BDO加氢催化剂、废活性炭、有机废液、污水处理站污泥、含有或沾染毒性感染性危险废物的废弃包装物容器过滤吸附介质等。</w:t>
      </w:r>
    </w:p>
    <w:p w14:paraId="6CC4D0B7">
      <w:pPr>
        <w:numPr>
          <w:ilvl w:val="0"/>
          <w:numId w:val="20"/>
        </w:numPr>
        <w:bidi w:val="0"/>
        <w:rPr>
          <w:rFonts w:hint="eastAsia"/>
          <w:color w:val="auto"/>
          <w:lang w:val="en-US" w:eastAsia="zh-CN"/>
        </w:rPr>
      </w:pPr>
      <w:r>
        <w:rPr>
          <w:rFonts w:hint="eastAsia"/>
          <w:color w:val="auto"/>
          <w:lang w:val="en-US" w:eastAsia="zh-CN"/>
        </w:rPr>
        <w:t>新能源新材料</w:t>
      </w:r>
    </w:p>
    <w:p w14:paraId="6F725896">
      <w:pPr>
        <w:bidi w:val="0"/>
        <w:rPr>
          <w:rFonts w:hint="default"/>
          <w:color w:val="auto"/>
          <w:lang w:val="en-US" w:eastAsia="zh-CN"/>
        </w:rPr>
      </w:pPr>
      <w:r>
        <w:rPr>
          <w:rFonts w:hint="default"/>
          <w:color w:val="auto"/>
          <w:lang w:val="en-US" w:eastAsia="zh-CN"/>
        </w:rPr>
        <w:t>主要包括以天然气液化制LNG的新能源和以石墨负极材料为代表的新能源材料、石墨烯新材料以及新能源动力电池产业等。</w:t>
      </w:r>
    </w:p>
    <w:p w14:paraId="34E1EC17">
      <w:pPr>
        <w:numPr>
          <w:ilvl w:val="0"/>
          <w:numId w:val="21"/>
        </w:numPr>
        <w:bidi w:val="0"/>
        <w:rPr>
          <w:rFonts w:hint="eastAsia"/>
          <w:color w:val="auto"/>
          <w:lang w:val="en-US" w:eastAsia="zh-CN"/>
        </w:rPr>
      </w:pPr>
      <w:r>
        <w:rPr>
          <w:rFonts w:hint="eastAsia"/>
          <w:color w:val="auto"/>
          <w:lang w:val="en-US" w:eastAsia="zh-CN"/>
        </w:rPr>
        <w:t>典型负极材料</w:t>
      </w:r>
    </w:p>
    <w:p w14:paraId="02F4F6DD">
      <w:pPr>
        <w:numPr>
          <w:ilvl w:val="0"/>
          <w:numId w:val="0"/>
        </w:numPr>
        <w:bidi w:val="0"/>
        <w:jc w:val="center"/>
        <w:rPr>
          <w:rFonts w:hint="default"/>
          <w:color w:val="auto"/>
          <w:lang w:val="en-US" w:eastAsia="zh-CN"/>
        </w:rPr>
      </w:pPr>
      <w:r>
        <w:rPr>
          <w:color w:val="auto"/>
        </w:rPr>
        <w:drawing>
          <wp:inline distT="0" distB="0" distL="114300" distR="114300">
            <wp:extent cx="5265420" cy="3062605"/>
            <wp:effectExtent l="0" t="0" r="11430" b="444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62"/>
                    <a:stretch>
                      <a:fillRect/>
                    </a:stretch>
                  </pic:blipFill>
                  <pic:spPr>
                    <a:xfrm>
                      <a:off x="0" y="0"/>
                      <a:ext cx="5265420" cy="3062605"/>
                    </a:xfrm>
                    <a:prstGeom prst="rect">
                      <a:avLst/>
                    </a:prstGeom>
                    <a:noFill/>
                    <a:ln>
                      <a:noFill/>
                    </a:ln>
                  </pic:spPr>
                </pic:pic>
              </a:graphicData>
            </a:graphic>
          </wp:inline>
        </w:drawing>
      </w:r>
    </w:p>
    <w:p w14:paraId="739C7742">
      <w:pPr>
        <w:pStyle w:val="15"/>
        <w:numPr>
          <w:ilvl w:val="0"/>
          <w:numId w:val="0"/>
        </w:numPr>
        <w:tabs>
          <w:tab w:val="clear" w:pos="0"/>
        </w:tabs>
        <w:bidi w:val="0"/>
        <w:ind w:leftChars="0"/>
        <w:jc w:val="center"/>
        <w:rPr>
          <w:rFonts w:hint="eastAsia" w:eastAsia="宋体"/>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12</w:t>
      </w:r>
      <w:r>
        <w:rPr>
          <w:color w:val="auto"/>
        </w:rPr>
        <w:fldChar w:fldCharType="end"/>
      </w:r>
      <w:r>
        <w:rPr>
          <w:rFonts w:hint="eastAsia"/>
          <w:color w:val="auto"/>
          <w:lang w:val="en-US" w:eastAsia="zh-CN"/>
        </w:rPr>
        <w:t xml:space="preserve"> 典型负极材料工艺流程图</w:t>
      </w:r>
    </w:p>
    <w:p w14:paraId="1D503347">
      <w:pPr>
        <w:bidi w:val="0"/>
        <w:rPr>
          <w:rFonts w:hint="default"/>
          <w:color w:val="auto"/>
          <w:lang w:val="en-US" w:eastAsia="zh-CN"/>
        </w:rPr>
      </w:pPr>
      <w:r>
        <w:rPr>
          <w:rFonts w:hint="eastAsia"/>
          <w:color w:val="auto"/>
          <w:lang w:val="en-US" w:eastAsia="zh-CN"/>
        </w:rPr>
        <w:t>（2）石墨烯</w:t>
      </w:r>
    </w:p>
    <w:p w14:paraId="3709197E">
      <w:pPr>
        <w:bidi w:val="0"/>
        <w:rPr>
          <w:rFonts w:hint="eastAsia"/>
          <w:color w:val="auto"/>
        </w:rPr>
      </w:pPr>
      <w:r>
        <w:rPr>
          <w:rFonts w:hint="eastAsia"/>
          <w:color w:val="auto"/>
        </w:rPr>
        <w:t>石墨烯具有理想的单原子层二维晶体结构，由六边形晶格组成，这种特殊的结构赋予了石墨烯材料独特的热学、力学和电学性能。目前，已经将石墨烯应用于锂离子电池电极材料、超级电容器、太阳能电池电极材料、储氢材料、传感器、光学材料、药物载体等方面。用于工业化和规模化生产的石墨烯制备方法主要有化学氧化还原法、</w:t>
      </w:r>
      <w:r>
        <w:rPr>
          <w:rFonts w:hint="eastAsia"/>
          <w:color w:val="auto"/>
          <w:lang w:eastAsia="zh-CN"/>
        </w:rPr>
        <w:t>化学气相沉积法</w:t>
      </w:r>
      <w:r>
        <w:rPr>
          <w:rFonts w:hint="eastAsia"/>
          <w:color w:val="auto"/>
        </w:rPr>
        <w:t>、化学插层剥离法。</w:t>
      </w:r>
    </w:p>
    <w:p w14:paraId="6257F84B">
      <w:pPr>
        <w:bidi w:val="0"/>
        <w:rPr>
          <w:rFonts w:hint="eastAsia"/>
          <w:color w:val="auto"/>
        </w:rPr>
      </w:pPr>
      <w:r>
        <w:rPr>
          <w:rFonts w:hint="eastAsia"/>
          <w:color w:val="auto"/>
        </w:rPr>
        <w:t>大气污染物主要有SO</w:t>
      </w:r>
      <w:r>
        <w:rPr>
          <w:rFonts w:hint="eastAsia"/>
          <w:color w:val="auto"/>
          <w:vertAlign w:val="subscript"/>
        </w:rPr>
        <w:t>2</w:t>
      </w:r>
      <w:r>
        <w:rPr>
          <w:rFonts w:hint="eastAsia"/>
          <w:color w:val="auto"/>
        </w:rPr>
        <w:t>、NOx、颗粒物、H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VOCs、沥青烟、苯并〔α〕芘等；废水主要污染物为COD、BOD、SS、石油类、总磷、氨氮、挥发酚、苯并〔α〕芘等；固体废物主要有废催化剂、废边角料、废酸、废碱、废包装材料、废水站污泥等。相关企业应重视环保设施建设，对污染物进行有效治理，减少废气及废水排放。</w:t>
      </w:r>
    </w:p>
    <w:p w14:paraId="233E632E">
      <w:pPr>
        <w:bidi w:val="0"/>
        <w:rPr>
          <w:rFonts w:hint="default" w:eastAsia="宋体"/>
          <w:color w:val="auto"/>
          <w:lang w:val="en-US" w:eastAsia="zh-CN"/>
        </w:rPr>
        <w:sectPr>
          <w:headerReference r:id="rId1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lang w:val="en-US" w:eastAsia="zh-CN"/>
        </w:rPr>
        <w:t>同时，由于四川巴中经济开发区-曾口区块目前未引进企业，根据规划曾口区块废水产生情况一览表，结合项目实际情况，确定本项目特征污染物为石油类和甲醛。</w:t>
      </w:r>
    </w:p>
    <w:p w14:paraId="4E480F6B">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104" w:name="_Toc25373"/>
      <w:r>
        <w:rPr>
          <w:rFonts w:ascii="Times New Roman" w:hAnsi="Times New Roman" w:eastAsia="宋体"/>
          <w:color w:val="auto"/>
        </w:rPr>
        <w:t>项目工程分析</w:t>
      </w:r>
      <w:bookmarkEnd w:id="81"/>
      <w:bookmarkEnd w:id="104"/>
    </w:p>
    <w:bookmarkEnd w:id="82"/>
    <w:p w14:paraId="2E058055">
      <w:pPr>
        <w:pStyle w:val="5"/>
        <w:pageBreakBefore w:val="0"/>
        <w:wordWrap/>
        <w:bidi w:val="0"/>
        <w:adjustRightInd/>
        <w:snapToGrid/>
        <w:spacing w:before="62" w:after="62"/>
        <w:ind w:left="0"/>
        <w:rPr>
          <w:rFonts w:eastAsia="宋体"/>
          <w:color w:val="auto"/>
        </w:rPr>
      </w:pPr>
      <w:r>
        <w:rPr>
          <w:rFonts w:hint="eastAsia"/>
          <w:color w:val="auto"/>
          <w:lang w:val="en-US" w:eastAsia="zh-CN"/>
        </w:rPr>
        <w:t xml:space="preserve"> </w:t>
      </w:r>
      <w:r>
        <w:rPr>
          <w:rFonts w:eastAsia="宋体"/>
          <w:color w:val="auto"/>
        </w:rPr>
        <w:t>施工期工程分析</w:t>
      </w:r>
    </w:p>
    <w:p w14:paraId="610E4DE5">
      <w:pPr>
        <w:pageBreakBefore w:val="0"/>
        <w:wordWrap/>
        <w:bidi w:val="0"/>
        <w:adjustRightInd/>
        <w:snapToGrid/>
        <w:ind w:firstLine="480"/>
        <w:rPr>
          <w:color w:val="auto"/>
        </w:rPr>
      </w:pPr>
      <w:r>
        <w:rPr>
          <w:rFonts w:hint="eastAsia"/>
          <w:color w:val="auto"/>
        </w:rPr>
        <w:t>本工程属废水处理设施项目，具有较明显的环境效益和社会效益。但在施工期及营运期也不可避免地产生一些局部的环境问题。在污水处理厂设备正常运行的情况下，将产生废气、污泥、设备噪声及生活污水、生活垃圾等。</w:t>
      </w:r>
    </w:p>
    <w:p w14:paraId="5304BF6A">
      <w:pPr>
        <w:pStyle w:val="6"/>
        <w:bidi w:val="0"/>
        <w:rPr>
          <w:rFonts w:hint="default"/>
          <w:color w:val="auto"/>
          <w:lang w:val="en-US" w:eastAsia="zh-CN"/>
        </w:rPr>
      </w:pPr>
      <w:r>
        <w:rPr>
          <w:rFonts w:hint="eastAsia"/>
          <w:color w:val="auto"/>
          <w:lang w:val="en-US" w:eastAsia="zh-CN"/>
        </w:rPr>
        <w:t>污水处理厂施工</w:t>
      </w:r>
    </w:p>
    <w:p w14:paraId="37F6A2B6">
      <w:pPr>
        <w:pageBreakBefore w:val="0"/>
        <w:wordWrap/>
        <w:bidi w:val="0"/>
        <w:adjustRightInd/>
        <w:snapToGrid/>
        <w:ind w:firstLine="480"/>
        <w:rPr>
          <w:color w:val="auto"/>
        </w:rPr>
      </w:pPr>
      <w:r>
        <w:rPr>
          <w:rFonts w:hint="eastAsia"/>
          <w:color w:val="auto"/>
        </w:rPr>
        <w:t>污水处理厂主体工程及污染物来源：污水处理厂工程施工期间的基础工程、主体工程、装饰工程、设备安装等建设工程将产生噪声、扬尘、固体废弃物、施工废水等污染物，其排放量随施工期的内容不同而有所变化。施工期建设流程及产污位置见下图：</w:t>
      </w:r>
    </w:p>
    <w:p w14:paraId="12BABF80">
      <w:pPr>
        <w:pageBreakBefore w:val="0"/>
        <w:wordWrap/>
        <w:bidi w:val="0"/>
        <w:adjustRightInd/>
        <w:snapToGrid/>
        <w:ind w:firstLine="0" w:firstLineChars="0"/>
        <w:jc w:val="center"/>
        <w:rPr>
          <w:color w:val="auto"/>
        </w:rPr>
      </w:pPr>
      <w:r>
        <w:rPr>
          <w:color w:val="auto"/>
        </w:rPr>
        <w:drawing>
          <wp:inline distT="0" distB="0" distL="114300" distR="114300">
            <wp:extent cx="4928870" cy="3071495"/>
            <wp:effectExtent l="0" t="0" r="5080" b="0"/>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63"/>
                    <a:stretch>
                      <a:fillRect/>
                    </a:stretch>
                  </pic:blipFill>
                  <pic:spPr>
                    <a:xfrm>
                      <a:off x="0" y="0"/>
                      <a:ext cx="4928870" cy="3071495"/>
                    </a:xfrm>
                    <a:prstGeom prst="rect">
                      <a:avLst/>
                    </a:prstGeom>
                    <a:noFill/>
                    <a:ln>
                      <a:noFill/>
                    </a:ln>
                  </pic:spPr>
                </pic:pic>
              </a:graphicData>
            </a:graphic>
          </wp:inline>
        </w:drawing>
      </w:r>
    </w:p>
    <w:p w14:paraId="7C7A0EAB">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color w:val="auto"/>
        </w:rPr>
        <w:t xml:space="preserve"> 施工期工艺流程及产污分析图</w:t>
      </w:r>
    </w:p>
    <w:p w14:paraId="0E4A7634">
      <w:pPr>
        <w:pageBreakBefore w:val="0"/>
        <w:wordWrap/>
        <w:bidi w:val="0"/>
        <w:adjustRightInd/>
        <w:snapToGrid/>
        <w:ind w:firstLine="482"/>
        <w:rPr>
          <w:rFonts w:hint="eastAsia"/>
          <w:b/>
          <w:bCs/>
          <w:color w:val="auto"/>
        </w:rPr>
      </w:pPr>
      <w:r>
        <w:rPr>
          <w:rFonts w:hint="eastAsia"/>
          <w:b/>
          <w:bCs/>
          <w:color w:val="auto"/>
          <w:lang w:val="en-US" w:eastAsia="zh-CN"/>
        </w:rPr>
        <w:t>1、</w:t>
      </w:r>
      <w:r>
        <w:rPr>
          <w:rFonts w:hint="eastAsia"/>
          <w:b/>
          <w:bCs/>
          <w:color w:val="auto"/>
        </w:rPr>
        <w:t>施工布置</w:t>
      </w:r>
    </w:p>
    <w:p w14:paraId="2A259501">
      <w:pPr>
        <w:bidi w:val="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施工场地</w:t>
      </w:r>
    </w:p>
    <w:p w14:paraId="7E12DDEF">
      <w:pPr>
        <w:bidi w:val="0"/>
        <w:rPr>
          <w:rFonts w:hint="eastAsia"/>
          <w:color w:val="auto"/>
        </w:rPr>
      </w:pPr>
      <w:r>
        <w:rPr>
          <w:rFonts w:hint="eastAsia"/>
          <w:color w:val="auto"/>
        </w:rPr>
        <w:t>本项目施工时先进行场地平整，这个过程由机械来完成，基本无需人工，机械可以直接停放在施工场地内；后期建构筑物施工时，项目部布设在厂区</w:t>
      </w:r>
      <w:r>
        <w:rPr>
          <w:rFonts w:hint="eastAsia"/>
          <w:color w:val="auto"/>
          <w:lang w:val="en-US" w:eastAsia="zh-CN"/>
        </w:rPr>
        <w:t>南</w:t>
      </w:r>
      <w:r>
        <w:rPr>
          <w:rFonts w:hint="eastAsia"/>
          <w:color w:val="auto"/>
        </w:rPr>
        <w:t>侧；材料及机械堆放场地布设厂区</w:t>
      </w:r>
      <w:r>
        <w:rPr>
          <w:rFonts w:hint="eastAsia"/>
          <w:color w:val="auto"/>
          <w:lang w:val="en-US" w:eastAsia="zh-CN"/>
        </w:rPr>
        <w:t>南</w:t>
      </w:r>
      <w:r>
        <w:rPr>
          <w:rFonts w:hint="eastAsia"/>
          <w:color w:val="auto"/>
        </w:rPr>
        <w:t>侧道路广场区域，工程施工时不布设现场</w:t>
      </w:r>
      <w:r>
        <w:rPr>
          <w:rFonts w:hint="eastAsia"/>
          <w:color w:val="auto"/>
          <w:lang w:eastAsia="zh-CN"/>
        </w:rPr>
        <w:t>拌和</w:t>
      </w:r>
      <w:r>
        <w:rPr>
          <w:rFonts w:hint="eastAsia"/>
          <w:color w:val="auto"/>
        </w:rPr>
        <w:t>站，直接购买商品砼。施工场地设置在厂区的绿化以及道路等区域，既方便材料堆放，又不影响工程施工。</w:t>
      </w:r>
    </w:p>
    <w:p w14:paraId="08248ADB">
      <w:pPr>
        <w:bidi w:val="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施工道路</w:t>
      </w:r>
    </w:p>
    <w:p w14:paraId="5DAEC065">
      <w:pPr>
        <w:bidi w:val="0"/>
        <w:rPr>
          <w:rFonts w:hint="eastAsia"/>
          <w:color w:val="auto"/>
        </w:rPr>
      </w:pPr>
      <w:r>
        <w:rPr>
          <w:rFonts w:hint="eastAsia"/>
          <w:color w:val="auto"/>
        </w:rPr>
        <w:t>根据现场踏勘及工程可研报告，本项目</w:t>
      </w:r>
      <w:r>
        <w:rPr>
          <w:rFonts w:hint="eastAsia"/>
          <w:color w:val="auto"/>
          <w:lang w:eastAsia="zh-CN"/>
        </w:rPr>
        <w:t>污水处理厂</w:t>
      </w:r>
      <w:r>
        <w:rPr>
          <w:rFonts w:hint="eastAsia"/>
          <w:color w:val="auto"/>
        </w:rPr>
        <w:t>周边，交通十分便利。管道敷设段，采用人工开挖回填方式，因此工程施工过程中不新增设施工便道，材料的运输利用现有道路。</w:t>
      </w:r>
    </w:p>
    <w:p w14:paraId="7A601656">
      <w:pPr>
        <w:bidi w:val="0"/>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表土临时堆放</w:t>
      </w:r>
    </w:p>
    <w:p w14:paraId="13A194EC">
      <w:pPr>
        <w:bidi w:val="0"/>
        <w:rPr>
          <w:rFonts w:hint="eastAsia"/>
          <w:color w:val="auto"/>
        </w:rPr>
      </w:pPr>
      <w:r>
        <w:rPr>
          <w:rFonts w:hint="eastAsia"/>
          <w:color w:val="auto"/>
        </w:rPr>
        <w:t>根据污水处理厂施工时序，施工时先进行表土剥离，再进行场平工程，然后进行主体建设。根据现场情况以及工程平面布置，表土堆场布设在污水处理厂厂区北侧空地，不需要新增占地。</w:t>
      </w:r>
    </w:p>
    <w:p w14:paraId="35986397">
      <w:pPr>
        <w:bidi w:val="0"/>
        <w:rPr>
          <w:rFonts w:hint="eastAsia"/>
          <w:b/>
          <w:bCs/>
          <w:color w:val="auto"/>
        </w:rPr>
      </w:pPr>
      <w:r>
        <w:rPr>
          <w:rFonts w:hint="eastAsia"/>
          <w:b/>
          <w:bCs/>
          <w:color w:val="auto"/>
          <w:lang w:val="en-US" w:eastAsia="zh-CN"/>
        </w:rPr>
        <w:t>2、</w:t>
      </w:r>
      <w:r>
        <w:rPr>
          <w:rFonts w:hint="eastAsia"/>
          <w:b/>
          <w:bCs/>
          <w:color w:val="auto"/>
        </w:rPr>
        <w:t>污水处理厂工程施工工艺和方法</w:t>
      </w:r>
    </w:p>
    <w:p w14:paraId="1B0C359C">
      <w:pPr>
        <w:bidi w:val="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施工时序和方法</w:t>
      </w:r>
    </w:p>
    <w:p w14:paraId="0393D7D7">
      <w:pPr>
        <w:bidi w:val="0"/>
        <w:rPr>
          <w:rFonts w:hint="eastAsia"/>
          <w:color w:val="auto"/>
        </w:rPr>
      </w:pPr>
      <w:r>
        <w:rPr>
          <w:rFonts w:hint="eastAsia"/>
          <w:color w:val="auto"/>
        </w:rPr>
        <w:t>本项目污水处理厂施工采用以机械开挖为主，人工开挖为辅的施工方法。施工工序为：施工准备→表土剥离→场地平整→测量放线→基础开挖→建构筑物修筑→场地平整→厂区绿化→道路硬化。基础土方开挖主要采取挖掘机开挖，并辅以人工的方式进行开挖。建构筑物采用人工砌筑。</w:t>
      </w:r>
    </w:p>
    <w:p w14:paraId="2417E342">
      <w:pPr>
        <w:bidi w:val="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场地平整</w:t>
      </w:r>
    </w:p>
    <w:p w14:paraId="68DFEB16">
      <w:pPr>
        <w:bidi w:val="0"/>
        <w:rPr>
          <w:rFonts w:hint="eastAsia"/>
          <w:color w:val="auto"/>
        </w:rPr>
      </w:pPr>
      <w:r>
        <w:rPr>
          <w:rFonts w:hint="eastAsia"/>
          <w:color w:val="auto"/>
        </w:rPr>
        <w:t>本项目场平主要为污水处理厂区的场地平整，土石方工程为剥离表土和厂区内的挖填方。进行厂区回填时，土石方由下往上分层回填，用碾压机压实。填土前，应将基土上的洞穴或基底表面上的树根、垃圾等杂物都处理完毕，清除干净。</w:t>
      </w:r>
    </w:p>
    <w:p w14:paraId="71B39FF7">
      <w:pPr>
        <w:bidi w:val="0"/>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污水处理厂挡墙以及厂区排水工程</w:t>
      </w:r>
    </w:p>
    <w:p w14:paraId="6FF98910">
      <w:pPr>
        <w:bidi w:val="0"/>
        <w:rPr>
          <w:rFonts w:hint="eastAsia"/>
          <w:color w:val="auto"/>
        </w:rPr>
      </w:pPr>
      <w:r>
        <w:rPr>
          <w:rFonts w:hint="eastAsia"/>
          <w:color w:val="auto"/>
        </w:rPr>
        <w:t>本项目厂区四周设计有挡土墙，挡土墙修建按照先拦后填的原则，施工时序为：测量放样——基坑开挖——墙体砌筑——墙后回填。</w:t>
      </w:r>
    </w:p>
    <w:p w14:paraId="2AF3F55C">
      <w:pPr>
        <w:bidi w:val="0"/>
        <w:rPr>
          <w:rFonts w:hint="eastAsia"/>
          <w:color w:val="auto"/>
        </w:rPr>
      </w:pPr>
      <w:r>
        <w:rPr>
          <w:rFonts w:hint="eastAsia"/>
          <w:color w:val="auto"/>
        </w:rPr>
        <w:t>A</w:t>
      </w:r>
      <w:r>
        <w:rPr>
          <w:rFonts w:hint="eastAsia"/>
          <w:color w:val="auto"/>
          <w:lang w:eastAsia="zh-CN"/>
        </w:rPr>
        <w:t>.</w:t>
      </w:r>
      <w:r>
        <w:rPr>
          <w:rFonts w:hint="eastAsia"/>
          <w:color w:val="auto"/>
        </w:rPr>
        <w:t>基坑开挖：采用机械为主、人工为辅的方法进行开挖，先用机械开挖设计高程之上30cm左右，之后用人工挖至设计标高。</w:t>
      </w:r>
      <w:r>
        <w:rPr>
          <w:rFonts w:hint="eastAsia"/>
          <w:color w:val="auto"/>
          <w:lang w:eastAsia="zh-CN"/>
        </w:rPr>
        <w:t>基坑开挖</w:t>
      </w:r>
      <w:r>
        <w:rPr>
          <w:rFonts w:hint="eastAsia"/>
          <w:color w:val="auto"/>
        </w:rPr>
        <w:t>土方直接用作场地平整，严禁乱填乱倒。</w:t>
      </w:r>
    </w:p>
    <w:p w14:paraId="0FAC2137">
      <w:pPr>
        <w:bidi w:val="0"/>
        <w:rPr>
          <w:rFonts w:hint="eastAsia"/>
          <w:color w:val="auto"/>
        </w:rPr>
      </w:pPr>
      <w:r>
        <w:rPr>
          <w:rFonts w:hint="eastAsia"/>
          <w:color w:val="auto"/>
        </w:rPr>
        <w:t>B</w:t>
      </w:r>
      <w:r>
        <w:rPr>
          <w:rFonts w:hint="eastAsia"/>
          <w:color w:val="auto"/>
          <w:lang w:eastAsia="zh-CN"/>
        </w:rPr>
        <w:t>.</w:t>
      </w:r>
      <w:r>
        <w:rPr>
          <w:rFonts w:hint="eastAsia"/>
          <w:color w:val="auto"/>
        </w:rPr>
        <w:t>墙体砌筑：挡墙墙体采用人工进行砌筑。砌筑过程为人工选石、砌筑</w:t>
      </w:r>
      <w:r>
        <w:rPr>
          <w:rFonts w:hint="eastAsia"/>
          <w:color w:val="auto"/>
          <w:lang w:eastAsia="zh-CN"/>
        </w:rPr>
        <w:t>。</w:t>
      </w:r>
      <w:r>
        <w:rPr>
          <w:rFonts w:hint="eastAsia"/>
          <w:color w:val="auto"/>
        </w:rPr>
        <w:t>砌筑至设计高度后，采用混凝土进行压顶。</w:t>
      </w:r>
    </w:p>
    <w:p w14:paraId="550951CE">
      <w:pPr>
        <w:bidi w:val="0"/>
        <w:rPr>
          <w:rFonts w:hint="eastAsia"/>
          <w:color w:val="auto"/>
        </w:rPr>
      </w:pPr>
      <w:r>
        <w:rPr>
          <w:rFonts w:hint="eastAsia"/>
          <w:color w:val="auto"/>
        </w:rPr>
        <w:t>C</w:t>
      </w:r>
      <w:r>
        <w:rPr>
          <w:rFonts w:hint="eastAsia"/>
          <w:color w:val="auto"/>
          <w:lang w:eastAsia="zh-CN"/>
        </w:rPr>
        <w:t>.</w:t>
      </w:r>
      <w:r>
        <w:rPr>
          <w:rFonts w:hint="eastAsia"/>
          <w:color w:val="auto"/>
        </w:rPr>
        <w:t>墙后回填：挡土墙墙后回填结合污水处理厂场平一起进行回填，采用机械施工，分层碾压回填。需要注意对挡土墙的保护。</w:t>
      </w:r>
    </w:p>
    <w:p w14:paraId="2B91840B">
      <w:pPr>
        <w:bidi w:val="0"/>
        <w:rPr>
          <w:rFonts w:hint="eastAsia"/>
          <w:color w:val="auto"/>
        </w:rPr>
      </w:pPr>
      <w:r>
        <w:rPr>
          <w:rFonts w:hint="eastAsia"/>
          <w:color w:val="auto"/>
        </w:rPr>
        <w:t>厂区排水工程主要包括地下排水管以及地表排水沟。地下排水管结合其所在的建构筑物以及道路进行修建。地面排水沟分布在建筑物周围，采用人工开挖及修筑。</w:t>
      </w:r>
    </w:p>
    <w:p w14:paraId="17136931">
      <w:pPr>
        <w:bidi w:val="0"/>
        <w:rPr>
          <w:rFonts w:hint="eastAsia"/>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rFonts w:hint="eastAsia"/>
          <w:b/>
          <w:bCs/>
          <w:color w:val="auto"/>
        </w:rPr>
        <w:t>道路工程</w:t>
      </w:r>
    </w:p>
    <w:p w14:paraId="4B3E0EFF">
      <w:pPr>
        <w:bidi w:val="0"/>
        <w:rPr>
          <w:rFonts w:hint="eastAsia"/>
          <w:color w:val="auto"/>
        </w:rPr>
      </w:pPr>
      <w:r>
        <w:rPr>
          <w:rFonts w:hint="eastAsia"/>
          <w:color w:val="auto"/>
        </w:rPr>
        <w:t>本工程地质无不良地质条件，在修筑道路时采用推土机、平地机、光轮压路机、振动压路机等机械，再辅以人工联合作业方案进行。道路按设计要求铺筑砼。</w:t>
      </w:r>
    </w:p>
    <w:p w14:paraId="5F68261E">
      <w:pPr>
        <w:pStyle w:val="6"/>
        <w:bidi w:val="0"/>
        <w:rPr>
          <w:rFonts w:hint="eastAsia"/>
          <w:color w:val="auto"/>
        </w:rPr>
      </w:pPr>
      <w:r>
        <w:rPr>
          <w:rFonts w:hint="eastAsia"/>
          <w:color w:val="auto"/>
        </w:rPr>
        <w:t>污水管网工程</w:t>
      </w:r>
    </w:p>
    <w:p w14:paraId="5FF93545">
      <w:pPr>
        <w:bidi w:val="0"/>
        <w:rPr>
          <w:rFonts w:hint="eastAsia"/>
          <w:color w:val="auto"/>
        </w:rPr>
      </w:pPr>
      <w:r>
        <w:rPr>
          <w:rFonts w:hint="eastAsia"/>
          <w:color w:val="auto"/>
        </w:rPr>
        <w:t>根据</w:t>
      </w:r>
      <w:r>
        <w:rPr>
          <w:rFonts w:hint="eastAsia"/>
          <w:color w:val="auto"/>
          <w:lang w:val="en-US" w:eastAsia="zh-CN"/>
        </w:rPr>
        <w:t>项目初步设计说明书，本项目拟建设总长约550m的尾水排放管，管径DN600mm，尾水排入巴河。</w:t>
      </w:r>
    </w:p>
    <w:p w14:paraId="720CCD17">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管网铺设流程</w:t>
      </w:r>
    </w:p>
    <w:p w14:paraId="300F0399">
      <w:pPr>
        <w:bidi w:val="0"/>
        <w:rPr>
          <w:rFonts w:hint="default"/>
          <w:color w:val="auto"/>
          <w:lang w:val="en-US" w:eastAsia="zh-CN"/>
        </w:rPr>
      </w:pPr>
      <w:r>
        <w:rPr>
          <w:rFonts w:hint="default"/>
          <w:color w:val="auto"/>
          <w:lang w:val="en-US" w:eastAsia="zh-CN"/>
        </w:rPr>
        <w:t>本项目施工期对环境造成的不利影响，表现为工程开挖对当地植被等生态环境的影响，以及由施工期车辆行驶噪声、汽车尾气和施工期噪声、施工产生的路面扬尘、工程现场形成的对沿线环境景观破坏的影响。施工期主要污染物产物位置分析如下图。</w:t>
      </w:r>
    </w:p>
    <w:p w14:paraId="371A67E0">
      <w:pPr>
        <w:adjustRightInd w:val="0"/>
        <w:snapToGrid w:val="0"/>
        <w:ind w:left="0" w:leftChars="0" w:firstLine="0" w:firstLineChars="0"/>
        <w:jc w:val="center"/>
        <w:rPr>
          <w:color w:val="auto"/>
        </w:rPr>
      </w:pPr>
      <w:r>
        <w:rPr>
          <w:rFonts w:hint="default" w:ascii="Times New Roman" w:hAnsi="Times New Roman" w:eastAsia="宋体" w:cs="Times New Roman"/>
          <w:color w:val="auto"/>
          <w:lang w:val="en-US" w:eastAsia="zh-CN"/>
        </w:rPr>
        <w:drawing>
          <wp:inline distT="0" distB="0" distL="114300" distR="114300">
            <wp:extent cx="5061585" cy="1868170"/>
            <wp:effectExtent l="0" t="0" r="5715" b="17780"/>
            <wp:docPr id="94" name="图片 10" descr="1633921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descr="1633921941(1)"/>
                    <pic:cNvPicPr>
                      <a:picLocks noChangeAspect="1"/>
                    </pic:cNvPicPr>
                  </pic:nvPicPr>
                  <pic:blipFill>
                    <a:blip r:embed="rId64"/>
                    <a:stretch>
                      <a:fillRect/>
                    </a:stretch>
                  </pic:blipFill>
                  <pic:spPr>
                    <a:xfrm>
                      <a:off x="0" y="0"/>
                      <a:ext cx="5061585" cy="1868170"/>
                    </a:xfrm>
                    <a:prstGeom prst="rect">
                      <a:avLst/>
                    </a:prstGeom>
                    <a:noFill/>
                    <a:ln>
                      <a:noFill/>
                    </a:ln>
                  </pic:spPr>
                </pic:pic>
              </a:graphicData>
            </a:graphic>
          </wp:inline>
        </w:drawing>
      </w:r>
    </w:p>
    <w:p w14:paraId="75332A1A">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rPr>
        <w:t xml:space="preserve"> </w:t>
      </w:r>
      <w:r>
        <w:rPr>
          <w:color w:val="auto"/>
        </w:rPr>
        <w:t>管道施工期工艺流程及产污环节图</w:t>
      </w:r>
    </w:p>
    <w:p w14:paraId="40B491F0">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管道敷设与施工方案简述</w:t>
      </w:r>
    </w:p>
    <w:p w14:paraId="34682466">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①</w:t>
      </w:r>
      <w:r>
        <w:rPr>
          <w:rFonts w:hint="eastAsia" w:ascii="Times New Roman" w:hAnsi="Times New Roman" w:eastAsia="宋体" w:cs="Times New Roman"/>
          <w:b/>
          <w:bCs/>
          <w:color w:val="auto"/>
          <w:lang w:val="en-US" w:eastAsia="zh-CN"/>
        </w:rPr>
        <w:t>放线</w:t>
      </w:r>
    </w:p>
    <w:p w14:paraId="1F36042A">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管沟开挖前测量放线，测量人员根据甲方提供的现场标准水准点和轴线控制点，根据管沟开挖先后顺序进行测量放线。管沟开挖前，应预先了解地下障碍物及管线的分布情况，以免施工时遭到破坏，现场查明附近地下所有管线的基本分布、走向及埋深。</w:t>
      </w:r>
    </w:p>
    <w:p w14:paraId="29C54F97">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②沟管开挖</w:t>
      </w:r>
    </w:p>
    <w:p w14:paraId="29A4EA89">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本工程沟槽开挖施工，拟采用挖掘机进行开挖，人工配合清基平整。基坑开挖时按《槽底最小宽度表》开挖，并保持沟槽两侧土体稳定，以确保</w:t>
      </w:r>
      <w:r>
        <w:rPr>
          <w:rFonts w:hint="eastAsia" w:cs="Times New Roman"/>
          <w:color w:val="auto"/>
          <w:lang w:val="en-US" w:eastAsia="zh-CN"/>
        </w:rPr>
        <w:t>“</w:t>
      </w:r>
      <w:r>
        <w:rPr>
          <w:rFonts w:hint="default" w:ascii="Times New Roman" w:hAnsi="Times New Roman" w:eastAsia="宋体" w:cs="Times New Roman"/>
          <w:color w:val="auto"/>
          <w:lang w:val="en-US" w:eastAsia="zh-CN"/>
        </w:rPr>
        <w:t>管一土共同作用</w:t>
      </w:r>
      <w:r>
        <w:rPr>
          <w:rFonts w:hint="eastAsia" w:cs="Times New Roman"/>
          <w:color w:val="auto"/>
          <w:lang w:val="en-US" w:eastAsia="zh-CN"/>
        </w:rPr>
        <w:t>”</w:t>
      </w:r>
      <w:r>
        <w:rPr>
          <w:rFonts w:hint="default" w:ascii="Times New Roman" w:hAnsi="Times New Roman" w:eastAsia="宋体" w:cs="Times New Roman"/>
          <w:color w:val="auto"/>
          <w:lang w:val="en-US" w:eastAsia="zh-CN"/>
        </w:rPr>
        <w:t>；同时严格控制槽底高程，不超挖或扰动基面，开挖至槽底高以上大约0.2-0.3m时，即停挖，待下一工序开工时再用人工清理至设计标高。如果局部超挖或发生扰动，不回填泥土，并整平夯实。槽底如有坚硬物体立即清除，用砂石回填。</w:t>
      </w:r>
    </w:p>
    <w:p w14:paraId="7F41DC8D">
      <w:pPr>
        <w:bidi w:val="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rPr>
        <w:t>管槽开挖过程中如遇坑底出现地下水及积水情况，立即将水抽出坑外，采用基坑内明沟排水</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明沟和集水井随着基坑的挖深而逐步加深。基坑挖至设计标高后，集水井的井壁加支护，积水深为1m左右，集水井底部用粗砂、细碎石、粗碎石</w:t>
      </w:r>
      <w:r>
        <w:rPr>
          <w:rFonts w:hint="eastAsia" w:cs="Times New Roman"/>
          <w:color w:val="auto"/>
          <w:lang w:eastAsia="zh-CN"/>
        </w:rPr>
        <w:t>做</w:t>
      </w:r>
      <w:r>
        <w:rPr>
          <w:rFonts w:hint="default" w:ascii="Times New Roman" w:hAnsi="Times New Roman" w:eastAsia="宋体" w:cs="Times New Roman"/>
          <w:color w:val="auto"/>
        </w:rPr>
        <w:t>反滤层，反滤层施工按规范做好，既防止集水井井壁坍塌，又避免泥沙堵塞管</w:t>
      </w:r>
      <w:r>
        <w:rPr>
          <w:rFonts w:hint="default" w:ascii="Times New Roman" w:hAnsi="Times New Roman" w:eastAsia="宋体" w:cs="Times New Roman"/>
          <w:color w:val="auto"/>
          <w:lang w:eastAsia="zh-CN"/>
        </w:rPr>
        <w:t>道。</w:t>
      </w:r>
    </w:p>
    <w:p w14:paraId="409427F6">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开挖过程中产生的土石方临时堆放在管槽两侧，待后续回填，不设弃土场。</w:t>
      </w:r>
    </w:p>
    <w:p w14:paraId="07E75E3A">
      <w:pPr>
        <w:bidi w:val="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D.</w:t>
      </w:r>
      <w:r>
        <w:rPr>
          <w:rFonts w:hint="default" w:ascii="Times New Roman" w:hAnsi="Times New Roman" w:eastAsia="宋体" w:cs="Times New Roman"/>
          <w:color w:val="auto"/>
        </w:rPr>
        <w:t>施工连续进行尽快完成，以减少现场交通的阻碍，施工中防止地面水流入沟坑内造成塌方或基土的破坏。挖出的土方不在坑边堆放，远离基坑边线1.5m。另外挖出的土方不得覆盖、堵塞原地面排水沟或道路测量控制井位</w:t>
      </w:r>
      <w:r>
        <w:rPr>
          <w:rFonts w:hint="default" w:ascii="Times New Roman" w:hAnsi="Times New Roman" w:eastAsia="宋体" w:cs="Times New Roman"/>
          <w:color w:val="auto"/>
          <w:lang w:eastAsia="zh-CN"/>
        </w:rPr>
        <w:t>。</w:t>
      </w:r>
    </w:p>
    <w:p w14:paraId="16416BDC">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③管道连接安装</w:t>
      </w:r>
    </w:p>
    <w:p w14:paraId="119F0160">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在管道铺设前，对管材内外壁、承插口和橡胶圈进行验证，应清除管壁、承插口和密封圈上</w:t>
      </w:r>
      <w:r>
        <w:rPr>
          <w:rFonts w:hint="eastAsia" w:ascii="Times New Roman" w:hAnsi="Times New Roman" w:eastAsia="宋体" w:cs="Times New Roman"/>
          <w:color w:val="auto"/>
          <w:lang w:val="en-US" w:eastAsia="zh-CN"/>
        </w:rPr>
        <w:t>黏附</w:t>
      </w:r>
      <w:r>
        <w:rPr>
          <w:rFonts w:hint="default" w:ascii="Times New Roman" w:hAnsi="Times New Roman" w:eastAsia="宋体" w:cs="Times New Roman"/>
          <w:color w:val="auto"/>
          <w:lang w:val="en-US" w:eastAsia="zh-CN"/>
        </w:rPr>
        <w:t>的</w:t>
      </w:r>
      <w:r>
        <w:rPr>
          <w:rFonts w:hint="eastAsia" w:ascii="Times New Roman" w:hAnsi="Times New Roman" w:eastAsia="宋体" w:cs="Times New Roman"/>
          <w:color w:val="auto"/>
          <w:lang w:val="en-US" w:eastAsia="zh-CN"/>
        </w:rPr>
        <w:t>脏污和</w:t>
      </w:r>
      <w:r>
        <w:rPr>
          <w:rFonts w:hint="default" w:ascii="Times New Roman" w:hAnsi="Times New Roman" w:eastAsia="宋体" w:cs="Times New Roman"/>
          <w:color w:val="auto"/>
          <w:lang w:val="en-US" w:eastAsia="zh-CN"/>
        </w:rPr>
        <w:t>泥沙，发现有损伤的裂缝的管子不得使用。检验合格后，采用人工扒杆下管。为确保管道安全进行</w:t>
      </w:r>
      <w:r>
        <w:rPr>
          <w:rFonts w:hint="eastAsia" w:ascii="Times New Roman" w:hAnsi="Times New Roman" w:eastAsia="宋体" w:cs="Times New Roman"/>
          <w:color w:val="auto"/>
          <w:lang w:val="en-US" w:eastAsia="zh-CN"/>
        </w:rPr>
        <w:t>及</w:t>
      </w:r>
      <w:r>
        <w:rPr>
          <w:rFonts w:hint="default" w:ascii="Times New Roman" w:hAnsi="Times New Roman" w:eastAsia="宋体" w:cs="Times New Roman"/>
          <w:color w:val="auto"/>
          <w:lang w:val="en-US" w:eastAsia="zh-CN"/>
        </w:rPr>
        <w:t>使用寿命，</w:t>
      </w:r>
      <w:r>
        <w:rPr>
          <w:rFonts w:hint="default" w:ascii="Times New Roman" w:hAnsi="Times New Roman" w:eastAsia="宋体" w:cs="Times New Roman"/>
          <w:color w:val="auto"/>
          <w:lang w:eastAsia="zh-CN"/>
        </w:rPr>
        <w:t>钢管采用焊接方式拼装，</w:t>
      </w:r>
      <w:r>
        <w:rPr>
          <w:rFonts w:hint="default" w:ascii="Times New Roman" w:hAnsi="Times New Roman" w:eastAsia="宋体" w:cs="Times New Roman"/>
          <w:color w:val="auto"/>
          <w:lang w:val="en-US" w:eastAsia="zh-CN"/>
        </w:rPr>
        <w:t>管道需埋入地面以下不小于0.7m。</w:t>
      </w:r>
    </w:p>
    <w:p w14:paraId="6DBE412C">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④下管及铺管</w:t>
      </w:r>
    </w:p>
    <w:p w14:paraId="5E5131D6">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下管：将管节从沟槽上运到沟槽下的过程。有人工和机械两种方法。</w:t>
      </w:r>
    </w:p>
    <w:p w14:paraId="7A97BFA2">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铺管：管道铺设过程为：管材放入沟槽-接口-部分回填-试压-全部回填。管材应平稳下沟，不得与沟壁或沟底激烈碰撞。</w:t>
      </w:r>
    </w:p>
    <w:p w14:paraId="32FBE087">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铺管宜由低向高处进行，铺设在平缓地面的承插口管道，承口一般朝来水方向，在斜坡地段，承口朝上坡。</w:t>
      </w:r>
    </w:p>
    <w:p w14:paraId="3B8A8710">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管道铺设或安装中断时，应用塞子临时堵塞管口，不得敞口搁置。</w:t>
      </w:r>
    </w:p>
    <w:p w14:paraId="79CEE93F">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管道在铺设过程中可有适当的弯曲，但幅度不能过大，弯曲半径不得小于管外径的300倍，并应浇筑固定管道弧度的混凝土或砖砌固定支墩。</w:t>
      </w:r>
    </w:p>
    <w:p w14:paraId="0428541B">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⑤焊接和探伤</w:t>
      </w:r>
    </w:p>
    <w:p w14:paraId="7C8A5A1C">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焊接</w:t>
      </w:r>
    </w:p>
    <w:p w14:paraId="591EA013">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环向焊缝的焊接采用手工焊或半自动焊，为保证焊接质量，管道焊接采用下向焊焊接工艺，管道对口采用外对口器，根焊完成50%以上才可拆除，并且所完成的根焊均匀分布在整个圆周上。根焊完成后并尽快进行热焊。每层焊道焊完后，应认真清渣和打磨</w:t>
      </w:r>
      <w:r>
        <w:rPr>
          <w:rFonts w:hint="eastAsia" w:cs="Times New Roman"/>
          <w:color w:val="auto"/>
          <w:lang w:val="en-US" w:eastAsia="zh-CN"/>
        </w:rPr>
        <w:t>凸起</w:t>
      </w:r>
      <w:r>
        <w:rPr>
          <w:rFonts w:hint="default" w:ascii="Times New Roman" w:hAnsi="Times New Roman" w:eastAsia="宋体" w:cs="Times New Roman"/>
          <w:color w:val="auto"/>
          <w:lang w:val="en-US" w:eastAsia="zh-CN"/>
        </w:rPr>
        <w:t>部分以及表层缺陷，外观检查合格后进行下一层焊道焊接。根据现场的地形，采用沟上或沟下组装焊接。为保证焊接质量，现场的焊接应严格按现行标准《钢质管道焊接及验收》（SY/T4103）执行。</w:t>
      </w:r>
    </w:p>
    <w:p w14:paraId="7B36A95A">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焊口检查</w:t>
      </w:r>
    </w:p>
    <w:p w14:paraId="3819519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管道焊缝质量在外观检查合格后需进行无损探伤检查。本线路管道采用超声波和×射线探伤对焊口进行检查，探伤作业聘请专门机构进行。</w:t>
      </w:r>
    </w:p>
    <w:p w14:paraId="2DC5F1C6">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⑥</w:t>
      </w:r>
      <w:r>
        <w:rPr>
          <w:rFonts w:hint="default" w:ascii="Times New Roman" w:hAnsi="Times New Roman" w:eastAsia="宋体" w:cs="Times New Roman"/>
          <w:b/>
          <w:bCs/>
          <w:color w:val="auto"/>
          <w:lang w:val="en-US" w:eastAsia="zh-CN"/>
        </w:rPr>
        <w:t>管道防腐</w:t>
      </w:r>
    </w:p>
    <w:p w14:paraId="23269492">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钢管内防腐采用防腐漆。本工程使用管道为经防腐处理的预制管道，施工现场仅对补口等进行防腐处理，不设置临时的防腐层施工场地。</w:t>
      </w:r>
    </w:p>
    <w:p w14:paraId="65DF8799">
      <w:pPr>
        <w:bidi w:val="0"/>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⑦管道试压</w:t>
      </w:r>
    </w:p>
    <w:p w14:paraId="5C51F54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管道安装完毕后应进行水压试验，试压前应做好堵板、后背、加压设备和进、排水管路等准备工作。水压升至试验压力后恒压10min</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管身、接口无破损及漏水现象为合格，管道严密性试验其最大渗水量应符合《给水排水管道工程施工验收规范</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GB50268-</w:t>
      </w:r>
      <w:r>
        <w:rPr>
          <w:rFonts w:hint="default" w:ascii="Times New Roman" w:hAnsi="Times New Roman" w:eastAsia="宋体" w:cs="Times New Roman"/>
          <w:color w:val="auto"/>
          <w:lang w:val="en-US" w:eastAsia="zh-CN"/>
        </w:rPr>
        <w:t>2008</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》有关要求。给水管道试压合格后，应进行管内清扫和分段冲洗消毒，直至水质管理部门取样化验后交付使用。</w:t>
      </w:r>
    </w:p>
    <w:p w14:paraId="73C59F97">
      <w:pPr>
        <w:bidi w:val="0"/>
        <w:rPr>
          <w:rFonts w:hint="default" w:ascii="Times New Roman" w:hAnsi="Times New Roman" w:eastAsia="宋体" w:cs="Times New Roman"/>
          <w:b/>
          <w:bCs/>
          <w:color w:val="auto"/>
          <w:lang w:eastAsia="zh-CN"/>
        </w:rPr>
      </w:pPr>
      <w:r>
        <w:rPr>
          <w:rFonts w:hint="eastAsia" w:ascii="宋体" w:hAnsi="宋体" w:eastAsia="宋体" w:cs="宋体"/>
          <w:b/>
          <w:bCs/>
          <w:color w:val="auto"/>
          <w:lang w:val="en-US" w:eastAsia="zh-CN"/>
        </w:rPr>
        <w:t>⑧</w:t>
      </w:r>
      <w:r>
        <w:rPr>
          <w:rFonts w:hint="default" w:ascii="Times New Roman" w:hAnsi="Times New Roman" w:eastAsia="宋体" w:cs="Times New Roman"/>
          <w:b/>
          <w:bCs/>
          <w:color w:val="auto"/>
          <w:lang w:eastAsia="zh-CN"/>
        </w:rPr>
        <w:t>管道的</w:t>
      </w:r>
      <w:r>
        <w:rPr>
          <w:rFonts w:hint="default" w:ascii="Times New Roman" w:hAnsi="Times New Roman" w:eastAsia="宋体" w:cs="Times New Roman"/>
          <w:b/>
          <w:bCs/>
          <w:color w:val="auto"/>
          <w:lang w:val="en-US" w:eastAsia="zh-CN"/>
        </w:rPr>
        <w:t>沟槽</w:t>
      </w:r>
      <w:r>
        <w:rPr>
          <w:rFonts w:hint="default" w:ascii="Times New Roman" w:hAnsi="Times New Roman" w:eastAsia="宋体" w:cs="Times New Roman"/>
          <w:b/>
          <w:bCs/>
          <w:color w:val="auto"/>
          <w:lang w:eastAsia="zh-CN"/>
        </w:rPr>
        <w:t>回填</w:t>
      </w:r>
    </w:p>
    <w:p w14:paraId="34EF77D0">
      <w:pPr>
        <w:bidi w:val="0"/>
        <w:rPr>
          <w:rFonts w:hint="default"/>
          <w:color w:val="auto"/>
        </w:rPr>
      </w:pPr>
      <w:r>
        <w:rPr>
          <w:rFonts w:hint="default" w:ascii="Times New Roman" w:hAnsi="Times New Roman" w:eastAsia="宋体" w:cs="Times New Roman"/>
          <w:color w:val="auto"/>
        </w:rPr>
        <w:t>沟槽回填应在管道安装验收合格后进行。回填前必须清除槽底及管身周围的杂物。回填时沟槽内不得有积水，严禁带水回填。凡具备回填条件，均应</w:t>
      </w:r>
      <w:r>
        <w:rPr>
          <w:rFonts w:hint="default"/>
          <w:color w:val="auto"/>
        </w:rPr>
        <w:t>及时回填，防止管道及沟槽长时间暴露造成管道损坏，边坡塌陷等。</w:t>
      </w:r>
    </w:p>
    <w:p w14:paraId="2C34B67D">
      <w:pPr>
        <w:bidi w:val="0"/>
        <w:rPr>
          <w:rFonts w:hint="default" w:ascii="Times New Roman" w:hAnsi="Times New Roman" w:eastAsia="宋体" w:cs="Times New Roman"/>
          <w:b w:val="0"/>
          <w:bCs w:val="0"/>
          <w:color w:val="auto"/>
          <w:lang w:val="en-US" w:eastAsia="zh-CN"/>
        </w:rPr>
      </w:pPr>
      <w:r>
        <w:rPr>
          <w:rFonts w:hint="default"/>
          <w:color w:val="auto"/>
        </w:rPr>
        <w:t>沟槽回填包括铺土、摊平和夯实等施工过程。槽底至管顶以上0.5m范围内的回填土，不得含有有机物、杂土</w:t>
      </w:r>
      <w:r>
        <w:rPr>
          <w:rFonts w:hint="eastAsia"/>
          <w:color w:val="auto"/>
          <w:lang w:eastAsia="zh-CN"/>
        </w:rPr>
        <w:t>，以及</w:t>
      </w:r>
      <w:r>
        <w:rPr>
          <w:rFonts w:hint="default"/>
          <w:color w:val="auto"/>
        </w:rPr>
        <w:t>大于50mm的砖石等硬块。回填时应按</w:t>
      </w:r>
      <w:r>
        <w:rPr>
          <w:rFonts w:hint="eastAsia"/>
          <w:color w:val="auto"/>
          <w:lang w:eastAsia="zh-CN"/>
        </w:rPr>
        <w:t>基坑排水</w:t>
      </w:r>
      <w:r>
        <w:rPr>
          <w:rFonts w:hint="default"/>
          <w:color w:val="auto"/>
        </w:rPr>
        <w:t>方向由上游向下游分层进行，沟槽底至管顶以上50mm范围内采用人工还土，管道两侧回填土应同时上升，每层虚铺厚度不应超过25cm</w:t>
      </w:r>
      <w:r>
        <w:rPr>
          <w:rFonts w:hint="default"/>
          <w:color w:val="auto"/>
          <w:lang w:eastAsia="zh-CN"/>
        </w:rPr>
        <w:t>，</w:t>
      </w:r>
      <w:r>
        <w:rPr>
          <w:rFonts w:hint="default"/>
          <w:color w:val="auto"/>
        </w:rPr>
        <w:t>人工摊平和压实。超过顶管50cm以上可</w:t>
      </w:r>
      <w:r>
        <w:rPr>
          <w:rFonts w:hint="default"/>
          <w:color w:val="auto"/>
          <w:lang w:val="en-US" w:eastAsia="zh-CN"/>
        </w:rPr>
        <w:t>采用推土机还土，每层虚铺厚度不应超过30cm。</w:t>
      </w:r>
    </w:p>
    <w:p w14:paraId="0D67FD71">
      <w:pPr>
        <w:bidi w:val="0"/>
        <w:rPr>
          <w:rFonts w:hint="default"/>
          <w:b/>
          <w:bCs/>
          <w:color w:val="auto"/>
          <w:lang w:val="en-US" w:eastAsia="zh-CN"/>
        </w:rPr>
      </w:pPr>
      <w:r>
        <w:rPr>
          <w:rFonts w:hint="eastAsia" w:ascii="宋体" w:hAnsi="宋体" w:eastAsia="宋体" w:cs="宋体"/>
          <w:b/>
          <w:bCs/>
          <w:color w:val="auto"/>
          <w:lang w:val="en-US" w:eastAsia="zh-CN"/>
        </w:rPr>
        <w:t>⑨</w:t>
      </w:r>
      <w:r>
        <w:rPr>
          <w:rFonts w:hint="default"/>
          <w:b/>
          <w:bCs/>
          <w:color w:val="auto"/>
          <w:lang w:val="en-US" w:eastAsia="zh-CN"/>
        </w:rPr>
        <w:t>基坑排水</w:t>
      </w:r>
    </w:p>
    <w:p w14:paraId="286C1A63">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施工前应根据管线地质条件</w:t>
      </w:r>
      <w:r>
        <w:rPr>
          <w:rFonts w:hint="eastAsia" w:ascii="Times New Roman" w:hAnsi="Times New Roman" w:eastAsia="宋体" w:cs="Times New Roman"/>
          <w:color w:val="auto"/>
          <w:lang w:val="en-US" w:eastAsia="zh-CN"/>
        </w:rPr>
        <w:t>选择</w:t>
      </w:r>
      <w:r>
        <w:rPr>
          <w:rFonts w:hint="default" w:ascii="Times New Roman" w:hAnsi="Times New Roman" w:eastAsia="宋体" w:cs="Times New Roman"/>
          <w:color w:val="auto"/>
          <w:lang w:val="en-US" w:eastAsia="zh-CN"/>
        </w:rPr>
        <w:t>合理的排水方法，并采取必要的措施，防止地基</w:t>
      </w:r>
      <w:r>
        <w:rPr>
          <w:rFonts w:hint="eastAsia" w:ascii="Times New Roman" w:hAnsi="Times New Roman" w:eastAsia="宋体" w:cs="Times New Roman"/>
          <w:color w:val="auto"/>
          <w:lang w:val="en-US" w:eastAsia="zh-CN"/>
        </w:rPr>
        <w:t>破</w:t>
      </w:r>
      <w:r>
        <w:rPr>
          <w:rFonts w:hint="default" w:ascii="Times New Roman" w:hAnsi="Times New Roman" w:eastAsia="宋体" w:cs="Times New Roman"/>
          <w:color w:val="auto"/>
          <w:lang w:val="en-US" w:eastAsia="zh-CN"/>
        </w:rPr>
        <w:t>动或影响其他管线或建筑物。当土质为粘性土时，可采用排水沟、排水井排水。土层为淤泥质土或粘质砂土时应采用井点降水，防止出现</w:t>
      </w:r>
      <w:r>
        <w:rPr>
          <w:rFonts w:hint="eastAsia" w:cs="Times New Roman"/>
          <w:color w:val="auto"/>
          <w:lang w:val="en-US" w:eastAsia="zh-CN"/>
        </w:rPr>
        <w:t>流沙</w:t>
      </w:r>
      <w:r>
        <w:rPr>
          <w:rFonts w:hint="default" w:ascii="Times New Roman" w:hAnsi="Times New Roman" w:eastAsia="宋体" w:cs="Times New Roman"/>
          <w:color w:val="auto"/>
          <w:lang w:val="en-US" w:eastAsia="zh-CN"/>
        </w:rPr>
        <w:t>现象及基坑弹簧土现象。</w:t>
      </w:r>
    </w:p>
    <w:p w14:paraId="6BAF4D31">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施工排水应与其他工序紧密结合。排水应连续进行不得间断，严禁泡槽。排水应待沟槽回填夯实至地下水位以上时，方可停止排水。</w:t>
      </w:r>
    </w:p>
    <w:p w14:paraId="39071AF2">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雨季施工时应尽量缩短开槽长度，并组织好雨水出路，严防地面雨水流入沟槽。</w:t>
      </w:r>
    </w:p>
    <w:p w14:paraId="29781756">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D.</w:t>
      </w:r>
      <w:r>
        <w:rPr>
          <w:rFonts w:hint="default" w:ascii="Times New Roman" w:hAnsi="Times New Roman" w:eastAsia="宋体" w:cs="Times New Roman"/>
          <w:color w:val="auto"/>
          <w:lang w:val="en-US" w:eastAsia="zh-CN"/>
        </w:rPr>
        <w:t>附近如果有建筑物先采用水泥搅拌桩等方法设隔水屏障，然后降低地下水位开挖基坑，如果有地下管线，采取保护措施后再施工管道。</w:t>
      </w:r>
    </w:p>
    <w:p w14:paraId="1FEAE5F8">
      <w:pPr>
        <w:bidi w:val="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w:t>
      </w:r>
      <w:r>
        <w:rPr>
          <w:rFonts w:hint="eastAsia" w:cs="Times New Roman"/>
          <w:b/>
          <w:bCs/>
          <w:color w:val="auto"/>
          <w:lang w:val="en-US" w:eastAsia="zh-CN"/>
        </w:rPr>
        <w:t>2</w:t>
      </w:r>
      <w:r>
        <w:rPr>
          <w:rFonts w:hint="eastAsia" w:ascii="Times New Roman" w:hAnsi="Times New Roman" w:eastAsia="宋体" w:cs="Times New Roman"/>
          <w:b/>
          <w:bCs/>
          <w:color w:val="auto"/>
          <w:lang w:val="en-US" w:eastAsia="zh-CN"/>
        </w:rPr>
        <w:t>）</w:t>
      </w:r>
      <w:r>
        <w:rPr>
          <w:rFonts w:hint="default" w:ascii="Times New Roman" w:hAnsi="Times New Roman" w:eastAsia="宋体" w:cs="Times New Roman"/>
          <w:b/>
          <w:bCs/>
          <w:color w:val="auto"/>
          <w:lang w:val="en-US" w:eastAsia="zh-CN"/>
        </w:rPr>
        <w:t>穿越工程</w:t>
      </w:r>
    </w:p>
    <w:p w14:paraId="587C98E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尾水排放管接入曾口镇污水处理厂已建排口，排入巴河。曾口镇污水处理厂已建管道穿越S409省道，故本项目管道施工不涉及穿越工程。</w:t>
      </w:r>
    </w:p>
    <w:p w14:paraId="7D466428">
      <w:pPr>
        <w:pStyle w:val="6"/>
        <w:bidi w:val="0"/>
        <w:rPr>
          <w:color w:val="auto"/>
        </w:rPr>
      </w:pPr>
      <w:r>
        <w:rPr>
          <w:color w:val="auto"/>
        </w:rPr>
        <w:t>施工总平面布置</w:t>
      </w:r>
    </w:p>
    <w:p w14:paraId="04D965C1">
      <w:pPr>
        <w:pageBreakBefore w:val="0"/>
        <w:wordWrap/>
        <w:bidi w:val="0"/>
        <w:adjustRightInd/>
        <w:snapToGrid/>
        <w:rPr>
          <w:color w:val="auto"/>
        </w:rPr>
      </w:pPr>
      <w:r>
        <w:rPr>
          <w:color w:val="auto"/>
        </w:rPr>
        <w:t>（1）施工总平面布置原则</w:t>
      </w:r>
    </w:p>
    <w:p w14:paraId="2A977A35">
      <w:pPr>
        <w:pageBreakBefore w:val="0"/>
        <w:wordWrap/>
        <w:bidi w:val="0"/>
        <w:adjustRightInd/>
        <w:snapToGrid/>
        <w:rPr>
          <w:color w:val="auto"/>
        </w:rPr>
      </w:pPr>
      <w:r>
        <w:rPr>
          <w:color w:val="auto"/>
        </w:rPr>
        <w:t>为减轻施工期对环境的影响，特别是施工噪声对周围住户的环境影响，环评建议在布置施工总平面时应遵循以下原则：</w:t>
      </w:r>
    </w:p>
    <w:p w14:paraId="2B517151">
      <w:pPr>
        <w:pageBreakBefore w:val="0"/>
        <w:wordWrap/>
        <w:bidi w:val="0"/>
        <w:adjustRightInd/>
        <w:snapToGrid/>
        <w:rPr>
          <w:color w:val="auto"/>
        </w:rPr>
      </w:pPr>
      <w:r>
        <w:rPr>
          <w:color w:val="auto"/>
        </w:rPr>
        <w:t>①车辆出入口服从现有道路流向与流量及现场条件，并经有关部门批准；</w:t>
      </w:r>
    </w:p>
    <w:p w14:paraId="5FD53C19">
      <w:pPr>
        <w:pageBreakBefore w:val="0"/>
        <w:wordWrap/>
        <w:bidi w:val="0"/>
        <w:adjustRightInd/>
        <w:snapToGrid/>
        <w:rPr>
          <w:color w:val="auto"/>
        </w:rPr>
      </w:pPr>
      <w:r>
        <w:rPr>
          <w:color w:val="auto"/>
        </w:rPr>
        <w:t>②阶段平面布置与该时期的施工重点相适应；</w:t>
      </w:r>
    </w:p>
    <w:p w14:paraId="4C893920">
      <w:pPr>
        <w:pageBreakBefore w:val="0"/>
        <w:wordWrap/>
        <w:bidi w:val="0"/>
        <w:adjustRightInd/>
        <w:snapToGrid/>
        <w:rPr>
          <w:color w:val="auto"/>
        </w:rPr>
      </w:pPr>
      <w:r>
        <w:rPr>
          <w:color w:val="auto"/>
        </w:rPr>
        <w:t>③划分施工区域和材料堆放场地，保证材料运输道路环环通畅，施工方便；</w:t>
      </w:r>
    </w:p>
    <w:p w14:paraId="4D602858">
      <w:pPr>
        <w:pageBreakBefore w:val="0"/>
        <w:wordWrap/>
        <w:bidi w:val="0"/>
        <w:adjustRightInd/>
        <w:snapToGrid/>
        <w:rPr>
          <w:color w:val="auto"/>
        </w:rPr>
      </w:pPr>
      <w:r>
        <w:rPr>
          <w:color w:val="auto"/>
        </w:rPr>
        <w:t>④符合工程施工流程要求，减少对专业工种和各工程方面的干扰；</w:t>
      </w:r>
    </w:p>
    <w:p w14:paraId="3BA48F75">
      <w:pPr>
        <w:pageBreakBefore w:val="0"/>
        <w:wordWrap/>
        <w:bidi w:val="0"/>
        <w:adjustRightInd/>
        <w:snapToGrid/>
        <w:rPr>
          <w:color w:val="auto"/>
        </w:rPr>
      </w:pPr>
      <w:r>
        <w:rPr>
          <w:color w:val="auto"/>
        </w:rPr>
        <w:t>⑤施工场地布置时考虑文明施工创优的需要，做到简洁、美观；</w:t>
      </w:r>
    </w:p>
    <w:p w14:paraId="0ADD8FED">
      <w:pPr>
        <w:pageBreakBefore w:val="0"/>
        <w:wordWrap/>
        <w:bidi w:val="0"/>
        <w:adjustRightInd/>
        <w:snapToGrid/>
        <w:rPr>
          <w:color w:val="auto"/>
        </w:rPr>
      </w:pPr>
      <w:r>
        <w:rPr>
          <w:color w:val="auto"/>
        </w:rPr>
        <w:t>⑥各种生产设施布置便于施工生产安排，且满足安全防火、劳动保护的要求；</w:t>
      </w:r>
    </w:p>
    <w:p w14:paraId="524F3B8B">
      <w:pPr>
        <w:pageBreakBefore w:val="0"/>
        <w:wordWrap/>
        <w:bidi w:val="0"/>
        <w:adjustRightInd/>
        <w:snapToGrid/>
        <w:rPr>
          <w:color w:val="auto"/>
        </w:rPr>
      </w:pPr>
      <w:r>
        <w:rPr>
          <w:color w:val="auto"/>
        </w:rPr>
        <w:t>⑦临电电源、电线敷设要避开人员流量大的楼梯及安全出口，以及容易被坠落物体打击的范围，电线尽量采用暗敷方式；</w:t>
      </w:r>
    </w:p>
    <w:p w14:paraId="06EC1C01">
      <w:pPr>
        <w:pageBreakBefore w:val="0"/>
        <w:wordWrap/>
        <w:bidi w:val="0"/>
        <w:adjustRightInd/>
        <w:snapToGrid/>
        <w:rPr>
          <w:color w:val="auto"/>
          <w:kern w:val="0"/>
        </w:rPr>
      </w:pPr>
      <w:r>
        <w:rPr>
          <w:color w:val="auto"/>
        </w:rPr>
        <w:t>⑧施工产噪</w:t>
      </w:r>
      <w:r>
        <w:rPr>
          <w:color w:val="auto"/>
          <w:kern w:val="0"/>
        </w:rPr>
        <w:t>设备尽量远离项目周围敏感点布置，从而减缓施工噪声对项目外环境的影响。</w:t>
      </w:r>
    </w:p>
    <w:p w14:paraId="38B3FAAA">
      <w:pPr>
        <w:pageBreakBefore w:val="0"/>
        <w:wordWrap/>
        <w:bidi w:val="0"/>
        <w:adjustRightInd/>
        <w:snapToGrid/>
        <w:rPr>
          <w:color w:val="auto"/>
        </w:rPr>
      </w:pPr>
      <w:r>
        <w:rPr>
          <w:color w:val="auto"/>
        </w:rPr>
        <w:t>（2）施工现场布置</w:t>
      </w:r>
    </w:p>
    <w:p w14:paraId="629F2385">
      <w:pPr>
        <w:pageBreakBefore w:val="0"/>
        <w:wordWrap/>
        <w:bidi w:val="0"/>
        <w:adjustRightInd/>
        <w:snapToGrid/>
        <w:rPr>
          <w:color w:val="auto"/>
        </w:rPr>
      </w:pPr>
      <w:r>
        <w:rPr>
          <w:color w:val="auto"/>
        </w:rPr>
        <w:t>①施工出入口设置上尽量避免影响周边交通，施工主出入口布置在项目南侧道路上，主出入口设置车辆冲洗平台、隔油池和沉淀池。</w:t>
      </w:r>
    </w:p>
    <w:p w14:paraId="194F94EA">
      <w:pPr>
        <w:pageBreakBefore w:val="0"/>
        <w:wordWrap/>
        <w:bidi w:val="0"/>
        <w:adjustRightInd/>
        <w:snapToGrid/>
        <w:rPr>
          <w:color w:val="auto"/>
        </w:rPr>
      </w:pPr>
      <w:r>
        <w:rPr>
          <w:color w:val="auto"/>
        </w:rPr>
        <w:t>②工程施工现场周边设置2.5</w:t>
      </w:r>
      <w:r>
        <w:rPr>
          <w:rFonts w:hint="eastAsia"/>
          <w:color w:val="auto"/>
          <w:lang w:eastAsia="zh-CN"/>
        </w:rPr>
        <w:t>～</w:t>
      </w:r>
      <w:r>
        <w:rPr>
          <w:color w:val="auto"/>
        </w:rPr>
        <w:t>3m高连续、密闭的围墙或围栏；</w:t>
      </w:r>
    </w:p>
    <w:p w14:paraId="1E91211D">
      <w:pPr>
        <w:pageBreakBefore w:val="0"/>
        <w:wordWrap/>
        <w:bidi w:val="0"/>
        <w:adjustRightInd/>
        <w:snapToGrid/>
        <w:rPr>
          <w:color w:val="auto"/>
        </w:rPr>
      </w:pPr>
      <w:r>
        <w:rPr>
          <w:color w:val="auto"/>
        </w:rPr>
        <w:t>③根据现场调查，项目</w:t>
      </w:r>
      <w:r>
        <w:rPr>
          <w:rFonts w:hint="eastAsia"/>
          <w:color w:val="auto"/>
          <w:lang w:val="en-US" w:eastAsia="zh-CN"/>
        </w:rPr>
        <w:t>西侧</w:t>
      </w:r>
      <w:r>
        <w:rPr>
          <w:color w:val="auto"/>
        </w:rPr>
        <w:t>为已建</w:t>
      </w:r>
      <w:r>
        <w:rPr>
          <w:rFonts w:hint="eastAsia"/>
          <w:color w:val="auto"/>
          <w:lang w:val="en-US" w:eastAsia="zh-CN"/>
        </w:rPr>
        <w:t>曾口镇</w:t>
      </w:r>
      <w:r>
        <w:rPr>
          <w:color w:val="auto"/>
        </w:rPr>
        <w:t>污水处理厂，</w:t>
      </w:r>
      <w:r>
        <w:rPr>
          <w:rFonts w:hint="eastAsia"/>
          <w:color w:val="auto"/>
          <w:lang w:val="en-US" w:eastAsia="zh-CN"/>
        </w:rPr>
        <w:t>南侧</w:t>
      </w:r>
      <w:r>
        <w:rPr>
          <w:color w:val="auto"/>
        </w:rPr>
        <w:t>道路已经铺设了市政污水管网，因此施工人员生活污水可依托现有污水处理系统处理。</w:t>
      </w:r>
    </w:p>
    <w:p w14:paraId="0F17FFE8">
      <w:pPr>
        <w:pageBreakBefore w:val="0"/>
        <w:wordWrap/>
        <w:bidi w:val="0"/>
        <w:adjustRightInd/>
        <w:snapToGrid/>
        <w:rPr>
          <w:color w:val="auto"/>
        </w:rPr>
      </w:pPr>
      <w:r>
        <w:rPr>
          <w:color w:val="auto"/>
        </w:rPr>
        <w:t>④项目施工物料、土石方等运输依托现有的道路，无需再设置施工便道。</w:t>
      </w:r>
    </w:p>
    <w:p w14:paraId="2B147ACB">
      <w:pPr>
        <w:pageBreakBefore w:val="0"/>
        <w:wordWrap/>
        <w:bidi w:val="0"/>
        <w:adjustRightInd/>
        <w:snapToGrid/>
        <w:rPr>
          <w:color w:val="auto"/>
        </w:rPr>
      </w:pPr>
      <w:r>
        <w:rPr>
          <w:color w:val="auto"/>
        </w:rPr>
        <w:t>⑤施工材料堆场与钢筋加工棚起始位置布设于施工场地的中央。</w:t>
      </w:r>
    </w:p>
    <w:p w14:paraId="116AA156">
      <w:pPr>
        <w:pStyle w:val="5"/>
        <w:pageBreakBefore w:val="0"/>
        <w:wordWrap/>
        <w:bidi w:val="0"/>
        <w:adjustRightInd/>
        <w:snapToGrid/>
        <w:spacing w:before="62" w:after="62"/>
        <w:ind w:left="0"/>
        <w:rPr>
          <w:rFonts w:eastAsia="宋体"/>
          <w:color w:val="auto"/>
        </w:rPr>
      </w:pPr>
      <w:bookmarkStart w:id="105" w:name="_Toc505087350"/>
      <w:r>
        <w:rPr>
          <w:rFonts w:hint="eastAsia" w:eastAsia="宋体"/>
          <w:color w:val="auto"/>
        </w:rPr>
        <w:t xml:space="preserve"> </w:t>
      </w:r>
      <w:r>
        <w:rPr>
          <w:rFonts w:eastAsia="宋体"/>
          <w:color w:val="auto"/>
        </w:rPr>
        <w:t>营运期工程分析</w:t>
      </w:r>
      <w:bookmarkEnd w:id="105"/>
    </w:p>
    <w:p w14:paraId="59C43D26">
      <w:pPr>
        <w:pageBreakBefore w:val="0"/>
        <w:wordWrap/>
        <w:bidi w:val="0"/>
        <w:adjustRightInd/>
        <w:snapToGrid/>
        <w:ind w:firstLine="480"/>
        <w:rPr>
          <w:color w:val="auto"/>
        </w:rPr>
      </w:pPr>
      <w:r>
        <w:rPr>
          <w:color w:val="auto"/>
        </w:rPr>
        <w:t>项目建成后主要污染物为废水、废气、噪声和固废。</w:t>
      </w:r>
    </w:p>
    <w:p w14:paraId="2A9259A1">
      <w:pPr>
        <w:pageBreakBefore w:val="0"/>
        <w:wordWrap/>
        <w:bidi w:val="0"/>
        <w:adjustRightInd/>
        <w:snapToGrid/>
        <w:ind w:firstLine="48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t>本项目生产工艺流程见</w:t>
      </w:r>
      <w:r>
        <w:rPr>
          <w:rFonts w:hint="eastAsia"/>
          <w:color w:val="auto"/>
          <w:lang w:val="en-US" w:eastAsia="zh-CN"/>
        </w:rPr>
        <w:t>下图</w:t>
      </w:r>
      <w:r>
        <w:rPr>
          <w:color w:val="auto"/>
        </w:rPr>
        <w:t>。</w:t>
      </w:r>
    </w:p>
    <w:p w14:paraId="052D5395">
      <w:pPr>
        <w:pStyle w:val="19"/>
        <w:pageBreakBefore w:val="0"/>
        <w:wordWrap/>
        <w:bidi w:val="0"/>
        <w:adjustRightInd/>
        <w:snapToGrid/>
        <w:jc w:val="center"/>
        <w:rPr>
          <w:color w:val="auto"/>
        </w:rPr>
      </w:pPr>
      <w:r>
        <w:rPr>
          <w:color w:val="auto"/>
        </w:rPr>
        <w:drawing>
          <wp:inline distT="0" distB="0" distL="114300" distR="114300">
            <wp:extent cx="8176260" cy="4700905"/>
            <wp:effectExtent l="0" t="0" r="0" b="4445"/>
            <wp:docPr id="1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
                    <pic:cNvPicPr>
                      <a:picLocks noChangeAspect="1"/>
                    </pic:cNvPicPr>
                  </pic:nvPicPr>
                  <pic:blipFill>
                    <a:blip r:embed="rId60"/>
                    <a:stretch>
                      <a:fillRect/>
                    </a:stretch>
                  </pic:blipFill>
                  <pic:spPr>
                    <a:xfrm>
                      <a:off x="0" y="0"/>
                      <a:ext cx="8176260" cy="4700905"/>
                    </a:xfrm>
                    <a:prstGeom prst="rect">
                      <a:avLst/>
                    </a:prstGeom>
                    <a:noFill/>
                    <a:ln>
                      <a:noFill/>
                    </a:ln>
                  </pic:spPr>
                </pic:pic>
              </a:graphicData>
            </a:graphic>
          </wp:inline>
        </w:drawing>
      </w:r>
    </w:p>
    <w:p w14:paraId="64692FFB">
      <w:pPr>
        <w:pStyle w:val="15"/>
        <w:numPr>
          <w:ilvl w:val="0"/>
          <w:numId w:val="0"/>
        </w:numPr>
        <w:tabs>
          <w:tab w:val="clear" w:pos="0"/>
        </w:tabs>
        <w:bidi w:val="0"/>
        <w:ind w:leftChars="0"/>
        <w:jc w:val="center"/>
        <w:rPr>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color w:val="auto"/>
        </w:rPr>
        <w:t xml:space="preserve"> 项目工艺流程及产污分析</w:t>
      </w:r>
    </w:p>
    <w:p w14:paraId="555067B6">
      <w:pPr>
        <w:pageBreakBefore w:val="0"/>
        <w:wordWrap/>
        <w:bidi w:val="0"/>
        <w:adjustRightInd/>
        <w:snapToGrid/>
        <w:ind w:firstLine="480"/>
        <w:rPr>
          <w:color w:val="auto"/>
        </w:rPr>
      </w:pPr>
      <w:r>
        <w:rPr>
          <w:color w:val="auto"/>
        </w:rPr>
        <w:t>经分析，本项目正常运行过程中产生的</w:t>
      </w:r>
      <w:r>
        <w:rPr>
          <w:rFonts w:hint="eastAsia"/>
          <w:color w:val="auto"/>
          <w:lang w:eastAsia="zh-CN"/>
        </w:rPr>
        <w:t>“</w:t>
      </w:r>
      <w:r>
        <w:rPr>
          <w:color w:val="auto"/>
        </w:rPr>
        <w:t>三废</w:t>
      </w:r>
      <w:r>
        <w:rPr>
          <w:rFonts w:hint="eastAsia"/>
          <w:color w:val="auto"/>
          <w:lang w:eastAsia="zh-CN"/>
        </w:rPr>
        <w:t>”</w:t>
      </w:r>
      <w:r>
        <w:rPr>
          <w:color w:val="auto"/>
        </w:rPr>
        <w:t>污染物包括：</w:t>
      </w:r>
    </w:p>
    <w:p w14:paraId="6F863AA0">
      <w:pPr>
        <w:pageBreakBefore w:val="0"/>
        <w:wordWrap/>
        <w:bidi w:val="0"/>
        <w:adjustRightInd/>
        <w:snapToGrid/>
        <w:ind w:firstLine="480"/>
        <w:rPr>
          <w:b/>
          <w:bCs/>
          <w:color w:val="auto"/>
        </w:rPr>
      </w:pPr>
      <w:r>
        <w:rPr>
          <w:b/>
          <w:bCs/>
          <w:color w:val="auto"/>
        </w:rPr>
        <w:t>（1）废水</w:t>
      </w:r>
    </w:p>
    <w:p w14:paraId="04131385">
      <w:pPr>
        <w:pageBreakBefore w:val="0"/>
        <w:wordWrap/>
        <w:bidi w:val="0"/>
        <w:adjustRightInd/>
        <w:snapToGrid/>
        <w:ind w:firstLine="480"/>
        <w:rPr>
          <w:color w:val="auto"/>
        </w:rPr>
      </w:pPr>
      <w:r>
        <w:rPr>
          <w:color w:val="auto"/>
        </w:rPr>
        <w:t>本项目废水主要包括收集、纳污范围内主要排污单元产生的生产废水、生活污水（新增废水量约</w:t>
      </w:r>
      <w:r>
        <w:rPr>
          <w:rFonts w:hint="eastAsia"/>
          <w:color w:val="auto"/>
          <w:lang w:val="en-US" w:eastAsia="zh-CN"/>
        </w:rPr>
        <w:t>0.3</w:t>
      </w:r>
      <w:r>
        <w:rPr>
          <w:rFonts w:hint="eastAsia"/>
          <w:color w:val="auto"/>
          <w:lang w:eastAsia="zh-CN"/>
        </w:rPr>
        <w:t>万m³</w:t>
      </w:r>
      <w:r>
        <w:rPr>
          <w:color w:val="auto"/>
        </w:rPr>
        <w:t>/d），经本项目拟建污水处理系统（主体工艺：</w:t>
      </w:r>
      <w:r>
        <w:rPr>
          <w:rFonts w:hint="eastAsia"/>
          <w:i/>
          <w:color w:val="auto"/>
        </w:rPr>
        <w:t>超细格栅+调节池+高级氧化预处理+水解酸化池+生化池+二沉池+磁混凝沉淀池+深床反硝化+高级氧化深度处理+紫外线消毒</w:t>
      </w:r>
      <w:r>
        <w:rPr>
          <w:color w:val="auto"/>
        </w:rPr>
        <w:t>）集中处置，达标排放。同时，还包括厂区内部少量排水，例如</w:t>
      </w:r>
      <w:r>
        <w:rPr>
          <w:rFonts w:hint="eastAsia"/>
          <w:color w:val="auto"/>
          <w:lang w:eastAsia="zh-CN"/>
        </w:rPr>
        <w:t>污泥池</w:t>
      </w:r>
      <w:r>
        <w:rPr>
          <w:color w:val="auto"/>
        </w:rPr>
        <w:t>上清液、污泥脱水滤液、厂区车间地坪清洁废水等生产废水，办公生活区产生的少量生活污水等，经收集、预处理后</w:t>
      </w:r>
      <w:r>
        <w:rPr>
          <w:rFonts w:hint="eastAsia"/>
          <w:color w:val="auto"/>
          <w:lang w:eastAsia="zh-CN"/>
        </w:rPr>
        <w:t>排入</w:t>
      </w:r>
      <w:r>
        <w:rPr>
          <w:color w:val="auto"/>
        </w:rPr>
        <w:t>厂区污水处理系统，集中处理后执行</w:t>
      </w:r>
      <w:r>
        <w:rPr>
          <w:rFonts w:hint="eastAsia"/>
          <w:color w:val="auto"/>
        </w:rPr>
        <w:t>《城镇污水处理厂污染物排放标准》（GB18918-2002）一级A标准</w:t>
      </w:r>
      <w:r>
        <w:rPr>
          <w:color w:val="auto"/>
        </w:rPr>
        <w:t>，尾水排入</w:t>
      </w:r>
      <w:r>
        <w:rPr>
          <w:rFonts w:hint="eastAsia"/>
          <w:color w:val="auto"/>
          <w:lang w:eastAsia="zh-CN"/>
        </w:rPr>
        <w:t>巴河</w:t>
      </w:r>
      <w:r>
        <w:rPr>
          <w:color w:val="auto"/>
        </w:rPr>
        <w:t>。</w:t>
      </w:r>
    </w:p>
    <w:p w14:paraId="68C2A06F">
      <w:pPr>
        <w:pageBreakBefore w:val="0"/>
        <w:wordWrap/>
        <w:bidi w:val="0"/>
        <w:adjustRightInd/>
        <w:snapToGrid/>
        <w:ind w:firstLine="480"/>
        <w:rPr>
          <w:b/>
          <w:bCs/>
          <w:color w:val="auto"/>
        </w:rPr>
      </w:pPr>
      <w:r>
        <w:rPr>
          <w:b/>
          <w:bCs/>
          <w:color w:val="auto"/>
        </w:rPr>
        <w:t>（2）废气</w:t>
      </w:r>
    </w:p>
    <w:p w14:paraId="29E2C534">
      <w:pPr>
        <w:pageBreakBefore w:val="0"/>
        <w:wordWrap/>
        <w:bidi w:val="0"/>
        <w:adjustRightInd/>
        <w:snapToGrid/>
        <w:ind w:firstLine="480"/>
        <w:rPr>
          <w:color w:val="auto"/>
        </w:rPr>
      </w:pPr>
      <w:r>
        <w:rPr>
          <w:color w:val="auto"/>
        </w:rPr>
        <w:t>经分析，本项目正常运行过程中废气污染物主要为厂区预处理单元（</w:t>
      </w:r>
      <w:r>
        <w:rPr>
          <w:rFonts w:hint="eastAsia"/>
          <w:color w:val="auto"/>
          <w:lang w:val="en-US" w:eastAsia="zh-CN"/>
        </w:rPr>
        <w:t>超细格栅、调节池、水解酸化池</w:t>
      </w:r>
      <w:r>
        <w:rPr>
          <w:color w:val="auto"/>
        </w:rPr>
        <w:t>等）、生化单元（</w:t>
      </w:r>
      <w:r>
        <w:rPr>
          <w:rFonts w:hint="eastAsia"/>
          <w:color w:val="auto"/>
          <w:lang w:val="en-US" w:eastAsia="zh-CN"/>
        </w:rPr>
        <w:t>生化池</w:t>
      </w:r>
      <w:r>
        <w:rPr>
          <w:color w:val="auto"/>
        </w:rPr>
        <w:t>）以及污泥处理（</w:t>
      </w:r>
      <w:r>
        <w:rPr>
          <w:rFonts w:hint="eastAsia"/>
          <w:color w:val="auto"/>
          <w:lang w:val="en-US" w:eastAsia="zh-CN"/>
        </w:rPr>
        <w:t>二沉池、磁混凝沉淀池</w:t>
      </w:r>
      <w:r>
        <w:rPr>
          <w:color w:val="auto"/>
        </w:rPr>
        <w:t>）单元产生的臭气，主要污染物为硫化氢、氨。同时，员工食堂主要废气为餐厨油烟等。为此，本项目设置相应的废气收集、净化装置，降低对周围环境的影响。</w:t>
      </w:r>
    </w:p>
    <w:p w14:paraId="31C368EF">
      <w:pPr>
        <w:pageBreakBefore w:val="0"/>
        <w:wordWrap/>
        <w:bidi w:val="0"/>
        <w:adjustRightInd/>
        <w:snapToGrid/>
        <w:ind w:firstLine="480"/>
        <w:rPr>
          <w:b/>
          <w:bCs/>
          <w:color w:val="auto"/>
        </w:rPr>
      </w:pPr>
      <w:r>
        <w:rPr>
          <w:b/>
          <w:bCs/>
          <w:color w:val="auto"/>
        </w:rPr>
        <w:t>（3）固废</w:t>
      </w:r>
    </w:p>
    <w:p w14:paraId="0F88ED7F">
      <w:pPr>
        <w:pageBreakBefore w:val="0"/>
        <w:wordWrap/>
        <w:bidi w:val="0"/>
        <w:adjustRightInd/>
        <w:snapToGrid/>
        <w:ind w:firstLine="480"/>
        <w:rPr>
          <w:color w:val="auto"/>
        </w:rPr>
      </w:pPr>
      <w:r>
        <w:rPr>
          <w:color w:val="auto"/>
        </w:rPr>
        <w:t>本项目为新建污水处理厂，属市政环保设施建设项目。正常运行过程中产生的固废包括工业固废、生活办公垃圾等。其中，工业固废主要为废水预处理单元产生的</w:t>
      </w:r>
      <w:r>
        <w:rPr>
          <w:rFonts w:hint="eastAsia"/>
          <w:color w:val="auto"/>
          <w:lang w:val="en-US" w:eastAsia="zh-CN"/>
        </w:rPr>
        <w:t>超细格栅</w:t>
      </w:r>
      <w:r>
        <w:rPr>
          <w:color w:val="auto"/>
        </w:rPr>
        <w:t>、沉淀池污泥（物化污泥），生化处理系统（</w:t>
      </w:r>
      <w:r>
        <w:rPr>
          <w:rFonts w:hint="eastAsia"/>
          <w:color w:val="auto"/>
          <w:lang w:val="en-US" w:eastAsia="zh-CN"/>
        </w:rPr>
        <w:t>生化池</w:t>
      </w:r>
      <w:r>
        <w:rPr>
          <w:color w:val="auto"/>
        </w:rPr>
        <w:t>）产生的生化污泥，以及设备维修、更换等工序产生的废旧设备、废矿物油，加药车间产生的废旧包装材料</w:t>
      </w:r>
      <w:r>
        <w:rPr>
          <w:rFonts w:hint="eastAsia"/>
          <w:color w:val="auto"/>
          <w:lang w:eastAsia="zh-CN"/>
        </w:rPr>
        <w:t>，</w:t>
      </w:r>
      <w:r>
        <w:rPr>
          <w:rFonts w:hint="eastAsia"/>
          <w:color w:val="auto"/>
          <w:lang w:val="en-US" w:eastAsia="zh-CN"/>
        </w:rPr>
        <w:t>监测产生的废液，化验室产生的实验废液和废包装材料</w:t>
      </w:r>
      <w:r>
        <w:rPr>
          <w:color w:val="auto"/>
        </w:rPr>
        <w:t>等。为此，环评要求：分类收集、按质处理，属危废则交由具有相应危废处理资质单位进行处理，生活垃圾则由市政环卫部门定期清运、处置。</w:t>
      </w:r>
    </w:p>
    <w:p w14:paraId="23F0994A">
      <w:pPr>
        <w:pageBreakBefore w:val="0"/>
        <w:wordWrap/>
        <w:bidi w:val="0"/>
        <w:adjustRightInd/>
        <w:snapToGrid/>
        <w:ind w:firstLine="480"/>
        <w:rPr>
          <w:b/>
          <w:bCs/>
          <w:color w:val="auto"/>
        </w:rPr>
      </w:pPr>
      <w:r>
        <w:rPr>
          <w:b/>
          <w:bCs/>
          <w:color w:val="auto"/>
        </w:rPr>
        <w:t>（4）噪声</w:t>
      </w:r>
    </w:p>
    <w:p w14:paraId="6C60A4BF">
      <w:pPr>
        <w:pageBreakBefore w:val="0"/>
        <w:wordWrap/>
        <w:bidi w:val="0"/>
        <w:adjustRightInd/>
        <w:snapToGrid/>
        <w:ind w:firstLine="480"/>
        <w:rPr>
          <w:color w:val="auto"/>
        </w:rPr>
      </w:pPr>
      <w:r>
        <w:rPr>
          <w:color w:val="auto"/>
        </w:rPr>
        <w:t>项目噪声源主要为污水处理厂内部各类水泵、鼓风机、格栅机及污泥脱水间等，噪声源在1米处声源强度80~100dB</w:t>
      </w:r>
      <w:r>
        <w:rPr>
          <w:rFonts w:hint="eastAsia"/>
          <w:color w:val="auto"/>
          <w:lang w:eastAsia="zh-CN"/>
        </w:rPr>
        <w:t>（</w:t>
      </w:r>
      <w:r>
        <w:rPr>
          <w:color w:val="auto"/>
        </w:rPr>
        <w:t>A</w:t>
      </w:r>
      <w:r>
        <w:rPr>
          <w:rFonts w:hint="eastAsia"/>
          <w:color w:val="auto"/>
          <w:lang w:eastAsia="zh-CN"/>
        </w:rPr>
        <w:t>）</w:t>
      </w:r>
      <w:r>
        <w:rPr>
          <w:color w:val="auto"/>
        </w:rPr>
        <w:t>之间。</w:t>
      </w:r>
    </w:p>
    <w:p w14:paraId="52DB9DC7">
      <w:pPr>
        <w:pageBreakBefore w:val="0"/>
        <w:wordWrap/>
        <w:bidi w:val="0"/>
        <w:adjustRightInd/>
        <w:snapToGrid/>
        <w:ind w:firstLine="48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t>设计尽量选用低噪声设备，并采用减震、隔声、消声和吸声，泵房采取隔声处理，增强泵房的密闭性，布设于地下或半地下等治理措施，确保厂界达标。</w:t>
      </w:r>
    </w:p>
    <w:p w14:paraId="5760B882">
      <w:pPr>
        <w:pStyle w:val="4"/>
        <w:pageBreakBefore w:val="0"/>
        <w:wordWrap/>
        <w:bidi w:val="0"/>
        <w:adjustRightInd/>
        <w:snapToGrid/>
        <w:rPr>
          <w:rFonts w:ascii="Times New Roman" w:hAnsi="Times New Roman" w:eastAsia="宋体"/>
          <w:color w:val="auto"/>
        </w:rPr>
      </w:pPr>
      <w:bookmarkStart w:id="106" w:name="_Toc32346"/>
      <w:r>
        <w:rPr>
          <w:rFonts w:hint="eastAsia" w:ascii="Times New Roman" w:hAnsi="Times New Roman" w:eastAsia="宋体"/>
          <w:color w:val="auto"/>
        </w:rPr>
        <w:t xml:space="preserve"> </w:t>
      </w:r>
      <w:bookmarkStart w:id="107" w:name="_Toc25959"/>
      <w:r>
        <w:rPr>
          <w:rFonts w:ascii="Times New Roman" w:hAnsi="Times New Roman" w:eastAsia="宋体"/>
          <w:color w:val="auto"/>
        </w:rPr>
        <w:t>施工期污染物排放及治理措施</w:t>
      </w:r>
      <w:bookmarkEnd w:id="106"/>
      <w:bookmarkEnd w:id="107"/>
    </w:p>
    <w:p w14:paraId="3A580CED">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施工期废水产生及治理措施</w:t>
      </w:r>
    </w:p>
    <w:p w14:paraId="59267F62">
      <w:pPr>
        <w:pageBreakBefore w:val="0"/>
        <w:wordWrap/>
        <w:bidi w:val="0"/>
        <w:adjustRightInd/>
        <w:snapToGrid/>
        <w:ind w:firstLine="480"/>
        <w:rPr>
          <w:color w:val="auto"/>
        </w:rPr>
      </w:pPr>
      <w:r>
        <w:rPr>
          <w:color w:val="auto"/>
        </w:rPr>
        <w:t>工程施工期产生的废水主要为施工人员的生活污水以及施工过程中产生的施工废水。</w:t>
      </w:r>
    </w:p>
    <w:p w14:paraId="59A70975">
      <w:pPr>
        <w:pageBreakBefore w:val="0"/>
        <w:wordWrap/>
        <w:bidi w:val="0"/>
        <w:adjustRightInd/>
        <w:snapToGrid/>
        <w:ind w:firstLine="480"/>
        <w:rPr>
          <w:b/>
          <w:bCs/>
          <w:color w:val="auto"/>
        </w:rPr>
      </w:pPr>
      <w:r>
        <w:rPr>
          <w:b/>
          <w:bCs/>
          <w:color w:val="auto"/>
        </w:rPr>
        <w:t>（1）生活污水</w:t>
      </w:r>
    </w:p>
    <w:p w14:paraId="59566505">
      <w:pPr>
        <w:pageBreakBefore w:val="0"/>
        <w:wordWrap/>
        <w:bidi w:val="0"/>
        <w:adjustRightInd/>
        <w:snapToGrid/>
        <w:ind w:firstLine="480"/>
        <w:rPr>
          <w:color w:val="auto"/>
        </w:rPr>
      </w:pPr>
      <w:r>
        <w:rPr>
          <w:color w:val="auto"/>
        </w:rPr>
        <w:t>建设施工期间，高峰期使用民工及管理人员</w:t>
      </w:r>
      <w:r>
        <w:rPr>
          <w:rFonts w:hint="eastAsia"/>
          <w:color w:val="auto"/>
          <w:lang w:val="en-US" w:eastAsia="zh-CN"/>
        </w:rPr>
        <w:t>100</w:t>
      </w:r>
      <w:r>
        <w:rPr>
          <w:color w:val="auto"/>
        </w:rPr>
        <w:t>人。人均用水40L/d，则高峰生活用水量为</w:t>
      </w:r>
      <w:r>
        <w:rPr>
          <w:rFonts w:hint="eastAsia"/>
          <w:color w:val="auto"/>
          <w:lang w:val="en-US" w:eastAsia="zh-CN"/>
        </w:rPr>
        <w:t>4</w:t>
      </w:r>
      <w:r>
        <w:rPr>
          <w:rFonts w:hint="eastAsia"/>
          <w:color w:val="auto"/>
          <w:lang w:eastAsia="zh-CN"/>
        </w:rPr>
        <w:t>m³</w:t>
      </w:r>
      <w:r>
        <w:rPr>
          <w:color w:val="auto"/>
        </w:rPr>
        <w:t>/d，排污系数0.9，预计产生量</w:t>
      </w:r>
      <w:r>
        <w:rPr>
          <w:rFonts w:hint="eastAsia"/>
          <w:color w:val="auto"/>
          <w:lang w:val="en-US" w:eastAsia="zh-CN"/>
        </w:rPr>
        <w:t>3.6</w:t>
      </w:r>
      <w:r>
        <w:rPr>
          <w:rFonts w:hint="eastAsia"/>
          <w:color w:val="auto"/>
          <w:lang w:eastAsia="zh-CN"/>
        </w:rPr>
        <w:t>m³</w:t>
      </w:r>
      <w:r>
        <w:rPr>
          <w:color w:val="auto"/>
        </w:rPr>
        <w:t>/d。生活污水中主要含COD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-N、SS等。</w:t>
      </w:r>
    </w:p>
    <w:p w14:paraId="665D4024">
      <w:pPr>
        <w:pageBreakBefore w:val="0"/>
        <w:wordWrap/>
        <w:bidi w:val="0"/>
        <w:adjustRightInd/>
        <w:snapToGrid/>
        <w:ind w:firstLine="480"/>
        <w:rPr>
          <w:color w:val="auto"/>
        </w:rPr>
      </w:pPr>
      <w:r>
        <w:rPr>
          <w:color w:val="auto"/>
        </w:rPr>
        <w:t>治理措施：由于本项目污水处理厂施工区</w:t>
      </w:r>
      <w:r>
        <w:rPr>
          <w:rFonts w:hint="eastAsia"/>
          <w:color w:val="auto"/>
          <w:lang w:val="en-US" w:eastAsia="zh-CN"/>
        </w:rPr>
        <w:t>位于曾口镇，场镇内已建曾口镇</w:t>
      </w:r>
      <w:r>
        <w:rPr>
          <w:color w:val="auto"/>
        </w:rPr>
        <w:t>污水处理厂</w:t>
      </w:r>
      <w:r>
        <w:rPr>
          <w:rFonts w:hint="eastAsia"/>
          <w:color w:val="auto"/>
          <w:lang w:eastAsia="zh-CN"/>
        </w:rPr>
        <w:t>，</w:t>
      </w:r>
      <w:r>
        <w:rPr>
          <w:color w:val="auto"/>
        </w:rPr>
        <w:t>相应废水处理设施完善，施工人员产生的少量生活污水经收集至</w:t>
      </w:r>
      <w:r>
        <w:rPr>
          <w:rFonts w:hint="eastAsia"/>
          <w:color w:val="auto"/>
          <w:lang w:val="en-US" w:eastAsia="zh-CN"/>
        </w:rPr>
        <w:t>曾口镇</w:t>
      </w:r>
      <w:r>
        <w:rPr>
          <w:color w:val="auto"/>
        </w:rPr>
        <w:t>污水处理厂进行处理，达标排放。</w:t>
      </w:r>
    </w:p>
    <w:p w14:paraId="3BB5FD2F">
      <w:pPr>
        <w:pageBreakBefore w:val="0"/>
        <w:wordWrap/>
        <w:bidi w:val="0"/>
        <w:adjustRightInd/>
        <w:snapToGrid/>
        <w:ind w:firstLine="480"/>
        <w:rPr>
          <w:b/>
          <w:bCs/>
          <w:color w:val="auto"/>
        </w:rPr>
      </w:pPr>
      <w:r>
        <w:rPr>
          <w:b/>
          <w:bCs/>
          <w:color w:val="auto"/>
        </w:rPr>
        <w:t>（2）施工废水</w:t>
      </w:r>
    </w:p>
    <w:p w14:paraId="3F3CF88B">
      <w:pPr>
        <w:pageBreakBefore w:val="0"/>
        <w:wordWrap/>
        <w:bidi w:val="0"/>
        <w:adjustRightInd/>
        <w:snapToGrid/>
        <w:ind w:firstLine="480"/>
        <w:rPr>
          <w:color w:val="auto"/>
        </w:rPr>
      </w:pPr>
      <w:r>
        <w:rPr>
          <w:color w:val="auto"/>
        </w:rPr>
        <w:t>包括基坑排水、施工机械冲洗水、混凝土养护水等，主要污染物为SS和石油类，约在500</w:t>
      </w:r>
      <w:r>
        <w:rPr>
          <w:rFonts w:hint="eastAsia"/>
          <w:color w:val="auto"/>
          <w:lang w:eastAsia="zh-CN"/>
        </w:rPr>
        <w:t>～</w:t>
      </w:r>
      <w:r>
        <w:rPr>
          <w:color w:val="auto"/>
        </w:rPr>
        <w:t>2000mg/L左右，呈弱酸性，并带有少量油污。</w:t>
      </w:r>
    </w:p>
    <w:p w14:paraId="61868E85">
      <w:pPr>
        <w:pageBreakBefore w:val="0"/>
        <w:wordWrap/>
        <w:bidi w:val="0"/>
        <w:adjustRightInd/>
        <w:snapToGrid/>
        <w:ind w:firstLine="482"/>
        <w:rPr>
          <w:color w:val="auto"/>
        </w:rPr>
      </w:pPr>
      <w:r>
        <w:rPr>
          <w:b w:val="0"/>
          <w:bCs w:val="0"/>
          <w:color w:val="auto"/>
        </w:rPr>
        <w:t>治理措施：</w:t>
      </w:r>
      <w:r>
        <w:rPr>
          <w:color w:val="auto"/>
        </w:rPr>
        <w:t>该废水经隔油、沉淀后全部循环使用，不外排。本工程施工高峰期按3</w:t>
      </w:r>
      <w:r>
        <w:rPr>
          <w:rFonts w:hint="eastAsia"/>
          <w:color w:val="auto"/>
          <w:lang w:eastAsia="zh-CN"/>
        </w:rPr>
        <w:t>～</w:t>
      </w:r>
      <w:r>
        <w:rPr>
          <w:color w:val="auto"/>
        </w:rPr>
        <w:t>4个作业点计，平均每个作业点产生施工废水2</w:t>
      </w:r>
      <w:r>
        <w:rPr>
          <w:rFonts w:hint="eastAsia"/>
          <w:color w:val="auto"/>
          <w:lang w:eastAsia="zh-CN"/>
        </w:rPr>
        <w:t>m³</w:t>
      </w:r>
      <w:r>
        <w:rPr>
          <w:color w:val="auto"/>
        </w:rPr>
        <w:t>/d，日产生施工废水8</w:t>
      </w:r>
      <w:r>
        <w:rPr>
          <w:rFonts w:hint="eastAsia"/>
          <w:color w:val="auto"/>
          <w:lang w:eastAsia="zh-CN"/>
        </w:rPr>
        <w:t>m³</w:t>
      </w:r>
      <w:r>
        <w:rPr>
          <w:color w:val="auto"/>
        </w:rPr>
        <w:t>/d。</w:t>
      </w:r>
    </w:p>
    <w:p w14:paraId="0C16C722">
      <w:pPr>
        <w:pageBreakBefore w:val="0"/>
        <w:wordWrap/>
        <w:bidi w:val="0"/>
        <w:adjustRightInd/>
        <w:snapToGrid/>
        <w:ind w:firstLine="480"/>
        <w:rPr>
          <w:color w:val="auto"/>
        </w:rPr>
      </w:pPr>
      <w:r>
        <w:rPr>
          <w:color w:val="auto"/>
        </w:rPr>
        <w:t>施工废水产生及处置情况见下表。</w:t>
      </w:r>
    </w:p>
    <w:p w14:paraId="3D6338FF">
      <w:pPr>
        <w:pStyle w:val="15"/>
        <w:numPr>
          <w:ilvl w:val="0"/>
          <w:numId w:val="22"/>
        </w:numPr>
        <w:bidi w:val="0"/>
        <w:ind w:left="0" w:leftChars="0" w:firstLine="0" w:firstLineChars="0"/>
        <w:rPr>
          <w:color w:val="auto"/>
        </w:rPr>
      </w:pPr>
      <w:r>
        <w:rPr>
          <w:color w:val="auto"/>
        </w:rPr>
        <w:t>施工期废水产生及处置情况</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46"/>
        <w:gridCol w:w="879"/>
        <w:gridCol w:w="501"/>
        <w:gridCol w:w="956"/>
        <w:gridCol w:w="956"/>
        <w:gridCol w:w="956"/>
        <w:gridCol w:w="903"/>
        <w:gridCol w:w="2284"/>
      </w:tblGrid>
      <w:tr w14:paraId="49E01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66" w:type="pct"/>
            <w:tcBorders>
              <w:tl2br w:val="nil"/>
              <w:tr2bl w:val="nil"/>
            </w:tcBorders>
            <w:noWrap w:val="0"/>
            <w:vAlign w:val="center"/>
          </w:tcPr>
          <w:p w14:paraId="662653BC">
            <w:pPr>
              <w:pageBreakBefore w:val="0"/>
              <w:tabs>
                <w:tab w:val="left" w:pos="300"/>
              </w:tabs>
              <w:wordWrap/>
              <w:bidi w:val="0"/>
              <w:adjustRightInd/>
              <w:snapToGrid/>
              <w:spacing w:line="240" w:lineRule="auto"/>
              <w:ind w:firstLine="0" w:firstLineChars="0"/>
              <w:jc w:val="center"/>
              <w:rPr>
                <w:b/>
                <w:bCs/>
                <w:color w:val="auto"/>
                <w:sz w:val="21"/>
                <w:szCs w:val="21"/>
              </w:rPr>
            </w:pPr>
            <w:r>
              <w:rPr>
                <w:b/>
                <w:bCs/>
                <w:color w:val="auto"/>
                <w:sz w:val="21"/>
                <w:szCs w:val="21"/>
              </w:rPr>
              <w:t>废水名称</w:t>
            </w:r>
          </w:p>
        </w:tc>
        <w:tc>
          <w:tcPr>
            <w:tcW w:w="500" w:type="pct"/>
            <w:tcBorders>
              <w:tl2br w:val="nil"/>
              <w:tr2bl w:val="nil"/>
            </w:tcBorders>
            <w:noWrap w:val="0"/>
            <w:vAlign w:val="center"/>
          </w:tcPr>
          <w:p w14:paraId="7E5374F0">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废水量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285" w:type="pct"/>
            <w:tcBorders>
              <w:tl2br w:val="nil"/>
              <w:tr2bl w:val="nil"/>
            </w:tcBorders>
            <w:noWrap w:val="0"/>
            <w:vAlign w:val="center"/>
          </w:tcPr>
          <w:p w14:paraId="2CDDC2D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pH</w:t>
            </w:r>
          </w:p>
        </w:tc>
        <w:tc>
          <w:tcPr>
            <w:tcW w:w="544" w:type="pct"/>
            <w:tcBorders>
              <w:tl2br w:val="nil"/>
              <w:tr2bl w:val="nil"/>
            </w:tcBorders>
            <w:noWrap w:val="0"/>
            <w:vAlign w:val="center"/>
          </w:tcPr>
          <w:p w14:paraId="4F8297E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p w14:paraId="356BD1F2">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4" w:type="pct"/>
            <w:tcBorders>
              <w:tl2br w:val="nil"/>
              <w:tr2bl w:val="nil"/>
            </w:tcBorders>
            <w:noWrap w:val="0"/>
            <w:vAlign w:val="center"/>
          </w:tcPr>
          <w:p w14:paraId="092CB26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p w14:paraId="2AFA6AD1">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4" w:type="pct"/>
            <w:tcBorders>
              <w:tl2br w:val="nil"/>
              <w:tr2bl w:val="nil"/>
            </w:tcBorders>
            <w:noWrap w:val="0"/>
            <w:vAlign w:val="center"/>
          </w:tcPr>
          <w:p w14:paraId="4C93480D">
            <w:pPr>
              <w:pageBreakBefore w:val="0"/>
              <w:wordWrap/>
              <w:bidi w:val="0"/>
              <w:adjustRightInd/>
              <w:snapToGrid/>
              <w:spacing w:line="240" w:lineRule="auto"/>
              <w:ind w:firstLine="0" w:firstLineChars="0"/>
              <w:jc w:val="center"/>
              <w:rPr>
                <w:b/>
                <w:bCs/>
                <w:color w:val="auto"/>
                <w:sz w:val="21"/>
                <w:szCs w:val="21"/>
                <w:vertAlign w:val="subscript"/>
              </w:rPr>
            </w:pPr>
            <w:r>
              <w:rPr>
                <w:b/>
                <w:bCs/>
                <w:color w:val="auto"/>
                <w:sz w:val="21"/>
                <w:szCs w:val="21"/>
              </w:rPr>
              <w:t>BOD</w:t>
            </w:r>
            <w:r>
              <w:rPr>
                <w:b/>
                <w:bCs/>
                <w:color w:val="auto"/>
                <w:sz w:val="21"/>
                <w:szCs w:val="21"/>
                <w:vertAlign w:val="subscript"/>
              </w:rPr>
              <w:t>5</w:t>
            </w:r>
          </w:p>
          <w:p w14:paraId="630C993B">
            <w:pPr>
              <w:pageBreakBefore w:val="0"/>
              <w:wordWrap/>
              <w:bidi w:val="0"/>
              <w:adjustRightInd/>
              <w:snapToGrid/>
              <w:spacing w:line="240" w:lineRule="auto"/>
              <w:ind w:firstLine="0" w:firstLineChars="0"/>
              <w:jc w:val="center"/>
              <w:rPr>
                <w:rFonts w:hint="eastAsia" w:eastAsia="宋体"/>
                <w:b/>
                <w:bCs/>
                <w:color w:val="auto"/>
                <w:sz w:val="21"/>
                <w:szCs w:val="21"/>
                <w:vertAlign w:val="subscript"/>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14" w:type="pct"/>
            <w:tcBorders>
              <w:tl2br w:val="nil"/>
              <w:tr2bl w:val="nil"/>
            </w:tcBorders>
            <w:noWrap w:val="0"/>
            <w:vAlign w:val="center"/>
          </w:tcPr>
          <w:p w14:paraId="3F0E10F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石油类</w:t>
            </w:r>
          </w:p>
          <w:p w14:paraId="447533DF">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1300" w:type="pct"/>
            <w:tcBorders>
              <w:tl2br w:val="nil"/>
              <w:tr2bl w:val="nil"/>
            </w:tcBorders>
            <w:noWrap w:val="0"/>
            <w:vAlign w:val="center"/>
          </w:tcPr>
          <w:p w14:paraId="2B8AEED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处置措施</w:t>
            </w:r>
          </w:p>
        </w:tc>
      </w:tr>
      <w:tr w14:paraId="5BD12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5ADFD3A2">
            <w:pPr>
              <w:pageBreakBefore w:val="0"/>
              <w:wordWrap/>
              <w:bidi w:val="0"/>
              <w:adjustRightInd/>
              <w:snapToGrid/>
              <w:spacing w:line="240" w:lineRule="auto"/>
              <w:ind w:firstLine="0" w:firstLineChars="0"/>
              <w:jc w:val="center"/>
              <w:rPr>
                <w:color w:val="auto"/>
                <w:sz w:val="21"/>
                <w:szCs w:val="21"/>
              </w:rPr>
            </w:pPr>
            <w:r>
              <w:rPr>
                <w:color w:val="auto"/>
                <w:sz w:val="21"/>
                <w:szCs w:val="21"/>
              </w:rPr>
              <w:t>民工生活污水</w:t>
            </w:r>
          </w:p>
        </w:tc>
        <w:tc>
          <w:tcPr>
            <w:tcW w:w="500" w:type="pct"/>
            <w:tcBorders>
              <w:tl2br w:val="nil"/>
              <w:tr2bl w:val="nil"/>
            </w:tcBorders>
            <w:noWrap w:val="0"/>
            <w:vAlign w:val="center"/>
          </w:tcPr>
          <w:p w14:paraId="0095E1B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3.6</w:t>
            </w:r>
          </w:p>
        </w:tc>
        <w:tc>
          <w:tcPr>
            <w:tcW w:w="285" w:type="pct"/>
            <w:tcBorders>
              <w:tl2br w:val="nil"/>
              <w:tr2bl w:val="nil"/>
            </w:tcBorders>
            <w:noWrap w:val="0"/>
            <w:vAlign w:val="center"/>
          </w:tcPr>
          <w:p w14:paraId="18E34545">
            <w:pPr>
              <w:pageBreakBefore w:val="0"/>
              <w:wordWrap/>
              <w:bidi w:val="0"/>
              <w:adjustRightInd/>
              <w:snapToGrid/>
              <w:spacing w:line="240" w:lineRule="auto"/>
              <w:ind w:firstLine="0" w:firstLineChars="0"/>
              <w:jc w:val="center"/>
              <w:rPr>
                <w:color w:val="auto"/>
                <w:sz w:val="21"/>
                <w:szCs w:val="21"/>
              </w:rPr>
            </w:pPr>
            <w:r>
              <w:rPr>
                <w:color w:val="auto"/>
                <w:sz w:val="21"/>
                <w:szCs w:val="21"/>
              </w:rPr>
              <w:t>6~9</w:t>
            </w:r>
          </w:p>
        </w:tc>
        <w:tc>
          <w:tcPr>
            <w:tcW w:w="544" w:type="pct"/>
            <w:tcBorders>
              <w:tl2br w:val="nil"/>
              <w:tr2bl w:val="nil"/>
            </w:tcBorders>
            <w:noWrap w:val="0"/>
            <w:vAlign w:val="center"/>
          </w:tcPr>
          <w:p w14:paraId="3EDEA656">
            <w:pPr>
              <w:pageBreakBefore w:val="0"/>
              <w:wordWrap/>
              <w:bidi w:val="0"/>
              <w:adjustRightInd/>
              <w:snapToGrid/>
              <w:spacing w:line="240" w:lineRule="auto"/>
              <w:ind w:firstLine="0" w:firstLineChars="0"/>
              <w:jc w:val="center"/>
              <w:rPr>
                <w:color w:val="auto"/>
                <w:sz w:val="21"/>
                <w:szCs w:val="21"/>
              </w:rPr>
            </w:pPr>
            <w:r>
              <w:rPr>
                <w:color w:val="auto"/>
                <w:sz w:val="21"/>
                <w:szCs w:val="21"/>
              </w:rPr>
              <w:t>350</w:t>
            </w:r>
          </w:p>
        </w:tc>
        <w:tc>
          <w:tcPr>
            <w:tcW w:w="544" w:type="pct"/>
            <w:tcBorders>
              <w:tl2br w:val="nil"/>
              <w:tr2bl w:val="nil"/>
            </w:tcBorders>
            <w:noWrap w:val="0"/>
            <w:vAlign w:val="center"/>
          </w:tcPr>
          <w:p w14:paraId="719E9150">
            <w:pPr>
              <w:pageBreakBefore w:val="0"/>
              <w:wordWrap/>
              <w:bidi w:val="0"/>
              <w:adjustRightInd/>
              <w:snapToGrid/>
              <w:spacing w:line="240" w:lineRule="auto"/>
              <w:ind w:firstLine="0" w:firstLineChars="0"/>
              <w:jc w:val="center"/>
              <w:rPr>
                <w:color w:val="auto"/>
                <w:sz w:val="21"/>
                <w:szCs w:val="21"/>
              </w:rPr>
            </w:pPr>
            <w:r>
              <w:rPr>
                <w:color w:val="auto"/>
                <w:sz w:val="21"/>
                <w:szCs w:val="21"/>
              </w:rPr>
              <w:t>250</w:t>
            </w:r>
          </w:p>
        </w:tc>
        <w:tc>
          <w:tcPr>
            <w:tcW w:w="544" w:type="pct"/>
            <w:tcBorders>
              <w:tl2br w:val="nil"/>
              <w:tr2bl w:val="nil"/>
            </w:tcBorders>
            <w:noWrap w:val="0"/>
            <w:vAlign w:val="center"/>
          </w:tcPr>
          <w:p w14:paraId="128CF8E0">
            <w:pPr>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514" w:type="pct"/>
            <w:tcBorders>
              <w:tl2br w:val="nil"/>
              <w:tr2bl w:val="nil"/>
            </w:tcBorders>
            <w:noWrap w:val="0"/>
            <w:vAlign w:val="center"/>
          </w:tcPr>
          <w:p w14:paraId="2F3BB82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300" w:type="pct"/>
            <w:tcBorders>
              <w:tl2br w:val="nil"/>
              <w:tr2bl w:val="nil"/>
            </w:tcBorders>
            <w:noWrap w:val="0"/>
            <w:vAlign w:val="center"/>
          </w:tcPr>
          <w:p w14:paraId="2D17BA6E">
            <w:pPr>
              <w:pageBreakBefore w:val="0"/>
              <w:wordWrap/>
              <w:bidi w:val="0"/>
              <w:adjustRightInd/>
              <w:snapToGrid/>
              <w:spacing w:line="240" w:lineRule="auto"/>
              <w:ind w:firstLine="0" w:firstLineChars="0"/>
              <w:jc w:val="center"/>
              <w:rPr>
                <w:color w:val="auto"/>
                <w:sz w:val="21"/>
                <w:szCs w:val="21"/>
              </w:rPr>
            </w:pPr>
            <w:r>
              <w:rPr>
                <w:color w:val="auto"/>
                <w:sz w:val="21"/>
                <w:szCs w:val="21"/>
              </w:rPr>
              <w:t>依托</w:t>
            </w:r>
            <w:r>
              <w:rPr>
                <w:rFonts w:hint="eastAsia"/>
                <w:color w:val="auto"/>
                <w:sz w:val="21"/>
                <w:szCs w:val="21"/>
                <w:lang w:val="en-US" w:eastAsia="zh-CN"/>
              </w:rPr>
              <w:t>曾口镇污水处理厂</w:t>
            </w:r>
            <w:r>
              <w:rPr>
                <w:color w:val="auto"/>
                <w:sz w:val="21"/>
                <w:szCs w:val="21"/>
              </w:rPr>
              <w:t>处理，达标排放</w:t>
            </w:r>
          </w:p>
        </w:tc>
      </w:tr>
      <w:tr w14:paraId="4D175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65C160B6">
            <w:pPr>
              <w:pageBreakBefore w:val="0"/>
              <w:wordWrap/>
              <w:bidi w:val="0"/>
              <w:adjustRightInd/>
              <w:snapToGrid/>
              <w:spacing w:line="240" w:lineRule="auto"/>
              <w:ind w:firstLine="0" w:firstLineChars="0"/>
              <w:jc w:val="center"/>
              <w:rPr>
                <w:color w:val="auto"/>
                <w:sz w:val="21"/>
                <w:szCs w:val="21"/>
              </w:rPr>
            </w:pPr>
            <w:r>
              <w:rPr>
                <w:color w:val="auto"/>
                <w:sz w:val="21"/>
                <w:szCs w:val="21"/>
              </w:rPr>
              <w:t>施工生产废水</w:t>
            </w:r>
          </w:p>
        </w:tc>
        <w:tc>
          <w:tcPr>
            <w:tcW w:w="500" w:type="pct"/>
            <w:tcBorders>
              <w:tl2br w:val="nil"/>
              <w:tr2bl w:val="nil"/>
            </w:tcBorders>
            <w:noWrap w:val="0"/>
            <w:vAlign w:val="center"/>
          </w:tcPr>
          <w:p w14:paraId="5142260B">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285" w:type="pct"/>
            <w:tcBorders>
              <w:tl2br w:val="nil"/>
              <w:tr2bl w:val="nil"/>
            </w:tcBorders>
            <w:noWrap w:val="0"/>
            <w:vAlign w:val="center"/>
          </w:tcPr>
          <w:p w14:paraId="1FF9024A">
            <w:pPr>
              <w:pageBreakBefore w:val="0"/>
              <w:wordWrap/>
              <w:bidi w:val="0"/>
              <w:adjustRightInd/>
              <w:snapToGrid/>
              <w:spacing w:line="240" w:lineRule="auto"/>
              <w:ind w:firstLine="0" w:firstLineChars="0"/>
              <w:jc w:val="center"/>
              <w:rPr>
                <w:color w:val="auto"/>
                <w:sz w:val="21"/>
                <w:szCs w:val="21"/>
              </w:rPr>
            </w:pPr>
            <w:r>
              <w:rPr>
                <w:color w:val="auto"/>
                <w:sz w:val="21"/>
                <w:szCs w:val="21"/>
              </w:rPr>
              <w:t>6~7</w:t>
            </w:r>
          </w:p>
        </w:tc>
        <w:tc>
          <w:tcPr>
            <w:tcW w:w="544" w:type="pct"/>
            <w:tcBorders>
              <w:tl2br w:val="nil"/>
              <w:tr2bl w:val="nil"/>
            </w:tcBorders>
            <w:noWrap w:val="0"/>
            <w:vAlign w:val="center"/>
          </w:tcPr>
          <w:p w14:paraId="5A13F5C7">
            <w:pPr>
              <w:pageBreakBefore w:val="0"/>
              <w:wordWrap/>
              <w:bidi w:val="0"/>
              <w:adjustRightInd/>
              <w:snapToGrid/>
              <w:spacing w:line="240" w:lineRule="auto"/>
              <w:ind w:firstLine="0" w:firstLineChars="0"/>
              <w:jc w:val="center"/>
              <w:rPr>
                <w:color w:val="auto"/>
                <w:sz w:val="21"/>
                <w:szCs w:val="21"/>
              </w:rPr>
            </w:pPr>
            <w:r>
              <w:rPr>
                <w:color w:val="auto"/>
                <w:sz w:val="21"/>
                <w:szCs w:val="21"/>
              </w:rPr>
              <w:t>80</w:t>
            </w:r>
          </w:p>
        </w:tc>
        <w:tc>
          <w:tcPr>
            <w:tcW w:w="544" w:type="pct"/>
            <w:tcBorders>
              <w:tl2br w:val="nil"/>
              <w:tr2bl w:val="nil"/>
            </w:tcBorders>
            <w:noWrap w:val="0"/>
            <w:vAlign w:val="center"/>
          </w:tcPr>
          <w:p w14:paraId="7B4C94E7">
            <w:pPr>
              <w:pageBreakBefore w:val="0"/>
              <w:wordWrap/>
              <w:bidi w:val="0"/>
              <w:adjustRightInd/>
              <w:snapToGrid/>
              <w:spacing w:line="240" w:lineRule="auto"/>
              <w:ind w:firstLine="0" w:firstLineChars="0"/>
              <w:jc w:val="center"/>
              <w:rPr>
                <w:color w:val="auto"/>
                <w:sz w:val="21"/>
                <w:szCs w:val="21"/>
              </w:rPr>
            </w:pPr>
            <w:r>
              <w:rPr>
                <w:color w:val="auto"/>
                <w:sz w:val="21"/>
                <w:szCs w:val="21"/>
              </w:rPr>
              <w:t>1000</w:t>
            </w:r>
          </w:p>
        </w:tc>
        <w:tc>
          <w:tcPr>
            <w:tcW w:w="544" w:type="pct"/>
            <w:tcBorders>
              <w:tl2br w:val="nil"/>
              <w:tr2bl w:val="nil"/>
            </w:tcBorders>
            <w:noWrap w:val="0"/>
            <w:vAlign w:val="center"/>
          </w:tcPr>
          <w:p w14:paraId="5BA738B2">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514" w:type="pct"/>
            <w:tcBorders>
              <w:tl2br w:val="nil"/>
              <w:tr2bl w:val="nil"/>
            </w:tcBorders>
            <w:noWrap w:val="0"/>
            <w:vAlign w:val="center"/>
          </w:tcPr>
          <w:p w14:paraId="3511998F">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1300" w:type="pct"/>
            <w:tcBorders>
              <w:tl2br w:val="nil"/>
              <w:tr2bl w:val="nil"/>
            </w:tcBorders>
            <w:noWrap w:val="0"/>
            <w:vAlign w:val="center"/>
          </w:tcPr>
          <w:p w14:paraId="61E74A4D">
            <w:pPr>
              <w:pageBreakBefore w:val="0"/>
              <w:wordWrap/>
              <w:bidi w:val="0"/>
              <w:adjustRightInd/>
              <w:snapToGrid/>
              <w:spacing w:line="240" w:lineRule="auto"/>
              <w:ind w:firstLine="0" w:firstLineChars="0"/>
              <w:jc w:val="center"/>
              <w:rPr>
                <w:color w:val="auto"/>
                <w:sz w:val="21"/>
                <w:szCs w:val="21"/>
              </w:rPr>
            </w:pPr>
            <w:r>
              <w:rPr>
                <w:color w:val="auto"/>
                <w:sz w:val="21"/>
                <w:szCs w:val="21"/>
              </w:rPr>
              <w:t>隔油沉淀处理后循环使用</w:t>
            </w:r>
          </w:p>
        </w:tc>
      </w:tr>
      <w:tr w14:paraId="1E417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75B1CD11">
            <w:pPr>
              <w:pageBreakBefore w:val="0"/>
              <w:wordWrap/>
              <w:bidi w:val="0"/>
              <w:adjustRightInd/>
              <w:snapToGrid/>
              <w:spacing w:line="240" w:lineRule="auto"/>
              <w:ind w:firstLine="0" w:firstLineChars="0"/>
              <w:jc w:val="center"/>
              <w:rPr>
                <w:color w:val="auto"/>
                <w:sz w:val="21"/>
                <w:szCs w:val="21"/>
              </w:rPr>
            </w:pPr>
            <w:r>
              <w:rPr>
                <w:color w:val="auto"/>
                <w:sz w:val="21"/>
                <w:szCs w:val="21"/>
              </w:rPr>
              <w:t>合计</w:t>
            </w:r>
          </w:p>
        </w:tc>
        <w:tc>
          <w:tcPr>
            <w:tcW w:w="500" w:type="pct"/>
            <w:tcBorders>
              <w:tl2br w:val="nil"/>
              <w:tr2bl w:val="nil"/>
            </w:tcBorders>
            <w:noWrap w:val="0"/>
            <w:vAlign w:val="center"/>
          </w:tcPr>
          <w:p w14:paraId="4A70FDB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11.6</w:t>
            </w:r>
          </w:p>
        </w:tc>
        <w:tc>
          <w:tcPr>
            <w:tcW w:w="285" w:type="pct"/>
            <w:tcBorders>
              <w:tl2br w:val="nil"/>
              <w:tr2bl w:val="nil"/>
            </w:tcBorders>
            <w:noWrap w:val="0"/>
            <w:vAlign w:val="center"/>
          </w:tcPr>
          <w:p w14:paraId="2475B10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323344B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128789E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419DF22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14" w:type="pct"/>
            <w:tcBorders>
              <w:tl2br w:val="nil"/>
              <w:tr2bl w:val="nil"/>
            </w:tcBorders>
            <w:noWrap w:val="0"/>
            <w:vAlign w:val="center"/>
          </w:tcPr>
          <w:p w14:paraId="441141F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300" w:type="pct"/>
            <w:tcBorders>
              <w:tl2br w:val="nil"/>
              <w:tr2bl w:val="nil"/>
            </w:tcBorders>
            <w:noWrap w:val="0"/>
            <w:vAlign w:val="center"/>
          </w:tcPr>
          <w:p w14:paraId="055DBFDA">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3CB687B7">
      <w:pPr>
        <w:pageBreakBefore w:val="0"/>
        <w:wordWrap/>
        <w:bidi w:val="0"/>
        <w:adjustRightInd/>
        <w:snapToGrid/>
        <w:spacing w:before="120" w:beforeLines="50"/>
        <w:ind w:firstLine="480"/>
        <w:rPr>
          <w:bCs/>
          <w:color w:val="auto"/>
          <w:kern w:val="0"/>
        </w:rPr>
      </w:pPr>
      <w:r>
        <w:rPr>
          <w:bCs/>
          <w:color w:val="auto"/>
          <w:kern w:val="0"/>
        </w:rPr>
        <w:t>施工过程产生的施工废水，如果防治措施不当，容易造成水环境污染。为此，本环评要求针对不同的废水采取不同的防治措施：</w:t>
      </w:r>
    </w:p>
    <w:p w14:paraId="6843062F">
      <w:pPr>
        <w:pageBreakBefore w:val="0"/>
        <w:wordWrap/>
        <w:bidi w:val="0"/>
        <w:adjustRightInd/>
        <w:snapToGrid/>
        <w:ind w:firstLine="480"/>
        <w:rPr>
          <w:color w:val="auto"/>
          <w:kern w:val="0"/>
        </w:rPr>
      </w:pPr>
      <w:r>
        <w:rPr>
          <w:color w:val="auto"/>
          <w:kern w:val="0"/>
        </w:rPr>
        <w:t>①砂石料冲洗废水。其悬浮物含量大，需建沉降池，悬浮物进行沉淀后排放。部分废水澄清后可用于建筑工地洒水防尘。人工运输水泥砂浆时，应避免泄漏，泄漏水泥砂浆应及时清理。运浆容器和搅拌用具尽量集中放置，及时清洗，冲洗水引入沉降池。</w:t>
      </w:r>
    </w:p>
    <w:p w14:paraId="7574BFD8">
      <w:pPr>
        <w:pageBreakBefore w:val="0"/>
        <w:wordWrap/>
        <w:bidi w:val="0"/>
        <w:adjustRightInd/>
        <w:snapToGrid/>
        <w:ind w:firstLine="480"/>
        <w:rPr>
          <w:color w:val="auto"/>
          <w:kern w:val="0"/>
        </w:rPr>
      </w:pPr>
      <w:r>
        <w:rPr>
          <w:color w:val="auto"/>
          <w:kern w:val="0"/>
        </w:rPr>
        <w:t>②混凝土养护废水。混凝土养护可以直接用薄膜或塑料溶液喷刷在混凝土表面，待溶液挥发后，与混凝土表面结合成一层塑料薄膜，使混凝土与空气隔离，封闭混凝土中水分不再蒸发外</w:t>
      </w:r>
      <w:r>
        <w:rPr>
          <w:rFonts w:hint="eastAsia"/>
          <w:color w:val="auto"/>
          <w:kern w:val="0"/>
          <w:lang w:eastAsia="zh-CN"/>
        </w:rPr>
        <w:t>溢</w:t>
      </w:r>
      <w:r>
        <w:rPr>
          <w:color w:val="auto"/>
          <w:kern w:val="0"/>
        </w:rPr>
        <w:t>，水泥依靠混凝土中水分完成水化作用。施工场地设不少于六座循环沉淀池，每座沉淀池有效容积不小于5.0</w:t>
      </w:r>
      <w:r>
        <w:rPr>
          <w:rFonts w:hint="eastAsia"/>
          <w:color w:val="auto"/>
          <w:kern w:val="0"/>
          <w:lang w:eastAsia="zh-CN"/>
        </w:rPr>
        <w:t>m³</w:t>
      </w:r>
      <w:r>
        <w:rPr>
          <w:color w:val="auto"/>
          <w:kern w:val="0"/>
        </w:rPr>
        <w:t>，施工废水经循环沉淀池后使用，禁止排放。</w:t>
      </w:r>
    </w:p>
    <w:p w14:paraId="04B81588">
      <w:pPr>
        <w:pageBreakBefore w:val="0"/>
        <w:wordWrap/>
        <w:bidi w:val="0"/>
        <w:adjustRightInd/>
        <w:snapToGrid/>
        <w:ind w:firstLine="480"/>
        <w:rPr>
          <w:color w:val="auto"/>
          <w:kern w:val="0"/>
        </w:rPr>
      </w:pPr>
      <w:r>
        <w:rPr>
          <w:color w:val="auto"/>
          <w:kern w:val="0"/>
        </w:rPr>
        <w:t>③</w:t>
      </w:r>
      <w:r>
        <w:rPr>
          <w:color w:val="auto"/>
          <w:kern w:val="0"/>
          <w:szCs w:val="28"/>
        </w:rPr>
        <w:t>机械和车辆冲洗废水。主要为含油废水，应要求施工机械和车辆到项目设置的专门清洗点或修理点进行清洗和修理，机械保养冲洗水、含油污水不得随意排放，要经过隔油沉淀池处理后回用</w:t>
      </w:r>
      <w:r>
        <w:rPr>
          <w:color w:val="auto"/>
          <w:kern w:val="0"/>
        </w:rPr>
        <w:t>，禁止将施工废水排放。</w:t>
      </w:r>
    </w:p>
    <w:p w14:paraId="69973837">
      <w:pPr>
        <w:pageBreakBefore w:val="0"/>
        <w:wordWrap/>
        <w:bidi w:val="0"/>
        <w:adjustRightInd/>
        <w:snapToGrid/>
        <w:ind w:firstLine="480"/>
        <w:rPr>
          <w:color w:val="auto"/>
          <w:kern w:val="0"/>
        </w:rPr>
      </w:pPr>
      <w:r>
        <w:rPr>
          <w:color w:val="auto"/>
          <w:kern w:val="0"/>
          <w:u w:val="single"/>
        </w:rPr>
        <w:t>综上所述，在采取上述措施治理后，实施期间产生的废水不会对区域地表水环境产生明显影响</w:t>
      </w:r>
      <w:r>
        <w:rPr>
          <w:color w:val="auto"/>
          <w:kern w:val="0"/>
        </w:rPr>
        <w:t>。</w:t>
      </w:r>
    </w:p>
    <w:p w14:paraId="57B8E1D4">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施工期废气产生及治理措施</w:t>
      </w:r>
    </w:p>
    <w:p w14:paraId="6192DF47">
      <w:pPr>
        <w:pageBreakBefore w:val="0"/>
        <w:numPr>
          <w:ilvl w:val="0"/>
          <w:numId w:val="23"/>
        </w:numPr>
        <w:wordWrap/>
        <w:bidi w:val="0"/>
        <w:adjustRightInd/>
        <w:snapToGrid/>
        <w:ind w:firstLine="482"/>
        <w:rPr>
          <w:b/>
          <w:color w:val="auto"/>
        </w:rPr>
      </w:pPr>
      <w:r>
        <w:rPr>
          <w:b/>
          <w:color w:val="auto"/>
        </w:rPr>
        <w:t>施工废气</w:t>
      </w:r>
    </w:p>
    <w:p w14:paraId="0C0824B6">
      <w:pPr>
        <w:pageBreakBefore w:val="0"/>
        <w:wordWrap/>
        <w:bidi w:val="0"/>
        <w:adjustRightInd/>
        <w:snapToGrid/>
        <w:ind w:firstLine="480"/>
        <w:rPr>
          <w:color w:val="auto"/>
        </w:rPr>
      </w:pPr>
      <w:r>
        <w:rPr>
          <w:color w:val="auto"/>
        </w:rPr>
        <w:t>大气污染物主要是施工扬尘、施工机械等燃油燃烧时排放SO</w:t>
      </w:r>
      <w:r>
        <w:rPr>
          <w:color w:val="auto"/>
          <w:vertAlign w:val="subscript"/>
        </w:rPr>
        <w:t>2</w:t>
      </w:r>
      <w:r>
        <w:rPr>
          <w:color w:val="auto"/>
        </w:rPr>
        <w:t>、NOx、CO、烃类等污染物</w:t>
      </w:r>
      <w:r>
        <w:rPr>
          <w:rFonts w:hint="eastAsia"/>
          <w:color w:val="auto"/>
          <w:lang w:val="en-US" w:eastAsia="zh-CN"/>
        </w:rPr>
        <w:t>和</w:t>
      </w:r>
      <w:r>
        <w:rPr>
          <w:color w:val="auto"/>
        </w:rPr>
        <w:t>装修</w:t>
      </w:r>
      <w:r>
        <w:rPr>
          <w:rFonts w:hint="eastAsia"/>
          <w:color w:val="auto"/>
          <w:lang w:val="en-US" w:eastAsia="zh-CN"/>
        </w:rPr>
        <w:t>油漆</w:t>
      </w:r>
      <w:r>
        <w:rPr>
          <w:color w:val="auto"/>
        </w:rPr>
        <w:t>废气。</w:t>
      </w:r>
    </w:p>
    <w:p w14:paraId="4BAE5095">
      <w:pPr>
        <w:pageBreakBefore w:val="0"/>
        <w:wordWrap/>
        <w:bidi w:val="0"/>
        <w:adjustRightInd/>
        <w:snapToGrid/>
        <w:ind w:firstLine="482"/>
        <w:rPr>
          <w:rFonts w:hint="eastAsia"/>
          <w:color w:val="auto"/>
        </w:rPr>
      </w:pPr>
      <w:r>
        <w:rPr>
          <w:rFonts w:hint="eastAsia"/>
          <w:b/>
          <w:bCs/>
          <w:color w:val="auto"/>
        </w:rPr>
        <w:t>（1）施工扬尘</w:t>
      </w:r>
    </w:p>
    <w:p w14:paraId="53CB9C09">
      <w:pPr>
        <w:pageBreakBefore w:val="0"/>
        <w:wordWrap/>
        <w:bidi w:val="0"/>
        <w:adjustRightInd/>
        <w:snapToGrid/>
        <w:ind w:firstLine="480"/>
        <w:contextualSpacing/>
        <w:rPr>
          <w:rFonts w:hint="eastAsia"/>
          <w:color w:val="auto"/>
        </w:rPr>
      </w:pPr>
      <w:r>
        <w:rPr>
          <w:rFonts w:hint="eastAsia"/>
          <w:color w:val="auto"/>
        </w:rPr>
        <w:t>施工扬尘主要来源于</w:t>
      </w:r>
      <w:r>
        <w:rPr>
          <w:rFonts w:hint="eastAsia"/>
          <w:color w:val="auto"/>
          <w:lang w:eastAsia="zh-CN"/>
        </w:rPr>
        <w:t>基坑开挖</w:t>
      </w:r>
      <w:r>
        <w:rPr>
          <w:rFonts w:hint="eastAsia"/>
          <w:color w:val="auto"/>
        </w:rPr>
        <w:t>过程中产生的扬尘以及土方露天堆放产生的风力扬尘等；建筑材料的现场搬运及堆放扬尘；施工垃圾的清理及堆放扬尘；人来车往造成的现场道路扬尘。主要采取的措施为：</w:t>
      </w:r>
    </w:p>
    <w:p w14:paraId="7F71A329">
      <w:pPr>
        <w:pageBreakBefore w:val="0"/>
        <w:wordWrap/>
        <w:bidi w:val="0"/>
        <w:adjustRightInd/>
        <w:snapToGrid/>
        <w:ind w:firstLine="480"/>
        <w:contextualSpacing/>
        <w:rPr>
          <w:rFonts w:hint="eastAsia"/>
          <w:color w:val="auto"/>
        </w:rPr>
      </w:pPr>
      <w:r>
        <w:rPr>
          <w:rFonts w:hint="eastAsia"/>
          <w:color w:val="auto"/>
        </w:rPr>
        <w:t>在施工过程中，施工单位必须严格依照城市扬尘防护规定进行施工，尽量减少扬尘对环境的影响程度，使周界外浓度低于1.0mg/</w:t>
      </w:r>
      <w:r>
        <w:rPr>
          <w:rFonts w:hint="eastAsia"/>
          <w:color w:val="auto"/>
          <w:lang w:eastAsia="zh-CN"/>
        </w:rPr>
        <w:t>m³</w:t>
      </w:r>
      <w:r>
        <w:rPr>
          <w:rFonts w:hint="eastAsia"/>
          <w:color w:val="auto"/>
        </w:rPr>
        <w:t>。根据《关于有效控制城市扬尘污染的通知》（国家环境保护总局环发〔2001〕56号）、《大气污染防治行动计划》（国发〔2013〕37号）以及《四川省打赢蓝天保卫战等九个实施方案的通知》（川府发〔2019〕4号）、《四川省建筑工程扬尘污染防治技术导则（试行）》及《四川省施工场地扬尘排放标准》（DB512682-2020）中</w:t>
      </w:r>
      <w:r>
        <w:rPr>
          <w:rFonts w:hint="eastAsia"/>
          <w:color w:val="auto"/>
          <w:lang w:val="en-US" w:eastAsia="zh-CN"/>
        </w:rPr>
        <w:t>巴中市</w:t>
      </w:r>
      <w:r>
        <w:rPr>
          <w:rFonts w:hint="eastAsia"/>
          <w:color w:val="auto"/>
        </w:rPr>
        <w:t>限值要求，具体防治扬尘措施如下：</w:t>
      </w:r>
    </w:p>
    <w:p w14:paraId="595F87BA">
      <w:pPr>
        <w:pageBreakBefore w:val="0"/>
        <w:wordWrap/>
        <w:bidi w:val="0"/>
        <w:adjustRightInd/>
        <w:snapToGrid/>
        <w:ind w:firstLine="480"/>
        <w:contextualSpacing/>
        <w:rPr>
          <w:rFonts w:hint="eastAsia"/>
          <w:color w:val="auto"/>
        </w:rPr>
      </w:pPr>
      <w:r>
        <w:rPr>
          <w:rFonts w:hint="eastAsia"/>
          <w:color w:val="auto"/>
        </w:rPr>
        <w:t>①积极推行绿色施工、加强对扬尘的源头的管理，施工工地进行打围施工，对产生扬尘的环节通过洒水降尘等方式进行湿法作业，严禁超载、冒载，严禁未密闭的运渣车驶出施工工地。严格执行</w:t>
      </w:r>
      <w:r>
        <w:rPr>
          <w:rFonts w:hint="eastAsia"/>
          <w:color w:val="auto"/>
          <w:lang w:eastAsia="zh-CN"/>
        </w:rPr>
        <w:t>“</w:t>
      </w:r>
      <w:r>
        <w:rPr>
          <w:rFonts w:hint="eastAsia"/>
          <w:color w:val="auto"/>
        </w:rPr>
        <w:t>十必须、十不准</w:t>
      </w:r>
      <w:r>
        <w:rPr>
          <w:rFonts w:hint="eastAsia"/>
          <w:color w:val="auto"/>
          <w:lang w:eastAsia="zh-CN"/>
        </w:rPr>
        <w:t>”</w:t>
      </w:r>
      <w:r>
        <w:rPr>
          <w:rFonts w:hint="eastAsia"/>
          <w:color w:val="auto"/>
        </w:rPr>
        <w:t>的要求：必须规范打围，保持干净整洁；必须设置出场车辆高压冲洗设施；必须硬化主要施工道路、出入口；必须湿法作业；必须及时清运建筑垃圾；必须使用800目密目网覆盖裸土、建渣；必须分类有序堆码施工材料；必须规范张贴非道路移动机械环保标识；必须安装扬尘在线监测设备；必须安装高清视频监控设备。不准车辆带泥出门；不准运渣车辆冒顶装载；不准使用名录外运渣车；不准现场搅拌混凝土、砂浆；不准露天切割；不准高处抛洒建筑垃圾；不准场地积水、积泥、积尘；不准焚烧废弃物；不准干扰扬尘监测设备运行；不准干扰视频监控设备。</w:t>
      </w:r>
    </w:p>
    <w:p w14:paraId="54CE8D39">
      <w:pPr>
        <w:pageBreakBefore w:val="0"/>
        <w:wordWrap/>
        <w:bidi w:val="0"/>
        <w:adjustRightInd/>
        <w:snapToGrid/>
        <w:ind w:firstLine="480"/>
        <w:contextualSpacing/>
        <w:rPr>
          <w:rFonts w:hint="eastAsia"/>
          <w:color w:val="auto"/>
        </w:rPr>
      </w:pPr>
      <w:r>
        <w:rPr>
          <w:rFonts w:hint="eastAsia"/>
          <w:color w:val="auto"/>
        </w:rPr>
        <w:t>②出场车辆应保持车身及轮胎干净整洁，无土、泥沙等物料附着。土石方运输车辆必须实施全覆盖，避免扬尘及撒漏。</w:t>
      </w:r>
    </w:p>
    <w:p w14:paraId="05DA6EE2">
      <w:pPr>
        <w:pageBreakBefore w:val="0"/>
        <w:wordWrap/>
        <w:bidi w:val="0"/>
        <w:adjustRightInd/>
        <w:snapToGrid/>
        <w:ind w:firstLine="480"/>
        <w:contextualSpacing/>
        <w:rPr>
          <w:rFonts w:hint="eastAsia"/>
          <w:color w:val="auto"/>
        </w:rPr>
      </w:pPr>
      <w:r>
        <w:rPr>
          <w:rFonts w:hint="eastAsia"/>
          <w:color w:val="auto"/>
        </w:rPr>
        <w:t>③材料运输车禁止超载，装高不得超过车厢板，并加盖篷布，防止沿途洒落；及时清理施工废弃物，暂时不能清运的应采取覆盖等措施；大风天气应加强施工场地洒水增湿作业。</w:t>
      </w:r>
    </w:p>
    <w:p w14:paraId="680D1EF2">
      <w:pPr>
        <w:pageBreakBefore w:val="0"/>
        <w:wordWrap/>
        <w:bidi w:val="0"/>
        <w:adjustRightInd/>
        <w:snapToGrid/>
        <w:ind w:firstLine="480"/>
        <w:contextualSpacing/>
        <w:rPr>
          <w:rFonts w:hint="eastAsia"/>
          <w:color w:val="auto"/>
        </w:rPr>
      </w:pPr>
      <w:r>
        <w:rPr>
          <w:rFonts w:hint="eastAsia"/>
          <w:color w:val="auto"/>
        </w:rPr>
        <w:t>④施工场地设置雾炮除尘机进行喷雾降尘，在晴天实时洒水，包括施工路段及主要运输道路，大风干燥天气应增加洒水频次。风速五级以上易产生扬尘时，建议施工单位应暂停土方开挖，同时采取覆盖临时表土堆。</w:t>
      </w:r>
    </w:p>
    <w:p w14:paraId="09AD29FC">
      <w:pPr>
        <w:pageBreakBefore w:val="0"/>
        <w:wordWrap/>
        <w:bidi w:val="0"/>
        <w:adjustRightInd/>
        <w:snapToGrid/>
        <w:ind w:firstLine="480"/>
        <w:contextualSpacing/>
        <w:rPr>
          <w:rFonts w:hint="eastAsia"/>
          <w:color w:val="auto"/>
        </w:rPr>
      </w:pPr>
      <w:r>
        <w:rPr>
          <w:rFonts w:hint="eastAsia"/>
          <w:color w:val="auto"/>
        </w:rPr>
        <w:t>⑤对土石方转运及材料运输车辆进出口设置防尘措施，避免对交通道路造成扬尘污染。</w:t>
      </w:r>
    </w:p>
    <w:p w14:paraId="0DC5DCD7">
      <w:pPr>
        <w:pageBreakBefore w:val="0"/>
        <w:wordWrap/>
        <w:bidi w:val="0"/>
        <w:adjustRightInd/>
        <w:snapToGrid/>
        <w:ind w:firstLine="480"/>
        <w:contextualSpacing/>
        <w:rPr>
          <w:rFonts w:hint="eastAsia"/>
          <w:color w:val="auto"/>
        </w:rPr>
      </w:pPr>
      <w:r>
        <w:rPr>
          <w:rFonts w:hint="eastAsia"/>
          <w:color w:val="auto"/>
        </w:rPr>
        <w:t>⑥运输车辆的运输时间和路线要按照当地城市管理相关部门的要求执行。</w:t>
      </w:r>
    </w:p>
    <w:p w14:paraId="72B5A96A">
      <w:pPr>
        <w:pageBreakBefore w:val="0"/>
        <w:wordWrap/>
        <w:bidi w:val="0"/>
        <w:adjustRightInd/>
        <w:snapToGrid/>
        <w:ind w:firstLine="480"/>
        <w:contextualSpacing/>
        <w:rPr>
          <w:rFonts w:hint="eastAsia"/>
          <w:color w:val="auto"/>
        </w:rPr>
      </w:pPr>
      <w:r>
        <w:rPr>
          <w:rFonts w:hint="eastAsia"/>
          <w:color w:val="auto"/>
        </w:rPr>
        <w:t>⑦开挖后的土方尽快回填，开挖的表土采取薄膜覆盖措施，不回填的建筑弃渣等及时外运，运输车辆的车厢遮盖严密后方可运出场外。</w:t>
      </w:r>
    </w:p>
    <w:p w14:paraId="420224EF">
      <w:pPr>
        <w:pageBreakBefore w:val="0"/>
        <w:wordWrap/>
        <w:bidi w:val="0"/>
        <w:adjustRightInd/>
        <w:snapToGrid/>
        <w:ind w:firstLine="480"/>
        <w:contextualSpacing/>
        <w:rPr>
          <w:rFonts w:hint="eastAsia"/>
          <w:color w:val="auto"/>
        </w:rPr>
      </w:pPr>
      <w:r>
        <w:rPr>
          <w:rFonts w:hint="eastAsia"/>
          <w:color w:val="auto"/>
        </w:rPr>
        <w:t>⑧另外，施工单位在施工过程中还应满足《四川省建筑工程扬尘污染防治技术导则（试行）》及《四川省施工场地扬尘排放标准》（DB512682-2020）中</w:t>
      </w:r>
      <w:r>
        <w:rPr>
          <w:rFonts w:hint="eastAsia"/>
          <w:color w:val="auto"/>
          <w:lang w:eastAsia="zh-CN"/>
        </w:rPr>
        <w:t>巴中</w:t>
      </w:r>
      <w:r>
        <w:rPr>
          <w:rFonts w:hint="eastAsia"/>
          <w:color w:val="auto"/>
        </w:rPr>
        <w:t>市限值相关要求。</w:t>
      </w:r>
    </w:p>
    <w:p w14:paraId="4ACDC2D3">
      <w:pPr>
        <w:pageBreakBefore w:val="0"/>
        <w:wordWrap/>
        <w:bidi w:val="0"/>
        <w:adjustRightInd/>
        <w:snapToGrid/>
        <w:ind w:firstLine="480"/>
        <w:contextualSpacing/>
        <w:rPr>
          <w:rFonts w:hint="eastAsia"/>
          <w:color w:val="auto"/>
        </w:rPr>
      </w:pPr>
      <w:r>
        <w:rPr>
          <w:rFonts w:hint="eastAsia"/>
          <w:color w:val="auto"/>
        </w:rPr>
        <w:t>⑨根据《四川省建筑工程扬尘污染防治技术导则（试行）》中</w:t>
      </w:r>
      <w:r>
        <w:rPr>
          <w:rFonts w:hint="eastAsia"/>
          <w:color w:val="auto"/>
          <w:lang w:eastAsia="zh-CN"/>
        </w:rPr>
        <w:t>“</w:t>
      </w:r>
      <w:r>
        <w:rPr>
          <w:rFonts w:hint="eastAsia"/>
          <w:color w:val="auto"/>
        </w:rPr>
        <w:t>7.1 房屋建筑工程</w:t>
      </w:r>
      <w:r>
        <w:rPr>
          <w:rFonts w:hint="eastAsia"/>
          <w:color w:val="auto"/>
          <w:lang w:eastAsia="zh-CN"/>
        </w:rPr>
        <w:t>”</w:t>
      </w:r>
      <w:r>
        <w:rPr>
          <w:rFonts w:hint="eastAsia"/>
          <w:color w:val="auto"/>
        </w:rPr>
        <w:t>明确指出：</w:t>
      </w:r>
    </w:p>
    <w:p w14:paraId="36BEFA09">
      <w:pPr>
        <w:pageBreakBefore w:val="0"/>
        <w:wordWrap/>
        <w:bidi w:val="0"/>
        <w:adjustRightInd/>
        <w:snapToGrid/>
        <w:ind w:firstLine="480"/>
        <w:rPr>
          <w:rFonts w:hint="eastAsia"/>
          <w:color w:val="auto"/>
        </w:rPr>
      </w:pPr>
      <w:r>
        <w:rPr>
          <w:rFonts w:hint="eastAsia"/>
          <w:color w:val="auto"/>
        </w:rPr>
        <w:t xml:space="preserve">7.1.2 基坑（土方）工程 </w:t>
      </w:r>
    </w:p>
    <w:p w14:paraId="717E77A6">
      <w:pPr>
        <w:pageBreakBefore w:val="0"/>
        <w:wordWrap/>
        <w:bidi w:val="0"/>
        <w:adjustRightInd/>
        <w:snapToGrid/>
        <w:ind w:firstLine="480"/>
        <w:rPr>
          <w:rFonts w:hint="eastAsia"/>
          <w:color w:val="auto"/>
        </w:rPr>
      </w:pPr>
      <w:r>
        <w:rPr>
          <w:rFonts w:hint="eastAsia"/>
          <w:color w:val="auto"/>
        </w:rPr>
        <w:t>1）基坑土方开挖及回填时，应同步落实湿法作业措施，作业时应根据合理需要撤除覆盖，非作业范围保持覆盖完整。</w:t>
      </w:r>
    </w:p>
    <w:p w14:paraId="555DE6C4">
      <w:pPr>
        <w:pageBreakBefore w:val="0"/>
        <w:wordWrap/>
        <w:bidi w:val="0"/>
        <w:adjustRightInd/>
        <w:snapToGrid/>
        <w:ind w:firstLine="480"/>
        <w:rPr>
          <w:rFonts w:hint="eastAsia"/>
          <w:color w:val="auto"/>
        </w:rPr>
      </w:pPr>
      <w:r>
        <w:rPr>
          <w:rFonts w:hint="eastAsia"/>
          <w:color w:val="auto"/>
        </w:rPr>
        <w:t>2）基坑护坡等喷射混凝土施工宜采用湿喷或水泥裹砂喷射工艺。</w:t>
      </w:r>
    </w:p>
    <w:p w14:paraId="05020B35">
      <w:pPr>
        <w:pageBreakBefore w:val="0"/>
        <w:wordWrap/>
        <w:bidi w:val="0"/>
        <w:adjustRightInd/>
        <w:snapToGrid/>
        <w:ind w:firstLine="480"/>
        <w:rPr>
          <w:rFonts w:hint="eastAsia"/>
          <w:color w:val="auto"/>
        </w:rPr>
      </w:pPr>
      <w:r>
        <w:rPr>
          <w:rFonts w:hint="eastAsia"/>
          <w:color w:val="auto"/>
        </w:rPr>
        <w:t>3）土方运输车辆应保证密闭运输、车身干净、不带泥行驶等。</w:t>
      </w:r>
    </w:p>
    <w:p w14:paraId="3618ECE6">
      <w:pPr>
        <w:pageBreakBefore w:val="0"/>
        <w:wordWrap/>
        <w:bidi w:val="0"/>
        <w:adjustRightInd/>
        <w:snapToGrid/>
        <w:ind w:firstLine="480"/>
        <w:rPr>
          <w:rFonts w:hint="eastAsia"/>
          <w:color w:val="auto"/>
        </w:rPr>
      </w:pPr>
      <w:r>
        <w:rPr>
          <w:rFonts w:hint="eastAsia"/>
          <w:color w:val="auto"/>
        </w:rPr>
        <w:t>4）泥浆产生量较大的作业如盾构等宜设置泥浆处理工作站进行泥水分离，处理后的泥饼妥善处理并及时清运，不能及时清运的泥饼应采取覆盖等防尘措施，减少扬尘污染。</w:t>
      </w:r>
    </w:p>
    <w:p w14:paraId="3310F9FA">
      <w:pPr>
        <w:pageBreakBefore w:val="0"/>
        <w:wordWrap/>
        <w:bidi w:val="0"/>
        <w:adjustRightInd/>
        <w:snapToGrid/>
        <w:ind w:firstLine="480"/>
        <w:rPr>
          <w:rFonts w:hint="eastAsia"/>
          <w:color w:val="auto"/>
        </w:rPr>
      </w:pPr>
      <w:r>
        <w:rPr>
          <w:rFonts w:hint="eastAsia"/>
          <w:color w:val="auto"/>
        </w:rPr>
        <w:t xml:space="preserve">5）风速四级以上天气时，建筑施工现场应停止土石方开挖、锚杆打孔、建筑垃圾清理和倒运等易产生扬尘的作业。 </w:t>
      </w:r>
    </w:p>
    <w:p w14:paraId="465B07FF">
      <w:pPr>
        <w:pageBreakBefore w:val="0"/>
        <w:wordWrap/>
        <w:bidi w:val="0"/>
        <w:adjustRightInd/>
        <w:snapToGrid/>
        <w:ind w:firstLine="480"/>
        <w:rPr>
          <w:rFonts w:hint="eastAsia"/>
          <w:color w:val="auto"/>
        </w:rPr>
      </w:pPr>
      <w:r>
        <w:rPr>
          <w:rFonts w:hint="eastAsia"/>
          <w:color w:val="auto"/>
        </w:rPr>
        <w:t>7.1.3 主体结构及装饰工程</w:t>
      </w:r>
    </w:p>
    <w:p w14:paraId="31C979C2">
      <w:pPr>
        <w:pageBreakBefore w:val="0"/>
        <w:wordWrap/>
        <w:bidi w:val="0"/>
        <w:adjustRightInd/>
        <w:snapToGrid/>
        <w:ind w:firstLine="480"/>
        <w:rPr>
          <w:rFonts w:hint="eastAsia"/>
          <w:color w:val="auto"/>
        </w:rPr>
      </w:pPr>
      <w:r>
        <w:rPr>
          <w:rFonts w:hint="eastAsia"/>
          <w:color w:val="auto"/>
        </w:rPr>
        <w:t>1）建筑物主体作业层必须使用密目式安全立网或整体提升架进行全封闭施工，保持外立面整洁、完好。</w:t>
      </w:r>
    </w:p>
    <w:p w14:paraId="4AA45558">
      <w:pPr>
        <w:pageBreakBefore w:val="0"/>
        <w:wordWrap/>
        <w:bidi w:val="0"/>
        <w:adjustRightInd/>
        <w:snapToGrid/>
        <w:ind w:firstLine="480"/>
        <w:rPr>
          <w:rFonts w:hint="eastAsia"/>
          <w:color w:val="auto"/>
        </w:rPr>
      </w:pPr>
      <w:r>
        <w:rPr>
          <w:rFonts w:hint="eastAsia"/>
          <w:color w:val="auto"/>
        </w:rPr>
        <w:t>2）主体结构和装饰装修工程用外脚手架应符合以下要求：</w:t>
      </w:r>
    </w:p>
    <w:p w14:paraId="6DF4091C">
      <w:pPr>
        <w:pageBreakBefore w:val="0"/>
        <w:wordWrap/>
        <w:bidi w:val="0"/>
        <w:adjustRightInd/>
        <w:snapToGrid/>
        <w:ind w:firstLine="480"/>
        <w:rPr>
          <w:rFonts w:hint="eastAsia"/>
          <w:color w:val="auto"/>
        </w:rPr>
      </w:pPr>
      <w:r>
        <w:rPr>
          <w:rFonts w:hint="eastAsia"/>
          <w:color w:val="auto"/>
        </w:rPr>
        <w:t>a.脚手架周边外侧应全部用密目式安全立网封闭，密目式安全立网应满足《安全网》（GB5725-2009）的要求；</w:t>
      </w:r>
    </w:p>
    <w:p w14:paraId="2D15A9B5">
      <w:pPr>
        <w:pageBreakBefore w:val="0"/>
        <w:wordWrap/>
        <w:bidi w:val="0"/>
        <w:adjustRightInd/>
        <w:snapToGrid/>
        <w:ind w:firstLine="480"/>
        <w:rPr>
          <w:rFonts w:hint="eastAsia"/>
          <w:color w:val="auto"/>
        </w:rPr>
      </w:pPr>
      <w:r>
        <w:rPr>
          <w:rFonts w:hint="eastAsia"/>
          <w:color w:val="auto"/>
        </w:rPr>
        <w:t>b.作业层脚手板应铺满、铺稳，铺实；</w:t>
      </w:r>
    </w:p>
    <w:p w14:paraId="2702DF56">
      <w:pPr>
        <w:pageBreakBefore w:val="0"/>
        <w:wordWrap/>
        <w:bidi w:val="0"/>
        <w:adjustRightInd/>
        <w:snapToGrid/>
        <w:ind w:firstLine="480"/>
        <w:rPr>
          <w:rFonts w:hint="eastAsia"/>
          <w:color w:val="auto"/>
        </w:rPr>
      </w:pPr>
      <w:r>
        <w:rPr>
          <w:rFonts w:hint="eastAsia"/>
          <w:color w:val="auto"/>
        </w:rPr>
        <w:t>c.悬挑脚手架在悬挑层下端应采用胶合板等水平封堵密实，或在满铺的脚手板下用密目式安全立网兜底防护；</w:t>
      </w:r>
    </w:p>
    <w:p w14:paraId="21F4C1FE">
      <w:pPr>
        <w:pageBreakBefore w:val="0"/>
        <w:wordWrap/>
        <w:bidi w:val="0"/>
        <w:adjustRightInd/>
        <w:snapToGrid/>
        <w:ind w:firstLine="480"/>
        <w:rPr>
          <w:rFonts w:hint="eastAsia"/>
          <w:color w:val="auto"/>
        </w:rPr>
      </w:pPr>
      <w:r>
        <w:rPr>
          <w:rFonts w:hint="eastAsia"/>
          <w:color w:val="auto"/>
        </w:rPr>
        <w:t>d.应及时清理脚手板上的建筑垃圾，清理时应提前洒水润湿，严禁采用掀起、拍打或吹风等方式清理，避免产生扬尘</w:t>
      </w:r>
    </w:p>
    <w:p w14:paraId="7321C26F">
      <w:pPr>
        <w:pageBreakBefore w:val="0"/>
        <w:wordWrap/>
        <w:bidi w:val="0"/>
        <w:adjustRightInd/>
        <w:snapToGrid/>
        <w:ind w:firstLine="480"/>
        <w:rPr>
          <w:rFonts w:hint="eastAsia"/>
          <w:color w:val="auto"/>
        </w:rPr>
      </w:pPr>
      <w:r>
        <w:rPr>
          <w:rFonts w:hint="eastAsia"/>
          <w:color w:val="auto"/>
        </w:rPr>
        <w:t>e.楼层密目安全网污损时应及时更换，保持整洁无破损。</w:t>
      </w:r>
    </w:p>
    <w:p w14:paraId="79DD7E1E">
      <w:pPr>
        <w:pageBreakBefore w:val="0"/>
        <w:wordWrap/>
        <w:bidi w:val="0"/>
        <w:adjustRightInd/>
        <w:snapToGrid/>
        <w:ind w:firstLine="480"/>
        <w:rPr>
          <w:rFonts w:hint="eastAsia"/>
          <w:color w:val="auto"/>
        </w:rPr>
      </w:pPr>
      <w:r>
        <w:rPr>
          <w:rFonts w:hint="eastAsia"/>
          <w:color w:val="auto"/>
        </w:rPr>
        <w:t>3）主体结构及装饰装修施工时，应按本导则7.5.3条设置喷淋装置，施工现场进行清理、钻孔、铣刨、爆破、拆除、切割、开挖及现场搅拌等作业时，应在密闭空间进行或采取洒水喷淋等湿法作业法进行施工。</w:t>
      </w:r>
    </w:p>
    <w:p w14:paraId="226112C9">
      <w:pPr>
        <w:pageBreakBefore w:val="0"/>
        <w:wordWrap/>
        <w:bidi w:val="0"/>
        <w:adjustRightInd/>
        <w:snapToGrid/>
        <w:ind w:firstLine="480"/>
        <w:rPr>
          <w:rFonts w:hint="eastAsia"/>
          <w:color w:val="auto"/>
        </w:rPr>
      </w:pPr>
      <w:r>
        <w:rPr>
          <w:rFonts w:hint="eastAsia"/>
          <w:color w:val="auto"/>
        </w:rPr>
        <w:t>4）施工现场应采取湿法作业及时清扫建筑垃圾，保持施工现场整洁。高层建筑施工过程中，室内垃圾的装袋清运应采用塔吊、施工升降机等设备运输，或设置专用的垃圾处理系统进行密闭运输，严禁凌空抛掷。</w:t>
      </w:r>
    </w:p>
    <w:p w14:paraId="7916D660">
      <w:pPr>
        <w:pageBreakBefore w:val="0"/>
        <w:wordWrap/>
        <w:bidi w:val="0"/>
        <w:adjustRightInd/>
        <w:snapToGrid/>
        <w:ind w:firstLine="480"/>
        <w:rPr>
          <w:rFonts w:hint="eastAsia"/>
          <w:color w:val="auto"/>
        </w:rPr>
      </w:pPr>
      <w:r>
        <w:rPr>
          <w:rFonts w:hint="eastAsia"/>
          <w:color w:val="auto"/>
        </w:rPr>
        <w:t>5）施工现场应设建筑废料集中堆放点，分类堆放，及时清运，对水泥、腻子粉、石膏粉等扬尘污染的物料，应利用仓库、储藏罐、封闭或半封闭堆场等形式分类存放。</w:t>
      </w:r>
    </w:p>
    <w:p w14:paraId="76116AF6">
      <w:pPr>
        <w:pageBreakBefore w:val="0"/>
        <w:wordWrap/>
        <w:bidi w:val="0"/>
        <w:adjustRightInd/>
        <w:snapToGrid/>
        <w:ind w:firstLine="480"/>
        <w:rPr>
          <w:rFonts w:hint="eastAsia"/>
          <w:color w:val="auto"/>
        </w:rPr>
      </w:pPr>
      <w:r>
        <w:rPr>
          <w:rFonts w:hint="eastAsia"/>
          <w:color w:val="auto"/>
        </w:rPr>
        <w:t>6）建设工程应使用预拌混凝土和预拌砂浆，因特殊情况需现场搅拌的，必须设置密闭装置，采取降尘措施。</w:t>
      </w:r>
    </w:p>
    <w:p w14:paraId="59ED92B3">
      <w:pPr>
        <w:pageBreakBefore w:val="0"/>
        <w:wordWrap/>
        <w:bidi w:val="0"/>
        <w:adjustRightInd/>
        <w:snapToGrid/>
        <w:ind w:firstLine="480"/>
        <w:rPr>
          <w:rFonts w:hint="eastAsia"/>
          <w:color w:val="auto"/>
        </w:rPr>
      </w:pPr>
      <w:r>
        <w:rPr>
          <w:rFonts w:hint="eastAsia"/>
          <w:color w:val="auto"/>
        </w:rPr>
        <w:t>7）电焊烟气、进出场车辆及机械设备废气排放应符合国家有关环保标准要求；严禁在施工现场排放有毒烟尘和气体，不得在施工现场洗石灰、熬煎沥青、焚烧各类废弃物，工地生活燃料应符合相关规定。</w:t>
      </w:r>
    </w:p>
    <w:p w14:paraId="66CEEEDE">
      <w:pPr>
        <w:pageBreakBefore w:val="0"/>
        <w:wordWrap/>
        <w:bidi w:val="0"/>
        <w:adjustRightInd/>
        <w:snapToGrid/>
        <w:ind w:firstLine="480"/>
        <w:rPr>
          <w:rFonts w:hint="eastAsia"/>
          <w:color w:val="auto"/>
        </w:rPr>
      </w:pPr>
      <w:r>
        <w:rPr>
          <w:rFonts w:hint="eastAsia"/>
          <w:color w:val="auto"/>
        </w:rPr>
        <w:t>7.1.4 总坪工程</w:t>
      </w:r>
    </w:p>
    <w:p w14:paraId="644117A0">
      <w:pPr>
        <w:pageBreakBefore w:val="0"/>
        <w:wordWrap/>
        <w:bidi w:val="0"/>
        <w:adjustRightInd/>
        <w:snapToGrid/>
        <w:ind w:firstLine="480"/>
        <w:rPr>
          <w:rFonts w:hint="eastAsia"/>
          <w:color w:val="auto"/>
        </w:rPr>
      </w:pPr>
      <w:r>
        <w:rPr>
          <w:rFonts w:hint="eastAsia"/>
          <w:color w:val="auto"/>
        </w:rPr>
        <w:t>1）管沟开挖应分段开挖，安装完毕并经质量验收合格后应立即回填，应落实湿法作业和裸土覆盖有关措施。</w:t>
      </w:r>
    </w:p>
    <w:p w14:paraId="6E74F808">
      <w:pPr>
        <w:pageBreakBefore w:val="0"/>
        <w:wordWrap/>
        <w:bidi w:val="0"/>
        <w:adjustRightInd/>
        <w:snapToGrid/>
        <w:ind w:firstLine="480"/>
        <w:rPr>
          <w:rFonts w:hint="eastAsia"/>
          <w:color w:val="auto"/>
        </w:rPr>
      </w:pPr>
      <w:r>
        <w:rPr>
          <w:rFonts w:hint="eastAsia"/>
          <w:color w:val="auto"/>
        </w:rPr>
        <w:t>2）绿化土进场应及时使用，暂不使用的要进行覆盖。</w:t>
      </w:r>
    </w:p>
    <w:p w14:paraId="6BA00174">
      <w:pPr>
        <w:pageBreakBefore w:val="0"/>
        <w:wordWrap/>
        <w:bidi w:val="0"/>
        <w:adjustRightInd/>
        <w:snapToGrid/>
        <w:ind w:firstLine="480"/>
        <w:rPr>
          <w:rFonts w:hint="eastAsia"/>
          <w:color w:val="auto"/>
        </w:rPr>
      </w:pPr>
      <w:r>
        <w:rPr>
          <w:rFonts w:hint="eastAsia"/>
          <w:color w:val="auto"/>
        </w:rPr>
        <w:t>3）总坪平整场地后的裸土应及时覆盖、硬化或绿化。</w:t>
      </w:r>
    </w:p>
    <w:p w14:paraId="0B3B75CF">
      <w:pPr>
        <w:pageBreakBefore w:val="0"/>
        <w:wordWrap/>
        <w:bidi w:val="0"/>
        <w:adjustRightInd/>
        <w:snapToGrid/>
        <w:ind w:firstLine="480"/>
        <w:rPr>
          <w:rFonts w:hint="eastAsia"/>
          <w:color w:val="auto"/>
        </w:rPr>
      </w:pPr>
      <w:r>
        <w:rPr>
          <w:rFonts w:hint="eastAsia"/>
          <w:color w:val="auto"/>
        </w:rPr>
        <w:t xml:space="preserve">4）工程结束前不得拆除围挡，如因施工妨碍必须拆除时，应设置临时围挡。 </w:t>
      </w:r>
    </w:p>
    <w:p w14:paraId="0567775F">
      <w:pPr>
        <w:pageBreakBefore w:val="0"/>
        <w:wordWrap/>
        <w:bidi w:val="0"/>
        <w:adjustRightInd/>
        <w:snapToGrid/>
        <w:ind w:firstLine="480"/>
        <w:rPr>
          <w:rFonts w:hint="eastAsia"/>
          <w:color w:val="auto"/>
        </w:rPr>
      </w:pPr>
      <w:r>
        <w:rPr>
          <w:rFonts w:hint="eastAsia"/>
          <w:color w:val="auto"/>
        </w:rPr>
        <w:t>⑩《四川省施工场地扬尘排放标准》（DB512682-2020）中</w:t>
      </w:r>
      <w:r>
        <w:rPr>
          <w:rFonts w:hint="eastAsia"/>
          <w:color w:val="auto"/>
          <w:lang w:eastAsia="zh-CN"/>
        </w:rPr>
        <w:t>巴中</w:t>
      </w:r>
      <w:r>
        <w:rPr>
          <w:rFonts w:hint="eastAsia"/>
          <w:color w:val="auto"/>
        </w:rPr>
        <w:t>市限值要求施工扬尘满足《四川省施工场地扬尘排放标准》（DB51/2682-2020）中</w:t>
      </w:r>
      <w:r>
        <w:rPr>
          <w:rFonts w:hint="eastAsia"/>
          <w:color w:val="auto"/>
          <w:lang w:eastAsia="zh-CN"/>
        </w:rPr>
        <w:t>巴中</w:t>
      </w:r>
      <w:r>
        <w:rPr>
          <w:rFonts w:hint="eastAsia"/>
          <w:color w:val="auto"/>
        </w:rPr>
        <w:t>市限值要求，即：自监测起连续15分钟，拆除工程/土方开挖土方回填阶段产生的扬尘≤0.6mg/</w:t>
      </w:r>
      <w:r>
        <w:rPr>
          <w:rFonts w:hint="eastAsia"/>
          <w:color w:val="auto"/>
          <w:lang w:eastAsia="zh-CN"/>
        </w:rPr>
        <w:t>m³</w:t>
      </w:r>
      <w:r>
        <w:rPr>
          <w:rFonts w:hint="eastAsia"/>
          <w:color w:val="auto"/>
        </w:rPr>
        <w:t>，其他工程阶段产生的扬尘≤0.25mg/</w:t>
      </w:r>
      <w:r>
        <w:rPr>
          <w:rFonts w:hint="eastAsia"/>
          <w:color w:val="auto"/>
          <w:lang w:eastAsia="zh-CN"/>
        </w:rPr>
        <w:t>m³</w:t>
      </w:r>
      <w:r>
        <w:rPr>
          <w:rFonts w:hint="eastAsia"/>
          <w:color w:val="auto"/>
        </w:rPr>
        <w:t>。综上所述，施工单位应严格按照相关要求采取扬尘防治措施，加强施工场地管理和组织秩序，确保施工期间做到文明施工、不扰民、少污染。</w:t>
      </w:r>
    </w:p>
    <w:p w14:paraId="61163EB1">
      <w:pPr>
        <w:pageBreakBefore w:val="0"/>
        <w:wordWrap/>
        <w:autoSpaceDE w:val="0"/>
        <w:autoSpaceDN w:val="0"/>
        <w:bidi w:val="0"/>
        <w:adjustRightInd/>
        <w:snapToGrid/>
        <w:ind w:firstLine="480"/>
        <w:jc w:val="left"/>
        <w:rPr>
          <w:color w:val="auto"/>
          <w:kern w:val="0"/>
          <w:szCs w:val="23"/>
        </w:rPr>
      </w:pPr>
      <w:r>
        <w:rPr>
          <w:color w:val="auto"/>
          <w:kern w:val="0"/>
          <w:szCs w:val="23"/>
        </w:rPr>
        <w:t>施工扬尘监测计划</w:t>
      </w:r>
      <w:r>
        <w:rPr>
          <w:rFonts w:hint="eastAsia"/>
          <w:color w:val="auto"/>
          <w:kern w:val="0"/>
          <w:szCs w:val="23"/>
          <w:lang w:eastAsia="zh-CN"/>
        </w:rPr>
        <w:t>见</w:t>
      </w:r>
      <w:r>
        <w:rPr>
          <w:rFonts w:hint="eastAsia"/>
          <w:color w:val="auto"/>
          <w:kern w:val="0"/>
          <w:szCs w:val="23"/>
          <w:lang w:val="en-US" w:eastAsia="zh-CN"/>
        </w:rPr>
        <w:t>下表</w:t>
      </w:r>
      <w:r>
        <w:rPr>
          <w:color w:val="auto"/>
          <w:kern w:val="0"/>
          <w:szCs w:val="23"/>
        </w:rPr>
        <w:t>。</w:t>
      </w:r>
    </w:p>
    <w:p w14:paraId="194BB34C">
      <w:pPr>
        <w:pStyle w:val="15"/>
        <w:numPr>
          <w:ilvl w:val="0"/>
          <w:numId w:val="22"/>
        </w:numPr>
        <w:bidi w:val="0"/>
        <w:ind w:left="0" w:leftChars="0" w:firstLine="0" w:firstLineChars="0"/>
        <w:rPr>
          <w:color w:val="auto"/>
        </w:rPr>
      </w:pPr>
      <w:r>
        <w:rPr>
          <w:color w:val="auto"/>
        </w:rPr>
        <w:t>施工扬尘监测计划</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76"/>
        <w:gridCol w:w="1834"/>
        <w:gridCol w:w="1205"/>
        <w:gridCol w:w="930"/>
        <w:gridCol w:w="3170"/>
        <w:gridCol w:w="1024"/>
      </w:tblGrid>
      <w:tr w14:paraId="494F5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82" w:type="pct"/>
            <w:noWrap w:val="0"/>
            <w:vAlign w:val="center"/>
          </w:tcPr>
          <w:p w14:paraId="256D9B79">
            <w:pPr>
              <w:pStyle w:val="12"/>
              <w:pageBreakBefore w:val="0"/>
              <w:wordWrap/>
              <w:bidi w:val="0"/>
              <w:adjustRightInd/>
              <w:snapToGrid/>
              <w:rPr>
                <w:b/>
                <w:bCs/>
                <w:color w:val="auto"/>
              </w:rPr>
            </w:pPr>
            <w:r>
              <w:rPr>
                <w:b/>
                <w:bCs/>
                <w:color w:val="auto"/>
              </w:rPr>
              <w:t>监测项目</w:t>
            </w:r>
          </w:p>
        </w:tc>
        <w:tc>
          <w:tcPr>
            <w:tcW w:w="1037" w:type="pct"/>
            <w:noWrap w:val="0"/>
            <w:vAlign w:val="center"/>
          </w:tcPr>
          <w:p w14:paraId="5FB91C19">
            <w:pPr>
              <w:pStyle w:val="12"/>
              <w:pageBreakBefore w:val="0"/>
              <w:wordWrap/>
              <w:bidi w:val="0"/>
              <w:adjustRightInd/>
              <w:snapToGrid/>
              <w:rPr>
                <w:b/>
                <w:bCs/>
                <w:color w:val="auto"/>
              </w:rPr>
            </w:pPr>
            <w:r>
              <w:rPr>
                <w:b/>
                <w:bCs/>
                <w:color w:val="auto"/>
              </w:rPr>
              <w:t>施工阶段</w:t>
            </w:r>
          </w:p>
        </w:tc>
        <w:tc>
          <w:tcPr>
            <w:tcW w:w="681" w:type="pct"/>
            <w:noWrap w:val="0"/>
            <w:vAlign w:val="center"/>
          </w:tcPr>
          <w:p w14:paraId="202C3AC3">
            <w:pPr>
              <w:pStyle w:val="12"/>
              <w:pageBreakBefore w:val="0"/>
              <w:wordWrap/>
              <w:bidi w:val="0"/>
              <w:adjustRightInd/>
              <w:snapToGrid/>
              <w:rPr>
                <w:b/>
                <w:bCs/>
                <w:color w:val="auto"/>
              </w:rPr>
            </w:pPr>
            <w:r>
              <w:rPr>
                <w:b/>
                <w:bCs/>
                <w:color w:val="auto"/>
              </w:rPr>
              <w:t>监测点排放限值</w:t>
            </w:r>
          </w:p>
        </w:tc>
        <w:tc>
          <w:tcPr>
            <w:tcW w:w="526" w:type="pct"/>
            <w:noWrap w:val="0"/>
            <w:vAlign w:val="center"/>
          </w:tcPr>
          <w:p w14:paraId="3AC7377A">
            <w:pPr>
              <w:pStyle w:val="12"/>
              <w:pageBreakBefore w:val="0"/>
              <w:wordWrap/>
              <w:bidi w:val="0"/>
              <w:adjustRightInd/>
              <w:snapToGrid/>
              <w:rPr>
                <w:b/>
                <w:bCs/>
                <w:color w:val="auto"/>
              </w:rPr>
            </w:pPr>
            <w:r>
              <w:rPr>
                <w:b/>
                <w:bCs/>
                <w:color w:val="auto"/>
              </w:rPr>
              <w:t>监测时间</w:t>
            </w:r>
          </w:p>
        </w:tc>
        <w:tc>
          <w:tcPr>
            <w:tcW w:w="1792" w:type="pct"/>
            <w:noWrap w:val="0"/>
            <w:vAlign w:val="center"/>
          </w:tcPr>
          <w:p w14:paraId="580BDD47">
            <w:pPr>
              <w:pStyle w:val="12"/>
              <w:pageBreakBefore w:val="0"/>
              <w:wordWrap/>
              <w:bidi w:val="0"/>
              <w:adjustRightInd/>
              <w:snapToGrid/>
              <w:rPr>
                <w:b/>
                <w:bCs/>
                <w:color w:val="auto"/>
              </w:rPr>
            </w:pPr>
            <w:r>
              <w:rPr>
                <w:b/>
                <w:bCs/>
                <w:color w:val="auto"/>
              </w:rPr>
              <w:t>监测点位置</w:t>
            </w:r>
          </w:p>
        </w:tc>
        <w:tc>
          <w:tcPr>
            <w:tcW w:w="579" w:type="pct"/>
            <w:noWrap w:val="0"/>
            <w:vAlign w:val="center"/>
          </w:tcPr>
          <w:p w14:paraId="4009A344">
            <w:pPr>
              <w:pStyle w:val="12"/>
              <w:pageBreakBefore w:val="0"/>
              <w:wordWrap/>
              <w:bidi w:val="0"/>
              <w:adjustRightInd/>
              <w:snapToGrid/>
              <w:rPr>
                <w:b/>
                <w:bCs/>
                <w:color w:val="auto"/>
              </w:rPr>
            </w:pPr>
            <w:r>
              <w:rPr>
                <w:b/>
                <w:bCs/>
                <w:color w:val="auto"/>
              </w:rPr>
              <w:t>监测点数量</w:t>
            </w:r>
          </w:p>
        </w:tc>
      </w:tr>
      <w:tr w14:paraId="7FAA7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2" w:type="pct"/>
            <w:vMerge w:val="restart"/>
            <w:noWrap w:val="0"/>
            <w:vAlign w:val="center"/>
          </w:tcPr>
          <w:p w14:paraId="674DC439">
            <w:pPr>
              <w:pStyle w:val="12"/>
              <w:pageBreakBefore w:val="0"/>
              <w:wordWrap/>
              <w:bidi w:val="0"/>
              <w:adjustRightInd/>
              <w:snapToGrid/>
              <w:rPr>
                <w:color w:val="auto"/>
              </w:rPr>
            </w:pPr>
            <w:r>
              <w:rPr>
                <w:color w:val="auto"/>
              </w:rPr>
              <w:t>TSP</w:t>
            </w:r>
          </w:p>
        </w:tc>
        <w:tc>
          <w:tcPr>
            <w:tcW w:w="1037" w:type="pct"/>
            <w:noWrap w:val="0"/>
            <w:vAlign w:val="center"/>
          </w:tcPr>
          <w:p w14:paraId="338CA8E4">
            <w:pPr>
              <w:pStyle w:val="12"/>
              <w:pageBreakBefore w:val="0"/>
              <w:wordWrap/>
              <w:bidi w:val="0"/>
              <w:adjustRightInd/>
              <w:snapToGrid/>
              <w:rPr>
                <w:color w:val="auto"/>
              </w:rPr>
            </w:pPr>
            <w:r>
              <w:rPr>
                <w:color w:val="auto"/>
              </w:rPr>
              <w:t>拆除工程/土方开挖/土方回填阶段</w:t>
            </w:r>
          </w:p>
        </w:tc>
        <w:tc>
          <w:tcPr>
            <w:tcW w:w="681" w:type="pct"/>
            <w:noWrap w:val="0"/>
            <w:vAlign w:val="center"/>
          </w:tcPr>
          <w:p w14:paraId="1F4053C4">
            <w:pPr>
              <w:pStyle w:val="12"/>
              <w:pageBreakBefore w:val="0"/>
              <w:wordWrap/>
              <w:bidi w:val="0"/>
              <w:adjustRightInd/>
              <w:snapToGrid/>
              <w:rPr>
                <w:rFonts w:hint="eastAsia" w:eastAsia="宋体"/>
                <w:color w:val="auto"/>
                <w:lang w:eastAsia="zh-CN"/>
              </w:rPr>
            </w:pPr>
            <w:r>
              <w:rPr>
                <w:color w:val="auto"/>
              </w:rPr>
              <w:t>600μg/</w:t>
            </w:r>
            <w:r>
              <w:rPr>
                <w:rFonts w:hint="eastAsia"/>
                <w:color w:val="auto"/>
                <w:lang w:eastAsia="zh-CN"/>
              </w:rPr>
              <w:t>m³</w:t>
            </w:r>
          </w:p>
        </w:tc>
        <w:tc>
          <w:tcPr>
            <w:tcW w:w="526" w:type="pct"/>
            <w:vMerge w:val="restart"/>
            <w:noWrap w:val="0"/>
            <w:vAlign w:val="center"/>
          </w:tcPr>
          <w:p w14:paraId="4576E2A4">
            <w:pPr>
              <w:pStyle w:val="12"/>
              <w:pageBreakBefore w:val="0"/>
              <w:wordWrap/>
              <w:bidi w:val="0"/>
              <w:adjustRightInd/>
              <w:snapToGrid/>
              <w:rPr>
                <w:color w:val="auto"/>
              </w:rPr>
            </w:pPr>
            <w:r>
              <w:rPr>
                <w:color w:val="auto"/>
              </w:rPr>
              <w:t>自监测起连续15分钟</w:t>
            </w:r>
          </w:p>
        </w:tc>
        <w:tc>
          <w:tcPr>
            <w:tcW w:w="1792" w:type="pct"/>
            <w:vMerge w:val="restart"/>
            <w:noWrap w:val="0"/>
            <w:vAlign w:val="center"/>
          </w:tcPr>
          <w:p w14:paraId="1CA3FB1B">
            <w:pPr>
              <w:pStyle w:val="12"/>
              <w:pageBreakBefore w:val="0"/>
              <w:wordWrap/>
              <w:bidi w:val="0"/>
              <w:adjustRightInd/>
              <w:snapToGrid/>
              <w:rPr>
                <w:color w:val="auto"/>
              </w:rPr>
            </w:pPr>
            <w:r>
              <w:rPr>
                <w:rFonts w:hint="eastAsia"/>
                <w:color w:val="auto"/>
              </w:rPr>
              <w:t>监测</w:t>
            </w:r>
            <w:r>
              <w:rPr>
                <w:color w:val="auto"/>
              </w:rPr>
              <w:cr/>
            </w:r>
            <w:r>
              <w:rPr>
                <w:color w:val="auto"/>
              </w:rPr>
              <w:t>点位应设置于建筑工地施工区域围栏安全范围内，优先设置于车辆进出口处和工地下风向浓度最高点处，可直接监控施工现场主要施工活动的区域。</w:t>
            </w:r>
          </w:p>
        </w:tc>
        <w:tc>
          <w:tcPr>
            <w:tcW w:w="579" w:type="pct"/>
            <w:vMerge w:val="restart"/>
            <w:noWrap w:val="0"/>
            <w:vAlign w:val="center"/>
          </w:tcPr>
          <w:p w14:paraId="64C1DC86">
            <w:pPr>
              <w:pStyle w:val="12"/>
              <w:pageBreakBefore w:val="0"/>
              <w:wordWrap/>
              <w:bidi w:val="0"/>
              <w:adjustRightInd/>
              <w:snapToGrid/>
              <w:rPr>
                <w:color w:val="auto"/>
              </w:rPr>
            </w:pPr>
            <w:r>
              <w:rPr>
                <w:color w:val="auto"/>
              </w:rPr>
              <w:t>3个</w:t>
            </w:r>
          </w:p>
        </w:tc>
      </w:tr>
      <w:tr w14:paraId="25B2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2" w:type="pct"/>
            <w:vMerge w:val="continue"/>
            <w:noWrap w:val="0"/>
            <w:vAlign w:val="center"/>
          </w:tcPr>
          <w:p w14:paraId="108E002C">
            <w:pPr>
              <w:pStyle w:val="12"/>
              <w:pageBreakBefore w:val="0"/>
              <w:wordWrap/>
              <w:bidi w:val="0"/>
              <w:adjustRightInd/>
              <w:snapToGrid/>
              <w:rPr>
                <w:color w:val="auto"/>
              </w:rPr>
            </w:pPr>
          </w:p>
        </w:tc>
        <w:tc>
          <w:tcPr>
            <w:tcW w:w="1037" w:type="pct"/>
            <w:noWrap w:val="0"/>
            <w:vAlign w:val="center"/>
          </w:tcPr>
          <w:p w14:paraId="3D865630">
            <w:pPr>
              <w:pStyle w:val="12"/>
              <w:pageBreakBefore w:val="0"/>
              <w:wordWrap/>
              <w:bidi w:val="0"/>
              <w:adjustRightInd/>
              <w:snapToGrid/>
              <w:rPr>
                <w:color w:val="auto"/>
              </w:rPr>
            </w:pPr>
            <w:r>
              <w:rPr>
                <w:color w:val="auto"/>
              </w:rPr>
              <w:t>其他工程阶段</w:t>
            </w:r>
          </w:p>
        </w:tc>
        <w:tc>
          <w:tcPr>
            <w:tcW w:w="681" w:type="pct"/>
            <w:noWrap w:val="0"/>
            <w:vAlign w:val="center"/>
          </w:tcPr>
          <w:p w14:paraId="3D3BCA77">
            <w:pPr>
              <w:pStyle w:val="12"/>
              <w:pageBreakBefore w:val="0"/>
              <w:wordWrap/>
              <w:bidi w:val="0"/>
              <w:adjustRightInd/>
              <w:snapToGrid/>
              <w:rPr>
                <w:rFonts w:hint="eastAsia" w:eastAsia="宋体"/>
                <w:color w:val="auto"/>
                <w:lang w:eastAsia="zh-CN"/>
              </w:rPr>
            </w:pPr>
            <w:r>
              <w:rPr>
                <w:color w:val="auto"/>
              </w:rPr>
              <w:t>250μg/</w:t>
            </w:r>
            <w:r>
              <w:rPr>
                <w:rFonts w:hint="eastAsia"/>
                <w:color w:val="auto"/>
                <w:lang w:eastAsia="zh-CN"/>
              </w:rPr>
              <w:t>m³</w:t>
            </w:r>
          </w:p>
        </w:tc>
        <w:tc>
          <w:tcPr>
            <w:tcW w:w="526" w:type="pct"/>
            <w:vMerge w:val="continue"/>
            <w:noWrap w:val="0"/>
            <w:vAlign w:val="center"/>
          </w:tcPr>
          <w:p w14:paraId="5A3F61B4">
            <w:pPr>
              <w:pStyle w:val="12"/>
              <w:pageBreakBefore w:val="0"/>
              <w:wordWrap/>
              <w:bidi w:val="0"/>
              <w:adjustRightInd/>
              <w:snapToGrid/>
              <w:rPr>
                <w:color w:val="auto"/>
              </w:rPr>
            </w:pPr>
          </w:p>
        </w:tc>
        <w:tc>
          <w:tcPr>
            <w:tcW w:w="1792" w:type="pct"/>
            <w:vMerge w:val="continue"/>
            <w:noWrap w:val="0"/>
            <w:vAlign w:val="center"/>
          </w:tcPr>
          <w:p w14:paraId="692C4953">
            <w:pPr>
              <w:pStyle w:val="12"/>
              <w:pageBreakBefore w:val="0"/>
              <w:wordWrap/>
              <w:bidi w:val="0"/>
              <w:adjustRightInd/>
              <w:snapToGrid/>
              <w:rPr>
                <w:color w:val="auto"/>
              </w:rPr>
            </w:pPr>
          </w:p>
        </w:tc>
        <w:tc>
          <w:tcPr>
            <w:tcW w:w="579" w:type="pct"/>
            <w:vMerge w:val="continue"/>
            <w:noWrap w:val="0"/>
            <w:vAlign w:val="center"/>
          </w:tcPr>
          <w:p w14:paraId="22A96D31">
            <w:pPr>
              <w:pStyle w:val="12"/>
              <w:pageBreakBefore w:val="0"/>
              <w:wordWrap/>
              <w:bidi w:val="0"/>
              <w:adjustRightInd/>
              <w:snapToGrid/>
              <w:rPr>
                <w:color w:val="auto"/>
              </w:rPr>
            </w:pPr>
          </w:p>
        </w:tc>
      </w:tr>
    </w:tbl>
    <w:p w14:paraId="0489ABE8">
      <w:pPr>
        <w:pageBreakBefore w:val="0"/>
        <w:wordWrap/>
        <w:bidi w:val="0"/>
        <w:adjustRightInd/>
        <w:snapToGrid/>
        <w:spacing w:before="120" w:beforeLines="50"/>
        <w:ind w:firstLine="482"/>
        <w:rPr>
          <w:b/>
          <w:bCs/>
          <w:color w:val="auto"/>
        </w:rPr>
      </w:pPr>
      <w:r>
        <w:rPr>
          <w:rFonts w:hint="eastAsia"/>
          <w:b/>
          <w:bCs/>
          <w:color w:val="auto"/>
        </w:rPr>
        <w:t>（2）施工机械废气</w:t>
      </w:r>
    </w:p>
    <w:p w14:paraId="57A91AB1">
      <w:pPr>
        <w:pageBreakBefore w:val="0"/>
        <w:wordWrap/>
        <w:bidi w:val="0"/>
        <w:adjustRightInd/>
        <w:snapToGrid/>
        <w:ind w:firstLine="480"/>
        <w:rPr>
          <w:rFonts w:hint="eastAsia"/>
          <w:color w:val="auto"/>
        </w:rPr>
      </w:pPr>
      <w:r>
        <w:rPr>
          <w:rFonts w:hint="eastAsia"/>
          <w:color w:val="auto"/>
        </w:rPr>
        <w:t>施工机械设备排放的少量无组织废气等。</w:t>
      </w:r>
    </w:p>
    <w:p w14:paraId="7CDF4F25">
      <w:pPr>
        <w:pageBreakBefore w:val="0"/>
        <w:wordWrap/>
        <w:bidi w:val="0"/>
        <w:adjustRightInd/>
        <w:snapToGrid/>
        <w:ind w:firstLine="480"/>
        <w:rPr>
          <w:rFonts w:hint="eastAsia"/>
          <w:color w:val="auto"/>
        </w:rPr>
      </w:pPr>
      <w:r>
        <w:rPr>
          <w:rFonts w:hint="eastAsia"/>
          <w:color w:val="auto"/>
        </w:rPr>
        <w:t>项目施工期间，使用机动车运送原材料、设备和建筑机械设备的运转，均会排放一定量的CO、NOx以及未完全燃烧的HC等，其特点是排放量小，且属间断性无组织排放，由于其这一特点，在加强施工机械和运输车辆管理和合理安排调度作业的前提下，加之施工场地开阔，扩散条件良好，因此对其不加处理也可达到相应的排放标准。此外，在施工期内应多加注意施工设备的维护，使其能够正常的运行，提高设备原料的利用率。</w:t>
      </w:r>
    </w:p>
    <w:p w14:paraId="64F28D2F">
      <w:pPr>
        <w:pageBreakBefore w:val="0"/>
        <w:wordWrap/>
        <w:bidi w:val="0"/>
        <w:adjustRightInd/>
        <w:snapToGrid/>
        <w:ind w:firstLine="482"/>
        <w:rPr>
          <w:rFonts w:hint="eastAsia"/>
          <w:b/>
          <w:bCs/>
          <w:color w:val="auto"/>
        </w:rPr>
      </w:pPr>
      <w:r>
        <w:rPr>
          <w:rFonts w:hint="eastAsia"/>
          <w:b/>
          <w:bCs/>
          <w:color w:val="auto"/>
        </w:rPr>
        <w:t>（3）油漆废气</w:t>
      </w:r>
    </w:p>
    <w:p w14:paraId="2FB0CA32">
      <w:pPr>
        <w:pageBreakBefore w:val="0"/>
        <w:wordWrap/>
        <w:bidi w:val="0"/>
        <w:adjustRightInd/>
        <w:snapToGrid/>
        <w:ind w:firstLine="480"/>
        <w:rPr>
          <w:rFonts w:hint="eastAsia"/>
          <w:color w:val="auto"/>
        </w:rPr>
      </w:pPr>
      <w:r>
        <w:rPr>
          <w:rFonts w:hint="eastAsia"/>
          <w:color w:val="auto"/>
        </w:rPr>
        <w:t>装饰工程施工如漆、涂、磨、刨、钻、砂等装饰作业以及使用某些装饰材料如油漆、人造板、某些有害物质（如苯系物、甲醛、酚等污染物）的涂料等形成扬尘和有机废气污染物。</w:t>
      </w:r>
    </w:p>
    <w:p w14:paraId="5A8538C6">
      <w:pPr>
        <w:pageBreakBefore w:val="0"/>
        <w:wordWrap/>
        <w:bidi w:val="0"/>
        <w:adjustRightInd/>
        <w:snapToGrid/>
        <w:ind w:firstLine="480"/>
        <w:rPr>
          <w:rFonts w:hint="eastAsia"/>
          <w:color w:val="auto"/>
        </w:rPr>
      </w:pPr>
      <w:r>
        <w:rPr>
          <w:rFonts w:hint="eastAsia"/>
          <w:color w:val="auto"/>
        </w:rPr>
        <w:t>本项目内部装修的大气污染源主要来自漆、涂、磨、刨、砂等作业以及使用某些装饰材料如油漆、人造板、含有毒物质（如苯系物、甲醛、酚等污染物）的涂料等形成的有机废气污染物。油漆废气主要来自房屋装修阶段，该废气的排放属无组织排放，其主要污染因子为二甲苯和甲苯，此外还有极少量的汽油、丁醇和丙醇等。根据调查，每150m</w:t>
      </w:r>
      <w:r>
        <w:rPr>
          <w:rFonts w:hint="eastAsia"/>
          <w:color w:val="auto"/>
          <w:vertAlign w:val="superscript"/>
        </w:rPr>
        <w:t>2</w:t>
      </w:r>
      <w:r>
        <w:rPr>
          <w:rFonts w:hint="eastAsia"/>
          <w:color w:val="auto"/>
        </w:rPr>
        <w:t>的房屋装修需耗15个</w:t>
      </w:r>
      <w:r>
        <w:rPr>
          <w:rFonts w:hint="eastAsia"/>
          <w:color w:val="auto"/>
          <w:lang w:eastAsia="zh-CN"/>
        </w:rPr>
        <w:t>组分</w:t>
      </w:r>
      <w:r>
        <w:rPr>
          <w:rFonts w:hint="eastAsia"/>
          <w:color w:val="auto"/>
        </w:rPr>
        <w:t>的涂料（包括地板漆、墙面漆、家具漆和内墙涂料等），每组份涂料约为10kg，即约150kg。油漆在上漆后的挥发量约为涂料量的55%，含甲苯和二甲苯约20%。因此，在装修油漆期间应做好以下措施：</w:t>
      </w:r>
    </w:p>
    <w:p w14:paraId="444865F1">
      <w:pPr>
        <w:pageBreakBefore w:val="0"/>
        <w:wordWrap/>
        <w:bidi w:val="0"/>
        <w:adjustRightInd/>
        <w:snapToGrid/>
        <w:ind w:firstLine="480"/>
        <w:rPr>
          <w:rFonts w:hint="eastAsia"/>
          <w:color w:val="auto"/>
        </w:rPr>
      </w:pPr>
      <w:r>
        <w:rPr>
          <w:rFonts w:hint="eastAsia"/>
          <w:color w:val="auto"/>
        </w:rPr>
        <w:t>①明确项目建筑工程不得使用已经淘汰的非节能建筑技术和产品，应尽量采用环保型建筑和装饰材料，禁止使用有毒有害等超过国家标准的建筑和装饰材料，减少或控制挥发性有机污染物；</w:t>
      </w:r>
    </w:p>
    <w:p w14:paraId="2AA3B3B2">
      <w:pPr>
        <w:pageBreakBefore w:val="0"/>
        <w:wordWrap/>
        <w:bidi w:val="0"/>
        <w:adjustRightInd/>
        <w:snapToGrid/>
        <w:ind w:firstLine="480"/>
        <w:rPr>
          <w:rFonts w:hint="eastAsia"/>
          <w:color w:val="auto"/>
        </w:rPr>
      </w:pPr>
      <w:r>
        <w:rPr>
          <w:rFonts w:hint="eastAsia"/>
          <w:color w:val="auto"/>
        </w:rPr>
        <w:t>②加强施工管理，最大限度地防止跑、冒、滴、漏现象发生，减少原材料浪费带来的废气排放；</w:t>
      </w:r>
    </w:p>
    <w:p w14:paraId="75079B08">
      <w:pPr>
        <w:pageBreakBefore w:val="0"/>
        <w:wordWrap/>
        <w:bidi w:val="0"/>
        <w:adjustRightInd/>
        <w:snapToGrid/>
        <w:ind w:firstLine="480"/>
        <w:rPr>
          <w:rFonts w:hint="eastAsia"/>
          <w:color w:val="auto"/>
        </w:rPr>
      </w:pPr>
      <w:r>
        <w:rPr>
          <w:rFonts w:hint="eastAsia"/>
          <w:color w:val="auto"/>
        </w:rPr>
        <w:t>③施工作业场所加强通风，保证空气流通，降低污染物浓度；</w:t>
      </w:r>
    </w:p>
    <w:p w14:paraId="03D54840">
      <w:pPr>
        <w:pageBreakBefore w:val="0"/>
        <w:wordWrap/>
        <w:bidi w:val="0"/>
        <w:adjustRightInd/>
        <w:snapToGrid/>
        <w:ind w:firstLine="480"/>
        <w:rPr>
          <w:rFonts w:hint="eastAsia"/>
          <w:color w:val="auto"/>
        </w:rPr>
      </w:pPr>
      <w:r>
        <w:rPr>
          <w:rFonts w:hint="eastAsia"/>
          <w:color w:val="auto"/>
        </w:rPr>
        <w:t>④施工作业人员佩戴防毒面罩和口罩；</w:t>
      </w:r>
    </w:p>
    <w:p w14:paraId="1C52F036">
      <w:pPr>
        <w:pageBreakBefore w:val="0"/>
        <w:wordWrap/>
        <w:bidi w:val="0"/>
        <w:adjustRightInd/>
        <w:snapToGrid/>
        <w:ind w:firstLine="480"/>
        <w:rPr>
          <w:rFonts w:hint="eastAsia"/>
          <w:color w:val="auto"/>
        </w:rPr>
      </w:pPr>
      <w:r>
        <w:rPr>
          <w:rFonts w:hint="eastAsia"/>
          <w:color w:val="auto"/>
        </w:rPr>
        <w:t>⑤装修须采用符合国家要求的环保材料，装修工程中注意室内通风，减少挥发性有机污染物排放。</w:t>
      </w:r>
    </w:p>
    <w:p w14:paraId="5AC8FB2A">
      <w:pPr>
        <w:pageBreakBefore w:val="0"/>
        <w:wordWrap/>
        <w:bidi w:val="0"/>
        <w:adjustRightInd/>
        <w:snapToGrid/>
        <w:ind w:firstLine="480"/>
        <w:rPr>
          <w:rFonts w:hint="eastAsia"/>
          <w:color w:val="auto"/>
        </w:rPr>
      </w:pPr>
      <w:r>
        <w:rPr>
          <w:rFonts w:hint="eastAsia"/>
          <w:color w:val="auto"/>
        </w:rPr>
        <w:t>在进行以上防治措施后，本项目装修施工产生的油漆废气可达标排放。</w:t>
      </w:r>
    </w:p>
    <w:p w14:paraId="0D691B97">
      <w:pPr>
        <w:pageBreakBefore w:val="0"/>
        <w:wordWrap/>
        <w:bidi w:val="0"/>
        <w:adjustRightInd/>
        <w:snapToGrid/>
        <w:ind w:firstLine="480"/>
        <w:rPr>
          <w:color w:val="auto"/>
          <w:kern w:val="0"/>
        </w:rPr>
      </w:pPr>
      <w:r>
        <w:rPr>
          <w:color w:val="auto"/>
          <w:kern w:val="0"/>
          <w:u w:val="single"/>
        </w:rPr>
        <w:t>综上所述，在采取上述措施治理后，实施期间产生的</w:t>
      </w:r>
      <w:r>
        <w:rPr>
          <w:rFonts w:hint="eastAsia"/>
          <w:color w:val="auto"/>
          <w:kern w:val="0"/>
          <w:u w:val="single"/>
          <w:lang w:val="en-US" w:eastAsia="zh-CN"/>
        </w:rPr>
        <w:t>废气</w:t>
      </w:r>
      <w:r>
        <w:rPr>
          <w:color w:val="auto"/>
          <w:kern w:val="0"/>
          <w:u w:val="single"/>
        </w:rPr>
        <w:t>不会对区域</w:t>
      </w:r>
      <w:r>
        <w:rPr>
          <w:rFonts w:hint="eastAsia"/>
          <w:color w:val="auto"/>
          <w:kern w:val="0"/>
          <w:u w:val="single"/>
          <w:lang w:val="en-US" w:eastAsia="zh-CN"/>
        </w:rPr>
        <w:t>大气</w:t>
      </w:r>
      <w:r>
        <w:rPr>
          <w:color w:val="auto"/>
          <w:kern w:val="0"/>
          <w:u w:val="single"/>
        </w:rPr>
        <w:t>环境产生明显影响</w:t>
      </w:r>
      <w:r>
        <w:rPr>
          <w:color w:val="auto"/>
          <w:kern w:val="0"/>
        </w:rPr>
        <w:t>。</w:t>
      </w:r>
    </w:p>
    <w:p w14:paraId="74DA891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施工期噪声产生及治理措施</w:t>
      </w:r>
    </w:p>
    <w:p w14:paraId="767D9E6D">
      <w:pPr>
        <w:pageBreakBefore w:val="0"/>
        <w:wordWrap/>
        <w:bidi w:val="0"/>
        <w:adjustRightInd/>
        <w:snapToGrid/>
        <w:ind w:firstLine="480"/>
        <w:rPr>
          <w:color w:val="auto"/>
        </w:rPr>
      </w:pPr>
      <w:r>
        <w:rPr>
          <w:color w:val="auto"/>
        </w:rPr>
        <w:t>施工期的噪声主要来源于现场施工时的各类机械设备噪声，不同施工阶段和不同施工机械发出的噪声水平是不同的，且有大量设备交互作业，因此施工作业噪声将会对项目内外环境带来一定的影响，项目施工期噪声执行《建筑施工场界环境噪声排放标准》（GB12523-2011）标准。项目施工期各阶段的主要噪声源及其声级见</w:t>
      </w:r>
      <w:r>
        <w:rPr>
          <w:rFonts w:hint="eastAsia"/>
          <w:color w:val="auto"/>
          <w:lang w:val="en-US" w:eastAsia="zh-CN"/>
        </w:rPr>
        <w:t>下表</w:t>
      </w:r>
      <w:r>
        <w:rPr>
          <w:color w:val="auto"/>
        </w:rPr>
        <w:t>。</w:t>
      </w:r>
    </w:p>
    <w:p w14:paraId="3A7F549E">
      <w:pPr>
        <w:pStyle w:val="15"/>
        <w:numPr>
          <w:ilvl w:val="0"/>
          <w:numId w:val="22"/>
        </w:numPr>
        <w:bidi w:val="0"/>
        <w:ind w:left="0" w:leftChars="0" w:firstLine="0" w:firstLineChars="0"/>
        <w:rPr>
          <w:color w:val="auto"/>
        </w:rPr>
      </w:pPr>
      <w:r>
        <w:rPr>
          <w:color w:val="auto"/>
        </w:rPr>
        <w:t>施工期主要噪声源及其声级值</w:t>
      </w:r>
    </w:p>
    <w:p w14:paraId="1EACE937">
      <w:pPr>
        <w:pageBreakBefore w:val="0"/>
        <w:wordWrap/>
        <w:bidi w:val="0"/>
        <w:adjustRightInd/>
        <w:snapToGrid/>
        <w:spacing w:before="8" w:line="10" w:lineRule="exact"/>
        <w:ind w:firstLine="20"/>
        <w:jc w:val="left"/>
        <w:rPr>
          <w:color w:val="auto"/>
          <w:kern w:val="0"/>
          <w:sz w:val="1"/>
          <w:szCs w:val="1"/>
        </w:rPr>
      </w:pPr>
    </w:p>
    <w:tbl>
      <w:tblPr>
        <w:tblStyle w:val="4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28" w:type="dxa"/>
          <w:bottom w:w="0" w:type="dxa"/>
          <w:right w:w="28" w:type="dxa"/>
        </w:tblCellMar>
      </w:tblPr>
      <w:tblGrid>
        <w:gridCol w:w="951"/>
        <w:gridCol w:w="2506"/>
        <w:gridCol w:w="2857"/>
        <w:gridCol w:w="2472"/>
      </w:tblGrid>
      <w:tr w14:paraId="4B8B195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939CF97">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序号</w:t>
            </w:r>
          </w:p>
        </w:tc>
        <w:tc>
          <w:tcPr>
            <w:tcW w:w="2506" w:type="dxa"/>
            <w:tcBorders>
              <w:tl2br w:val="nil"/>
              <w:tr2bl w:val="nil"/>
            </w:tcBorders>
            <w:noWrap w:val="0"/>
            <w:vAlign w:val="center"/>
          </w:tcPr>
          <w:p w14:paraId="52B02095">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设备名称型号</w:t>
            </w:r>
          </w:p>
        </w:tc>
        <w:tc>
          <w:tcPr>
            <w:tcW w:w="2857" w:type="dxa"/>
            <w:tcBorders>
              <w:tl2br w:val="nil"/>
              <w:tr2bl w:val="nil"/>
            </w:tcBorders>
            <w:noWrap w:val="0"/>
            <w:vAlign w:val="center"/>
          </w:tcPr>
          <w:p w14:paraId="5290B788">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产噪特征</w:t>
            </w:r>
          </w:p>
        </w:tc>
        <w:tc>
          <w:tcPr>
            <w:tcW w:w="2472" w:type="dxa"/>
            <w:tcBorders>
              <w:tl2br w:val="nil"/>
              <w:tr2bl w:val="nil"/>
            </w:tcBorders>
            <w:noWrap w:val="0"/>
            <w:vAlign w:val="center"/>
          </w:tcPr>
          <w:p w14:paraId="2E6DC41D">
            <w:pPr>
              <w:pageBreakBefore w:val="0"/>
              <w:wordWrap/>
              <w:autoSpaceDE w:val="0"/>
              <w:autoSpaceDN w:val="0"/>
              <w:bidi w:val="0"/>
              <w:adjustRightInd/>
              <w:snapToGrid/>
              <w:spacing w:line="300" w:lineRule="exact"/>
              <w:ind w:firstLine="0" w:firstLineChars="0"/>
              <w:jc w:val="center"/>
              <w:textAlignment w:val="baseline"/>
              <w:rPr>
                <w:rFonts w:hint="eastAsia" w:eastAsia="宋体"/>
                <w:b/>
                <w:bCs/>
                <w:color w:val="auto"/>
                <w:kern w:val="0"/>
                <w:sz w:val="21"/>
                <w:szCs w:val="21"/>
                <w:lang w:eastAsia="zh-CN"/>
              </w:rPr>
            </w:pPr>
            <w:r>
              <w:rPr>
                <w:b/>
                <w:bCs/>
                <w:color w:val="auto"/>
                <w:kern w:val="0"/>
                <w:sz w:val="21"/>
                <w:szCs w:val="21"/>
              </w:rPr>
              <w:t>声源强</w:t>
            </w:r>
            <w:r>
              <w:rPr>
                <w:rFonts w:hint="eastAsia"/>
                <w:b/>
                <w:bCs/>
                <w:color w:val="auto"/>
                <w:kern w:val="0"/>
                <w:sz w:val="21"/>
                <w:szCs w:val="21"/>
                <w:lang w:eastAsia="zh-CN"/>
              </w:rPr>
              <w:t>度</w:t>
            </w:r>
            <w:r>
              <w:rPr>
                <w:b/>
                <w:bCs/>
                <w:color w:val="auto"/>
                <w:kern w:val="0"/>
                <w:sz w:val="21"/>
                <w:szCs w:val="21"/>
              </w:rPr>
              <w:t>dB</w:t>
            </w:r>
            <w:r>
              <w:rPr>
                <w:rFonts w:hint="eastAsia"/>
                <w:b/>
                <w:bCs/>
                <w:color w:val="auto"/>
                <w:kern w:val="0"/>
                <w:sz w:val="21"/>
                <w:szCs w:val="21"/>
                <w:lang w:eastAsia="zh-CN"/>
              </w:rPr>
              <w:t>（</w:t>
            </w:r>
            <w:r>
              <w:rPr>
                <w:b/>
                <w:bCs/>
                <w:color w:val="auto"/>
                <w:kern w:val="0"/>
                <w:sz w:val="21"/>
                <w:szCs w:val="21"/>
              </w:rPr>
              <w:t>A</w:t>
            </w:r>
            <w:r>
              <w:rPr>
                <w:rFonts w:hint="eastAsia"/>
                <w:b/>
                <w:bCs/>
                <w:color w:val="auto"/>
                <w:kern w:val="0"/>
                <w:sz w:val="21"/>
                <w:szCs w:val="21"/>
                <w:lang w:eastAsia="zh-CN"/>
              </w:rPr>
              <w:t>）</w:t>
            </w:r>
          </w:p>
        </w:tc>
      </w:tr>
      <w:tr w14:paraId="7769065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69B298A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w:t>
            </w:r>
          </w:p>
        </w:tc>
        <w:tc>
          <w:tcPr>
            <w:tcW w:w="2506" w:type="dxa"/>
            <w:tcBorders>
              <w:tl2br w:val="nil"/>
              <w:tr2bl w:val="nil"/>
            </w:tcBorders>
            <w:noWrap w:val="0"/>
            <w:vAlign w:val="center"/>
          </w:tcPr>
          <w:p w14:paraId="4135B4D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挖土机</w:t>
            </w:r>
          </w:p>
        </w:tc>
        <w:tc>
          <w:tcPr>
            <w:tcW w:w="2857" w:type="dxa"/>
            <w:tcBorders>
              <w:tl2br w:val="nil"/>
              <w:tr2bl w:val="nil"/>
            </w:tcBorders>
            <w:noWrap w:val="0"/>
            <w:vAlign w:val="center"/>
          </w:tcPr>
          <w:p w14:paraId="166A8B5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7C18EBA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78-96</w:t>
            </w:r>
          </w:p>
        </w:tc>
      </w:tr>
      <w:tr w14:paraId="6D574C5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87A112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2</w:t>
            </w:r>
          </w:p>
        </w:tc>
        <w:tc>
          <w:tcPr>
            <w:tcW w:w="2506" w:type="dxa"/>
            <w:tcBorders>
              <w:tl2br w:val="nil"/>
              <w:tr2bl w:val="nil"/>
            </w:tcBorders>
            <w:noWrap w:val="0"/>
            <w:vAlign w:val="center"/>
          </w:tcPr>
          <w:p w14:paraId="6EE4E82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冲击机</w:t>
            </w:r>
          </w:p>
        </w:tc>
        <w:tc>
          <w:tcPr>
            <w:tcW w:w="2857" w:type="dxa"/>
            <w:tcBorders>
              <w:tl2br w:val="nil"/>
              <w:tr2bl w:val="nil"/>
            </w:tcBorders>
            <w:noWrap w:val="0"/>
            <w:vAlign w:val="center"/>
          </w:tcPr>
          <w:p w14:paraId="7186ACB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4FBBDFC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95</w:t>
            </w:r>
          </w:p>
        </w:tc>
      </w:tr>
      <w:tr w14:paraId="756DA07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7FCB4C85">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3</w:t>
            </w:r>
          </w:p>
        </w:tc>
        <w:tc>
          <w:tcPr>
            <w:tcW w:w="2506" w:type="dxa"/>
            <w:tcBorders>
              <w:tl2br w:val="nil"/>
              <w:tr2bl w:val="nil"/>
            </w:tcBorders>
            <w:noWrap w:val="0"/>
            <w:vAlign w:val="center"/>
          </w:tcPr>
          <w:p w14:paraId="7A789C8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卷扬机</w:t>
            </w:r>
          </w:p>
        </w:tc>
        <w:tc>
          <w:tcPr>
            <w:tcW w:w="2857" w:type="dxa"/>
            <w:tcBorders>
              <w:tl2br w:val="nil"/>
              <w:tr2bl w:val="nil"/>
            </w:tcBorders>
            <w:noWrap w:val="0"/>
            <w:vAlign w:val="center"/>
          </w:tcPr>
          <w:p w14:paraId="32FDD9E5">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4E44854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90-105</w:t>
            </w:r>
          </w:p>
        </w:tc>
      </w:tr>
      <w:tr w14:paraId="03C9260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05E4F80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4</w:t>
            </w:r>
          </w:p>
        </w:tc>
        <w:tc>
          <w:tcPr>
            <w:tcW w:w="2506" w:type="dxa"/>
            <w:tcBorders>
              <w:tl2br w:val="nil"/>
              <w:tr2bl w:val="nil"/>
            </w:tcBorders>
            <w:noWrap w:val="0"/>
            <w:vAlign w:val="center"/>
          </w:tcPr>
          <w:p w14:paraId="43AC48E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混凝土搅拌机</w:t>
            </w:r>
          </w:p>
        </w:tc>
        <w:tc>
          <w:tcPr>
            <w:tcW w:w="2857" w:type="dxa"/>
            <w:tcBorders>
              <w:tl2br w:val="nil"/>
              <w:tr2bl w:val="nil"/>
            </w:tcBorders>
            <w:noWrap w:val="0"/>
            <w:vAlign w:val="center"/>
          </w:tcPr>
          <w:p w14:paraId="0AE4D7D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7196806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95</w:t>
            </w:r>
          </w:p>
        </w:tc>
      </w:tr>
      <w:tr w14:paraId="223E6F6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6C0FF0A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5</w:t>
            </w:r>
          </w:p>
        </w:tc>
        <w:tc>
          <w:tcPr>
            <w:tcW w:w="2506" w:type="dxa"/>
            <w:tcBorders>
              <w:tl2br w:val="nil"/>
              <w:tr2bl w:val="nil"/>
            </w:tcBorders>
            <w:noWrap w:val="0"/>
            <w:vAlign w:val="center"/>
          </w:tcPr>
          <w:p w14:paraId="4AF7051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振捣棒</w:t>
            </w:r>
          </w:p>
        </w:tc>
        <w:tc>
          <w:tcPr>
            <w:tcW w:w="2857" w:type="dxa"/>
            <w:tcBorders>
              <w:tl2br w:val="nil"/>
              <w:tr2bl w:val="nil"/>
            </w:tcBorders>
            <w:noWrap w:val="0"/>
            <w:vAlign w:val="center"/>
          </w:tcPr>
          <w:p w14:paraId="3442089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6731AFF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1A746FE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0F0C679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6</w:t>
            </w:r>
          </w:p>
        </w:tc>
        <w:tc>
          <w:tcPr>
            <w:tcW w:w="2506" w:type="dxa"/>
            <w:tcBorders>
              <w:tl2br w:val="nil"/>
              <w:tr2bl w:val="nil"/>
            </w:tcBorders>
            <w:noWrap w:val="0"/>
            <w:vAlign w:val="center"/>
          </w:tcPr>
          <w:p w14:paraId="71599EF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电锯</w:t>
            </w:r>
          </w:p>
        </w:tc>
        <w:tc>
          <w:tcPr>
            <w:tcW w:w="2857" w:type="dxa"/>
            <w:tcBorders>
              <w:tl2br w:val="nil"/>
              <w:tr2bl w:val="nil"/>
            </w:tcBorders>
            <w:noWrap w:val="0"/>
            <w:vAlign w:val="center"/>
          </w:tcPr>
          <w:p w14:paraId="1AF57ED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140D7F4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0EA9478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09D918E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7</w:t>
            </w:r>
          </w:p>
        </w:tc>
        <w:tc>
          <w:tcPr>
            <w:tcW w:w="2506" w:type="dxa"/>
            <w:tcBorders>
              <w:tl2br w:val="nil"/>
              <w:tr2bl w:val="nil"/>
            </w:tcBorders>
            <w:noWrap w:val="0"/>
            <w:vAlign w:val="center"/>
          </w:tcPr>
          <w:p w14:paraId="72D0223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电焊机</w:t>
            </w:r>
          </w:p>
        </w:tc>
        <w:tc>
          <w:tcPr>
            <w:tcW w:w="2857" w:type="dxa"/>
            <w:tcBorders>
              <w:tl2br w:val="nil"/>
              <w:tr2bl w:val="nil"/>
            </w:tcBorders>
            <w:noWrap w:val="0"/>
            <w:vAlign w:val="center"/>
          </w:tcPr>
          <w:p w14:paraId="1C7CBFF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05CCDD6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90-95</w:t>
            </w:r>
          </w:p>
        </w:tc>
      </w:tr>
      <w:tr w14:paraId="3D11706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53654B2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w:t>
            </w:r>
          </w:p>
        </w:tc>
        <w:tc>
          <w:tcPr>
            <w:tcW w:w="2506" w:type="dxa"/>
            <w:tcBorders>
              <w:tl2br w:val="nil"/>
              <w:tr2bl w:val="nil"/>
            </w:tcBorders>
            <w:noWrap w:val="0"/>
            <w:vAlign w:val="center"/>
          </w:tcPr>
          <w:p w14:paraId="38900D2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电钻</w:t>
            </w:r>
          </w:p>
        </w:tc>
        <w:tc>
          <w:tcPr>
            <w:tcW w:w="2857" w:type="dxa"/>
            <w:tcBorders>
              <w:tl2br w:val="nil"/>
              <w:tr2bl w:val="nil"/>
            </w:tcBorders>
            <w:noWrap w:val="0"/>
            <w:vAlign w:val="center"/>
          </w:tcPr>
          <w:p w14:paraId="19B160C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3CF60F3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3C43AE4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A7327B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w:t>
            </w:r>
          </w:p>
        </w:tc>
        <w:tc>
          <w:tcPr>
            <w:tcW w:w="2506" w:type="dxa"/>
            <w:tcBorders>
              <w:tl2br w:val="nil"/>
              <w:tr2bl w:val="nil"/>
            </w:tcBorders>
            <w:noWrap w:val="0"/>
            <w:vAlign w:val="center"/>
          </w:tcPr>
          <w:p w14:paraId="6C1E68F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混凝土泵</w:t>
            </w:r>
          </w:p>
        </w:tc>
        <w:tc>
          <w:tcPr>
            <w:tcW w:w="2857" w:type="dxa"/>
            <w:tcBorders>
              <w:tl2br w:val="nil"/>
              <w:tr2bl w:val="nil"/>
            </w:tcBorders>
            <w:noWrap w:val="0"/>
            <w:vAlign w:val="center"/>
          </w:tcPr>
          <w:p w14:paraId="4B01434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035920D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80</w:t>
            </w:r>
          </w:p>
        </w:tc>
      </w:tr>
      <w:tr w14:paraId="4E4948F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7B154D0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w:t>
            </w:r>
          </w:p>
        </w:tc>
        <w:tc>
          <w:tcPr>
            <w:tcW w:w="2506" w:type="dxa"/>
            <w:tcBorders>
              <w:tl2br w:val="nil"/>
              <w:tr2bl w:val="nil"/>
            </w:tcBorders>
            <w:noWrap w:val="0"/>
            <w:vAlign w:val="center"/>
          </w:tcPr>
          <w:p w14:paraId="7B05E39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w:t>
            </w:r>
            <w:r>
              <w:rPr>
                <w:rFonts w:hint="eastAsia"/>
                <w:color w:val="auto"/>
                <w:kern w:val="0"/>
                <w:sz w:val="21"/>
                <w:szCs w:val="21"/>
                <w:lang w:eastAsia="zh-CN"/>
              </w:rPr>
              <w:t>振捣器</w:t>
            </w:r>
          </w:p>
        </w:tc>
        <w:tc>
          <w:tcPr>
            <w:tcW w:w="2857" w:type="dxa"/>
            <w:tcBorders>
              <w:tl2br w:val="nil"/>
              <w:tr2bl w:val="nil"/>
            </w:tcBorders>
            <w:noWrap w:val="0"/>
            <w:vAlign w:val="center"/>
          </w:tcPr>
          <w:p w14:paraId="680E4F7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333F3B3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80</w:t>
            </w:r>
          </w:p>
        </w:tc>
      </w:tr>
      <w:tr w14:paraId="2614F3A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38EE603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11</w:t>
            </w:r>
          </w:p>
        </w:tc>
        <w:tc>
          <w:tcPr>
            <w:tcW w:w="2506" w:type="dxa"/>
            <w:tcBorders>
              <w:tl2br w:val="nil"/>
              <w:tr2bl w:val="nil"/>
            </w:tcBorders>
            <w:noWrap w:val="0"/>
            <w:vAlign w:val="center"/>
          </w:tcPr>
          <w:p w14:paraId="01AC09D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摇臂式起重机</w:t>
            </w:r>
          </w:p>
        </w:tc>
        <w:tc>
          <w:tcPr>
            <w:tcW w:w="2857" w:type="dxa"/>
            <w:tcBorders>
              <w:tl2br w:val="nil"/>
              <w:tr2bl w:val="nil"/>
            </w:tcBorders>
            <w:noWrap w:val="0"/>
            <w:vAlign w:val="center"/>
          </w:tcPr>
          <w:p w14:paraId="5BF711A5">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6E4C7C3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87</w:t>
            </w:r>
          </w:p>
        </w:tc>
      </w:tr>
      <w:tr w14:paraId="721536F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5084D92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12</w:t>
            </w:r>
          </w:p>
        </w:tc>
        <w:tc>
          <w:tcPr>
            <w:tcW w:w="2506" w:type="dxa"/>
            <w:tcBorders>
              <w:tl2br w:val="nil"/>
              <w:tr2bl w:val="nil"/>
            </w:tcBorders>
            <w:noWrap w:val="0"/>
            <w:vAlign w:val="center"/>
          </w:tcPr>
          <w:p w14:paraId="773E9C1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轮式装载机</w:t>
            </w:r>
          </w:p>
        </w:tc>
        <w:tc>
          <w:tcPr>
            <w:tcW w:w="2857" w:type="dxa"/>
            <w:tcBorders>
              <w:tl2br w:val="nil"/>
              <w:tr2bl w:val="nil"/>
            </w:tcBorders>
            <w:noWrap w:val="0"/>
            <w:vAlign w:val="center"/>
          </w:tcPr>
          <w:p w14:paraId="4EA584B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3188D3F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w:t>
            </w:r>
          </w:p>
        </w:tc>
      </w:tr>
      <w:tr w14:paraId="0D2FAD8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6BB1FD3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13</w:t>
            </w:r>
          </w:p>
        </w:tc>
        <w:tc>
          <w:tcPr>
            <w:tcW w:w="2506" w:type="dxa"/>
            <w:tcBorders>
              <w:tl2br w:val="nil"/>
              <w:tr2bl w:val="nil"/>
            </w:tcBorders>
            <w:noWrap w:val="0"/>
            <w:vAlign w:val="center"/>
          </w:tcPr>
          <w:p w14:paraId="6EBC814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铆枪</w:t>
            </w:r>
          </w:p>
        </w:tc>
        <w:tc>
          <w:tcPr>
            <w:tcW w:w="2857" w:type="dxa"/>
            <w:tcBorders>
              <w:tl2br w:val="nil"/>
              <w:tr2bl w:val="nil"/>
            </w:tcBorders>
            <w:noWrap w:val="0"/>
            <w:vAlign w:val="center"/>
          </w:tcPr>
          <w:p w14:paraId="788EE86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79DEE6E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w:t>
            </w:r>
          </w:p>
        </w:tc>
      </w:tr>
      <w:tr w14:paraId="4156072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1EE2814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14</w:t>
            </w:r>
          </w:p>
        </w:tc>
        <w:tc>
          <w:tcPr>
            <w:tcW w:w="2506" w:type="dxa"/>
            <w:tcBorders>
              <w:tl2br w:val="nil"/>
              <w:tr2bl w:val="nil"/>
            </w:tcBorders>
            <w:noWrap w:val="0"/>
            <w:vAlign w:val="center"/>
          </w:tcPr>
          <w:p w14:paraId="3F1068E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夯土机</w:t>
            </w:r>
          </w:p>
        </w:tc>
        <w:tc>
          <w:tcPr>
            <w:tcW w:w="2857" w:type="dxa"/>
            <w:tcBorders>
              <w:tl2br w:val="nil"/>
              <w:tr2bl w:val="nil"/>
            </w:tcBorders>
            <w:noWrap w:val="0"/>
            <w:vAlign w:val="center"/>
          </w:tcPr>
          <w:p w14:paraId="0FD92B8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128A4CA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87</w:t>
            </w:r>
          </w:p>
        </w:tc>
      </w:tr>
      <w:tr w14:paraId="57A60CC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21FFD9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15</w:t>
            </w:r>
          </w:p>
        </w:tc>
        <w:tc>
          <w:tcPr>
            <w:tcW w:w="2506" w:type="dxa"/>
            <w:tcBorders>
              <w:tl2br w:val="nil"/>
              <w:tr2bl w:val="nil"/>
            </w:tcBorders>
            <w:noWrap w:val="0"/>
            <w:vAlign w:val="center"/>
          </w:tcPr>
          <w:p w14:paraId="7BE06B2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轮胎式液压挖掘机</w:t>
            </w:r>
          </w:p>
        </w:tc>
        <w:tc>
          <w:tcPr>
            <w:tcW w:w="2857" w:type="dxa"/>
            <w:tcBorders>
              <w:tl2br w:val="nil"/>
              <w:tr2bl w:val="nil"/>
            </w:tcBorders>
            <w:noWrap w:val="0"/>
            <w:vAlign w:val="center"/>
          </w:tcPr>
          <w:p w14:paraId="567C1D7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017FA81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85-100</w:t>
            </w:r>
          </w:p>
        </w:tc>
      </w:tr>
      <w:tr w14:paraId="57A9AEA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0F74A8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16</w:t>
            </w:r>
          </w:p>
        </w:tc>
        <w:tc>
          <w:tcPr>
            <w:tcW w:w="2506" w:type="dxa"/>
            <w:tcBorders>
              <w:tl2br w:val="nil"/>
              <w:tr2bl w:val="nil"/>
            </w:tcBorders>
            <w:noWrap w:val="0"/>
            <w:vAlign w:val="center"/>
          </w:tcPr>
          <w:p w14:paraId="66DCE92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卡车</w:t>
            </w:r>
          </w:p>
        </w:tc>
        <w:tc>
          <w:tcPr>
            <w:tcW w:w="2857" w:type="dxa"/>
            <w:tcBorders>
              <w:tl2br w:val="nil"/>
              <w:tr2bl w:val="nil"/>
            </w:tcBorders>
            <w:noWrap w:val="0"/>
            <w:vAlign w:val="center"/>
          </w:tcPr>
          <w:p w14:paraId="6FB97AB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5344BBB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83</w:t>
            </w:r>
          </w:p>
        </w:tc>
      </w:tr>
    </w:tbl>
    <w:p w14:paraId="1A09FB53">
      <w:pPr>
        <w:pageBreakBefore w:val="0"/>
        <w:tabs>
          <w:tab w:val="left" w:pos="2310"/>
        </w:tabs>
        <w:wordWrap/>
        <w:bidi w:val="0"/>
        <w:adjustRightInd/>
        <w:snapToGrid/>
        <w:spacing w:before="120" w:beforeLines="50"/>
        <w:ind w:firstLine="480"/>
        <w:rPr>
          <w:color w:val="auto"/>
        </w:rPr>
      </w:pPr>
      <w:r>
        <w:rPr>
          <w:color w:val="auto"/>
        </w:rPr>
        <w:t>根据现场踏勘，本</w:t>
      </w:r>
      <w:r>
        <w:rPr>
          <w:rFonts w:hint="eastAsia"/>
          <w:color w:val="auto"/>
          <w:lang w:val="en-US" w:eastAsia="zh-CN"/>
        </w:rPr>
        <w:t>项目</w:t>
      </w:r>
      <w:r>
        <w:rPr>
          <w:color w:val="auto"/>
        </w:rPr>
        <w:t>周边200m范围内</w:t>
      </w:r>
      <w:r>
        <w:rPr>
          <w:rFonts w:hint="eastAsia"/>
          <w:color w:val="auto"/>
          <w:lang w:val="en-US" w:eastAsia="zh-CN"/>
        </w:rPr>
        <w:t>有散居居民</w:t>
      </w:r>
      <w:r>
        <w:rPr>
          <w:color w:val="auto"/>
        </w:rPr>
        <w:t>。</w:t>
      </w:r>
      <w:r>
        <w:rPr>
          <w:b/>
          <w:color w:val="auto"/>
        </w:rPr>
        <w:t>为降低项目施工期噪声对声环境造成的影响，本环评要求施工方加强管理，采取如下噪声控制措施：</w:t>
      </w:r>
    </w:p>
    <w:p w14:paraId="7A7EAB1A">
      <w:pPr>
        <w:pageBreakBefore w:val="0"/>
        <w:tabs>
          <w:tab w:val="left" w:pos="2310"/>
        </w:tabs>
        <w:wordWrap/>
        <w:bidi w:val="0"/>
        <w:adjustRightInd/>
        <w:snapToGrid/>
        <w:ind w:firstLine="480"/>
        <w:rPr>
          <w:color w:val="auto"/>
        </w:rPr>
      </w:pPr>
      <w:r>
        <w:rPr>
          <w:bCs/>
          <w:color w:val="auto"/>
        </w:rPr>
        <w:t>①根据施工噪声的污染特点，</w:t>
      </w:r>
      <w:r>
        <w:rPr>
          <w:color w:val="auto"/>
        </w:rPr>
        <w:t>施工中应加强管理，杜绝人为制造高噪声污染并选用低噪声设备，具体可通过加设排气管消音器和隔离发动机振动部件等方法降低噪声，对动力机械设备进行定期的维修、养护，维护不良的设备常因松动部件的振动或消声器的损坏而增加其工作时的噪声级，闲置不用的设备应立即关闭；施工场地的施工车辆出入地点应尽量远离敏感点，车辆出入现场时应低速、禁鸣；</w:t>
      </w:r>
    </w:p>
    <w:p w14:paraId="28489ED4">
      <w:pPr>
        <w:pageBreakBefore w:val="0"/>
        <w:tabs>
          <w:tab w:val="left" w:pos="2310"/>
        </w:tabs>
        <w:wordWrap/>
        <w:bidi w:val="0"/>
        <w:adjustRightInd/>
        <w:snapToGrid/>
        <w:ind w:firstLine="480"/>
        <w:rPr>
          <w:color w:val="auto"/>
        </w:rPr>
      </w:pPr>
      <w:r>
        <w:rPr>
          <w:bCs/>
          <w:color w:val="auto"/>
        </w:rPr>
        <w:t>②</w:t>
      </w:r>
      <w:r>
        <w:rPr>
          <w:color w:val="auto"/>
        </w:rPr>
        <w:t>按照操作规范操作机械设备等过程中减少碰撞噪声，并对工人进行环保教育，</w:t>
      </w:r>
      <w:r>
        <w:rPr>
          <w:rFonts w:hint="eastAsia"/>
          <w:color w:val="auto"/>
          <w:lang w:eastAsia="zh-CN"/>
        </w:rPr>
        <w:t>尽量减少</w:t>
      </w:r>
      <w:r>
        <w:rPr>
          <w:color w:val="auto"/>
        </w:rPr>
        <w:t>哨、笛、钟等指挥作业，尽可能采用外加工材料。合理设计施工总平面图，将木工房、钢筋加工间等产生高噪声的作业点置于项目中央位置，以有效利用施工场地的距离衰减作用，减少对项目周边声学环境的影响；</w:t>
      </w:r>
    </w:p>
    <w:p w14:paraId="5DD3FCB2">
      <w:pPr>
        <w:pageBreakBefore w:val="0"/>
        <w:tabs>
          <w:tab w:val="left" w:pos="2310"/>
        </w:tabs>
        <w:wordWrap/>
        <w:bidi w:val="0"/>
        <w:adjustRightInd/>
        <w:snapToGrid/>
        <w:ind w:firstLine="480"/>
        <w:rPr>
          <w:color w:val="auto"/>
        </w:rPr>
      </w:pPr>
      <w:r>
        <w:rPr>
          <w:bCs/>
          <w:color w:val="auto"/>
        </w:rPr>
        <w:t>③对施工现场所使用的主要机械设备应全部使用国家规定的低噪声设备；</w:t>
      </w:r>
      <w:r>
        <w:rPr>
          <w:color w:val="auto"/>
        </w:rPr>
        <w:t>建立临时屏障等措施，对于位置固定的机械设备，尽量在室内进行操作，不能在室内操作的，尽可能建立临时单面声屏障；</w:t>
      </w:r>
    </w:p>
    <w:p w14:paraId="583C752D">
      <w:pPr>
        <w:pageBreakBefore w:val="0"/>
        <w:tabs>
          <w:tab w:val="left" w:pos="2310"/>
        </w:tabs>
        <w:wordWrap/>
        <w:bidi w:val="0"/>
        <w:adjustRightInd/>
        <w:snapToGrid/>
        <w:ind w:firstLine="480"/>
        <w:rPr>
          <w:bCs/>
          <w:color w:val="auto"/>
        </w:rPr>
      </w:pPr>
      <w:r>
        <w:rPr>
          <w:color w:val="auto"/>
        </w:rPr>
        <w:t>④合理安排作业时间：由于施工阶段一般为露天作业，除修筑施工围墙进行隔声降噪外，无特殊隔声与削减措施，故噪声传播较远，受影响面较大，施工方应合理安排施工时间，将倾倒打桩、卵石料等强噪声作业尽量安排在白天进行，</w:t>
      </w:r>
      <w:r>
        <w:rPr>
          <w:b/>
          <w:color w:val="auto"/>
        </w:rPr>
        <w:t>严禁夜间施工</w:t>
      </w:r>
      <w:r>
        <w:rPr>
          <w:color w:val="auto"/>
        </w:rPr>
        <w:t>，杜绝夜间（22</w:t>
      </w:r>
      <w:r>
        <w:rPr>
          <w:rFonts w:hint="eastAsia"/>
          <w:color w:val="auto"/>
          <w:lang w:eastAsia="zh-CN"/>
        </w:rPr>
        <w:t>：</w:t>
      </w:r>
      <w:r>
        <w:rPr>
          <w:color w:val="auto"/>
        </w:rPr>
        <w:t>00</w:t>
      </w:r>
      <w:r>
        <w:rPr>
          <w:rFonts w:hint="eastAsia"/>
          <w:color w:val="auto"/>
          <w:lang w:val="en-US" w:eastAsia="zh-CN"/>
        </w:rPr>
        <w:t>-</w:t>
      </w:r>
      <w:r>
        <w:rPr>
          <w:color w:val="auto"/>
        </w:rPr>
        <w:t>6</w:t>
      </w:r>
      <w:r>
        <w:rPr>
          <w:rFonts w:hint="eastAsia"/>
          <w:color w:val="auto"/>
          <w:lang w:eastAsia="zh-CN"/>
        </w:rPr>
        <w:t>：</w:t>
      </w:r>
      <w:r>
        <w:rPr>
          <w:color w:val="auto"/>
        </w:rPr>
        <w:t>00）施工噪声扰民。</w:t>
      </w:r>
      <w:r>
        <w:rPr>
          <w:bCs/>
          <w:color w:val="auto"/>
        </w:rPr>
        <w:t>对施工材料、弃土弃渣的运输尽量安排在白天进行，以减小载重汽车噪声对周围环境的影响；</w:t>
      </w:r>
    </w:p>
    <w:p w14:paraId="0AEF6969">
      <w:pPr>
        <w:pageBreakBefore w:val="0"/>
        <w:tabs>
          <w:tab w:val="left" w:pos="2310"/>
        </w:tabs>
        <w:wordWrap/>
        <w:bidi w:val="0"/>
        <w:adjustRightInd/>
        <w:snapToGrid/>
        <w:ind w:firstLine="480"/>
        <w:rPr>
          <w:color w:val="auto"/>
        </w:rPr>
      </w:pPr>
      <w:r>
        <w:rPr>
          <w:color w:val="auto"/>
        </w:rPr>
        <w:t>⑤采用低噪声的施工方式，如尽量购买商品砼，不在现场搅拌，桩基根据实际情况采用静压桩或灌注桩，以减少现场混凝土噪声，材料运输等汽车进场安排专人指挥，场内禁止运输车辆鸣笛；</w:t>
      </w:r>
    </w:p>
    <w:p w14:paraId="2F078B06">
      <w:pPr>
        <w:pageBreakBefore w:val="0"/>
        <w:tabs>
          <w:tab w:val="left" w:pos="2310"/>
        </w:tabs>
        <w:wordWrap/>
        <w:bidi w:val="0"/>
        <w:adjustRightInd/>
        <w:snapToGrid/>
        <w:ind w:firstLine="480"/>
        <w:rPr>
          <w:color w:val="auto"/>
        </w:rPr>
      </w:pPr>
      <w:r>
        <w:rPr>
          <w:color w:val="auto"/>
        </w:rPr>
        <w:t>⑥加强施工人员的管理和教育，做到文明施工。对钢管、模板等构件装卸、搬运应该轻拿轻放，严禁抛掷或汽车一次性下料，木工房使用前应完全封闭；</w:t>
      </w:r>
    </w:p>
    <w:p w14:paraId="4E196BBF">
      <w:pPr>
        <w:pageBreakBefore w:val="0"/>
        <w:tabs>
          <w:tab w:val="left" w:pos="2310"/>
        </w:tabs>
        <w:wordWrap/>
        <w:bidi w:val="0"/>
        <w:adjustRightInd/>
        <w:snapToGrid/>
        <w:ind w:firstLine="480"/>
        <w:rPr>
          <w:color w:val="auto"/>
        </w:rPr>
      </w:pPr>
      <w:r>
        <w:rPr>
          <w:color w:val="auto"/>
        </w:rPr>
        <w:t>⑦施工中减少不必要的金属敲击声，禁止高考禁噪期施工；施工时段（高中考试期间及夜间）要连续施工的，必须向主管部门申请并公告附近居民。施工方做好项目公示情况，加强与附近居民的沟通工作，取得周围居民的支持与谅解。</w:t>
      </w:r>
    </w:p>
    <w:p w14:paraId="4DD2ED10">
      <w:pPr>
        <w:pageBreakBefore w:val="0"/>
        <w:tabs>
          <w:tab w:val="left" w:pos="2310"/>
        </w:tabs>
        <w:wordWrap/>
        <w:bidi w:val="0"/>
        <w:adjustRightInd/>
        <w:snapToGrid/>
        <w:ind w:firstLine="480"/>
        <w:rPr>
          <w:color w:val="auto"/>
        </w:rPr>
      </w:pPr>
      <w:r>
        <w:rPr>
          <w:color w:val="auto"/>
          <w:u w:val="single"/>
        </w:rPr>
        <w:t>通过采取以上措施后，项目施工期产生的噪声对周围环境的影响能够</w:t>
      </w:r>
      <w:r>
        <w:rPr>
          <w:rFonts w:hint="eastAsia"/>
          <w:color w:val="auto"/>
          <w:u w:val="single"/>
          <w:lang w:eastAsia="zh-CN"/>
        </w:rPr>
        <w:t>降到</w:t>
      </w:r>
      <w:r>
        <w:rPr>
          <w:color w:val="auto"/>
          <w:u w:val="single"/>
        </w:rPr>
        <w:t>最低。由于项目为分段施工，各施工段施工时间较短，影响也将随着施工的结束而得到消除，因此项目施工噪声对周围环境影响较小</w:t>
      </w:r>
      <w:r>
        <w:rPr>
          <w:color w:val="auto"/>
        </w:rPr>
        <w:t>。</w:t>
      </w:r>
    </w:p>
    <w:p w14:paraId="6A9EC57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施工期固体废弃物产生及治理措施</w:t>
      </w:r>
    </w:p>
    <w:p w14:paraId="7F917E66">
      <w:pPr>
        <w:pageBreakBefore w:val="0"/>
        <w:wordWrap/>
        <w:bidi w:val="0"/>
        <w:adjustRightInd/>
        <w:snapToGrid/>
        <w:ind w:firstLine="480"/>
        <w:rPr>
          <w:color w:val="auto"/>
          <w:kern w:val="0"/>
        </w:rPr>
      </w:pPr>
      <w:r>
        <w:rPr>
          <w:color w:val="auto"/>
        </w:rPr>
        <w:t>工程在建设过程产生的主要固体废物为施工建筑垃圾、生活垃圾、土石方弃土以及建筑材料等。在开挖土石方时，遇降雨容易形成水土流失而造成对受纳水道的影响。因此，要求在进行开挖土石方作业时，一是在堆放场地周围设置排水沟及沉淀池，二是在雨季不进行开挖作业或只进行小规模作业，尽可能减少堆放土形成水土流失现象。</w:t>
      </w:r>
      <w:r>
        <w:rPr>
          <w:color w:val="auto"/>
          <w:kern w:val="0"/>
        </w:rPr>
        <w:t>施工单位应按照国家和</w:t>
      </w:r>
      <w:r>
        <w:rPr>
          <w:rFonts w:hint="eastAsia"/>
          <w:color w:val="auto"/>
          <w:kern w:val="0"/>
          <w:lang w:eastAsia="zh-CN"/>
        </w:rPr>
        <w:t>巴中市</w:t>
      </w:r>
      <w:r>
        <w:rPr>
          <w:color w:val="auto"/>
          <w:kern w:val="0"/>
        </w:rPr>
        <w:t>有关建筑垃圾和工程渣土处置管理规定，及时清运至指定的堆放场所。在施工期固体废物的处置过程中，采取如下管理措施：</w:t>
      </w:r>
    </w:p>
    <w:p w14:paraId="1F4ADA79">
      <w:pPr>
        <w:pageBreakBefore w:val="0"/>
        <w:wordWrap/>
        <w:autoSpaceDE w:val="0"/>
        <w:autoSpaceDN w:val="0"/>
        <w:bidi w:val="0"/>
        <w:adjustRightInd/>
        <w:snapToGrid/>
        <w:ind w:firstLine="480"/>
        <w:rPr>
          <w:rFonts w:hint="eastAsia" w:eastAsia="宋体"/>
          <w:color w:val="auto"/>
          <w:kern w:val="0"/>
          <w:szCs w:val="23"/>
          <w:lang w:val="en-US" w:eastAsia="zh-CN"/>
        </w:rPr>
      </w:pPr>
      <w:r>
        <w:rPr>
          <w:b/>
          <w:color w:val="auto"/>
          <w:szCs w:val="28"/>
        </w:rPr>
        <w:t>（1）建筑垃圾</w:t>
      </w:r>
      <w:r>
        <w:rPr>
          <w:color w:val="auto"/>
          <w:szCs w:val="28"/>
        </w:rPr>
        <w:t>：</w:t>
      </w:r>
      <w:r>
        <w:rPr>
          <w:color w:val="auto"/>
          <w:kern w:val="0"/>
          <w:szCs w:val="23"/>
        </w:rPr>
        <w:t>施工期产生的建筑垃圾主要为各类设备的包装材料以及建筑废渣（如水泥袋、铁质废料、木材弃料等）。参照《环境统计手册》，单位面积施工固体废物的产生系数为144kg/m</w:t>
      </w:r>
      <w:r>
        <w:rPr>
          <w:color w:val="auto"/>
          <w:kern w:val="0"/>
          <w:szCs w:val="23"/>
          <w:vertAlign w:val="superscript"/>
        </w:rPr>
        <w:t>2</w:t>
      </w:r>
      <w:r>
        <w:rPr>
          <w:color w:val="auto"/>
          <w:kern w:val="0"/>
          <w:szCs w:val="23"/>
        </w:rPr>
        <w:t>，本项目总建筑面积为</w:t>
      </w:r>
      <w:r>
        <w:rPr>
          <w:rFonts w:hint="eastAsia"/>
          <w:color w:val="auto"/>
          <w:kern w:val="0"/>
          <w:szCs w:val="23"/>
        </w:rPr>
        <w:t>8628.02</w:t>
      </w:r>
      <w:r>
        <w:rPr>
          <w:color w:val="auto"/>
          <w:kern w:val="0"/>
          <w:szCs w:val="23"/>
        </w:rPr>
        <w:t>m</w:t>
      </w:r>
      <w:r>
        <w:rPr>
          <w:color w:val="auto"/>
          <w:kern w:val="0"/>
          <w:szCs w:val="23"/>
          <w:vertAlign w:val="superscript"/>
        </w:rPr>
        <w:t>2</w:t>
      </w:r>
      <w:r>
        <w:rPr>
          <w:color w:val="auto"/>
          <w:kern w:val="0"/>
          <w:szCs w:val="23"/>
        </w:rPr>
        <w:t>，则工程施工将产生的建筑垃圾约为</w:t>
      </w:r>
      <w:r>
        <w:rPr>
          <w:rFonts w:hint="eastAsia"/>
          <w:color w:val="auto"/>
          <w:kern w:val="0"/>
          <w:szCs w:val="23"/>
          <w:lang w:val="en-US" w:eastAsia="zh-CN"/>
        </w:rPr>
        <w:t>1242.4</w:t>
      </w:r>
      <w:r>
        <w:rPr>
          <w:color w:val="auto"/>
          <w:kern w:val="0"/>
          <w:szCs w:val="23"/>
        </w:rPr>
        <w:t>t。</w:t>
      </w:r>
    </w:p>
    <w:p w14:paraId="0337B54E">
      <w:pPr>
        <w:pageBreakBefore w:val="0"/>
        <w:wordWrap/>
        <w:autoSpaceDE w:val="0"/>
        <w:autoSpaceDN w:val="0"/>
        <w:bidi w:val="0"/>
        <w:adjustRightInd/>
        <w:snapToGrid/>
        <w:ind w:firstLine="480"/>
        <w:rPr>
          <w:color w:val="auto"/>
          <w:kern w:val="0"/>
          <w:szCs w:val="23"/>
        </w:rPr>
      </w:pPr>
      <w:r>
        <w:rPr>
          <w:color w:val="auto"/>
          <w:kern w:val="0"/>
          <w:szCs w:val="23"/>
        </w:rPr>
        <w:t>环评要求：建设单位应在施工现场设置建筑垃圾临时堆场，并树立标示牌，临时堆场布置于地块</w:t>
      </w:r>
      <w:r>
        <w:rPr>
          <w:rFonts w:hint="eastAsia"/>
          <w:color w:val="auto"/>
          <w:kern w:val="0"/>
          <w:szCs w:val="23"/>
          <w:lang w:val="en-US" w:eastAsia="zh-CN"/>
        </w:rPr>
        <w:t>南侧</w:t>
      </w:r>
      <w:r>
        <w:rPr>
          <w:color w:val="auto"/>
          <w:kern w:val="0"/>
          <w:szCs w:val="23"/>
        </w:rPr>
        <w:t>。</w:t>
      </w:r>
      <w:r>
        <w:rPr>
          <w:color w:val="auto"/>
          <w:kern w:val="0"/>
          <w:szCs w:val="22"/>
        </w:rPr>
        <w:t>对于</w:t>
      </w:r>
      <w:r>
        <w:rPr>
          <w:color w:val="auto"/>
          <w:kern w:val="0"/>
          <w:szCs w:val="23"/>
        </w:rPr>
        <w:t>施工期间产生的可回收利用的废料（如钢筋、钢板、木材等下</w:t>
      </w:r>
      <w:r>
        <w:rPr>
          <w:rFonts w:hint="eastAsia"/>
          <w:color w:val="auto"/>
          <w:kern w:val="0"/>
          <w:szCs w:val="23"/>
        </w:rPr>
        <w:t>脚</w:t>
      </w:r>
      <w:r>
        <w:rPr>
          <w:color w:val="auto"/>
          <w:kern w:val="0"/>
          <w:szCs w:val="23"/>
        </w:rPr>
        <w:t>料）通过分类收集后交废物收购站处理；对不能回收的建筑垃圾（如混凝土废料、含砖、石、砂的杂土等）应及时清运至政府部门指定的建筑垃圾堆放场所。同时，为确保建筑垃圾处置措施落实，建设单位或施工总承包单位在与建筑垃圾清运公司签订运输合同时，应要求承包公司提供废弃物去向的证明材料，严禁随意倾倒、填埋，不得出现超载、撒漏、不到指定地点卸货等现象。严禁建筑垃圾倾倒至项目周边地表水体内。</w:t>
      </w:r>
    </w:p>
    <w:p w14:paraId="111B0F85">
      <w:pPr>
        <w:pageBreakBefore w:val="0"/>
        <w:numPr>
          <w:ilvl w:val="0"/>
          <w:numId w:val="24"/>
        </w:numPr>
        <w:wordWrap/>
        <w:autoSpaceDE w:val="0"/>
        <w:autoSpaceDN w:val="0"/>
        <w:bidi w:val="0"/>
        <w:adjustRightInd/>
        <w:snapToGrid/>
        <w:ind w:firstLine="480"/>
        <w:rPr>
          <w:color w:val="auto"/>
          <w:szCs w:val="28"/>
        </w:rPr>
      </w:pPr>
      <w:r>
        <w:rPr>
          <w:b/>
          <w:color w:val="auto"/>
          <w:szCs w:val="28"/>
        </w:rPr>
        <w:t>装修垃圾</w:t>
      </w:r>
      <w:r>
        <w:rPr>
          <w:color w:val="auto"/>
          <w:szCs w:val="28"/>
        </w:rPr>
        <w:t>：</w:t>
      </w:r>
      <w:r>
        <w:rPr>
          <w:color w:val="auto"/>
        </w:rPr>
        <w:t>在主体工程完工后，进行室内装修阶段，</w:t>
      </w:r>
      <w:r>
        <w:rPr>
          <w:color w:val="auto"/>
          <w:szCs w:val="28"/>
        </w:rPr>
        <w:t>装修垃圾一般有废砖头、砂、水泥及木屑等，会产生扬尘，因此不能随意倾倒，而应用编织袋包装后运出屋外，放在指定地点，由环卫部门统一清运处理。外运以上各种建筑垃圾时，出场前一律清洗轮胎，用毡布覆盖，尽量避免轮胎上的泥土掉落至路面而造成扬尘。</w:t>
      </w:r>
    </w:p>
    <w:p w14:paraId="2B0A30CE">
      <w:pPr>
        <w:pageBreakBefore w:val="0"/>
        <w:wordWrap/>
        <w:bidi w:val="0"/>
        <w:adjustRightInd/>
        <w:snapToGrid/>
        <w:rPr>
          <w:color w:val="auto"/>
        </w:rPr>
      </w:pPr>
      <w:r>
        <w:rPr>
          <w:rFonts w:hint="eastAsia"/>
          <w:color w:val="auto"/>
          <w:lang w:val="en-US" w:eastAsia="zh-CN"/>
        </w:rPr>
        <w:t>装修阶段还</w:t>
      </w:r>
      <w:r>
        <w:rPr>
          <w:color w:val="auto"/>
        </w:rPr>
        <w:t>会使用大量的乳胶漆等，因此装修过程中将会产生大量的漆桶，本次评价要求在装修阶段，设置临时漆桶暂存间（建议利用移动板房设置，并在板房内设置托盘，施工期间产生的漆桶临时存放至该暂存间内，定期委托有资质的单位进行处置）。</w:t>
      </w:r>
    </w:p>
    <w:p w14:paraId="50697C56">
      <w:pPr>
        <w:pageBreakBefore w:val="0"/>
        <w:wordWrap/>
        <w:autoSpaceDE w:val="0"/>
        <w:autoSpaceDN w:val="0"/>
        <w:bidi w:val="0"/>
        <w:adjustRightInd/>
        <w:snapToGrid/>
        <w:ind w:firstLine="480"/>
        <w:rPr>
          <w:color w:val="auto"/>
          <w:kern w:val="0"/>
          <w:szCs w:val="23"/>
        </w:rPr>
      </w:pPr>
      <w:r>
        <w:rPr>
          <w:b/>
          <w:color w:val="auto"/>
          <w:szCs w:val="28"/>
        </w:rPr>
        <w:t>（3）生活垃圾</w:t>
      </w:r>
      <w:r>
        <w:rPr>
          <w:color w:val="auto"/>
          <w:szCs w:val="28"/>
        </w:rPr>
        <w:t>：</w:t>
      </w:r>
      <w:r>
        <w:rPr>
          <w:color w:val="auto"/>
          <w:kern w:val="0"/>
          <w:szCs w:val="23"/>
        </w:rPr>
        <w:t>本项目不设施工营地，不住宿，生活垃圾主要为办公生活垃圾。本项目施工高峰期人数为</w:t>
      </w:r>
      <w:r>
        <w:rPr>
          <w:rFonts w:hint="eastAsia"/>
          <w:color w:val="auto"/>
          <w:kern w:val="0"/>
          <w:szCs w:val="23"/>
          <w:lang w:val="en-US" w:eastAsia="zh-CN"/>
        </w:rPr>
        <w:t>100</w:t>
      </w:r>
      <w:r>
        <w:rPr>
          <w:color w:val="auto"/>
          <w:kern w:val="0"/>
          <w:szCs w:val="23"/>
        </w:rPr>
        <w:t>人，生活垃圾产生量按0.5kg/人·d计，施工期生活垃圾产生量为</w:t>
      </w:r>
      <w:r>
        <w:rPr>
          <w:rFonts w:hint="eastAsia"/>
          <w:color w:val="auto"/>
          <w:kern w:val="0"/>
          <w:szCs w:val="23"/>
          <w:lang w:val="en-US" w:eastAsia="zh-CN"/>
        </w:rPr>
        <w:t>50</w:t>
      </w:r>
      <w:r>
        <w:rPr>
          <w:color w:val="auto"/>
          <w:kern w:val="0"/>
          <w:szCs w:val="23"/>
        </w:rPr>
        <w:t>kg/d。生活垃圾经袋装收集后，由环卫部门统一运送到垃圾</w:t>
      </w:r>
      <w:r>
        <w:rPr>
          <w:rFonts w:hint="eastAsia"/>
          <w:color w:val="auto"/>
          <w:kern w:val="0"/>
          <w:szCs w:val="23"/>
        </w:rPr>
        <w:t>处理厂</w:t>
      </w:r>
      <w:r>
        <w:rPr>
          <w:color w:val="auto"/>
          <w:kern w:val="0"/>
          <w:szCs w:val="23"/>
        </w:rPr>
        <w:t>集中处理，严禁就地填埋或焚烧，以避免对区域环境空气和水环境质量构成潜在的影响。</w:t>
      </w:r>
    </w:p>
    <w:p w14:paraId="14C8F3AD">
      <w:pPr>
        <w:pageBreakBefore w:val="0"/>
        <w:wordWrap/>
        <w:bidi w:val="0"/>
        <w:adjustRightInd/>
        <w:snapToGrid/>
        <w:ind w:firstLine="482"/>
        <w:rPr>
          <w:color w:val="auto"/>
        </w:rPr>
      </w:pPr>
      <w:r>
        <w:rPr>
          <w:b/>
          <w:color w:val="auto"/>
          <w:szCs w:val="28"/>
        </w:rPr>
        <w:t>（4）土石方：</w:t>
      </w:r>
      <w:r>
        <w:rPr>
          <w:rFonts w:hint="eastAsia"/>
          <w:b w:val="0"/>
          <w:bCs/>
          <w:color w:val="auto"/>
          <w:szCs w:val="28"/>
          <w:lang w:val="en-US" w:eastAsia="zh-CN"/>
        </w:rPr>
        <w:t>根据项目初步设计说明书，本项目土石方开挖量为25944m³，填方量为14685m³，废气土石方量为11259m³。</w:t>
      </w:r>
      <w:r>
        <w:rPr>
          <w:color w:val="auto"/>
          <w:szCs w:val="28"/>
        </w:rPr>
        <w:t>为避免项目土石方开挖及堆放过程中产生不利影响，</w:t>
      </w:r>
      <w:r>
        <w:rPr>
          <w:b/>
          <w:color w:val="auto"/>
          <w:szCs w:val="28"/>
        </w:rPr>
        <w:t>本环评要求采取以下防治措施：</w:t>
      </w:r>
      <w:r>
        <w:rPr>
          <w:color w:val="auto"/>
          <w:szCs w:val="28"/>
        </w:rPr>
        <w:t>合理安排土方开挖和回填作业，开挖土石方经临时堆土场堆放后，需及时进行回填处理，必须做好围护工作，防止形成新的水土流失；建设单位施工期做好水土保持方案，在施工场地及临时土方堆场周围修筑一定围护设施，防止形成的泥浆水外溢；</w:t>
      </w:r>
      <w:r>
        <w:rPr>
          <w:color w:val="auto"/>
        </w:rPr>
        <w:t>控制外借土石房和开挖回填土临时堆放场占地面积和堆放量，并在土石堆上覆盖塑料薄膜，以及在临时堆放场地周围设置导流明渠，将雨水引导到沉淀池后再排入园区雨水管网；借方运输车辆应进行对土方进行遮盖处理，避免造成撒漏和产生扬尘。运输车辆尽量不行走市区道路，避免给沿线地区增加车流量、造成交通堵塞。另外，运输车辆的运输时间应该避开上下班的高峰期及人流物流的高峰时间。</w:t>
      </w:r>
    </w:p>
    <w:p w14:paraId="3519B67B">
      <w:pPr>
        <w:pageBreakBefore w:val="0"/>
        <w:wordWrap/>
        <w:bidi w:val="0"/>
        <w:adjustRightInd/>
        <w:snapToGrid/>
        <w:ind w:firstLine="480"/>
        <w:rPr>
          <w:color w:val="auto"/>
          <w:szCs w:val="28"/>
        </w:rPr>
      </w:pPr>
      <w:r>
        <w:rPr>
          <w:color w:val="auto"/>
          <w:szCs w:val="28"/>
          <w:u w:val="single"/>
        </w:rPr>
        <w:t>综上所述，项目施工期在严格落实了本环评提出的上述措施后，其施工期的固体废弃物可实现清洁处理和处置，不致造成二次污染</w:t>
      </w:r>
      <w:r>
        <w:rPr>
          <w:color w:val="auto"/>
          <w:szCs w:val="28"/>
        </w:rPr>
        <w:t>。</w:t>
      </w:r>
    </w:p>
    <w:p w14:paraId="4DA6448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生态保护措施</w:t>
      </w:r>
    </w:p>
    <w:p w14:paraId="334AB32B">
      <w:pPr>
        <w:pageBreakBefore w:val="0"/>
        <w:wordWrap/>
        <w:bidi w:val="0"/>
        <w:adjustRightInd/>
        <w:snapToGrid/>
        <w:ind w:firstLine="480"/>
        <w:rPr>
          <w:color w:val="auto"/>
        </w:rPr>
      </w:pPr>
      <w:r>
        <w:rPr>
          <w:color w:val="auto"/>
        </w:rPr>
        <w:t>根据现场勘查，项目所在区域内无天然珍稀野生动植物分布，无古稀树木和保护树种，项目周围主要以建设用地</w:t>
      </w:r>
      <w:r>
        <w:rPr>
          <w:rFonts w:hint="eastAsia"/>
          <w:color w:val="auto"/>
          <w:lang w:val="en-US" w:eastAsia="zh-CN"/>
        </w:rPr>
        <w:t>和林地</w:t>
      </w:r>
      <w:r>
        <w:rPr>
          <w:color w:val="auto"/>
        </w:rPr>
        <w:t>为主，区域缺少生物物种的种群源。项目施工区目前为预留空地，不存在植被破坏问题。工程施工过程将改变、压埋或损坏原有植被、地貌，对原有水土保持设施造成损坏，改变原有水土保持功能，对当地生态环境造成一定程度的破坏，表层土抗蚀能力减弱，加剧原有的水土流失。在土石方的开挖或填方，常造成开挖面及填方处边坡裸露，被雨水冲蚀，易产生冲蚀、滑坡等，加重区域的水土流失；同时施工中弃土、弃石随意堆放，易产生水土流失。为了控制和减少项目建设中的新增水土流失，保护水土资源和改善生态环境，本环评针对工程建设过程中的水土流失特点和防治要求，提出以下几点水土保持措施：</w:t>
      </w:r>
    </w:p>
    <w:p w14:paraId="56F1AC4E">
      <w:pPr>
        <w:pageBreakBefore w:val="0"/>
        <w:wordWrap/>
        <w:bidi w:val="0"/>
        <w:adjustRightInd/>
        <w:snapToGrid/>
        <w:ind w:firstLine="480"/>
        <w:rPr>
          <w:color w:val="auto"/>
        </w:rPr>
      </w:pPr>
      <w:r>
        <w:rPr>
          <w:color w:val="auto"/>
        </w:rPr>
        <w:t>①合理选择施工工期，尽量避免在</w:t>
      </w:r>
      <w:r>
        <w:rPr>
          <w:rFonts w:hint="eastAsia"/>
          <w:color w:val="auto"/>
          <w:lang w:eastAsia="zh-CN"/>
        </w:rPr>
        <w:t>雨季</w:t>
      </w:r>
      <w:r>
        <w:rPr>
          <w:color w:val="auto"/>
        </w:rPr>
        <w:t>开挖作业。施工结束后，拆除临时建筑，打扫地面，开挖路面进行硬覆盖，重新疏松被碾压后变的密实的土壤，洼地要覆土填平并及时对裸露土地进行绿化，排水管网上方道路周围进行乔、灌木结合绿化，减少水土流失。</w:t>
      </w:r>
    </w:p>
    <w:p w14:paraId="6B324038">
      <w:pPr>
        <w:pageBreakBefore w:val="0"/>
        <w:wordWrap/>
        <w:bidi w:val="0"/>
        <w:adjustRightInd/>
        <w:snapToGrid/>
        <w:ind w:firstLine="480"/>
        <w:rPr>
          <w:color w:val="auto"/>
        </w:rPr>
      </w:pPr>
      <w:r>
        <w:rPr>
          <w:color w:val="auto"/>
        </w:rPr>
        <w:t>②合理选择施工工序，做好项目挖填土方的合理调配工作，尽量缩短临时土石料堆放的时间；在堆放土石时，把易产生水土流失的土料堆放在场地中间，块石堆放在其周围，起临时拦挡作用，严格控制土石料的运输流失。建立水保方案实施的领导管理机构，强化工作人员水保意识，并实行水保施工监理制度和档案管理制度。在保证施工质量的前提下，必须采用最短的建设工期。土石方运输要严格遵守作业制度，避免松散土石方随地堆放并严禁随意倾倒。施工机械和施工人员要按照规划进行操作，施工机械、土石</w:t>
      </w:r>
      <w:r>
        <w:rPr>
          <w:rFonts w:hint="eastAsia"/>
          <w:color w:val="auto"/>
          <w:lang w:eastAsia="zh-CN"/>
        </w:rPr>
        <w:t>及其他</w:t>
      </w:r>
      <w:r>
        <w:rPr>
          <w:color w:val="auto"/>
        </w:rPr>
        <w:t>建筑物材料不能乱停乱放，加剧水土流失。施工期</w:t>
      </w:r>
      <w:r>
        <w:rPr>
          <w:rFonts w:hint="eastAsia"/>
          <w:color w:val="auto"/>
          <w:lang w:eastAsia="zh-CN"/>
        </w:rPr>
        <w:t>做好</w:t>
      </w:r>
      <w:r>
        <w:rPr>
          <w:color w:val="auto"/>
        </w:rPr>
        <w:t>临时工程措施设计，工程结束后及时进行植物措施设计。</w:t>
      </w:r>
    </w:p>
    <w:p w14:paraId="777E0A2C">
      <w:pPr>
        <w:pageBreakBefore w:val="0"/>
        <w:wordWrap/>
        <w:bidi w:val="0"/>
        <w:adjustRightInd/>
        <w:snapToGrid/>
        <w:ind w:firstLine="480"/>
        <w:rPr>
          <w:color w:val="auto"/>
        </w:rPr>
      </w:pPr>
      <w:r>
        <w:rPr>
          <w:color w:val="auto"/>
        </w:rPr>
        <w:t>③施工期需进一步完善场地周边临时排水沟系统，尽量避免低洼地积水，避免施工场地地表层的大面积破坏。在场地周围修建临时排水系统，将雨水顺畅的引入附近的沟渠，排水沟采用直接开挖方式，夯实沟底后不加衬砌，施工简单且易于后期恢复，在施工临时场地排水沟的下游建造沉淀池，待施工结束后，对临时沉淀池和临时排水沟进行平整、压实。</w:t>
      </w:r>
    </w:p>
    <w:p w14:paraId="40598C6F">
      <w:pPr>
        <w:pageBreakBefore w:val="0"/>
        <w:wordWrap/>
        <w:bidi w:val="0"/>
        <w:adjustRightInd/>
        <w:snapToGrid/>
        <w:ind w:firstLine="480"/>
        <w:rPr>
          <w:color w:val="auto"/>
        </w:rPr>
      </w:pPr>
      <w:r>
        <w:rPr>
          <w:color w:val="auto"/>
        </w:rPr>
        <w:t>④施工结束后，应尽快恢复植被，全面进行绿化，绿化可起到调节小气候、涵蓄雨水等目的，起到很好的防治水土流失的作用。</w:t>
      </w:r>
    </w:p>
    <w:p w14:paraId="6937D632">
      <w:pPr>
        <w:pStyle w:val="4"/>
        <w:pageBreakBefore w:val="0"/>
        <w:wordWrap/>
        <w:bidi w:val="0"/>
        <w:adjustRightInd/>
        <w:snapToGrid/>
        <w:rPr>
          <w:rFonts w:ascii="Times New Roman" w:hAnsi="Times New Roman" w:eastAsia="宋体"/>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bookmarkStart w:id="108" w:name="_Toc22223"/>
    </w:p>
    <w:p w14:paraId="32E1E770">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109" w:name="_Toc16921"/>
      <w:r>
        <w:rPr>
          <w:rFonts w:ascii="Times New Roman" w:hAnsi="Times New Roman" w:eastAsia="宋体"/>
          <w:color w:val="auto"/>
        </w:rPr>
        <w:t>营运期污染物产生及治理措施</w:t>
      </w:r>
      <w:bookmarkEnd w:id="108"/>
      <w:bookmarkEnd w:id="109"/>
    </w:p>
    <w:p w14:paraId="762CAF11">
      <w:pPr>
        <w:pStyle w:val="5"/>
        <w:pageBreakBefore w:val="0"/>
        <w:wordWrap/>
        <w:bidi w:val="0"/>
        <w:adjustRightInd/>
        <w:snapToGrid/>
        <w:spacing w:before="48" w:after="48"/>
        <w:ind w:left="0"/>
        <w:rPr>
          <w:rFonts w:eastAsia="宋体"/>
          <w:b w:val="0"/>
          <w:bCs w:val="0"/>
          <w:color w:val="auto"/>
          <w:sz w:val="24"/>
          <w:szCs w:val="24"/>
        </w:rPr>
      </w:pPr>
      <w:r>
        <w:rPr>
          <w:rFonts w:hint="eastAsia" w:eastAsia="宋体"/>
          <w:color w:val="auto"/>
        </w:rPr>
        <w:t xml:space="preserve"> </w:t>
      </w:r>
      <w:r>
        <w:rPr>
          <w:rFonts w:eastAsia="宋体"/>
          <w:color w:val="auto"/>
        </w:rPr>
        <w:t>废水污染物产生及治理措施</w:t>
      </w:r>
    </w:p>
    <w:p w14:paraId="7D47B6CD">
      <w:pPr>
        <w:pStyle w:val="6"/>
        <w:bidi w:val="0"/>
        <w:rPr>
          <w:color w:val="auto"/>
        </w:rPr>
      </w:pPr>
      <w:r>
        <w:rPr>
          <w:color w:val="auto"/>
        </w:rPr>
        <w:t>废水污染源分析</w:t>
      </w:r>
    </w:p>
    <w:p w14:paraId="09C473C8">
      <w:pPr>
        <w:pageBreakBefore w:val="0"/>
        <w:wordWrap/>
        <w:bidi w:val="0"/>
        <w:adjustRightInd/>
        <w:snapToGrid/>
        <w:ind w:firstLine="480"/>
        <w:rPr>
          <w:color w:val="auto"/>
        </w:rPr>
      </w:pPr>
      <w:r>
        <w:rPr>
          <w:color w:val="auto"/>
        </w:rPr>
        <w:t>本项目产生的废水主要以污水处理厂尾水为主，同时有厂区工作人员生活污水和生产废水（污泥处理设施产生的上清液、</w:t>
      </w:r>
      <w:r>
        <w:rPr>
          <w:rFonts w:hint="eastAsia"/>
          <w:color w:val="auto"/>
          <w:lang w:val="en-US" w:eastAsia="zh-CN"/>
        </w:rPr>
        <w:t>反冲洗废水、</w:t>
      </w:r>
      <w:r>
        <w:rPr>
          <w:color w:val="auto"/>
        </w:rPr>
        <w:t>除臭装置废水、地坪冲洗废水和化验废水），其中生活污水和生产废水一并纳入污水处理厂处理。</w:t>
      </w:r>
    </w:p>
    <w:p w14:paraId="39911A0E">
      <w:pPr>
        <w:pageBreakBefore w:val="0"/>
        <w:wordWrap/>
        <w:bidi w:val="0"/>
        <w:adjustRightInd/>
        <w:snapToGrid/>
        <w:ind w:firstLine="480"/>
        <w:rPr>
          <w:b/>
          <w:bCs/>
          <w:color w:val="auto"/>
        </w:rPr>
      </w:pPr>
      <w:r>
        <w:rPr>
          <w:rFonts w:hint="eastAsia"/>
          <w:b/>
          <w:bCs/>
          <w:color w:val="auto"/>
          <w:lang w:val="en-US" w:eastAsia="zh-CN"/>
        </w:rPr>
        <w:t>1</w:t>
      </w:r>
      <w:r>
        <w:rPr>
          <w:b/>
          <w:bCs/>
          <w:color w:val="auto"/>
        </w:rPr>
        <w:t>、生活污水</w:t>
      </w:r>
    </w:p>
    <w:p w14:paraId="0315F3C7">
      <w:pPr>
        <w:pageBreakBefore w:val="0"/>
        <w:wordWrap/>
        <w:bidi w:val="0"/>
        <w:adjustRightInd/>
        <w:snapToGrid/>
        <w:ind w:firstLine="480"/>
        <w:rPr>
          <w:color w:val="auto"/>
        </w:rPr>
      </w:pPr>
      <w:r>
        <w:rPr>
          <w:color w:val="auto"/>
        </w:rPr>
        <w:t>本项目劳动定员拟定为</w:t>
      </w:r>
      <w:r>
        <w:rPr>
          <w:rFonts w:hint="eastAsia"/>
          <w:color w:val="auto"/>
          <w:lang w:val="en-US" w:eastAsia="zh-CN"/>
        </w:rPr>
        <w:t>18</w:t>
      </w:r>
      <w:r>
        <w:rPr>
          <w:color w:val="auto"/>
        </w:rPr>
        <w:t>人，用水量按120L/人·d计，排放系数按85%计，厂区生活污水产生量约为4.6</w:t>
      </w:r>
      <w:r>
        <w:rPr>
          <w:rFonts w:hint="eastAsia"/>
          <w:color w:val="auto"/>
          <w:lang w:eastAsia="zh-CN"/>
        </w:rPr>
        <w:t>m³</w:t>
      </w:r>
      <w:r>
        <w:rPr>
          <w:color w:val="auto"/>
        </w:rPr>
        <w:t>/d计，通过管道排入本污水处理厂处理。</w:t>
      </w:r>
    </w:p>
    <w:p w14:paraId="47A2CC11">
      <w:pPr>
        <w:pageBreakBefore w:val="0"/>
        <w:wordWrap/>
        <w:bidi w:val="0"/>
        <w:adjustRightInd/>
        <w:snapToGrid/>
        <w:ind w:firstLine="480"/>
        <w:rPr>
          <w:b/>
          <w:bCs/>
          <w:color w:val="auto"/>
        </w:rPr>
      </w:pPr>
      <w:r>
        <w:rPr>
          <w:rFonts w:hint="eastAsia"/>
          <w:b/>
          <w:bCs/>
          <w:color w:val="auto"/>
          <w:lang w:val="en-US" w:eastAsia="zh-CN"/>
        </w:rPr>
        <w:t>2</w:t>
      </w:r>
      <w:r>
        <w:rPr>
          <w:b/>
          <w:bCs/>
          <w:color w:val="auto"/>
        </w:rPr>
        <w:t>、生产废水</w:t>
      </w:r>
    </w:p>
    <w:p w14:paraId="3E51DDCF">
      <w:pPr>
        <w:pageBreakBefore w:val="0"/>
        <w:wordWrap/>
        <w:bidi w:val="0"/>
        <w:adjustRightInd/>
        <w:snapToGrid/>
        <w:ind w:firstLine="480"/>
        <w:rPr>
          <w:color w:val="auto"/>
        </w:rPr>
      </w:pPr>
      <w:r>
        <w:rPr>
          <w:color w:val="auto"/>
        </w:rPr>
        <w:t>（1）污泥处理设施产生的上清液</w:t>
      </w:r>
    </w:p>
    <w:p w14:paraId="7CFBEB5B">
      <w:pPr>
        <w:pageBreakBefore w:val="0"/>
        <w:wordWrap/>
        <w:bidi w:val="0"/>
        <w:adjustRightInd/>
        <w:snapToGrid/>
        <w:ind w:firstLine="480"/>
        <w:jc w:val="left"/>
        <w:rPr>
          <w:color w:val="auto"/>
        </w:rPr>
      </w:pPr>
      <w:r>
        <w:rPr>
          <w:color w:val="auto"/>
        </w:rPr>
        <w:t>污泥处理设施产生的上清液直接通过管道返回污水处理系统处理，不外排。</w:t>
      </w:r>
    </w:p>
    <w:p w14:paraId="304B589F">
      <w:pPr>
        <w:pageBreakBefore w:val="0"/>
        <w:wordWrap/>
        <w:bidi w:val="0"/>
        <w:adjustRightInd/>
        <w:snapToGrid/>
        <w:ind w:left="480" w:leftChars="200" w:firstLine="0" w:firstLineChars="0"/>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污泥脱水间滤液</w:t>
      </w:r>
    </w:p>
    <w:p w14:paraId="7D84A909">
      <w:pPr>
        <w:bidi w:val="0"/>
        <w:rPr>
          <w:rFonts w:hint="eastAsia"/>
          <w:color w:val="auto"/>
        </w:rPr>
      </w:pPr>
      <w:r>
        <w:rPr>
          <w:rFonts w:hint="eastAsia"/>
          <w:color w:val="auto"/>
        </w:rPr>
        <w:t>进入污泥脱水间的污泥采取污泥深度脱水技术，通过添加药剂改性和机械压滤的方式将污泥的含水率降至60%以下，产生的滤液也回流至调节池进入后污水处理环节。</w:t>
      </w:r>
    </w:p>
    <w:p w14:paraId="0A9A5D1A">
      <w:pPr>
        <w:pageBreakBefore w:val="0"/>
        <w:wordWrap/>
        <w:bidi w:val="0"/>
        <w:adjustRightInd/>
        <w:snapToGrid/>
        <w:ind w:left="480" w:leftChars="200" w:firstLine="0" w:firstLineChars="0"/>
        <w:rPr>
          <w:color w:val="auto"/>
        </w:rPr>
      </w:pPr>
      <w:r>
        <w:rPr>
          <w:color w:val="auto"/>
        </w:rPr>
        <w:t>（</w:t>
      </w:r>
      <w:r>
        <w:rPr>
          <w:rFonts w:hint="eastAsia"/>
          <w:color w:val="auto"/>
          <w:lang w:val="en-US" w:eastAsia="zh-CN"/>
        </w:rPr>
        <w:t>3</w:t>
      </w:r>
      <w:r>
        <w:rPr>
          <w:color w:val="auto"/>
        </w:rPr>
        <w:t>）反冲洗废水</w:t>
      </w:r>
    </w:p>
    <w:p w14:paraId="531D67FA">
      <w:pPr>
        <w:pStyle w:val="503"/>
        <w:bidi w:val="0"/>
        <w:rPr>
          <w:color w:val="auto"/>
        </w:rPr>
      </w:pPr>
      <w:r>
        <w:rPr>
          <w:color w:val="auto"/>
        </w:rPr>
        <w:t>在</w:t>
      </w:r>
      <w:r>
        <w:rPr>
          <w:rFonts w:hint="eastAsia"/>
          <w:color w:val="auto"/>
          <w:lang w:eastAsia="zh-CN"/>
        </w:rPr>
        <w:t>反硝化深床滤池</w:t>
      </w:r>
      <w:r>
        <w:rPr>
          <w:color w:val="auto"/>
        </w:rPr>
        <w:t>的过滤过程中，滤料层截留的杂质数量不断增加，因而滤料层阻力不断增加，滤池水头损失增大，水位也会随之升高。因而在过滤过程中，</w:t>
      </w:r>
      <w:r>
        <w:rPr>
          <w:rFonts w:hint="eastAsia"/>
          <w:color w:val="auto"/>
          <w:lang w:eastAsia="zh-CN"/>
        </w:rPr>
        <w:t>需</w:t>
      </w:r>
      <w:r>
        <w:rPr>
          <w:color w:val="auto"/>
        </w:rPr>
        <w:t>定时对滤池进行反冲洗。</w:t>
      </w:r>
    </w:p>
    <w:p w14:paraId="76539041">
      <w:pPr>
        <w:pageBreakBefore w:val="0"/>
        <w:wordWrap/>
        <w:bidi w:val="0"/>
        <w:adjustRightInd/>
        <w:snapToGrid/>
        <w:ind w:firstLine="480"/>
        <w:rPr>
          <w:color w:val="auto"/>
        </w:rPr>
      </w:pPr>
      <w:r>
        <w:rPr>
          <w:color w:val="auto"/>
        </w:rPr>
        <w:t>为了保证滤池的有效运行，避免泥球和泥饼的出现，要对</w:t>
      </w:r>
      <w:r>
        <w:rPr>
          <w:rFonts w:hint="eastAsia"/>
          <w:color w:val="auto"/>
          <w:lang w:eastAsia="zh-CN"/>
        </w:rPr>
        <w:t>反硝化深床滤池</w:t>
      </w:r>
      <w:r>
        <w:rPr>
          <w:color w:val="auto"/>
        </w:rPr>
        <w:t>定期进行反冲洗。反冲洗水来自项目处理后的尾水，反冲洗水量以15</w:t>
      </w:r>
      <w:r>
        <w:rPr>
          <w:rFonts w:hint="eastAsia"/>
          <w:color w:val="auto"/>
          <w:lang w:eastAsia="zh-CN"/>
        </w:rPr>
        <w:t>m³</w:t>
      </w:r>
      <w:r>
        <w:rPr>
          <w:color w:val="auto"/>
        </w:rPr>
        <w:t>/</w:t>
      </w:r>
      <w:r>
        <w:rPr>
          <w:rFonts w:hint="eastAsia"/>
          <w:color w:val="auto"/>
          <w:lang w:eastAsia="zh-CN"/>
        </w:rPr>
        <w:t>m²</w:t>
      </w:r>
      <w:r>
        <w:rPr>
          <w:color w:val="auto"/>
        </w:rPr>
        <w:t>·h计，每格滤池面积</w:t>
      </w:r>
      <w:r>
        <w:rPr>
          <w:rFonts w:hint="eastAsia"/>
          <w:color w:val="auto"/>
          <w:lang w:val="en-US" w:eastAsia="zh-CN"/>
        </w:rPr>
        <w:t>23.8</w:t>
      </w:r>
      <w:r>
        <w:rPr>
          <w:color w:val="auto"/>
        </w:rPr>
        <w:t>m</w:t>
      </w:r>
      <w:r>
        <w:rPr>
          <w:color w:val="auto"/>
          <w:vertAlign w:val="superscript"/>
        </w:rPr>
        <w:t>2</w:t>
      </w:r>
      <w:r>
        <w:rPr>
          <w:color w:val="auto"/>
        </w:rPr>
        <w:t>，共</w:t>
      </w:r>
      <w:r>
        <w:rPr>
          <w:rFonts w:hint="eastAsia"/>
          <w:color w:val="auto"/>
          <w:lang w:val="en-US" w:eastAsia="zh-CN"/>
        </w:rPr>
        <w:t>2</w:t>
      </w:r>
      <w:r>
        <w:rPr>
          <w:color w:val="auto"/>
        </w:rPr>
        <w:t>格，冲洗时间为</w:t>
      </w:r>
      <w:r>
        <w:rPr>
          <w:rFonts w:hint="eastAsia"/>
          <w:color w:val="auto"/>
          <w:lang w:val="en-US" w:eastAsia="zh-CN"/>
        </w:rPr>
        <w:t>15</w:t>
      </w:r>
      <w:r>
        <w:rPr>
          <w:color w:val="auto"/>
        </w:rPr>
        <w:t>min/格，每格依次冲洗，反冲洗周期为24h，</w:t>
      </w:r>
      <w:r>
        <w:rPr>
          <w:rFonts w:hint="eastAsia"/>
          <w:color w:val="auto"/>
          <w:lang w:val="en-US" w:eastAsia="zh-CN"/>
        </w:rPr>
        <w:t>因</w:t>
      </w:r>
      <w:r>
        <w:rPr>
          <w:color w:val="auto"/>
        </w:rPr>
        <w:t>此会产生反冲洗废水</w:t>
      </w:r>
      <w:r>
        <w:rPr>
          <w:rFonts w:hint="eastAsia"/>
          <w:color w:val="auto"/>
          <w:lang w:val="en-US" w:eastAsia="zh-CN"/>
        </w:rPr>
        <w:t>178.5</w:t>
      </w:r>
      <w:r>
        <w:rPr>
          <w:rFonts w:hint="eastAsia"/>
          <w:color w:val="auto"/>
          <w:lang w:eastAsia="zh-CN"/>
        </w:rPr>
        <w:t>m³</w:t>
      </w:r>
      <w:r>
        <w:rPr>
          <w:color w:val="auto"/>
        </w:rPr>
        <w:t>/d，</w:t>
      </w:r>
    </w:p>
    <w:p w14:paraId="163EB407">
      <w:pPr>
        <w:pageBreakBefore w:val="0"/>
        <w:wordWrap/>
        <w:bidi w:val="0"/>
        <w:adjustRightInd/>
        <w:snapToGrid/>
        <w:ind w:firstLine="480"/>
        <w:rPr>
          <w:color w:val="auto"/>
        </w:rPr>
      </w:pPr>
      <w:r>
        <w:rPr>
          <w:color w:val="auto"/>
        </w:rPr>
        <w:t>反冲洗废水通过反冲洗废水池暂存后</w:t>
      </w:r>
      <w:r>
        <w:rPr>
          <w:color w:val="auto"/>
          <w:kern w:val="0"/>
          <w:sz w:val="25"/>
          <w:szCs w:val="25"/>
          <w:lang w:bidi="ar"/>
        </w:rPr>
        <w:t>通过管道排入本污水处理厂处理</w:t>
      </w:r>
      <w:r>
        <w:rPr>
          <w:color w:val="auto"/>
        </w:rPr>
        <w:t>。</w:t>
      </w:r>
    </w:p>
    <w:p w14:paraId="3793F453">
      <w:pPr>
        <w:bidi w:val="0"/>
        <w:rPr>
          <w:color w:val="auto"/>
        </w:rPr>
      </w:pPr>
      <w:r>
        <w:rPr>
          <w:rFonts w:hint="eastAsia"/>
          <w:color w:val="auto"/>
        </w:rPr>
        <w:t>因此，生产工艺过程中产生的废水（转盘滤池反冲洗水、污泥池上清液、污泥脱水间滤液）在污水处理系统内部进行了处理，不外排。</w:t>
      </w:r>
    </w:p>
    <w:p w14:paraId="79FCE017">
      <w:pPr>
        <w:pageBreakBefore w:val="0"/>
        <w:wordWrap/>
        <w:bidi w:val="0"/>
        <w:adjustRightInd/>
        <w:snapToGrid/>
        <w:ind w:firstLine="480"/>
        <w:rPr>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b/>
          <w:bCs/>
          <w:color w:val="auto"/>
        </w:rPr>
        <w:t>除臭装置废水</w:t>
      </w:r>
    </w:p>
    <w:p w14:paraId="12C8EA30">
      <w:pPr>
        <w:pageBreakBefore w:val="0"/>
        <w:widowControl/>
        <w:wordWrap/>
        <w:bidi w:val="0"/>
        <w:adjustRightInd/>
        <w:snapToGrid/>
        <w:ind w:firstLine="500"/>
        <w:jc w:val="left"/>
        <w:rPr>
          <w:color w:val="auto"/>
          <w:kern w:val="0"/>
          <w:sz w:val="25"/>
          <w:szCs w:val="25"/>
          <w:lang w:bidi="ar"/>
        </w:rPr>
      </w:pPr>
      <w:r>
        <w:rPr>
          <w:color w:val="auto"/>
          <w:kern w:val="0"/>
          <w:sz w:val="25"/>
          <w:szCs w:val="25"/>
          <w:lang w:bidi="ar"/>
        </w:rPr>
        <w:t>生物除臭系统会定期产生含有活性菌种的废弃滤液，经相关调查，一般情况下生物滤池的滤液更换频率为每月1</w:t>
      </w:r>
      <w:r>
        <w:rPr>
          <w:rFonts w:hint="eastAsia"/>
          <w:color w:val="auto"/>
          <w:kern w:val="0"/>
          <w:sz w:val="25"/>
          <w:szCs w:val="25"/>
          <w:lang w:eastAsia="zh-CN" w:bidi="ar"/>
        </w:rPr>
        <w:t>～</w:t>
      </w:r>
      <w:r>
        <w:rPr>
          <w:color w:val="auto"/>
          <w:kern w:val="0"/>
          <w:sz w:val="25"/>
          <w:szCs w:val="25"/>
          <w:lang w:bidi="ar"/>
        </w:rPr>
        <w:t>2次，每次废液产量约为0.5</w:t>
      </w:r>
      <w:r>
        <w:rPr>
          <w:rFonts w:hint="eastAsia"/>
          <w:color w:val="auto"/>
          <w:kern w:val="0"/>
          <w:sz w:val="25"/>
          <w:szCs w:val="25"/>
          <w:lang w:eastAsia="zh-CN" w:bidi="ar"/>
        </w:rPr>
        <w:t>～</w:t>
      </w:r>
      <w:r>
        <w:rPr>
          <w:color w:val="auto"/>
          <w:kern w:val="0"/>
          <w:sz w:val="25"/>
          <w:szCs w:val="25"/>
          <w:lang w:bidi="ar"/>
        </w:rPr>
        <w:t>1</w:t>
      </w:r>
      <w:r>
        <w:rPr>
          <w:rFonts w:hint="eastAsia"/>
          <w:color w:val="auto"/>
          <w:kern w:val="0"/>
          <w:sz w:val="25"/>
          <w:szCs w:val="25"/>
          <w:lang w:eastAsia="zh-CN" w:bidi="ar"/>
        </w:rPr>
        <w:t>m³</w:t>
      </w:r>
      <w:r>
        <w:rPr>
          <w:color w:val="auto"/>
          <w:kern w:val="0"/>
          <w:sz w:val="25"/>
          <w:szCs w:val="25"/>
          <w:lang w:bidi="ar"/>
        </w:rPr>
        <w:t>，根据本项目实际情况，项目生物除臭系统滤液产生量为0.06</w:t>
      </w:r>
      <w:r>
        <w:rPr>
          <w:rFonts w:hint="eastAsia"/>
          <w:color w:val="auto"/>
          <w:kern w:val="0"/>
          <w:sz w:val="25"/>
          <w:szCs w:val="25"/>
          <w:lang w:eastAsia="zh-CN" w:bidi="ar"/>
        </w:rPr>
        <w:t>m³</w:t>
      </w:r>
      <w:r>
        <w:rPr>
          <w:color w:val="auto"/>
          <w:kern w:val="0"/>
          <w:sz w:val="25"/>
          <w:szCs w:val="25"/>
          <w:lang w:bidi="ar"/>
        </w:rPr>
        <w:t>/d。通过管道排入本污水处理厂处理</w:t>
      </w:r>
      <w:r>
        <w:rPr>
          <w:color w:val="auto"/>
        </w:rPr>
        <w:t>。</w:t>
      </w:r>
    </w:p>
    <w:p w14:paraId="0F1E7760">
      <w:pPr>
        <w:pageBreakBefore w:val="0"/>
        <w:widowControl/>
        <w:wordWrap/>
        <w:bidi w:val="0"/>
        <w:adjustRightInd/>
        <w:snapToGrid/>
        <w:ind w:firstLine="500"/>
        <w:jc w:val="left"/>
        <w:rPr>
          <w:b/>
          <w:bCs/>
          <w:color w:val="auto"/>
        </w:rPr>
      </w:pPr>
      <w:r>
        <w:rPr>
          <w:rFonts w:hint="eastAsia"/>
          <w:b/>
          <w:bCs/>
          <w:color w:val="auto"/>
          <w:kern w:val="0"/>
          <w:sz w:val="25"/>
          <w:szCs w:val="25"/>
          <w:lang w:eastAsia="zh-CN" w:bidi="ar"/>
        </w:rPr>
        <w:t>（</w:t>
      </w:r>
      <w:r>
        <w:rPr>
          <w:rFonts w:hint="eastAsia"/>
          <w:b/>
          <w:bCs/>
          <w:color w:val="auto"/>
          <w:kern w:val="0"/>
          <w:sz w:val="25"/>
          <w:szCs w:val="25"/>
          <w:lang w:val="en-US" w:eastAsia="zh-CN" w:bidi="ar"/>
        </w:rPr>
        <w:t>5</w:t>
      </w:r>
      <w:r>
        <w:rPr>
          <w:rFonts w:hint="eastAsia"/>
          <w:b/>
          <w:bCs/>
          <w:color w:val="auto"/>
          <w:kern w:val="0"/>
          <w:sz w:val="25"/>
          <w:szCs w:val="25"/>
          <w:lang w:eastAsia="zh-CN" w:bidi="ar"/>
        </w:rPr>
        <w:t>）</w:t>
      </w:r>
      <w:r>
        <w:rPr>
          <w:b/>
          <w:bCs/>
          <w:color w:val="auto"/>
        </w:rPr>
        <w:t>地坪冲洗废水</w:t>
      </w:r>
    </w:p>
    <w:p w14:paraId="428DDB09">
      <w:pPr>
        <w:pageBreakBefore w:val="0"/>
        <w:widowControl/>
        <w:wordWrap/>
        <w:bidi w:val="0"/>
        <w:adjustRightInd/>
        <w:snapToGrid/>
        <w:ind w:firstLine="500"/>
        <w:jc w:val="left"/>
        <w:rPr>
          <w:color w:val="auto"/>
        </w:rPr>
      </w:pPr>
      <w:r>
        <w:rPr>
          <w:color w:val="auto"/>
          <w:kern w:val="0"/>
          <w:sz w:val="25"/>
          <w:szCs w:val="25"/>
          <w:lang w:bidi="ar"/>
        </w:rPr>
        <w:t>项目运营期定期对</w:t>
      </w:r>
      <w:r>
        <w:rPr>
          <w:rFonts w:hint="eastAsia"/>
          <w:color w:val="auto"/>
          <w:kern w:val="0"/>
          <w:sz w:val="25"/>
          <w:szCs w:val="25"/>
          <w:lang w:eastAsia="zh-CN" w:bidi="ar"/>
        </w:rPr>
        <w:t>污水处理厂</w:t>
      </w:r>
      <w:r>
        <w:rPr>
          <w:color w:val="auto"/>
          <w:kern w:val="0"/>
          <w:sz w:val="25"/>
          <w:szCs w:val="25"/>
          <w:lang w:bidi="ar"/>
        </w:rPr>
        <w:t>地坪进行冲洗，每天冲洗1次，冲洗废水约5</w:t>
      </w:r>
      <w:r>
        <w:rPr>
          <w:rFonts w:hint="eastAsia"/>
          <w:color w:val="auto"/>
          <w:kern w:val="0"/>
          <w:sz w:val="25"/>
          <w:szCs w:val="25"/>
          <w:lang w:eastAsia="zh-CN" w:bidi="ar"/>
        </w:rPr>
        <w:t>m³</w:t>
      </w:r>
      <w:r>
        <w:rPr>
          <w:color w:val="auto"/>
          <w:kern w:val="0"/>
          <w:sz w:val="25"/>
          <w:szCs w:val="25"/>
          <w:lang w:bidi="ar"/>
        </w:rPr>
        <w:t>/d，通过管道排入本污水处理厂处理</w:t>
      </w:r>
      <w:r>
        <w:rPr>
          <w:color w:val="auto"/>
        </w:rPr>
        <w:t>。</w:t>
      </w:r>
    </w:p>
    <w:p w14:paraId="5C5BD9C3">
      <w:pPr>
        <w:pageBreakBefore w:val="0"/>
        <w:wordWrap/>
        <w:bidi w:val="0"/>
        <w:adjustRightInd/>
        <w:snapToGrid/>
        <w:ind w:firstLine="480"/>
        <w:rPr>
          <w:rFonts w:hint="eastAsia" w:eastAsia="宋体"/>
          <w:b/>
          <w:bCs/>
          <w:color w:val="auto"/>
          <w:lang w:val="en-US" w:eastAsia="zh-CN"/>
        </w:rPr>
      </w:pPr>
      <w:r>
        <w:rPr>
          <w:b/>
          <w:bCs/>
          <w:color w:val="auto"/>
        </w:rPr>
        <w:t>（</w:t>
      </w:r>
      <w:r>
        <w:rPr>
          <w:rFonts w:hint="eastAsia"/>
          <w:b/>
          <w:bCs/>
          <w:color w:val="auto"/>
          <w:lang w:val="en-US" w:eastAsia="zh-CN"/>
        </w:rPr>
        <w:t>6</w:t>
      </w:r>
      <w:r>
        <w:rPr>
          <w:b/>
          <w:bCs/>
          <w:color w:val="auto"/>
        </w:rPr>
        <w:t>）化验室废水</w:t>
      </w:r>
    </w:p>
    <w:p w14:paraId="19F2000B">
      <w:pPr>
        <w:pageBreakBefore w:val="0"/>
        <w:widowControl/>
        <w:wordWrap/>
        <w:bidi w:val="0"/>
        <w:adjustRightInd/>
        <w:snapToGrid/>
        <w:ind w:firstLine="500"/>
        <w:jc w:val="left"/>
        <w:rPr>
          <w:color w:val="auto"/>
          <w:kern w:val="0"/>
          <w:sz w:val="25"/>
          <w:szCs w:val="25"/>
          <w:lang w:bidi="ar"/>
        </w:rPr>
      </w:pPr>
      <w:r>
        <w:rPr>
          <w:color w:val="auto"/>
          <w:kern w:val="0"/>
          <w:sz w:val="25"/>
          <w:szCs w:val="25"/>
          <w:lang w:bidi="ar"/>
        </w:rPr>
        <w:t>设置1间化验室，用于对进水水质的分析。进水水质化验采取水样后在化验室内进行化验，化验废水及试剂瓶的前三次的清洗废液（HW49）作为危险废物交由有资质单位进行处理，其余不作为危废处理的清洁废水由化验室管道引至污水处理厂进水管中，纳入污水处理厂处理。通过类比调查统计，污水处理厂化验室废液总量0.3t/a，清洗废水约0.015</w:t>
      </w:r>
      <w:r>
        <w:rPr>
          <w:rFonts w:hint="eastAsia"/>
          <w:color w:val="auto"/>
          <w:kern w:val="0"/>
          <w:sz w:val="25"/>
          <w:szCs w:val="25"/>
          <w:lang w:eastAsia="zh-CN" w:bidi="ar"/>
        </w:rPr>
        <w:t>m³</w:t>
      </w:r>
      <w:r>
        <w:rPr>
          <w:color w:val="auto"/>
          <w:kern w:val="0"/>
          <w:sz w:val="25"/>
          <w:szCs w:val="25"/>
          <w:lang w:bidi="ar"/>
        </w:rPr>
        <w:t>/d。</w:t>
      </w:r>
    </w:p>
    <w:p w14:paraId="0E1737E5">
      <w:pPr>
        <w:pageBreakBefore w:val="0"/>
        <w:widowControl/>
        <w:wordWrap/>
        <w:bidi w:val="0"/>
        <w:adjustRightInd/>
        <w:snapToGrid/>
        <w:ind w:firstLine="500"/>
        <w:jc w:val="left"/>
        <w:rPr>
          <w:color w:val="auto"/>
          <w:kern w:val="0"/>
          <w:sz w:val="25"/>
          <w:szCs w:val="25"/>
          <w:lang w:bidi="ar"/>
        </w:rPr>
      </w:pPr>
      <w:r>
        <w:rPr>
          <w:rFonts w:hint="eastAsia"/>
          <w:color w:val="auto"/>
          <w:kern w:val="0"/>
          <w:sz w:val="25"/>
          <w:szCs w:val="25"/>
          <w:lang w:bidi="ar"/>
        </w:rPr>
        <w:t>综上，本项目产生的生产性废水和生活污水可直接进入污水处理厂的污水处理系统。其水量相对污水处理厂处理水量很小，污染物浓度也较低，可忽略其对处理厂进水水质、水量的影响。</w:t>
      </w:r>
    </w:p>
    <w:p w14:paraId="1788B2CD">
      <w:pPr>
        <w:pStyle w:val="6"/>
        <w:bidi w:val="0"/>
        <w:rPr>
          <w:color w:val="auto"/>
        </w:rPr>
      </w:pPr>
      <w:r>
        <w:rPr>
          <w:color w:val="auto"/>
        </w:rPr>
        <w:t>污染物排放及削减负荷</w:t>
      </w:r>
    </w:p>
    <w:p w14:paraId="04CD8A02">
      <w:pPr>
        <w:pageBreakBefore w:val="0"/>
        <w:widowControl/>
        <w:wordWrap/>
        <w:bidi w:val="0"/>
        <w:adjustRightInd/>
        <w:snapToGrid/>
        <w:ind w:firstLine="480"/>
        <w:jc w:val="left"/>
        <w:rPr>
          <w:color w:val="auto"/>
        </w:rPr>
      </w:pPr>
      <w:r>
        <w:rPr>
          <w:color w:val="auto"/>
        </w:rPr>
        <w:t>综上所述，本项目污水设计处理能力及排放量为</w:t>
      </w:r>
      <w:r>
        <w:rPr>
          <w:rFonts w:hint="eastAsia"/>
          <w:color w:val="auto"/>
          <w:lang w:val="en-US" w:eastAsia="zh-CN"/>
        </w:rPr>
        <w:t>0.3</w:t>
      </w:r>
      <w:r>
        <w:rPr>
          <w:rFonts w:hint="eastAsia"/>
          <w:color w:val="auto"/>
          <w:lang w:eastAsia="zh-CN"/>
        </w:rPr>
        <w:t>万m³</w:t>
      </w:r>
      <w:r>
        <w:rPr>
          <w:color w:val="auto"/>
        </w:rPr>
        <w:t>/d，</w:t>
      </w:r>
      <w:r>
        <w:rPr>
          <w:rFonts w:hint="eastAsia"/>
          <w:color w:val="auto"/>
        </w:rPr>
        <w:t>出水水质满足《城镇污水处理厂污染物排放标准》（GB18918-2002）中一级A标后排入</w:t>
      </w:r>
      <w:r>
        <w:rPr>
          <w:rFonts w:hint="eastAsia"/>
          <w:color w:val="auto"/>
          <w:lang w:val="en-US" w:eastAsia="zh-CN"/>
        </w:rPr>
        <w:t>巴</w:t>
      </w:r>
      <w:r>
        <w:rPr>
          <w:rFonts w:hint="eastAsia"/>
          <w:color w:val="auto"/>
        </w:rPr>
        <w:t>河</w:t>
      </w:r>
      <w:r>
        <w:rPr>
          <w:rFonts w:hint="eastAsia"/>
          <w:color w:val="auto"/>
          <w:lang w:eastAsia="zh-CN"/>
        </w:rPr>
        <w:t>，</w:t>
      </w:r>
      <w:r>
        <w:rPr>
          <w:color w:val="auto"/>
        </w:rPr>
        <w:t>污染物排放及削减情况见下表。</w:t>
      </w:r>
    </w:p>
    <w:p w14:paraId="498F4A56">
      <w:pPr>
        <w:pStyle w:val="15"/>
        <w:numPr>
          <w:ilvl w:val="0"/>
          <w:numId w:val="25"/>
        </w:numPr>
        <w:bidi w:val="0"/>
        <w:ind w:left="0" w:leftChars="0" w:firstLine="0" w:firstLineChars="0"/>
        <w:rPr>
          <w:color w:val="auto"/>
        </w:rPr>
      </w:pPr>
      <w:r>
        <w:rPr>
          <w:color w:val="auto"/>
        </w:rPr>
        <w:t xml:space="preserve">本工程污染物排放及污染削减负荷 </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85"/>
        <w:gridCol w:w="870"/>
        <w:gridCol w:w="1125"/>
        <w:gridCol w:w="660"/>
        <w:gridCol w:w="750"/>
        <w:gridCol w:w="735"/>
        <w:gridCol w:w="660"/>
        <w:gridCol w:w="690"/>
        <w:gridCol w:w="660"/>
        <w:gridCol w:w="645"/>
        <w:gridCol w:w="705"/>
        <w:gridCol w:w="501"/>
      </w:tblGrid>
      <w:tr w14:paraId="07B43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07F0095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处理对象</w:t>
            </w:r>
          </w:p>
        </w:tc>
        <w:tc>
          <w:tcPr>
            <w:tcW w:w="1995" w:type="dxa"/>
            <w:gridSpan w:val="2"/>
            <w:vMerge w:val="restart"/>
            <w:tcBorders>
              <w:tl2br w:val="nil"/>
              <w:tr2bl w:val="nil"/>
            </w:tcBorders>
            <w:noWrap w:val="0"/>
            <w:vAlign w:val="center"/>
          </w:tcPr>
          <w:p w14:paraId="24AC84B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水污染物</w:t>
            </w:r>
          </w:p>
        </w:tc>
        <w:tc>
          <w:tcPr>
            <w:tcW w:w="660" w:type="dxa"/>
            <w:vMerge w:val="restart"/>
            <w:tcBorders>
              <w:tl2br w:val="nil"/>
              <w:tr2bl w:val="nil"/>
            </w:tcBorders>
            <w:noWrap w:val="0"/>
            <w:vAlign w:val="center"/>
          </w:tcPr>
          <w:p w14:paraId="5F2949D9">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5346" w:type="dxa"/>
            <w:gridSpan w:val="8"/>
            <w:tcBorders>
              <w:tl2br w:val="nil"/>
              <w:tr2bl w:val="nil"/>
            </w:tcBorders>
            <w:noWrap w:val="0"/>
            <w:vAlign w:val="center"/>
          </w:tcPr>
          <w:p w14:paraId="2422264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主要污染物指标</w:t>
            </w:r>
          </w:p>
        </w:tc>
      </w:tr>
      <w:tr w14:paraId="6F0CA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6156ECA3">
            <w:pPr>
              <w:pageBreakBefore w:val="0"/>
              <w:wordWrap/>
              <w:bidi w:val="0"/>
              <w:adjustRightInd/>
              <w:snapToGrid/>
              <w:spacing w:line="240" w:lineRule="auto"/>
              <w:ind w:firstLine="0" w:firstLineChars="0"/>
              <w:jc w:val="center"/>
              <w:rPr>
                <w:b/>
                <w:bCs/>
                <w:color w:val="auto"/>
                <w:sz w:val="21"/>
                <w:szCs w:val="21"/>
              </w:rPr>
            </w:pPr>
          </w:p>
        </w:tc>
        <w:tc>
          <w:tcPr>
            <w:tcW w:w="1995" w:type="dxa"/>
            <w:gridSpan w:val="2"/>
            <w:vMerge w:val="continue"/>
            <w:tcBorders>
              <w:tl2br w:val="nil"/>
              <w:tr2bl w:val="nil"/>
            </w:tcBorders>
            <w:noWrap w:val="0"/>
            <w:vAlign w:val="center"/>
          </w:tcPr>
          <w:p w14:paraId="3DC90D5E">
            <w:pPr>
              <w:pageBreakBefore w:val="0"/>
              <w:wordWrap/>
              <w:bidi w:val="0"/>
              <w:adjustRightInd/>
              <w:snapToGrid/>
              <w:spacing w:line="240" w:lineRule="auto"/>
              <w:ind w:firstLine="0" w:firstLineChars="0"/>
              <w:jc w:val="center"/>
              <w:rPr>
                <w:b/>
                <w:bCs/>
                <w:color w:val="auto"/>
                <w:sz w:val="21"/>
                <w:szCs w:val="21"/>
              </w:rPr>
            </w:pPr>
          </w:p>
        </w:tc>
        <w:tc>
          <w:tcPr>
            <w:tcW w:w="660" w:type="dxa"/>
            <w:vMerge w:val="continue"/>
            <w:tcBorders>
              <w:tl2br w:val="nil"/>
              <w:tr2bl w:val="nil"/>
            </w:tcBorders>
            <w:noWrap w:val="0"/>
            <w:vAlign w:val="center"/>
          </w:tcPr>
          <w:p w14:paraId="01831777">
            <w:pPr>
              <w:pageBreakBefore w:val="0"/>
              <w:wordWrap/>
              <w:bidi w:val="0"/>
              <w:adjustRightInd/>
              <w:snapToGrid/>
              <w:spacing w:line="240" w:lineRule="auto"/>
              <w:ind w:firstLine="0" w:firstLineChars="0"/>
              <w:jc w:val="center"/>
              <w:rPr>
                <w:b/>
                <w:bCs/>
                <w:color w:val="auto"/>
                <w:sz w:val="21"/>
                <w:szCs w:val="21"/>
              </w:rPr>
            </w:pPr>
          </w:p>
        </w:tc>
        <w:tc>
          <w:tcPr>
            <w:tcW w:w="750" w:type="dxa"/>
            <w:tcBorders>
              <w:tl2br w:val="nil"/>
              <w:tr2bl w:val="nil"/>
            </w:tcBorders>
            <w:noWrap w:val="0"/>
            <w:vAlign w:val="center"/>
          </w:tcPr>
          <w:p w14:paraId="7387ED4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tc>
        <w:tc>
          <w:tcPr>
            <w:tcW w:w="735" w:type="dxa"/>
            <w:tcBorders>
              <w:tl2br w:val="nil"/>
              <w:tr2bl w:val="nil"/>
            </w:tcBorders>
            <w:noWrap w:val="0"/>
            <w:vAlign w:val="center"/>
          </w:tcPr>
          <w:p w14:paraId="4F41D8D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BOD</w:t>
            </w:r>
            <w:r>
              <w:rPr>
                <w:b/>
                <w:bCs/>
                <w:color w:val="auto"/>
                <w:sz w:val="21"/>
                <w:szCs w:val="21"/>
                <w:vertAlign w:val="subscript"/>
              </w:rPr>
              <w:t>5</w:t>
            </w:r>
          </w:p>
        </w:tc>
        <w:tc>
          <w:tcPr>
            <w:tcW w:w="660" w:type="dxa"/>
            <w:tcBorders>
              <w:tl2br w:val="nil"/>
              <w:tr2bl w:val="nil"/>
            </w:tcBorders>
            <w:noWrap w:val="0"/>
            <w:vAlign w:val="center"/>
          </w:tcPr>
          <w:p w14:paraId="0298B15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tc>
        <w:tc>
          <w:tcPr>
            <w:tcW w:w="690" w:type="dxa"/>
            <w:tcBorders>
              <w:tl2br w:val="nil"/>
              <w:tr2bl w:val="nil"/>
            </w:tcBorders>
            <w:noWrap w:val="0"/>
            <w:vAlign w:val="center"/>
          </w:tcPr>
          <w:p w14:paraId="4085FD6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660" w:type="dxa"/>
            <w:tcBorders>
              <w:tl2br w:val="nil"/>
              <w:tr2bl w:val="nil"/>
            </w:tcBorders>
            <w:noWrap w:val="0"/>
            <w:vAlign w:val="center"/>
          </w:tcPr>
          <w:p w14:paraId="5127CE1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TN</w:t>
            </w:r>
          </w:p>
        </w:tc>
        <w:tc>
          <w:tcPr>
            <w:tcW w:w="645" w:type="dxa"/>
            <w:tcBorders>
              <w:tl2br w:val="nil"/>
              <w:tr2bl w:val="nil"/>
            </w:tcBorders>
            <w:noWrap w:val="0"/>
            <w:vAlign w:val="center"/>
          </w:tcPr>
          <w:p w14:paraId="27782FC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TP</w:t>
            </w:r>
          </w:p>
        </w:tc>
        <w:tc>
          <w:tcPr>
            <w:tcW w:w="705" w:type="dxa"/>
            <w:tcBorders>
              <w:tl2br w:val="nil"/>
              <w:tr2bl w:val="nil"/>
            </w:tcBorders>
            <w:noWrap w:val="0"/>
            <w:vAlign w:val="center"/>
          </w:tcPr>
          <w:p w14:paraId="2C136EA3">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石油类</w:t>
            </w:r>
          </w:p>
        </w:tc>
        <w:tc>
          <w:tcPr>
            <w:tcW w:w="501" w:type="dxa"/>
            <w:tcBorders>
              <w:tl2br w:val="nil"/>
              <w:tr2bl w:val="nil"/>
            </w:tcBorders>
            <w:noWrap w:val="0"/>
            <w:vAlign w:val="center"/>
          </w:tcPr>
          <w:p w14:paraId="26B7DD35">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48932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69BD479E">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eastAsia="zh-CN"/>
              </w:rPr>
              <w:t>巴中市巴州区曾口片区污水处理厂</w:t>
            </w:r>
            <w:r>
              <w:rPr>
                <w:color w:val="auto"/>
                <w:sz w:val="21"/>
                <w:szCs w:val="21"/>
              </w:rPr>
              <w:t>纳污范围内排水单元</w:t>
            </w:r>
          </w:p>
        </w:tc>
        <w:tc>
          <w:tcPr>
            <w:tcW w:w="870" w:type="dxa"/>
            <w:vMerge w:val="restart"/>
            <w:tcBorders>
              <w:tl2br w:val="nil"/>
              <w:tr2bl w:val="nil"/>
            </w:tcBorders>
            <w:noWrap w:val="0"/>
            <w:vAlign w:val="center"/>
          </w:tcPr>
          <w:p w14:paraId="22EC63D3">
            <w:pPr>
              <w:pageBreakBefore w:val="0"/>
              <w:wordWrap/>
              <w:bidi w:val="0"/>
              <w:adjustRightInd/>
              <w:snapToGrid/>
              <w:spacing w:line="240" w:lineRule="auto"/>
              <w:ind w:firstLine="0" w:firstLineChars="0"/>
              <w:jc w:val="center"/>
              <w:rPr>
                <w:color w:val="auto"/>
                <w:sz w:val="21"/>
                <w:szCs w:val="21"/>
              </w:rPr>
            </w:pPr>
            <w:r>
              <w:rPr>
                <w:color w:val="auto"/>
                <w:sz w:val="21"/>
                <w:szCs w:val="21"/>
              </w:rPr>
              <w:t>处理前</w:t>
            </w:r>
          </w:p>
        </w:tc>
        <w:tc>
          <w:tcPr>
            <w:tcW w:w="1125" w:type="dxa"/>
            <w:tcBorders>
              <w:tl2br w:val="nil"/>
              <w:tr2bl w:val="nil"/>
            </w:tcBorders>
            <w:noWrap w:val="0"/>
            <w:vAlign w:val="center"/>
          </w:tcPr>
          <w:p w14:paraId="712CF970">
            <w:pPr>
              <w:pageBreakBefore w:val="0"/>
              <w:wordWrap/>
              <w:bidi w:val="0"/>
              <w:adjustRightInd/>
              <w:snapToGrid/>
              <w:spacing w:line="240" w:lineRule="auto"/>
              <w:ind w:firstLine="0" w:firstLineChars="0"/>
              <w:jc w:val="center"/>
              <w:rPr>
                <w:color w:val="auto"/>
                <w:sz w:val="21"/>
                <w:szCs w:val="21"/>
              </w:rPr>
            </w:pPr>
            <w:r>
              <w:rPr>
                <w:color w:val="auto"/>
                <w:sz w:val="21"/>
                <w:szCs w:val="21"/>
              </w:rPr>
              <w:t>产生浓度mg/L</w:t>
            </w:r>
          </w:p>
        </w:tc>
        <w:tc>
          <w:tcPr>
            <w:tcW w:w="660" w:type="dxa"/>
            <w:vMerge w:val="restart"/>
            <w:tcBorders>
              <w:tl2br w:val="nil"/>
              <w:tr2bl w:val="nil"/>
            </w:tcBorders>
            <w:noWrap w:val="0"/>
            <w:vAlign w:val="center"/>
          </w:tcPr>
          <w:p w14:paraId="72D1B395">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3000</w:t>
            </w:r>
          </w:p>
        </w:tc>
        <w:tc>
          <w:tcPr>
            <w:tcW w:w="750" w:type="dxa"/>
            <w:tcBorders>
              <w:tl2br w:val="nil"/>
              <w:tr2bl w:val="nil"/>
            </w:tcBorders>
            <w:noWrap w:val="0"/>
            <w:vAlign w:val="center"/>
          </w:tcPr>
          <w:p w14:paraId="4F8EFAA1">
            <w:pPr>
              <w:pStyle w:val="12"/>
              <w:bidi w:val="0"/>
              <w:rPr>
                <w:color w:val="auto"/>
              </w:rPr>
            </w:pPr>
            <w:r>
              <w:rPr>
                <w:rFonts w:hint="default"/>
                <w:color w:val="auto"/>
                <w:lang w:val="en-US" w:eastAsia="zh-CN"/>
              </w:rPr>
              <w:t>350</w:t>
            </w:r>
          </w:p>
        </w:tc>
        <w:tc>
          <w:tcPr>
            <w:tcW w:w="735" w:type="dxa"/>
            <w:tcBorders>
              <w:tl2br w:val="nil"/>
              <w:tr2bl w:val="nil"/>
            </w:tcBorders>
            <w:noWrap w:val="0"/>
            <w:vAlign w:val="center"/>
          </w:tcPr>
          <w:p w14:paraId="14E10E35">
            <w:pPr>
              <w:pStyle w:val="12"/>
              <w:bidi w:val="0"/>
              <w:rPr>
                <w:color w:val="auto"/>
              </w:rPr>
            </w:pPr>
            <w:r>
              <w:rPr>
                <w:rFonts w:hint="default"/>
                <w:color w:val="auto"/>
                <w:lang w:val="en-US" w:eastAsia="zh-CN"/>
              </w:rPr>
              <w:t>150</w:t>
            </w:r>
          </w:p>
        </w:tc>
        <w:tc>
          <w:tcPr>
            <w:tcW w:w="660" w:type="dxa"/>
            <w:tcBorders>
              <w:tl2br w:val="nil"/>
              <w:tr2bl w:val="nil"/>
            </w:tcBorders>
            <w:noWrap w:val="0"/>
            <w:vAlign w:val="center"/>
          </w:tcPr>
          <w:p w14:paraId="41C400EB">
            <w:pPr>
              <w:pStyle w:val="12"/>
              <w:bidi w:val="0"/>
              <w:rPr>
                <w:color w:val="auto"/>
              </w:rPr>
            </w:pPr>
            <w:r>
              <w:rPr>
                <w:rFonts w:hint="default"/>
                <w:color w:val="auto"/>
                <w:lang w:val="en-US" w:eastAsia="zh-CN"/>
              </w:rPr>
              <w:t>400</w:t>
            </w:r>
          </w:p>
        </w:tc>
        <w:tc>
          <w:tcPr>
            <w:tcW w:w="690" w:type="dxa"/>
            <w:tcBorders>
              <w:tl2br w:val="nil"/>
              <w:tr2bl w:val="nil"/>
            </w:tcBorders>
            <w:noWrap w:val="0"/>
            <w:vAlign w:val="center"/>
          </w:tcPr>
          <w:p w14:paraId="378D48F6">
            <w:pPr>
              <w:pStyle w:val="12"/>
              <w:bidi w:val="0"/>
              <w:rPr>
                <w:color w:val="auto"/>
              </w:rPr>
            </w:pPr>
            <w:r>
              <w:rPr>
                <w:rFonts w:hint="default"/>
                <w:color w:val="auto"/>
                <w:lang w:val="en-US" w:eastAsia="zh-CN"/>
              </w:rPr>
              <w:t>50</w:t>
            </w:r>
          </w:p>
        </w:tc>
        <w:tc>
          <w:tcPr>
            <w:tcW w:w="660" w:type="dxa"/>
            <w:tcBorders>
              <w:tl2br w:val="nil"/>
              <w:tr2bl w:val="nil"/>
            </w:tcBorders>
            <w:noWrap w:val="0"/>
            <w:vAlign w:val="center"/>
          </w:tcPr>
          <w:p w14:paraId="2CF6CA40">
            <w:pPr>
              <w:pStyle w:val="12"/>
              <w:bidi w:val="0"/>
              <w:rPr>
                <w:color w:val="auto"/>
              </w:rPr>
            </w:pPr>
            <w:r>
              <w:rPr>
                <w:rFonts w:hint="default"/>
                <w:color w:val="auto"/>
                <w:lang w:val="en-US" w:eastAsia="zh-CN"/>
              </w:rPr>
              <w:t>80</w:t>
            </w:r>
          </w:p>
        </w:tc>
        <w:tc>
          <w:tcPr>
            <w:tcW w:w="645" w:type="dxa"/>
            <w:tcBorders>
              <w:tl2br w:val="nil"/>
              <w:tr2bl w:val="nil"/>
            </w:tcBorders>
            <w:noWrap w:val="0"/>
            <w:vAlign w:val="center"/>
          </w:tcPr>
          <w:p w14:paraId="7EB04591">
            <w:pPr>
              <w:pStyle w:val="12"/>
              <w:bidi w:val="0"/>
              <w:rPr>
                <w:color w:val="auto"/>
              </w:rPr>
            </w:pPr>
            <w:r>
              <w:rPr>
                <w:rFonts w:hint="default"/>
                <w:color w:val="auto"/>
                <w:lang w:val="en-US" w:eastAsia="zh-CN"/>
              </w:rPr>
              <w:t>4</w:t>
            </w:r>
          </w:p>
        </w:tc>
        <w:tc>
          <w:tcPr>
            <w:tcW w:w="705" w:type="dxa"/>
            <w:tcBorders>
              <w:tl2br w:val="nil"/>
              <w:tr2bl w:val="nil"/>
            </w:tcBorders>
            <w:noWrap w:val="0"/>
            <w:vAlign w:val="center"/>
          </w:tcPr>
          <w:p w14:paraId="3D6E55AD">
            <w:pPr>
              <w:pStyle w:val="12"/>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1247DE96">
            <w:pPr>
              <w:pStyle w:val="12"/>
              <w:bidi w:val="0"/>
              <w:rPr>
                <w:rFonts w:hint="default"/>
                <w:color w:val="auto"/>
                <w:lang w:val="en-US" w:eastAsia="zh-CN"/>
              </w:rPr>
            </w:pPr>
            <w:r>
              <w:rPr>
                <w:rFonts w:hint="eastAsia"/>
                <w:color w:val="auto"/>
                <w:lang w:val="en-US" w:eastAsia="zh-CN"/>
              </w:rPr>
              <w:t>1</w:t>
            </w:r>
          </w:p>
        </w:tc>
      </w:tr>
      <w:tr w14:paraId="54FC6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3135C8C5">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277DC7C0">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16B8579E">
            <w:pPr>
              <w:pageBreakBefore w:val="0"/>
              <w:wordWrap/>
              <w:bidi w:val="0"/>
              <w:adjustRightInd/>
              <w:snapToGrid/>
              <w:spacing w:line="240" w:lineRule="auto"/>
              <w:ind w:firstLine="0" w:firstLineChars="0"/>
              <w:jc w:val="center"/>
              <w:rPr>
                <w:color w:val="auto"/>
                <w:sz w:val="21"/>
                <w:szCs w:val="21"/>
              </w:rPr>
            </w:pPr>
            <w:r>
              <w:rPr>
                <w:color w:val="auto"/>
                <w:sz w:val="21"/>
                <w:szCs w:val="21"/>
              </w:rPr>
              <w:t>产生量t/a</w:t>
            </w:r>
          </w:p>
        </w:tc>
        <w:tc>
          <w:tcPr>
            <w:tcW w:w="660" w:type="dxa"/>
            <w:vMerge w:val="continue"/>
            <w:tcBorders>
              <w:tl2br w:val="nil"/>
              <w:tr2bl w:val="nil"/>
            </w:tcBorders>
            <w:noWrap w:val="0"/>
            <w:vAlign w:val="center"/>
          </w:tcPr>
          <w:p w14:paraId="1E31113D">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425B0EB5">
            <w:pPr>
              <w:pStyle w:val="12"/>
              <w:bidi w:val="0"/>
              <w:rPr>
                <w:color w:val="auto"/>
              </w:rPr>
            </w:pPr>
            <w:r>
              <w:rPr>
                <w:rFonts w:hint="default"/>
                <w:color w:val="auto"/>
                <w:lang w:val="en-US" w:eastAsia="zh-CN"/>
              </w:rPr>
              <w:t>383.25</w:t>
            </w:r>
          </w:p>
        </w:tc>
        <w:tc>
          <w:tcPr>
            <w:tcW w:w="735" w:type="dxa"/>
            <w:tcBorders>
              <w:tl2br w:val="nil"/>
              <w:tr2bl w:val="nil"/>
            </w:tcBorders>
            <w:noWrap w:val="0"/>
            <w:vAlign w:val="center"/>
          </w:tcPr>
          <w:p w14:paraId="4D3CFE50">
            <w:pPr>
              <w:pStyle w:val="12"/>
              <w:bidi w:val="0"/>
              <w:rPr>
                <w:color w:val="auto"/>
              </w:rPr>
            </w:pPr>
            <w:r>
              <w:rPr>
                <w:rFonts w:hint="default"/>
                <w:color w:val="auto"/>
                <w:lang w:val="en-US" w:eastAsia="zh-CN"/>
              </w:rPr>
              <w:t>164.25</w:t>
            </w:r>
          </w:p>
        </w:tc>
        <w:tc>
          <w:tcPr>
            <w:tcW w:w="660" w:type="dxa"/>
            <w:tcBorders>
              <w:tl2br w:val="nil"/>
              <w:tr2bl w:val="nil"/>
            </w:tcBorders>
            <w:noWrap w:val="0"/>
            <w:vAlign w:val="center"/>
          </w:tcPr>
          <w:p w14:paraId="790D273C">
            <w:pPr>
              <w:pStyle w:val="12"/>
              <w:bidi w:val="0"/>
              <w:rPr>
                <w:color w:val="auto"/>
              </w:rPr>
            </w:pPr>
            <w:r>
              <w:rPr>
                <w:rFonts w:hint="default"/>
                <w:color w:val="auto"/>
                <w:lang w:val="en-US" w:eastAsia="zh-CN"/>
              </w:rPr>
              <w:t>438</w:t>
            </w:r>
          </w:p>
        </w:tc>
        <w:tc>
          <w:tcPr>
            <w:tcW w:w="690" w:type="dxa"/>
            <w:tcBorders>
              <w:tl2br w:val="nil"/>
              <w:tr2bl w:val="nil"/>
            </w:tcBorders>
            <w:noWrap w:val="0"/>
            <w:vAlign w:val="center"/>
          </w:tcPr>
          <w:p w14:paraId="3206C2E2">
            <w:pPr>
              <w:pStyle w:val="12"/>
              <w:bidi w:val="0"/>
              <w:rPr>
                <w:color w:val="auto"/>
              </w:rPr>
            </w:pPr>
            <w:r>
              <w:rPr>
                <w:rFonts w:hint="default"/>
                <w:color w:val="auto"/>
                <w:lang w:val="en-US" w:eastAsia="zh-CN"/>
              </w:rPr>
              <w:t>54.75</w:t>
            </w:r>
          </w:p>
        </w:tc>
        <w:tc>
          <w:tcPr>
            <w:tcW w:w="660" w:type="dxa"/>
            <w:tcBorders>
              <w:tl2br w:val="nil"/>
              <w:tr2bl w:val="nil"/>
            </w:tcBorders>
            <w:noWrap w:val="0"/>
            <w:vAlign w:val="center"/>
          </w:tcPr>
          <w:p w14:paraId="27CF535F">
            <w:pPr>
              <w:pStyle w:val="12"/>
              <w:bidi w:val="0"/>
              <w:rPr>
                <w:color w:val="auto"/>
              </w:rPr>
            </w:pPr>
            <w:r>
              <w:rPr>
                <w:rFonts w:hint="default"/>
                <w:color w:val="auto"/>
                <w:lang w:val="en-US" w:eastAsia="zh-CN"/>
              </w:rPr>
              <w:t>87.6</w:t>
            </w:r>
          </w:p>
        </w:tc>
        <w:tc>
          <w:tcPr>
            <w:tcW w:w="645" w:type="dxa"/>
            <w:tcBorders>
              <w:tl2br w:val="nil"/>
              <w:tr2bl w:val="nil"/>
            </w:tcBorders>
            <w:noWrap w:val="0"/>
            <w:vAlign w:val="center"/>
          </w:tcPr>
          <w:p w14:paraId="1C92575A">
            <w:pPr>
              <w:pStyle w:val="12"/>
              <w:bidi w:val="0"/>
              <w:rPr>
                <w:color w:val="auto"/>
              </w:rPr>
            </w:pPr>
            <w:r>
              <w:rPr>
                <w:rFonts w:hint="default"/>
                <w:color w:val="auto"/>
                <w:lang w:val="en-US" w:eastAsia="zh-CN"/>
              </w:rPr>
              <w:t>4.38</w:t>
            </w:r>
          </w:p>
        </w:tc>
        <w:tc>
          <w:tcPr>
            <w:tcW w:w="705" w:type="dxa"/>
            <w:tcBorders>
              <w:tl2br w:val="nil"/>
              <w:tr2bl w:val="nil"/>
            </w:tcBorders>
            <w:noWrap w:val="0"/>
            <w:vAlign w:val="center"/>
          </w:tcPr>
          <w:p w14:paraId="740497AB">
            <w:pPr>
              <w:pStyle w:val="12"/>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3E88DA17">
            <w:pPr>
              <w:pStyle w:val="12"/>
              <w:bidi w:val="0"/>
              <w:rPr>
                <w:rFonts w:hint="default"/>
                <w:color w:val="auto"/>
                <w:lang w:val="en-US" w:eastAsia="zh-CN"/>
              </w:rPr>
            </w:pPr>
            <w:r>
              <w:rPr>
                <w:rFonts w:hint="eastAsia"/>
                <w:color w:val="auto"/>
                <w:lang w:val="en-US" w:eastAsia="zh-CN"/>
              </w:rPr>
              <w:t>1.095</w:t>
            </w:r>
          </w:p>
        </w:tc>
      </w:tr>
      <w:tr w14:paraId="4E757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6A360CBB">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5CDB84A1">
            <w:pPr>
              <w:pageBreakBefore w:val="0"/>
              <w:wordWrap/>
              <w:bidi w:val="0"/>
              <w:adjustRightInd/>
              <w:snapToGrid/>
              <w:spacing w:line="240" w:lineRule="auto"/>
              <w:ind w:firstLine="0" w:firstLineChars="0"/>
              <w:jc w:val="center"/>
              <w:rPr>
                <w:color w:val="auto"/>
                <w:sz w:val="21"/>
                <w:szCs w:val="21"/>
              </w:rPr>
            </w:pPr>
            <w:r>
              <w:rPr>
                <w:color w:val="auto"/>
                <w:sz w:val="21"/>
                <w:szCs w:val="21"/>
              </w:rPr>
              <w:t>处理后</w:t>
            </w:r>
          </w:p>
        </w:tc>
        <w:tc>
          <w:tcPr>
            <w:tcW w:w="1125" w:type="dxa"/>
            <w:tcBorders>
              <w:tl2br w:val="nil"/>
              <w:tr2bl w:val="nil"/>
            </w:tcBorders>
            <w:noWrap w:val="0"/>
            <w:vAlign w:val="center"/>
          </w:tcPr>
          <w:p w14:paraId="12BD3F3B">
            <w:pPr>
              <w:pageBreakBefore w:val="0"/>
              <w:wordWrap/>
              <w:bidi w:val="0"/>
              <w:adjustRightInd/>
              <w:snapToGrid/>
              <w:spacing w:line="240" w:lineRule="auto"/>
              <w:ind w:firstLine="0" w:firstLineChars="0"/>
              <w:jc w:val="center"/>
              <w:rPr>
                <w:color w:val="auto"/>
                <w:sz w:val="21"/>
                <w:szCs w:val="21"/>
              </w:rPr>
            </w:pPr>
            <w:r>
              <w:rPr>
                <w:color w:val="auto"/>
                <w:sz w:val="21"/>
                <w:szCs w:val="21"/>
              </w:rPr>
              <w:t>排放浓度mg/L</w:t>
            </w:r>
          </w:p>
        </w:tc>
        <w:tc>
          <w:tcPr>
            <w:tcW w:w="660" w:type="dxa"/>
            <w:vMerge w:val="restart"/>
            <w:tcBorders>
              <w:tl2br w:val="nil"/>
              <w:tr2bl w:val="nil"/>
            </w:tcBorders>
            <w:noWrap w:val="0"/>
            <w:vAlign w:val="center"/>
          </w:tcPr>
          <w:p w14:paraId="39E89C5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3000</w:t>
            </w:r>
          </w:p>
        </w:tc>
        <w:tc>
          <w:tcPr>
            <w:tcW w:w="750" w:type="dxa"/>
            <w:tcBorders>
              <w:tl2br w:val="nil"/>
              <w:tr2bl w:val="nil"/>
            </w:tcBorders>
            <w:noWrap w:val="0"/>
            <w:vAlign w:val="center"/>
          </w:tcPr>
          <w:p w14:paraId="690EDE1C">
            <w:pPr>
              <w:pStyle w:val="12"/>
              <w:bidi w:val="0"/>
              <w:rPr>
                <w:color w:val="auto"/>
              </w:rPr>
            </w:pPr>
            <w:r>
              <w:rPr>
                <w:rFonts w:hint="default"/>
                <w:color w:val="auto"/>
                <w:lang w:val="en-US" w:eastAsia="zh-CN"/>
              </w:rPr>
              <w:t>50</w:t>
            </w:r>
          </w:p>
        </w:tc>
        <w:tc>
          <w:tcPr>
            <w:tcW w:w="735" w:type="dxa"/>
            <w:tcBorders>
              <w:tl2br w:val="nil"/>
              <w:tr2bl w:val="nil"/>
            </w:tcBorders>
            <w:noWrap w:val="0"/>
            <w:vAlign w:val="center"/>
          </w:tcPr>
          <w:p w14:paraId="6E6C035E">
            <w:pPr>
              <w:pStyle w:val="12"/>
              <w:bidi w:val="0"/>
              <w:rPr>
                <w:color w:val="auto"/>
              </w:rPr>
            </w:pPr>
            <w:r>
              <w:rPr>
                <w:rFonts w:hint="default"/>
                <w:color w:val="auto"/>
                <w:lang w:val="en-US" w:eastAsia="zh-CN"/>
              </w:rPr>
              <w:t>10</w:t>
            </w:r>
          </w:p>
        </w:tc>
        <w:tc>
          <w:tcPr>
            <w:tcW w:w="660" w:type="dxa"/>
            <w:tcBorders>
              <w:tl2br w:val="nil"/>
              <w:tr2bl w:val="nil"/>
            </w:tcBorders>
            <w:noWrap w:val="0"/>
            <w:vAlign w:val="center"/>
          </w:tcPr>
          <w:p w14:paraId="740F99AB">
            <w:pPr>
              <w:pStyle w:val="12"/>
              <w:bidi w:val="0"/>
              <w:rPr>
                <w:color w:val="auto"/>
              </w:rPr>
            </w:pPr>
            <w:r>
              <w:rPr>
                <w:rFonts w:hint="default"/>
                <w:color w:val="auto"/>
                <w:lang w:val="en-US" w:eastAsia="zh-CN"/>
              </w:rPr>
              <w:t>10</w:t>
            </w:r>
          </w:p>
        </w:tc>
        <w:tc>
          <w:tcPr>
            <w:tcW w:w="690" w:type="dxa"/>
            <w:tcBorders>
              <w:tl2br w:val="nil"/>
              <w:tr2bl w:val="nil"/>
            </w:tcBorders>
            <w:noWrap w:val="0"/>
            <w:vAlign w:val="center"/>
          </w:tcPr>
          <w:p w14:paraId="48B6EDC6">
            <w:pPr>
              <w:pStyle w:val="12"/>
              <w:bidi w:val="0"/>
              <w:rPr>
                <w:color w:val="auto"/>
              </w:rPr>
            </w:pPr>
            <w:r>
              <w:rPr>
                <w:rFonts w:hint="default"/>
                <w:color w:val="auto"/>
                <w:lang w:val="en-US" w:eastAsia="zh-CN"/>
              </w:rPr>
              <w:t>5</w:t>
            </w:r>
          </w:p>
        </w:tc>
        <w:tc>
          <w:tcPr>
            <w:tcW w:w="660" w:type="dxa"/>
            <w:tcBorders>
              <w:tl2br w:val="nil"/>
              <w:tr2bl w:val="nil"/>
            </w:tcBorders>
            <w:noWrap w:val="0"/>
            <w:vAlign w:val="center"/>
          </w:tcPr>
          <w:p w14:paraId="0F12DEBA">
            <w:pPr>
              <w:pStyle w:val="12"/>
              <w:bidi w:val="0"/>
              <w:rPr>
                <w:color w:val="auto"/>
              </w:rPr>
            </w:pPr>
            <w:r>
              <w:rPr>
                <w:rFonts w:hint="default"/>
                <w:color w:val="auto"/>
                <w:lang w:val="en-US" w:eastAsia="zh-CN"/>
              </w:rPr>
              <w:t>15</w:t>
            </w:r>
          </w:p>
        </w:tc>
        <w:tc>
          <w:tcPr>
            <w:tcW w:w="645" w:type="dxa"/>
            <w:tcBorders>
              <w:tl2br w:val="nil"/>
              <w:tr2bl w:val="nil"/>
            </w:tcBorders>
            <w:noWrap w:val="0"/>
            <w:vAlign w:val="center"/>
          </w:tcPr>
          <w:p w14:paraId="41F0AA68">
            <w:pPr>
              <w:pStyle w:val="12"/>
              <w:bidi w:val="0"/>
              <w:rPr>
                <w:color w:val="auto"/>
              </w:rPr>
            </w:pPr>
            <w:r>
              <w:rPr>
                <w:rFonts w:hint="default"/>
                <w:color w:val="auto"/>
                <w:lang w:val="en-US" w:eastAsia="zh-CN"/>
              </w:rPr>
              <w:t>0.5</w:t>
            </w:r>
          </w:p>
        </w:tc>
        <w:tc>
          <w:tcPr>
            <w:tcW w:w="705" w:type="dxa"/>
            <w:tcBorders>
              <w:tl2br w:val="nil"/>
              <w:tr2bl w:val="nil"/>
            </w:tcBorders>
            <w:noWrap w:val="0"/>
            <w:vAlign w:val="center"/>
          </w:tcPr>
          <w:p w14:paraId="31D339EC">
            <w:pPr>
              <w:pStyle w:val="12"/>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5A3DCAF2">
            <w:pPr>
              <w:pStyle w:val="12"/>
              <w:bidi w:val="0"/>
              <w:rPr>
                <w:rFonts w:hint="default"/>
                <w:color w:val="auto"/>
                <w:lang w:val="en-US" w:eastAsia="zh-CN"/>
              </w:rPr>
            </w:pPr>
            <w:r>
              <w:rPr>
                <w:rFonts w:hint="eastAsia"/>
                <w:color w:val="auto"/>
                <w:lang w:val="en-US" w:eastAsia="zh-CN"/>
              </w:rPr>
              <w:t>1</w:t>
            </w:r>
          </w:p>
        </w:tc>
      </w:tr>
      <w:tr w14:paraId="3F824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5278BC2B">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6E36CE76">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42A8D71D">
            <w:pPr>
              <w:pageBreakBefore w:val="0"/>
              <w:wordWrap/>
              <w:bidi w:val="0"/>
              <w:adjustRightInd/>
              <w:snapToGrid/>
              <w:spacing w:line="240" w:lineRule="auto"/>
              <w:ind w:firstLine="0" w:firstLineChars="0"/>
              <w:jc w:val="center"/>
              <w:rPr>
                <w:color w:val="auto"/>
                <w:sz w:val="21"/>
                <w:szCs w:val="21"/>
              </w:rPr>
            </w:pPr>
            <w:r>
              <w:rPr>
                <w:color w:val="auto"/>
                <w:sz w:val="21"/>
                <w:szCs w:val="21"/>
              </w:rPr>
              <w:t>排放量t/a</w:t>
            </w:r>
          </w:p>
        </w:tc>
        <w:tc>
          <w:tcPr>
            <w:tcW w:w="660" w:type="dxa"/>
            <w:vMerge w:val="continue"/>
            <w:tcBorders>
              <w:tl2br w:val="nil"/>
              <w:tr2bl w:val="nil"/>
            </w:tcBorders>
            <w:noWrap w:val="0"/>
            <w:vAlign w:val="center"/>
          </w:tcPr>
          <w:p w14:paraId="0297BFF3">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228EC8B2">
            <w:pPr>
              <w:pStyle w:val="12"/>
              <w:bidi w:val="0"/>
              <w:rPr>
                <w:color w:val="auto"/>
              </w:rPr>
            </w:pPr>
            <w:r>
              <w:rPr>
                <w:rFonts w:hint="default"/>
                <w:color w:val="auto"/>
                <w:lang w:val="en-US" w:eastAsia="zh-CN"/>
              </w:rPr>
              <w:t>54.75</w:t>
            </w:r>
          </w:p>
        </w:tc>
        <w:tc>
          <w:tcPr>
            <w:tcW w:w="735" w:type="dxa"/>
            <w:tcBorders>
              <w:tl2br w:val="nil"/>
              <w:tr2bl w:val="nil"/>
            </w:tcBorders>
            <w:noWrap w:val="0"/>
            <w:vAlign w:val="center"/>
          </w:tcPr>
          <w:p w14:paraId="0984AB17">
            <w:pPr>
              <w:pStyle w:val="12"/>
              <w:bidi w:val="0"/>
              <w:rPr>
                <w:color w:val="auto"/>
              </w:rPr>
            </w:pPr>
            <w:r>
              <w:rPr>
                <w:rFonts w:hint="default"/>
                <w:color w:val="auto"/>
                <w:lang w:val="en-US" w:eastAsia="zh-CN"/>
              </w:rPr>
              <w:t>10.95</w:t>
            </w:r>
          </w:p>
        </w:tc>
        <w:tc>
          <w:tcPr>
            <w:tcW w:w="660" w:type="dxa"/>
            <w:tcBorders>
              <w:tl2br w:val="nil"/>
              <w:tr2bl w:val="nil"/>
            </w:tcBorders>
            <w:noWrap w:val="0"/>
            <w:vAlign w:val="center"/>
          </w:tcPr>
          <w:p w14:paraId="4F03EB24">
            <w:pPr>
              <w:pStyle w:val="12"/>
              <w:bidi w:val="0"/>
              <w:rPr>
                <w:color w:val="auto"/>
              </w:rPr>
            </w:pPr>
            <w:r>
              <w:rPr>
                <w:rFonts w:hint="default"/>
                <w:color w:val="auto"/>
                <w:lang w:val="en-US" w:eastAsia="zh-CN"/>
              </w:rPr>
              <w:t>10.95</w:t>
            </w:r>
          </w:p>
        </w:tc>
        <w:tc>
          <w:tcPr>
            <w:tcW w:w="690" w:type="dxa"/>
            <w:tcBorders>
              <w:tl2br w:val="nil"/>
              <w:tr2bl w:val="nil"/>
            </w:tcBorders>
            <w:noWrap w:val="0"/>
            <w:vAlign w:val="center"/>
          </w:tcPr>
          <w:p w14:paraId="6037FB0F">
            <w:pPr>
              <w:pStyle w:val="12"/>
              <w:bidi w:val="0"/>
              <w:rPr>
                <w:color w:val="auto"/>
              </w:rPr>
            </w:pPr>
            <w:r>
              <w:rPr>
                <w:rFonts w:hint="default"/>
                <w:color w:val="auto"/>
                <w:lang w:val="en-US" w:eastAsia="zh-CN"/>
              </w:rPr>
              <w:t>5.475</w:t>
            </w:r>
          </w:p>
        </w:tc>
        <w:tc>
          <w:tcPr>
            <w:tcW w:w="660" w:type="dxa"/>
            <w:tcBorders>
              <w:tl2br w:val="nil"/>
              <w:tr2bl w:val="nil"/>
            </w:tcBorders>
            <w:noWrap w:val="0"/>
            <w:vAlign w:val="center"/>
          </w:tcPr>
          <w:p w14:paraId="6B3330CA">
            <w:pPr>
              <w:pStyle w:val="12"/>
              <w:bidi w:val="0"/>
              <w:rPr>
                <w:color w:val="auto"/>
              </w:rPr>
            </w:pPr>
            <w:r>
              <w:rPr>
                <w:rFonts w:hint="default"/>
                <w:color w:val="auto"/>
                <w:lang w:val="en-US" w:eastAsia="zh-CN"/>
              </w:rPr>
              <w:t>16.425</w:t>
            </w:r>
          </w:p>
        </w:tc>
        <w:tc>
          <w:tcPr>
            <w:tcW w:w="645" w:type="dxa"/>
            <w:tcBorders>
              <w:tl2br w:val="nil"/>
              <w:tr2bl w:val="nil"/>
            </w:tcBorders>
            <w:noWrap w:val="0"/>
            <w:vAlign w:val="center"/>
          </w:tcPr>
          <w:p w14:paraId="1EF76CA7">
            <w:pPr>
              <w:pStyle w:val="12"/>
              <w:bidi w:val="0"/>
              <w:rPr>
                <w:color w:val="auto"/>
              </w:rPr>
            </w:pPr>
            <w:r>
              <w:rPr>
                <w:rFonts w:hint="default"/>
                <w:color w:val="auto"/>
                <w:lang w:val="en-US" w:eastAsia="zh-CN"/>
              </w:rPr>
              <w:t>0.5475</w:t>
            </w:r>
          </w:p>
        </w:tc>
        <w:tc>
          <w:tcPr>
            <w:tcW w:w="705" w:type="dxa"/>
            <w:tcBorders>
              <w:tl2br w:val="nil"/>
              <w:tr2bl w:val="nil"/>
            </w:tcBorders>
            <w:noWrap w:val="0"/>
            <w:vAlign w:val="center"/>
          </w:tcPr>
          <w:p w14:paraId="2814CDDB">
            <w:pPr>
              <w:pStyle w:val="12"/>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24E80194">
            <w:pPr>
              <w:pStyle w:val="12"/>
              <w:bidi w:val="0"/>
              <w:rPr>
                <w:rFonts w:hint="default"/>
                <w:color w:val="auto"/>
                <w:lang w:val="en-US" w:eastAsia="zh-CN"/>
              </w:rPr>
            </w:pPr>
            <w:r>
              <w:rPr>
                <w:rFonts w:hint="eastAsia"/>
                <w:color w:val="auto"/>
                <w:lang w:val="en-US" w:eastAsia="zh-CN"/>
              </w:rPr>
              <w:t>1.095</w:t>
            </w:r>
          </w:p>
        </w:tc>
      </w:tr>
      <w:tr w14:paraId="37103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0DAE1668">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42E137F3">
            <w:pPr>
              <w:pageBreakBefore w:val="0"/>
              <w:wordWrap/>
              <w:bidi w:val="0"/>
              <w:adjustRightInd/>
              <w:snapToGrid/>
              <w:spacing w:line="240" w:lineRule="auto"/>
              <w:ind w:firstLine="0" w:firstLineChars="0"/>
              <w:jc w:val="center"/>
              <w:rPr>
                <w:color w:val="auto"/>
                <w:sz w:val="21"/>
                <w:szCs w:val="21"/>
              </w:rPr>
            </w:pPr>
            <w:r>
              <w:rPr>
                <w:color w:val="auto"/>
                <w:sz w:val="21"/>
                <w:szCs w:val="21"/>
              </w:rPr>
              <w:t>削减量</w:t>
            </w:r>
          </w:p>
        </w:tc>
        <w:tc>
          <w:tcPr>
            <w:tcW w:w="1125" w:type="dxa"/>
            <w:tcBorders>
              <w:tl2br w:val="nil"/>
              <w:tr2bl w:val="nil"/>
            </w:tcBorders>
            <w:noWrap w:val="0"/>
            <w:vAlign w:val="center"/>
          </w:tcPr>
          <w:p w14:paraId="54B6BE70">
            <w:pPr>
              <w:pageBreakBefore w:val="0"/>
              <w:wordWrap/>
              <w:bidi w:val="0"/>
              <w:adjustRightInd/>
              <w:snapToGrid/>
              <w:spacing w:line="240" w:lineRule="auto"/>
              <w:ind w:firstLine="0" w:firstLineChars="0"/>
              <w:jc w:val="center"/>
              <w:rPr>
                <w:color w:val="auto"/>
                <w:sz w:val="21"/>
                <w:szCs w:val="21"/>
              </w:rPr>
            </w:pPr>
            <w:r>
              <w:rPr>
                <w:color w:val="auto"/>
                <w:sz w:val="21"/>
                <w:szCs w:val="21"/>
              </w:rPr>
              <w:t>日削减t/d</w:t>
            </w:r>
          </w:p>
        </w:tc>
        <w:tc>
          <w:tcPr>
            <w:tcW w:w="660" w:type="dxa"/>
            <w:vMerge w:val="restart"/>
            <w:tcBorders>
              <w:tl2br w:val="nil"/>
              <w:tr2bl w:val="nil"/>
            </w:tcBorders>
            <w:noWrap w:val="0"/>
            <w:vAlign w:val="center"/>
          </w:tcPr>
          <w:p w14:paraId="0279FF9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0C63004A">
            <w:pPr>
              <w:pStyle w:val="12"/>
              <w:bidi w:val="0"/>
              <w:rPr>
                <w:color w:val="auto"/>
              </w:rPr>
            </w:pPr>
            <w:r>
              <w:rPr>
                <w:rFonts w:hint="default"/>
                <w:color w:val="auto"/>
                <w:lang w:val="en-US" w:eastAsia="zh-CN"/>
              </w:rPr>
              <w:t>0.9</w:t>
            </w:r>
          </w:p>
        </w:tc>
        <w:tc>
          <w:tcPr>
            <w:tcW w:w="735" w:type="dxa"/>
            <w:tcBorders>
              <w:tl2br w:val="nil"/>
              <w:tr2bl w:val="nil"/>
            </w:tcBorders>
            <w:noWrap w:val="0"/>
            <w:vAlign w:val="center"/>
          </w:tcPr>
          <w:p w14:paraId="2EDF767D">
            <w:pPr>
              <w:pStyle w:val="12"/>
              <w:bidi w:val="0"/>
              <w:rPr>
                <w:color w:val="auto"/>
              </w:rPr>
            </w:pPr>
            <w:r>
              <w:rPr>
                <w:rFonts w:hint="default"/>
                <w:color w:val="auto"/>
                <w:lang w:val="en-US" w:eastAsia="zh-CN"/>
              </w:rPr>
              <w:t>0.42</w:t>
            </w:r>
          </w:p>
        </w:tc>
        <w:tc>
          <w:tcPr>
            <w:tcW w:w="660" w:type="dxa"/>
            <w:tcBorders>
              <w:tl2br w:val="nil"/>
              <w:tr2bl w:val="nil"/>
            </w:tcBorders>
            <w:noWrap w:val="0"/>
            <w:vAlign w:val="center"/>
          </w:tcPr>
          <w:p w14:paraId="20015286">
            <w:pPr>
              <w:pStyle w:val="12"/>
              <w:bidi w:val="0"/>
              <w:rPr>
                <w:color w:val="auto"/>
              </w:rPr>
            </w:pPr>
            <w:r>
              <w:rPr>
                <w:rFonts w:hint="default"/>
                <w:color w:val="auto"/>
                <w:lang w:val="en-US" w:eastAsia="zh-CN"/>
              </w:rPr>
              <w:t>1.17</w:t>
            </w:r>
          </w:p>
        </w:tc>
        <w:tc>
          <w:tcPr>
            <w:tcW w:w="690" w:type="dxa"/>
            <w:tcBorders>
              <w:tl2br w:val="nil"/>
              <w:tr2bl w:val="nil"/>
            </w:tcBorders>
            <w:noWrap w:val="0"/>
            <w:vAlign w:val="center"/>
          </w:tcPr>
          <w:p w14:paraId="1B57D550">
            <w:pPr>
              <w:pStyle w:val="12"/>
              <w:bidi w:val="0"/>
              <w:rPr>
                <w:color w:val="auto"/>
              </w:rPr>
            </w:pPr>
            <w:r>
              <w:rPr>
                <w:rFonts w:hint="default"/>
                <w:color w:val="auto"/>
                <w:lang w:val="en-US" w:eastAsia="zh-CN"/>
              </w:rPr>
              <w:t>0.135</w:t>
            </w:r>
          </w:p>
        </w:tc>
        <w:tc>
          <w:tcPr>
            <w:tcW w:w="660" w:type="dxa"/>
            <w:tcBorders>
              <w:tl2br w:val="nil"/>
              <w:tr2bl w:val="nil"/>
            </w:tcBorders>
            <w:noWrap w:val="0"/>
            <w:vAlign w:val="center"/>
          </w:tcPr>
          <w:p w14:paraId="4AEB84C6">
            <w:pPr>
              <w:pStyle w:val="12"/>
              <w:bidi w:val="0"/>
              <w:rPr>
                <w:color w:val="auto"/>
              </w:rPr>
            </w:pPr>
            <w:r>
              <w:rPr>
                <w:rFonts w:hint="default"/>
                <w:color w:val="auto"/>
                <w:lang w:val="en-US" w:eastAsia="zh-CN"/>
              </w:rPr>
              <w:t>0.195</w:t>
            </w:r>
          </w:p>
        </w:tc>
        <w:tc>
          <w:tcPr>
            <w:tcW w:w="645" w:type="dxa"/>
            <w:tcBorders>
              <w:tl2br w:val="nil"/>
              <w:tr2bl w:val="nil"/>
            </w:tcBorders>
            <w:noWrap w:val="0"/>
            <w:vAlign w:val="center"/>
          </w:tcPr>
          <w:p w14:paraId="3B987E87">
            <w:pPr>
              <w:pStyle w:val="12"/>
              <w:bidi w:val="0"/>
              <w:rPr>
                <w:color w:val="auto"/>
              </w:rPr>
            </w:pPr>
            <w:r>
              <w:rPr>
                <w:rFonts w:hint="default"/>
                <w:color w:val="auto"/>
                <w:lang w:val="en-US" w:eastAsia="zh-CN"/>
              </w:rPr>
              <w:t>0.0105</w:t>
            </w:r>
          </w:p>
        </w:tc>
        <w:tc>
          <w:tcPr>
            <w:tcW w:w="705" w:type="dxa"/>
            <w:tcBorders>
              <w:tl2br w:val="nil"/>
              <w:tr2bl w:val="nil"/>
            </w:tcBorders>
            <w:noWrap w:val="0"/>
            <w:vAlign w:val="center"/>
          </w:tcPr>
          <w:p w14:paraId="5157C3FC">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73AD3AC6">
            <w:pPr>
              <w:pStyle w:val="12"/>
              <w:bidi w:val="0"/>
              <w:rPr>
                <w:rFonts w:hint="default"/>
                <w:color w:val="auto"/>
                <w:lang w:val="en-US" w:eastAsia="zh-CN"/>
              </w:rPr>
            </w:pPr>
            <w:r>
              <w:rPr>
                <w:rFonts w:hint="eastAsia"/>
                <w:color w:val="auto"/>
                <w:lang w:val="en-US" w:eastAsia="zh-CN"/>
              </w:rPr>
              <w:t>0</w:t>
            </w:r>
          </w:p>
        </w:tc>
      </w:tr>
      <w:tr w14:paraId="1635B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76E46A20">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50E57B7E">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74F3B27F">
            <w:pPr>
              <w:pageBreakBefore w:val="0"/>
              <w:wordWrap/>
              <w:bidi w:val="0"/>
              <w:adjustRightInd/>
              <w:snapToGrid/>
              <w:spacing w:line="240" w:lineRule="auto"/>
              <w:ind w:firstLine="0" w:firstLineChars="0"/>
              <w:jc w:val="center"/>
              <w:rPr>
                <w:color w:val="auto"/>
                <w:sz w:val="21"/>
                <w:szCs w:val="21"/>
              </w:rPr>
            </w:pPr>
            <w:r>
              <w:rPr>
                <w:color w:val="auto"/>
                <w:sz w:val="21"/>
                <w:szCs w:val="21"/>
              </w:rPr>
              <w:t>年削减t/a</w:t>
            </w:r>
          </w:p>
        </w:tc>
        <w:tc>
          <w:tcPr>
            <w:tcW w:w="660" w:type="dxa"/>
            <w:vMerge w:val="continue"/>
            <w:tcBorders>
              <w:tl2br w:val="nil"/>
              <w:tr2bl w:val="nil"/>
            </w:tcBorders>
            <w:noWrap w:val="0"/>
            <w:vAlign w:val="center"/>
          </w:tcPr>
          <w:p w14:paraId="516E6F22">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51568CE9">
            <w:pPr>
              <w:pStyle w:val="12"/>
              <w:bidi w:val="0"/>
              <w:rPr>
                <w:color w:val="auto"/>
              </w:rPr>
            </w:pPr>
            <w:r>
              <w:rPr>
                <w:rFonts w:hint="default"/>
                <w:color w:val="auto"/>
                <w:lang w:val="en-US" w:eastAsia="zh-CN"/>
              </w:rPr>
              <w:t>328.5</w:t>
            </w:r>
          </w:p>
        </w:tc>
        <w:tc>
          <w:tcPr>
            <w:tcW w:w="735" w:type="dxa"/>
            <w:tcBorders>
              <w:tl2br w:val="nil"/>
              <w:tr2bl w:val="nil"/>
            </w:tcBorders>
            <w:noWrap w:val="0"/>
            <w:vAlign w:val="center"/>
          </w:tcPr>
          <w:p w14:paraId="7F4BB860">
            <w:pPr>
              <w:pStyle w:val="12"/>
              <w:bidi w:val="0"/>
              <w:rPr>
                <w:color w:val="auto"/>
              </w:rPr>
            </w:pPr>
            <w:r>
              <w:rPr>
                <w:rFonts w:hint="default"/>
                <w:color w:val="auto"/>
                <w:lang w:val="en-US" w:eastAsia="zh-CN"/>
              </w:rPr>
              <w:t>153.3</w:t>
            </w:r>
          </w:p>
        </w:tc>
        <w:tc>
          <w:tcPr>
            <w:tcW w:w="660" w:type="dxa"/>
            <w:tcBorders>
              <w:tl2br w:val="nil"/>
              <w:tr2bl w:val="nil"/>
            </w:tcBorders>
            <w:noWrap w:val="0"/>
            <w:vAlign w:val="center"/>
          </w:tcPr>
          <w:p w14:paraId="33019733">
            <w:pPr>
              <w:pStyle w:val="12"/>
              <w:bidi w:val="0"/>
              <w:rPr>
                <w:color w:val="auto"/>
              </w:rPr>
            </w:pPr>
            <w:r>
              <w:rPr>
                <w:rFonts w:hint="default"/>
                <w:color w:val="auto"/>
                <w:lang w:val="en-US" w:eastAsia="zh-CN"/>
              </w:rPr>
              <w:t>427.05</w:t>
            </w:r>
          </w:p>
        </w:tc>
        <w:tc>
          <w:tcPr>
            <w:tcW w:w="690" w:type="dxa"/>
            <w:tcBorders>
              <w:tl2br w:val="nil"/>
              <w:tr2bl w:val="nil"/>
            </w:tcBorders>
            <w:noWrap w:val="0"/>
            <w:vAlign w:val="center"/>
          </w:tcPr>
          <w:p w14:paraId="4610F169">
            <w:pPr>
              <w:pStyle w:val="12"/>
              <w:bidi w:val="0"/>
              <w:rPr>
                <w:color w:val="auto"/>
              </w:rPr>
            </w:pPr>
            <w:r>
              <w:rPr>
                <w:rFonts w:hint="default"/>
                <w:color w:val="auto"/>
                <w:lang w:val="en-US" w:eastAsia="zh-CN"/>
              </w:rPr>
              <w:t>49.275</w:t>
            </w:r>
          </w:p>
        </w:tc>
        <w:tc>
          <w:tcPr>
            <w:tcW w:w="660" w:type="dxa"/>
            <w:tcBorders>
              <w:tl2br w:val="nil"/>
              <w:tr2bl w:val="nil"/>
            </w:tcBorders>
            <w:noWrap w:val="0"/>
            <w:vAlign w:val="center"/>
          </w:tcPr>
          <w:p w14:paraId="6B68593E">
            <w:pPr>
              <w:pStyle w:val="12"/>
              <w:bidi w:val="0"/>
              <w:rPr>
                <w:color w:val="auto"/>
              </w:rPr>
            </w:pPr>
            <w:r>
              <w:rPr>
                <w:rFonts w:hint="default"/>
                <w:color w:val="auto"/>
                <w:lang w:val="en-US" w:eastAsia="zh-CN"/>
              </w:rPr>
              <w:t>71.175</w:t>
            </w:r>
          </w:p>
        </w:tc>
        <w:tc>
          <w:tcPr>
            <w:tcW w:w="645" w:type="dxa"/>
            <w:tcBorders>
              <w:tl2br w:val="nil"/>
              <w:tr2bl w:val="nil"/>
            </w:tcBorders>
            <w:noWrap w:val="0"/>
            <w:vAlign w:val="center"/>
          </w:tcPr>
          <w:p w14:paraId="31F72591">
            <w:pPr>
              <w:pStyle w:val="12"/>
              <w:bidi w:val="0"/>
              <w:rPr>
                <w:color w:val="auto"/>
              </w:rPr>
            </w:pPr>
            <w:r>
              <w:rPr>
                <w:rFonts w:hint="default"/>
                <w:color w:val="auto"/>
                <w:lang w:val="en-US" w:eastAsia="zh-CN"/>
              </w:rPr>
              <w:t>3.8325</w:t>
            </w:r>
          </w:p>
        </w:tc>
        <w:tc>
          <w:tcPr>
            <w:tcW w:w="705" w:type="dxa"/>
            <w:tcBorders>
              <w:tl2br w:val="nil"/>
              <w:tr2bl w:val="nil"/>
            </w:tcBorders>
            <w:noWrap w:val="0"/>
            <w:vAlign w:val="center"/>
          </w:tcPr>
          <w:p w14:paraId="6885BFA1">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3DCAEFD2">
            <w:pPr>
              <w:pStyle w:val="12"/>
              <w:bidi w:val="0"/>
              <w:rPr>
                <w:rFonts w:hint="default"/>
                <w:color w:val="auto"/>
                <w:lang w:val="en-US" w:eastAsia="zh-CN"/>
              </w:rPr>
            </w:pPr>
            <w:r>
              <w:rPr>
                <w:rFonts w:hint="eastAsia"/>
                <w:color w:val="auto"/>
                <w:lang w:val="en-US" w:eastAsia="zh-CN"/>
              </w:rPr>
              <w:t>0</w:t>
            </w:r>
          </w:p>
        </w:tc>
      </w:tr>
      <w:tr w14:paraId="38F2C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543C49A1">
            <w:pPr>
              <w:pageBreakBefore w:val="0"/>
              <w:wordWrap/>
              <w:bidi w:val="0"/>
              <w:adjustRightInd/>
              <w:snapToGrid/>
              <w:spacing w:line="240" w:lineRule="auto"/>
              <w:ind w:firstLine="0" w:firstLineChars="0"/>
              <w:jc w:val="center"/>
              <w:rPr>
                <w:color w:val="auto"/>
                <w:sz w:val="21"/>
                <w:szCs w:val="21"/>
              </w:rPr>
            </w:pPr>
          </w:p>
        </w:tc>
        <w:tc>
          <w:tcPr>
            <w:tcW w:w="1995" w:type="dxa"/>
            <w:gridSpan w:val="2"/>
            <w:tcBorders>
              <w:tl2br w:val="nil"/>
              <w:tr2bl w:val="nil"/>
            </w:tcBorders>
            <w:noWrap w:val="0"/>
            <w:vAlign w:val="center"/>
          </w:tcPr>
          <w:p w14:paraId="2B3D44AF">
            <w:pPr>
              <w:pageBreakBefore w:val="0"/>
              <w:wordWrap/>
              <w:bidi w:val="0"/>
              <w:adjustRightInd/>
              <w:snapToGrid/>
              <w:spacing w:line="240" w:lineRule="auto"/>
              <w:ind w:firstLine="0" w:firstLineChars="0"/>
              <w:jc w:val="center"/>
              <w:rPr>
                <w:color w:val="auto"/>
                <w:sz w:val="21"/>
                <w:szCs w:val="21"/>
              </w:rPr>
            </w:pPr>
            <w:r>
              <w:rPr>
                <w:color w:val="auto"/>
                <w:sz w:val="21"/>
                <w:szCs w:val="21"/>
              </w:rPr>
              <w:t>削减率%</w:t>
            </w:r>
          </w:p>
        </w:tc>
        <w:tc>
          <w:tcPr>
            <w:tcW w:w="660" w:type="dxa"/>
            <w:tcBorders>
              <w:tl2br w:val="nil"/>
              <w:tr2bl w:val="nil"/>
            </w:tcBorders>
            <w:noWrap w:val="0"/>
            <w:vAlign w:val="center"/>
          </w:tcPr>
          <w:p w14:paraId="6DB3A9D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2AE4BE9F">
            <w:pPr>
              <w:pStyle w:val="12"/>
              <w:bidi w:val="0"/>
              <w:rPr>
                <w:color w:val="auto"/>
              </w:rPr>
            </w:pPr>
            <w:r>
              <w:rPr>
                <w:rFonts w:hint="default"/>
                <w:color w:val="auto"/>
                <w:lang w:val="en-US" w:eastAsia="zh-CN"/>
              </w:rPr>
              <w:t>85.7</w:t>
            </w:r>
          </w:p>
        </w:tc>
        <w:tc>
          <w:tcPr>
            <w:tcW w:w="735" w:type="dxa"/>
            <w:tcBorders>
              <w:tl2br w:val="nil"/>
              <w:tr2bl w:val="nil"/>
            </w:tcBorders>
            <w:noWrap w:val="0"/>
            <w:vAlign w:val="center"/>
          </w:tcPr>
          <w:p w14:paraId="0CC15B86">
            <w:pPr>
              <w:pStyle w:val="12"/>
              <w:bidi w:val="0"/>
              <w:rPr>
                <w:color w:val="auto"/>
              </w:rPr>
            </w:pPr>
            <w:r>
              <w:rPr>
                <w:rFonts w:hint="default"/>
                <w:color w:val="auto"/>
                <w:lang w:val="en-US" w:eastAsia="zh-CN"/>
              </w:rPr>
              <w:t>93.3</w:t>
            </w:r>
          </w:p>
        </w:tc>
        <w:tc>
          <w:tcPr>
            <w:tcW w:w="660" w:type="dxa"/>
            <w:tcBorders>
              <w:tl2br w:val="nil"/>
              <w:tr2bl w:val="nil"/>
            </w:tcBorders>
            <w:noWrap w:val="0"/>
            <w:vAlign w:val="center"/>
          </w:tcPr>
          <w:p w14:paraId="27A44E7A">
            <w:pPr>
              <w:pStyle w:val="12"/>
              <w:bidi w:val="0"/>
              <w:rPr>
                <w:color w:val="auto"/>
              </w:rPr>
            </w:pPr>
            <w:r>
              <w:rPr>
                <w:rFonts w:hint="default"/>
                <w:color w:val="auto"/>
                <w:lang w:val="en-US" w:eastAsia="zh-CN"/>
              </w:rPr>
              <w:t>97.5</w:t>
            </w:r>
          </w:p>
        </w:tc>
        <w:tc>
          <w:tcPr>
            <w:tcW w:w="690" w:type="dxa"/>
            <w:tcBorders>
              <w:tl2br w:val="nil"/>
              <w:tr2bl w:val="nil"/>
            </w:tcBorders>
            <w:noWrap w:val="0"/>
            <w:vAlign w:val="center"/>
          </w:tcPr>
          <w:p w14:paraId="7963E1A5">
            <w:pPr>
              <w:pStyle w:val="12"/>
              <w:bidi w:val="0"/>
              <w:rPr>
                <w:color w:val="auto"/>
              </w:rPr>
            </w:pPr>
            <w:r>
              <w:rPr>
                <w:rFonts w:hint="default"/>
                <w:color w:val="auto"/>
                <w:lang w:val="en-US" w:eastAsia="zh-CN"/>
              </w:rPr>
              <w:t>90</w:t>
            </w:r>
          </w:p>
        </w:tc>
        <w:tc>
          <w:tcPr>
            <w:tcW w:w="660" w:type="dxa"/>
            <w:tcBorders>
              <w:tl2br w:val="nil"/>
              <w:tr2bl w:val="nil"/>
            </w:tcBorders>
            <w:noWrap w:val="0"/>
            <w:vAlign w:val="center"/>
          </w:tcPr>
          <w:p w14:paraId="205DDBA1">
            <w:pPr>
              <w:pStyle w:val="12"/>
              <w:bidi w:val="0"/>
              <w:rPr>
                <w:color w:val="auto"/>
              </w:rPr>
            </w:pPr>
            <w:r>
              <w:rPr>
                <w:rFonts w:hint="default"/>
                <w:color w:val="auto"/>
                <w:lang w:val="en-US" w:eastAsia="zh-CN"/>
              </w:rPr>
              <w:t>81.25</w:t>
            </w:r>
          </w:p>
        </w:tc>
        <w:tc>
          <w:tcPr>
            <w:tcW w:w="645" w:type="dxa"/>
            <w:tcBorders>
              <w:tl2br w:val="nil"/>
              <w:tr2bl w:val="nil"/>
            </w:tcBorders>
            <w:noWrap w:val="0"/>
            <w:vAlign w:val="center"/>
          </w:tcPr>
          <w:p w14:paraId="37342618">
            <w:pPr>
              <w:pStyle w:val="12"/>
              <w:bidi w:val="0"/>
              <w:rPr>
                <w:color w:val="auto"/>
              </w:rPr>
            </w:pPr>
            <w:r>
              <w:rPr>
                <w:rFonts w:hint="default"/>
                <w:color w:val="auto"/>
                <w:lang w:val="en-US" w:eastAsia="zh-CN"/>
              </w:rPr>
              <w:t>87.5</w:t>
            </w:r>
          </w:p>
        </w:tc>
        <w:tc>
          <w:tcPr>
            <w:tcW w:w="705" w:type="dxa"/>
            <w:tcBorders>
              <w:tl2br w:val="nil"/>
              <w:tr2bl w:val="nil"/>
            </w:tcBorders>
            <w:noWrap w:val="0"/>
            <w:vAlign w:val="center"/>
          </w:tcPr>
          <w:p w14:paraId="65185F46">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7082CC7C">
            <w:pPr>
              <w:pStyle w:val="12"/>
              <w:bidi w:val="0"/>
              <w:rPr>
                <w:rFonts w:hint="default"/>
                <w:color w:val="auto"/>
                <w:lang w:val="en-US" w:eastAsia="zh-CN"/>
              </w:rPr>
            </w:pPr>
            <w:r>
              <w:rPr>
                <w:rFonts w:hint="eastAsia"/>
                <w:color w:val="auto"/>
                <w:lang w:val="en-US" w:eastAsia="zh-CN"/>
              </w:rPr>
              <w:t>0</w:t>
            </w:r>
          </w:p>
        </w:tc>
      </w:tr>
      <w:tr w14:paraId="1DAC5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0C9F5F58">
            <w:pPr>
              <w:pageBreakBefore w:val="0"/>
              <w:wordWrap/>
              <w:bidi w:val="0"/>
              <w:adjustRightInd/>
              <w:snapToGrid/>
              <w:spacing w:line="240" w:lineRule="auto"/>
              <w:ind w:firstLine="0" w:firstLineChars="0"/>
              <w:jc w:val="center"/>
              <w:rPr>
                <w:color w:val="auto"/>
                <w:sz w:val="21"/>
                <w:szCs w:val="21"/>
              </w:rPr>
            </w:pPr>
          </w:p>
        </w:tc>
        <w:tc>
          <w:tcPr>
            <w:tcW w:w="2655" w:type="dxa"/>
            <w:gridSpan w:val="3"/>
            <w:tcBorders>
              <w:tl2br w:val="nil"/>
              <w:tr2bl w:val="nil"/>
            </w:tcBorders>
            <w:noWrap w:val="0"/>
            <w:vAlign w:val="center"/>
          </w:tcPr>
          <w:p w14:paraId="5888037D">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（GB18918-2002）</w:t>
            </w:r>
          </w:p>
        </w:tc>
        <w:tc>
          <w:tcPr>
            <w:tcW w:w="750" w:type="dxa"/>
            <w:tcBorders>
              <w:tl2br w:val="nil"/>
              <w:tr2bl w:val="nil"/>
            </w:tcBorders>
            <w:noWrap w:val="0"/>
            <w:vAlign w:val="center"/>
          </w:tcPr>
          <w:p w14:paraId="20FC2714">
            <w:pPr>
              <w:pStyle w:val="12"/>
              <w:bidi w:val="0"/>
              <w:rPr>
                <w:color w:val="auto"/>
              </w:rPr>
            </w:pPr>
            <w:r>
              <w:rPr>
                <w:rFonts w:hint="default"/>
                <w:color w:val="auto"/>
                <w:lang w:val="en-US" w:eastAsia="zh-CN"/>
              </w:rPr>
              <w:t>50</w:t>
            </w:r>
          </w:p>
        </w:tc>
        <w:tc>
          <w:tcPr>
            <w:tcW w:w="735" w:type="dxa"/>
            <w:tcBorders>
              <w:tl2br w:val="nil"/>
              <w:tr2bl w:val="nil"/>
            </w:tcBorders>
            <w:noWrap w:val="0"/>
            <w:vAlign w:val="center"/>
          </w:tcPr>
          <w:p w14:paraId="7F86B3D6">
            <w:pPr>
              <w:pStyle w:val="12"/>
              <w:bidi w:val="0"/>
              <w:rPr>
                <w:color w:val="auto"/>
              </w:rPr>
            </w:pPr>
            <w:r>
              <w:rPr>
                <w:rFonts w:hint="default"/>
                <w:color w:val="auto"/>
                <w:lang w:val="en-US" w:eastAsia="zh-CN"/>
              </w:rPr>
              <w:t>10</w:t>
            </w:r>
          </w:p>
        </w:tc>
        <w:tc>
          <w:tcPr>
            <w:tcW w:w="660" w:type="dxa"/>
            <w:tcBorders>
              <w:tl2br w:val="nil"/>
              <w:tr2bl w:val="nil"/>
            </w:tcBorders>
            <w:noWrap w:val="0"/>
            <w:vAlign w:val="center"/>
          </w:tcPr>
          <w:p w14:paraId="0EB08E70">
            <w:pPr>
              <w:pStyle w:val="12"/>
              <w:bidi w:val="0"/>
              <w:rPr>
                <w:color w:val="auto"/>
              </w:rPr>
            </w:pPr>
            <w:r>
              <w:rPr>
                <w:rFonts w:hint="default"/>
                <w:color w:val="auto"/>
                <w:lang w:val="en-US" w:eastAsia="zh-CN"/>
              </w:rPr>
              <w:t>10</w:t>
            </w:r>
          </w:p>
        </w:tc>
        <w:tc>
          <w:tcPr>
            <w:tcW w:w="690" w:type="dxa"/>
            <w:tcBorders>
              <w:tl2br w:val="nil"/>
              <w:tr2bl w:val="nil"/>
            </w:tcBorders>
            <w:noWrap w:val="0"/>
            <w:vAlign w:val="center"/>
          </w:tcPr>
          <w:p w14:paraId="615F401F">
            <w:pPr>
              <w:pStyle w:val="12"/>
              <w:bidi w:val="0"/>
              <w:rPr>
                <w:color w:val="auto"/>
              </w:rPr>
            </w:pPr>
            <w:r>
              <w:rPr>
                <w:rFonts w:hint="default"/>
                <w:color w:val="auto"/>
                <w:lang w:val="en-US" w:eastAsia="zh-CN"/>
              </w:rPr>
              <w:t>5</w:t>
            </w:r>
          </w:p>
        </w:tc>
        <w:tc>
          <w:tcPr>
            <w:tcW w:w="660" w:type="dxa"/>
            <w:tcBorders>
              <w:tl2br w:val="nil"/>
              <w:tr2bl w:val="nil"/>
            </w:tcBorders>
            <w:noWrap w:val="0"/>
            <w:vAlign w:val="center"/>
          </w:tcPr>
          <w:p w14:paraId="55EBE92C">
            <w:pPr>
              <w:pStyle w:val="12"/>
              <w:bidi w:val="0"/>
              <w:rPr>
                <w:color w:val="auto"/>
              </w:rPr>
            </w:pPr>
            <w:r>
              <w:rPr>
                <w:rFonts w:hint="default"/>
                <w:color w:val="auto"/>
                <w:lang w:val="en-US" w:eastAsia="zh-CN"/>
              </w:rPr>
              <w:t>15</w:t>
            </w:r>
          </w:p>
        </w:tc>
        <w:tc>
          <w:tcPr>
            <w:tcW w:w="645" w:type="dxa"/>
            <w:tcBorders>
              <w:tl2br w:val="nil"/>
              <w:tr2bl w:val="nil"/>
            </w:tcBorders>
            <w:noWrap w:val="0"/>
            <w:vAlign w:val="center"/>
          </w:tcPr>
          <w:p w14:paraId="511FD189">
            <w:pPr>
              <w:pStyle w:val="12"/>
              <w:bidi w:val="0"/>
              <w:rPr>
                <w:color w:val="auto"/>
              </w:rPr>
            </w:pPr>
            <w:r>
              <w:rPr>
                <w:rFonts w:hint="default"/>
                <w:color w:val="auto"/>
                <w:lang w:val="en-US" w:eastAsia="zh-CN"/>
              </w:rPr>
              <w:t>0.5</w:t>
            </w:r>
          </w:p>
        </w:tc>
        <w:tc>
          <w:tcPr>
            <w:tcW w:w="705" w:type="dxa"/>
            <w:tcBorders>
              <w:tl2br w:val="nil"/>
              <w:tr2bl w:val="nil"/>
            </w:tcBorders>
            <w:noWrap w:val="0"/>
            <w:vAlign w:val="center"/>
          </w:tcPr>
          <w:p w14:paraId="47C39233">
            <w:pPr>
              <w:pStyle w:val="12"/>
              <w:bidi w:val="0"/>
              <w:rPr>
                <w:rFonts w:hint="default"/>
                <w:color w:val="auto"/>
                <w:lang w:val="en-US" w:eastAsia="zh-CN"/>
              </w:rPr>
            </w:pPr>
            <w:r>
              <w:rPr>
                <w:rFonts w:hint="eastAsia"/>
                <w:color w:val="auto"/>
                <w:lang w:val="en-US" w:eastAsia="zh-CN"/>
              </w:rPr>
              <w:t>1.0</w:t>
            </w:r>
          </w:p>
        </w:tc>
        <w:tc>
          <w:tcPr>
            <w:tcW w:w="501" w:type="dxa"/>
            <w:tcBorders>
              <w:tl2br w:val="nil"/>
              <w:tr2bl w:val="nil"/>
            </w:tcBorders>
            <w:noWrap w:val="0"/>
            <w:vAlign w:val="center"/>
          </w:tcPr>
          <w:p w14:paraId="133180C3">
            <w:pPr>
              <w:pStyle w:val="12"/>
              <w:bidi w:val="0"/>
              <w:rPr>
                <w:rFonts w:hint="default"/>
                <w:color w:val="auto"/>
                <w:lang w:val="en-US" w:eastAsia="zh-CN"/>
              </w:rPr>
            </w:pPr>
            <w:r>
              <w:rPr>
                <w:rFonts w:hint="eastAsia"/>
                <w:color w:val="auto"/>
                <w:lang w:val="en-US" w:eastAsia="zh-CN"/>
              </w:rPr>
              <w:t>1.0</w:t>
            </w:r>
          </w:p>
        </w:tc>
      </w:tr>
      <w:tr w14:paraId="6DAA0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86" w:type="dxa"/>
            <w:gridSpan w:val="12"/>
            <w:tcBorders>
              <w:tl2br w:val="nil"/>
              <w:tr2bl w:val="nil"/>
            </w:tcBorders>
            <w:noWrap w:val="0"/>
            <w:vAlign w:val="center"/>
          </w:tcPr>
          <w:p w14:paraId="519315DC">
            <w:pPr>
              <w:pageBreakBefore w:val="0"/>
              <w:wordWrap/>
              <w:bidi w:val="0"/>
              <w:adjustRightInd/>
              <w:snapToGrid/>
              <w:spacing w:line="240" w:lineRule="auto"/>
              <w:ind w:firstLine="0" w:firstLineChars="0"/>
              <w:jc w:val="left"/>
              <w:rPr>
                <w:color w:val="auto"/>
                <w:sz w:val="21"/>
                <w:szCs w:val="21"/>
              </w:rPr>
            </w:pPr>
            <w:r>
              <w:rPr>
                <w:color w:val="auto"/>
                <w:sz w:val="21"/>
                <w:szCs w:val="21"/>
              </w:rPr>
              <w:t>注：污水处理前排放量按设计进水水质核算，处理后排放量按</w:t>
            </w:r>
            <w:r>
              <w:rPr>
                <w:bCs/>
                <w:color w:val="auto"/>
                <w:sz w:val="21"/>
                <w:szCs w:val="21"/>
              </w:rPr>
              <w:t>《城镇污水处理厂污染物排放标准》（GB18918-2002）一级A标准要求</w:t>
            </w:r>
            <w:r>
              <w:rPr>
                <w:color w:val="auto"/>
                <w:sz w:val="21"/>
                <w:szCs w:val="21"/>
              </w:rPr>
              <w:t>。</w:t>
            </w:r>
          </w:p>
        </w:tc>
      </w:tr>
    </w:tbl>
    <w:p w14:paraId="56482B29">
      <w:pPr>
        <w:pStyle w:val="333"/>
        <w:pageBreakBefore w:val="0"/>
        <w:numPr>
          <w:ilvl w:val="0"/>
          <w:numId w:val="0"/>
        </w:numPr>
        <w:tabs>
          <w:tab w:val="left" w:pos="624"/>
        </w:tabs>
        <w:wordWrap/>
        <w:bidi w:val="0"/>
        <w:adjustRightInd/>
        <w:snapToGrid/>
        <w:spacing w:before="120" w:beforeLines="50"/>
        <w:ind w:firstLine="480" w:firstLineChars="200"/>
        <w:rPr>
          <w:color w:val="auto"/>
        </w:rPr>
      </w:pPr>
      <w:r>
        <w:rPr>
          <w:color w:val="auto"/>
        </w:rPr>
        <w:t>由上表分析可知，本项目正常生产运行过程中，各类废水经分类收集、预处理达标后，排入本项目拟建污水处理系统，</w:t>
      </w:r>
      <w:r>
        <w:rPr>
          <w:rFonts w:hint="eastAsia"/>
          <w:color w:val="auto"/>
        </w:rPr>
        <w:t>执行《城镇污水处理厂污染物排放标准》（GB18918-2002）一级A标准</w:t>
      </w:r>
      <w:r>
        <w:rPr>
          <w:rFonts w:hint="eastAsia"/>
          <w:color w:val="auto"/>
          <w:lang w:eastAsia="zh-CN"/>
        </w:rPr>
        <w:t>，</w:t>
      </w:r>
      <w:r>
        <w:rPr>
          <w:color w:val="auto"/>
        </w:rPr>
        <w:t>排入</w:t>
      </w:r>
      <w:r>
        <w:rPr>
          <w:rFonts w:hint="eastAsia"/>
          <w:color w:val="auto"/>
          <w:lang w:eastAsia="zh-CN"/>
        </w:rPr>
        <w:t>巴河</w:t>
      </w:r>
      <w:r>
        <w:rPr>
          <w:color w:val="auto"/>
        </w:rPr>
        <w:t>。</w:t>
      </w:r>
    </w:p>
    <w:p w14:paraId="49E0C8B6">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营运期废气产生及治理措施</w:t>
      </w:r>
    </w:p>
    <w:p w14:paraId="7913BF19">
      <w:pPr>
        <w:pageBreakBefore w:val="0"/>
        <w:wordWrap/>
        <w:bidi w:val="0"/>
        <w:adjustRightInd/>
        <w:snapToGrid/>
        <w:ind w:firstLine="480"/>
        <w:rPr>
          <w:color w:val="auto"/>
        </w:rPr>
      </w:pPr>
      <w:r>
        <w:rPr>
          <w:color w:val="auto"/>
        </w:rPr>
        <w:t>本项目营运期废气主要为生产废气（污水及污泥处理过程中的恶臭气体）和生活废气（食堂油烟）。</w:t>
      </w:r>
    </w:p>
    <w:p w14:paraId="6963C0DC">
      <w:pPr>
        <w:pStyle w:val="6"/>
        <w:pageBreakBefore w:val="0"/>
        <w:wordWrap/>
        <w:bidi w:val="0"/>
        <w:adjustRightInd/>
        <w:snapToGrid/>
        <w:rPr>
          <w:color w:val="auto"/>
        </w:rPr>
      </w:pPr>
      <w:r>
        <w:rPr>
          <w:color w:val="auto"/>
        </w:rPr>
        <w:t>生产废气</w:t>
      </w:r>
    </w:p>
    <w:p w14:paraId="5EE66DBA">
      <w:pPr>
        <w:pageBreakBefore w:val="0"/>
        <w:wordWrap/>
        <w:bidi w:val="0"/>
        <w:adjustRightInd/>
        <w:snapToGrid/>
        <w:ind w:firstLine="480"/>
        <w:rPr>
          <w:color w:val="auto"/>
        </w:rPr>
      </w:pPr>
      <w:r>
        <w:rPr>
          <w:color w:val="auto"/>
        </w:rPr>
        <w:t>污水中含有大量的有机物和无机物，这些物质在微生物的降解作用时会产生恶臭，根据</w:t>
      </w:r>
      <w:r>
        <w:rPr>
          <w:rFonts w:hint="eastAsia"/>
          <w:color w:val="auto"/>
          <w:lang w:eastAsia="zh-CN"/>
        </w:rPr>
        <w:t>其他</w:t>
      </w:r>
      <w:r>
        <w:rPr>
          <w:color w:val="auto"/>
        </w:rPr>
        <w:t>采用类似工艺的污水厂分析，确定恶臭的位置主要为污水预处理部分（包括主工艺系统</w:t>
      </w:r>
      <w:r>
        <w:rPr>
          <w:rFonts w:hint="eastAsia"/>
          <w:color w:val="auto"/>
          <w:lang w:val="en-US" w:eastAsia="zh-CN"/>
        </w:rPr>
        <w:t>超细格栅、调节池、高级氧化预处理、水解酸化池</w:t>
      </w:r>
      <w:r>
        <w:rPr>
          <w:color w:val="auto"/>
        </w:rPr>
        <w:t>等预处理单元）、生化池</w:t>
      </w:r>
      <w:r>
        <w:rPr>
          <w:rFonts w:hint="eastAsia"/>
          <w:color w:val="auto"/>
          <w:lang w:eastAsia="zh-CN"/>
        </w:rPr>
        <w:t>、</w:t>
      </w:r>
      <w:r>
        <w:rPr>
          <w:rFonts w:hint="eastAsia"/>
          <w:color w:val="auto"/>
          <w:lang w:val="en-US" w:eastAsia="zh-CN"/>
        </w:rPr>
        <w:t>反硝化深床滤池</w:t>
      </w:r>
      <w:r>
        <w:rPr>
          <w:color w:val="auto"/>
        </w:rPr>
        <w:t>以及污泥处理部分（</w:t>
      </w:r>
      <w:r>
        <w:rPr>
          <w:rFonts w:hint="eastAsia"/>
          <w:color w:val="auto"/>
          <w:lang w:val="en-US" w:eastAsia="zh-CN"/>
        </w:rPr>
        <w:t>沉淀池、污泥池、污泥</w:t>
      </w:r>
      <w:r>
        <w:rPr>
          <w:color w:val="auto"/>
        </w:rPr>
        <w:t>脱水间等）单元，其</w:t>
      </w:r>
      <w:r>
        <w:rPr>
          <w:rFonts w:hint="eastAsia"/>
          <w:color w:val="auto"/>
          <w:lang w:eastAsia="zh-CN"/>
        </w:rPr>
        <w:t>成分</w:t>
      </w:r>
      <w:r>
        <w:rPr>
          <w:color w:val="auto"/>
        </w:rPr>
        <w:t>主要是生化分解和反应过程中产生的氨、硫化氢、甲烷、硫醇、硫醚等混合物，产污单位相对集中，为降低臭气对周围环境的影响，要求建设单位对主要恶臭源进行密闭、加盖等收集后送生物除臭系统进行集中处置，少量未被收集部分属无组织排放源，其产量受水温、pH值、构筑物设计参数等多种因素的影响。</w:t>
      </w:r>
    </w:p>
    <w:p w14:paraId="1D024EE9">
      <w:pPr>
        <w:pageBreakBefore w:val="0"/>
        <w:wordWrap/>
        <w:bidi w:val="0"/>
        <w:adjustRightInd/>
        <w:snapToGrid/>
        <w:ind w:firstLine="482"/>
        <w:rPr>
          <w:rFonts w:hint="default" w:eastAsia="宋体"/>
          <w:b/>
          <w:color w:val="auto"/>
          <w:lang w:val="en-US" w:eastAsia="zh-CN"/>
        </w:rPr>
      </w:pPr>
      <w:r>
        <w:rPr>
          <w:b/>
          <w:color w:val="auto"/>
        </w:rPr>
        <w:t>（1）</w:t>
      </w:r>
      <w:r>
        <w:rPr>
          <w:rFonts w:hint="eastAsia"/>
          <w:b/>
          <w:color w:val="auto"/>
          <w:lang w:val="en-US" w:eastAsia="zh-CN"/>
        </w:rPr>
        <w:t>产生源强</w:t>
      </w:r>
    </w:p>
    <w:p w14:paraId="0295941D">
      <w:pPr>
        <w:pageBreakBefore w:val="0"/>
        <w:wordWrap/>
        <w:bidi w:val="0"/>
        <w:adjustRightInd/>
        <w:snapToGrid/>
        <w:ind w:firstLine="480"/>
        <w:rPr>
          <w:color w:val="auto"/>
        </w:rPr>
      </w:pPr>
      <w:r>
        <w:rPr>
          <w:color w:val="auto"/>
        </w:rPr>
        <w:t>根据</w:t>
      </w:r>
      <w:r>
        <w:rPr>
          <w:rFonts w:hint="eastAsia"/>
          <w:color w:val="auto"/>
        </w:rPr>
        <w:t>《污水处理厂恶臭防治对策及环境影响评价的研究》</w:t>
      </w:r>
      <w:r>
        <w:rPr>
          <w:rFonts w:hint="eastAsia"/>
          <w:color w:val="auto"/>
          <w:lang w:eastAsia="zh-CN"/>
        </w:rPr>
        <w:t>（</w:t>
      </w:r>
      <w:r>
        <w:rPr>
          <w:rFonts w:hint="eastAsia"/>
          <w:color w:val="auto"/>
        </w:rPr>
        <w:t>薛松，和慧，邓丽蕊，孙晶晶</w:t>
      </w:r>
      <w:r>
        <w:rPr>
          <w:rFonts w:hint="eastAsia"/>
          <w:color w:val="auto"/>
          <w:lang w:eastAsia="zh-CN"/>
        </w:rPr>
        <w:t>）</w:t>
      </w:r>
      <w:r>
        <w:rPr>
          <w:rFonts w:hint="eastAsia"/>
          <w:color w:val="auto"/>
        </w:rPr>
        <w:t>和《城市污水处理厂恶臭气体及控制技术的研究》</w:t>
      </w:r>
      <w:r>
        <w:rPr>
          <w:rFonts w:hint="eastAsia"/>
          <w:color w:val="auto"/>
          <w:lang w:eastAsia="zh-CN"/>
        </w:rPr>
        <w:t>（</w:t>
      </w:r>
      <w:r>
        <w:rPr>
          <w:rFonts w:hint="eastAsia"/>
          <w:color w:val="auto"/>
        </w:rPr>
        <w:t>张少梅，沈晋明</w:t>
      </w:r>
      <w:r>
        <w:rPr>
          <w:rFonts w:hint="eastAsia"/>
          <w:color w:val="auto"/>
          <w:lang w:eastAsia="zh-CN"/>
        </w:rPr>
        <w:t>）</w:t>
      </w:r>
      <w:r>
        <w:rPr>
          <w:rFonts w:hint="eastAsia"/>
          <w:color w:val="auto"/>
        </w:rPr>
        <w:t>中的数据，并参照《恶臭污染测试与控制技术》（化学工业出版社）中“污水处理厂恶臭环境影响评价”中相关内容，确定污水处理厂各处理单元氨气和硫化氢排放系数如下：</w:t>
      </w:r>
    </w:p>
    <w:p w14:paraId="6CFF2032">
      <w:pPr>
        <w:pStyle w:val="15"/>
        <w:bidi w:val="0"/>
        <w:ind w:left="0" w:leftChars="0" w:firstLine="0" w:firstLineChars="0"/>
        <w:rPr>
          <w:color w:val="auto"/>
        </w:rPr>
      </w:pPr>
      <w:r>
        <w:rPr>
          <w:color w:val="auto"/>
        </w:rPr>
        <w:t>本项目各臭气收集装置处理前源强</w:t>
      </w:r>
      <w:r>
        <w:rPr>
          <w:rFonts w:hint="eastAsia"/>
          <w:color w:val="auto"/>
          <w:lang w:val="en-US" w:eastAsia="zh-CN"/>
        </w:rPr>
        <w:t xml:space="preserve">  </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76"/>
        <w:gridCol w:w="3765"/>
        <w:gridCol w:w="2479"/>
      </w:tblGrid>
      <w:tr w14:paraId="4C308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vMerge w:val="restart"/>
            <w:tcBorders>
              <w:tl2br w:val="nil"/>
              <w:tr2bl w:val="nil"/>
            </w:tcBorders>
            <w:noWrap w:val="0"/>
            <w:vAlign w:val="center"/>
          </w:tcPr>
          <w:p w14:paraId="4DC049D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6244" w:type="dxa"/>
            <w:gridSpan w:val="2"/>
            <w:tcBorders>
              <w:tl2br w:val="nil"/>
              <w:tr2bl w:val="nil"/>
            </w:tcBorders>
            <w:noWrap w:val="0"/>
            <w:vAlign w:val="center"/>
          </w:tcPr>
          <w:p w14:paraId="5D164011">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排放系数：</w:t>
            </w:r>
            <w:r>
              <w:rPr>
                <w:rFonts w:ascii="Times New Roman" w:hAnsi="Times New Roman" w:eastAsia="Times New Roman" w:cs="Times New Roman"/>
                <w:b/>
                <w:bCs/>
                <w:color w:val="auto"/>
                <w:spacing w:val="-2"/>
              </w:rPr>
              <w:t>mg/s·m</w:t>
            </w:r>
            <w:r>
              <w:rPr>
                <w:rFonts w:hint="eastAsia" w:ascii="Times New Roman" w:hAnsi="Times New Roman" w:eastAsia="宋体" w:cs="Times New Roman"/>
                <w:b/>
                <w:bCs/>
                <w:color w:val="auto"/>
                <w:spacing w:val="-2"/>
                <w:lang w:val="en-US" w:eastAsia="zh-CN"/>
              </w:rPr>
              <w:t>²</w:t>
            </w:r>
          </w:p>
        </w:tc>
      </w:tr>
      <w:tr w14:paraId="6560A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vMerge w:val="continue"/>
            <w:tcBorders>
              <w:tl2br w:val="nil"/>
              <w:tr2bl w:val="nil"/>
            </w:tcBorders>
            <w:noWrap w:val="0"/>
            <w:vAlign w:val="center"/>
          </w:tcPr>
          <w:p w14:paraId="497A1E3E">
            <w:pPr>
              <w:pageBreakBefore w:val="0"/>
              <w:wordWrap/>
              <w:bidi w:val="0"/>
              <w:adjustRightInd/>
              <w:snapToGrid/>
              <w:spacing w:line="240" w:lineRule="auto"/>
              <w:ind w:firstLine="0" w:firstLineChars="0"/>
              <w:jc w:val="center"/>
              <w:rPr>
                <w:color w:val="auto"/>
              </w:rPr>
            </w:pPr>
          </w:p>
        </w:tc>
        <w:tc>
          <w:tcPr>
            <w:tcW w:w="3765" w:type="dxa"/>
            <w:tcBorders>
              <w:tl2br w:val="nil"/>
              <w:tr2bl w:val="nil"/>
            </w:tcBorders>
            <w:noWrap w:val="0"/>
            <w:vAlign w:val="center"/>
          </w:tcPr>
          <w:p w14:paraId="517D162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p>
        </w:tc>
        <w:tc>
          <w:tcPr>
            <w:tcW w:w="2479" w:type="dxa"/>
            <w:tcBorders>
              <w:tl2br w:val="nil"/>
              <w:tr2bl w:val="nil"/>
            </w:tcBorders>
            <w:noWrap w:val="0"/>
            <w:vAlign w:val="center"/>
          </w:tcPr>
          <w:p w14:paraId="29A9C24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H</w:t>
            </w:r>
            <w:r>
              <w:rPr>
                <w:b/>
                <w:bCs/>
                <w:color w:val="auto"/>
                <w:sz w:val="21"/>
                <w:szCs w:val="21"/>
                <w:vertAlign w:val="subscript"/>
              </w:rPr>
              <w:t>2</w:t>
            </w:r>
            <w:r>
              <w:rPr>
                <w:b/>
                <w:bCs/>
                <w:color w:val="auto"/>
                <w:sz w:val="21"/>
                <w:szCs w:val="21"/>
              </w:rPr>
              <w:t>S</w:t>
            </w:r>
          </w:p>
        </w:tc>
      </w:tr>
      <w:tr w14:paraId="233E8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27F01EEA">
            <w:pPr>
              <w:pageBreakBefore w:val="0"/>
              <w:wordWrap/>
              <w:bidi w:val="0"/>
              <w:adjustRightInd/>
              <w:snapToGrid/>
              <w:spacing w:line="240" w:lineRule="auto"/>
              <w:ind w:firstLine="0" w:firstLineChars="0"/>
              <w:jc w:val="center"/>
              <w:rPr>
                <w:color w:val="auto"/>
                <w:sz w:val="21"/>
                <w:szCs w:val="21"/>
              </w:rPr>
            </w:pPr>
            <w:r>
              <w:rPr>
                <w:color w:val="auto"/>
                <w:sz w:val="21"/>
                <w:szCs w:val="21"/>
              </w:rPr>
              <w:t>预处理单元</w:t>
            </w:r>
          </w:p>
        </w:tc>
        <w:tc>
          <w:tcPr>
            <w:tcW w:w="3765" w:type="dxa"/>
            <w:tcBorders>
              <w:tl2br w:val="nil"/>
              <w:tr2bl w:val="nil"/>
            </w:tcBorders>
            <w:noWrap w:val="0"/>
            <w:vAlign w:val="center"/>
          </w:tcPr>
          <w:p w14:paraId="079C0D3F">
            <w:pPr>
              <w:pageBreakBefore w:val="0"/>
              <w:wordWrap/>
              <w:bidi w:val="0"/>
              <w:adjustRightInd/>
              <w:snapToGrid/>
              <w:spacing w:line="240" w:lineRule="auto"/>
              <w:ind w:firstLine="0" w:firstLineChars="0"/>
              <w:jc w:val="center"/>
              <w:rPr>
                <w:color w:val="auto"/>
                <w:sz w:val="21"/>
                <w:szCs w:val="21"/>
              </w:rPr>
            </w:pPr>
            <w:r>
              <w:rPr>
                <w:color w:val="auto"/>
                <w:sz w:val="21"/>
                <w:szCs w:val="21"/>
              </w:rPr>
              <w:t>0.092</w:t>
            </w:r>
          </w:p>
        </w:tc>
        <w:tc>
          <w:tcPr>
            <w:tcW w:w="2479" w:type="dxa"/>
            <w:tcBorders>
              <w:tl2br w:val="nil"/>
              <w:tr2bl w:val="nil"/>
            </w:tcBorders>
            <w:noWrap w:val="0"/>
            <w:vAlign w:val="center"/>
          </w:tcPr>
          <w:p w14:paraId="081011D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kern w:val="0"/>
                <w:sz w:val="21"/>
                <w:szCs w:val="21"/>
                <w:lang w:val="en-US" w:eastAsia="zh-CN"/>
              </w:rPr>
              <w:t>0.93</w:t>
            </w:r>
            <w:r>
              <w:rPr>
                <w:color w:val="auto"/>
                <w:kern w:val="0"/>
                <w:sz w:val="21"/>
                <w:szCs w:val="21"/>
              </w:rPr>
              <w:t>×10</w:t>
            </w:r>
            <w:r>
              <w:rPr>
                <w:color w:val="auto"/>
                <w:kern w:val="0"/>
                <w:sz w:val="21"/>
                <w:szCs w:val="21"/>
                <w:vertAlign w:val="superscript"/>
              </w:rPr>
              <w:t>-</w:t>
            </w:r>
            <w:r>
              <w:rPr>
                <w:rFonts w:hint="eastAsia"/>
                <w:color w:val="auto"/>
                <w:kern w:val="0"/>
                <w:sz w:val="21"/>
                <w:szCs w:val="21"/>
                <w:vertAlign w:val="superscript"/>
                <w:lang w:val="en-US" w:eastAsia="zh-CN"/>
              </w:rPr>
              <w:t>3</w:t>
            </w:r>
          </w:p>
        </w:tc>
      </w:tr>
      <w:tr w14:paraId="5AA78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6AD53E97">
            <w:pPr>
              <w:pageBreakBefore w:val="0"/>
              <w:wordWrap/>
              <w:bidi w:val="0"/>
              <w:adjustRightInd/>
              <w:snapToGrid/>
              <w:spacing w:line="240" w:lineRule="auto"/>
              <w:ind w:firstLine="0" w:firstLineChars="0"/>
              <w:jc w:val="center"/>
              <w:rPr>
                <w:color w:val="auto"/>
                <w:sz w:val="21"/>
                <w:szCs w:val="21"/>
              </w:rPr>
            </w:pPr>
            <w:r>
              <w:rPr>
                <w:color w:val="auto"/>
                <w:sz w:val="21"/>
                <w:szCs w:val="21"/>
              </w:rPr>
              <w:t>生化处理单元</w:t>
            </w:r>
          </w:p>
        </w:tc>
        <w:tc>
          <w:tcPr>
            <w:tcW w:w="3765" w:type="dxa"/>
            <w:tcBorders>
              <w:tl2br w:val="nil"/>
              <w:tr2bl w:val="nil"/>
            </w:tcBorders>
            <w:noWrap w:val="0"/>
            <w:vAlign w:val="center"/>
          </w:tcPr>
          <w:p w14:paraId="6B58644C">
            <w:pPr>
              <w:pageBreakBefore w:val="0"/>
              <w:wordWrap/>
              <w:bidi w:val="0"/>
              <w:adjustRightInd/>
              <w:snapToGrid/>
              <w:spacing w:line="240" w:lineRule="auto"/>
              <w:ind w:firstLine="0" w:firstLineChars="0"/>
              <w:jc w:val="center"/>
              <w:rPr>
                <w:color w:val="auto"/>
                <w:sz w:val="21"/>
                <w:szCs w:val="21"/>
              </w:rPr>
            </w:pPr>
            <w:r>
              <w:rPr>
                <w:color w:val="auto"/>
                <w:sz w:val="21"/>
                <w:szCs w:val="21"/>
              </w:rPr>
              <w:t>0.018</w:t>
            </w:r>
          </w:p>
        </w:tc>
        <w:tc>
          <w:tcPr>
            <w:tcW w:w="2479" w:type="dxa"/>
            <w:tcBorders>
              <w:tl2br w:val="nil"/>
              <w:tr2bl w:val="nil"/>
            </w:tcBorders>
            <w:noWrap w:val="0"/>
            <w:vAlign w:val="center"/>
          </w:tcPr>
          <w:p w14:paraId="519CA31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kern w:val="0"/>
                <w:sz w:val="21"/>
                <w:szCs w:val="21"/>
                <w:lang w:val="en-US" w:eastAsia="zh-CN"/>
              </w:rPr>
              <w:t>0.45</w:t>
            </w:r>
            <w:r>
              <w:rPr>
                <w:color w:val="auto"/>
                <w:kern w:val="0"/>
                <w:sz w:val="21"/>
                <w:szCs w:val="21"/>
              </w:rPr>
              <w:t>×10</w:t>
            </w:r>
            <w:r>
              <w:rPr>
                <w:color w:val="auto"/>
                <w:kern w:val="0"/>
                <w:sz w:val="21"/>
                <w:szCs w:val="21"/>
                <w:vertAlign w:val="superscript"/>
              </w:rPr>
              <w:t>-</w:t>
            </w:r>
            <w:r>
              <w:rPr>
                <w:rFonts w:hint="eastAsia"/>
                <w:color w:val="auto"/>
                <w:kern w:val="0"/>
                <w:sz w:val="21"/>
                <w:szCs w:val="21"/>
                <w:vertAlign w:val="superscript"/>
                <w:lang w:val="en-US" w:eastAsia="zh-CN"/>
              </w:rPr>
              <w:t>3</w:t>
            </w:r>
          </w:p>
        </w:tc>
      </w:tr>
      <w:tr w14:paraId="51FAE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78BDE357">
            <w:pPr>
              <w:pageBreakBefore w:val="0"/>
              <w:wordWrap/>
              <w:bidi w:val="0"/>
              <w:adjustRightInd/>
              <w:snapToGrid/>
              <w:spacing w:line="240" w:lineRule="auto"/>
              <w:ind w:firstLine="0" w:firstLineChars="0"/>
              <w:jc w:val="center"/>
              <w:rPr>
                <w:color w:val="auto"/>
                <w:sz w:val="21"/>
                <w:szCs w:val="21"/>
              </w:rPr>
            </w:pPr>
            <w:r>
              <w:rPr>
                <w:color w:val="auto"/>
                <w:sz w:val="21"/>
                <w:szCs w:val="21"/>
              </w:rPr>
              <w:t>污泥处理单元</w:t>
            </w:r>
          </w:p>
        </w:tc>
        <w:tc>
          <w:tcPr>
            <w:tcW w:w="3765" w:type="dxa"/>
            <w:tcBorders>
              <w:tl2br w:val="nil"/>
              <w:tr2bl w:val="nil"/>
            </w:tcBorders>
            <w:noWrap w:val="0"/>
            <w:vAlign w:val="center"/>
          </w:tcPr>
          <w:p w14:paraId="251DFA8E">
            <w:pPr>
              <w:pageBreakBefore w:val="0"/>
              <w:wordWrap/>
              <w:bidi w:val="0"/>
              <w:adjustRightInd/>
              <w:snapToGrid/>
              <w:spacing w:line="240" w:lineRule="auto"/>
              <w:ind w:firstLine="0" w:firstLineChars="0"/>
              <w:jc w:val="center"/>
              <w:rPr>
                <w:color w:val="auto"/>
                <w:sz w:val="21"/>
                <w:szCs w:val="21"/>
              </w:rPr>
            </w:pPr>
            <w:r>
              <w:rPr>
                <w:color w:val="auto"/>
                <w:sz w:val="21"/>
                <w:szCs w:val="21"/>
              </w:rPr>
              <w:t>0.085</w:t>
            </w:r>
          </w:p>
        </w:tc>
        <w:tc>
          <w:tcPr>
            <w:tcW w:w="2479" w:type="dxa"/>
            <w:tcBorders>
              <w:tl2br w:val="nil"/>
              <w:tr2bl w:val="nil"/>
            </w:tcBorders>
            <w:noWrap w:val="0"/>
            <w:vAlign w:val="center"/>
          </w:tcPr>
          <w:p w14:paraId="26C68BD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kern w:val="0"/>
                <w:sz w:val="21"/>
                <w:szCs w:val="21"/>
              </w:rPr>
              <w:t>2.38×10</w:t>
            </w:r>
            <w:r>
              <w:rPr>
                <w:color w:val="auto"/>
                <w:kern w:val="0"/>
                <w:sz w:val="21"/>
                <w:szCs w:val="21"/>
                <w:vertAlign w:val="superscript"/>
              </w:rPr>
              <w:t>-3</w:t>
            </w:r>
          </w:p>
        </w:tc>
      </w:tr>
    </w:tbl>
    <w:p w14:paraId="1A944065">
      <w:pPr>
        <w:pStyle w:val="15"/>
        <w:keepNext w:val="0"/>
        <w:keepLines w:val="0"/>
        <w:pageBreakBefore w:val="0"/>
        <w:widowControl w:val="0"/>
        <w:kinsoku/>
        <w:wordWrap/>
        <w:overflowPunct/>
        <w:topLinePunct w:val="0"/>
        <w:autoSpaceDE/>
        <w:autoSpaceDN/>
        <w:bidi w:val="0"/>
        <w:adjustRightInd/>
        <w:snapToGrid/>
        <w:spacing w:before="144" w:beforeLines="50"/>
        <w:ind w:left="0" w:leftChars="0" w:firstLine="0" w:firstLineChars="0"/>
        <w:textAlignment w:val="auto"/>
        <w:rPr>
          <w:color w:val="auto"/>
        </w:rPr>
      </w:pPr>
      <w:r>
        <w:rPr>
          <w:color w:val="auto"/>
        </w:rPr>
        <w:t xml:space="preserve"> 本项目恶臭污染物产生情况</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455"/>
        <w:gridCol w:w="2765"/>
        <w:gridCol w:w="1320"/>
        <w:gridCol w:w="737"/>
        <w:gridCol w:w="735"/>
        <w:gridCol w:w="929"/>
        <w:gridCol w:w="786"/>
      </w:tblGrid>
      <w:tr w14:paraId="138605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restart"/>
            <w:tcBorders>
              <w:tl2br w:val="nil"/>
              <w:tr2bl w:val="nil"/>
            </w:tcBorders>
            <w:shd w:val="clear" w:color="auto" w:fill="D8D8D8"/>
            <w:vAlign w:val="center"/>
          </w:tcPr>
          <w:p w14:paraId="0EF5D42A">
            <w:pPr>
              <w:pStyle w:val="12"/>
              <w:pageBreakBefore w:val="0"/>
              <w:wordWrap/>
              <w:bidi w:val="0"/>
              <w:adjustRightInd/>
              <w:snapToGrid/>
              <w:rPr>
                <w:rFonts w:hint="default" w:eastAsia="宋体"/>
                <w:b/>
                <w:bCs/>
                <w:color w:val="auto"/>
                <w:lang w:val="en-US" w:eastAsia="zh-CN"/>
              </w:rPr>
            </w:pPr>
            <w:r>
              <w:rPr>
                <w:rFonts w:hint="eastAsia"/>
                <w:b/>
                <w:bCs/>
                <w:color w:val="auto"/>
                <w:lang w:val="en-US" w:eastAsia="zh-CN"/>
              </w:rPr>
              <w:t>分区</w:t>
            </w:r>
          </w:p>
        </w:tc>
        <w:tc>
          <w:tcPr>
            <w:tcW w:w="1584" w:type="pct"/>
            <w:vMerge w:val="restart"/>
            <w:tcBorders>
              <w:tl2br w:val="nil"/>
              <w:tr2bl w:val="nil"/>
            </w:tcBorders>
            <w:shd w:val="clear" w:color="auto" w:fill="D8D8D8"/>
            <w:vAlign w:val="center"/>
          </w:tcPr>
          <w:p w14:paraId="4D0AA5F2">
            <w:pPr>
              <w:pStyle w:val="12"/>
              <w:pageBreakBefore w:val="0"/>
              <w:wordWrap/>
              <w:bidi w:val="0"/>
              <w:adjustRightInd/>
              <w:snapToGrid/>
              <w:rPr>
                <w:rFonts w:hint="default" w:eastAsia="宋体"/>
                <w:b/>
                <w:bCs/>
                <w:color w:val="auto"/>
                <w:lang w:val="en-US" w:eastAsia="zh-CN"/>
              </w:rPr>
            </w:pPr>
            <w:r>
              <w:rPr>
                <w:rFonts w:hint="eastAsia"/>
                <w:b/>
                <w:bCs/>
                <w:color w:val="auto"/>
                <w:lang w:val="en-US" w:eastAsia="zh-CN"/>
              </w:rPr>
              <w:t>构筑物单元</w:t>
            </w:r>
          </w:p>
        </w:tc>
        <w:tc>
          <w:tcPr>
            <w:tcW w:w="755" w:type="pct"/>
            <w:vMerge w:val="restart"/>
            <w:tcBorders>
              <w:tl2br w:val="nil"/>
              <w:tr2bl w:val="nil"/>
            </w:tcBorders>
            <w:shd w:val="clear" w:color="auto" w:fill="D8D8D8"/>
            <w:vAlign w:val="center"/>
          </w:tcPr>
          <w:p w14:paraId="32FC105F">
            <w:pPr>
              <w:pStyle w:val="12"/>
              <w:pageBreakBefore w:val="0"/>
              <w:wordWrap/>
              <w:bidi w:val="0"/>
              <w:adjustRightInd/>
              <w:snapToGrid/>
              <w:rPr>
                <w:b/>
                <w:bCs/>
                <w:color w:val="auto"/>
              </w:rPr>
            </w:pPr>
            <w:r>
              <w:rPr>
                <w:b/>
                <w:bCs/>
                <w:color w:val="auto"/>
              </w:rPr>
              <w:t>面积（</w:t>
            </w:r>
            <w:r>
              <w:rPr>
                <w:rFonts w:hint="eastAsia"/>
                <w:b/>
                <w:bCs/>
                <w:color w:val="auto"/>
                <w:lang w:val="en-US" w:eastAsia="zh-CN"/>
              </w:rPr>
              <w:t>m²</w:t>
            </w:r>
            <w:r>
              <w:rPr>
                <w:b/>
                <w:bCs/>
                <w:color w:val="auto"/>
              </w:rPr>
              <w:t>）</w:t>
            </w:r>
          </w:p>
        </w:tc>
        <w:tc>
          <w:tcPr>
            <w:tcW w:w="843" w:type="pct"/>
            <w:gridSpan w:val="2"/>
            <w:tcBorders>
              <w:tl2br w:val="nil"/>
              <w:tr2bl w:val="nil"/>
            </w:tcBorders>
            <w:shd w:val="clear" w:color="auto" w:fill="D8D8D8"/>
            <w:vAlign w:val="center"/>
          </w:tcPr>
          <w:p w14:paraId="2A7C4348">
            <w:pPr>
              <w:pStyle w:val="12"/>
              <w:pageBreakBefore w:val="0"/>
              <w:wordWrap/>
              <w:bidi w:val="0"/>
              <w:adjustRightInd/>
              <w:snapToGrid/>
              <w:rPr>
                <w:b/>
                <w:bCs/>
                <w:color w:val="auto"/>
              </w:rPr>
            </w:pPr>
            <w:r>
              <w:rPr>
                <w:b/>
                <w:bCs/>
                <w:color w:val="auto"/>
              </w:rPr>
              <w:t>氨气产生情况</w:t>
            </w:r>
          </w:p>
        </w:tc>
        <w:tc>
          <w:tcPr>
            <w:tcW w:w="982" w:type="pct"/>
            <w:gridSpan w:val="2"/>
            <w:tcBorders>
              <w:tl2br w:val="nil"/>
              <w:tr2bl w:val="nil"/>
            </w:tcBorders>
            <w:shd w:val="clear" w:color="auto" w:fill="D8D8D8"/>
            <w:vAlign w:val="center"/>
          </w:tcPr>
          <w:p w14:paraId="3BF7BC0D">
            <w:pPr>
              <w:pStyle w:val="12"/>
              <w:pageBreakBefore w:val="0"/>
              <w:wordWrap/>
              <w:bidi w:val="0"/>
              <w:adjustRightInd/>
              <w:snapToGrid/>
              <w:rPr>
                <w:b/>
                <w:bCs/>
                <w:color w:val="auto"/>
              </w:rPr>
            </w:pPr>
            <w:r>
              <w:rPr>
                <w:b/>
                <w:bCs/>
                <w:color w:val="auto"/>
              </w:rPr>
              <w:t>硫化氢产生情况</w:t>
            </w:r>
          </w:p>
        </w:tc>
      </w:tr>
      <w:tr w14:paraId="1AC9A6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05F3DD8F">
            <w:pPr>
              <w:pStyle w:val="12"/>
              <w:pageBreakBefore w:val="0"/>
              <w:wordWrap/>
              <w:bidi w:val="0"/>
              <w:adjustRightInd/>
              <w:snapToGrid/>
              <w:rPr>
                <w:b/>
                <w:bCs/>
                <w:color w:val="auto"/>
              </w:rPr>
            </w:pPr>
          </w:p>
        </w:tc>
        <w:tc>
          <w:tcPr>
            <w:tcW w:w="1584" w:type="pct"/>
            <w:vMerge w:val="continue"/>
            <w:tcBorders>
              <w:tl2br w:val="nil"/>
              <w:tr2bl w:val="nil"/>
            </w:tcBorders>
            <w:vAlign w:val="center"/>
          </w:tcPr>
          <w:p w14:paraId="432F155F">
            <w:pPr>
              <w:pStyle w:val="12"/>
              <w:pageBreakBefore w:val="0"/>
              <w:wordWrap/>
              <w:bidi w:val="0"/>
              <w:adjustRightInd/>
              <w:snapToGrid/>
              <w:rPr>
                <w:b/>
                <w:bCs/>
                <w:color w:val="auto"/>
              </w:rPr>
            </w:pPr>
          </w:p>
        </w:tc>
        <w:tc>
          <w:tcPr>
            <w:tcW w:w="755" w:type="pct"/>
            <w:vMerge w:val="continue"/>
            <w:tcBorders>
              <w:tl2br w:val="nil"/>
              <w:tr2bl w:val="nil"/>
            </w:tcBorders>
            <w:vAlign w:val="center"/>
          </w:tcPr>
          <w:p w14:paraId="4A814CEC">
            <w:pPr>
              <w:pStyle w:val="12"/>
              <w:pageBreakBefore w:val="0"/>
              <w:wordWrap/>
              <w:bidi w:val="0"/>
              <w:adjustRightInd/>
              <w:snapToGrid/>
              <w:rPr>
                <w:b/>
                <w:bCs/>
                <w:color w:val="auto"/>
              </w:rPr>
            </w:pPr>
          </w:p>
        </w:tc>
        <w:tc>
          <w:tcPr>
            <w:tcW w:w="422" w:type="pct"/>
            <w:tcBorders>
              <w:tl2br w:val="nil"/>
              <w:tr2bl w:val="nil"/>
            </w:tcBorders>
            <w:shd w:val="clear" w:color="auto" w:fill="D8D8D8"/>
            <w:vAlign w:val="center"/>
          </w:tcPr>
          <w:p w14:paraId="5094B9FE">
            <w:pPr>
              <w:pStyle w:val="12"/>
              <w:pageBreakBefore w:val="0"/>
              <w:wordWrap/>
              <w:bidi w:val="0"/>
              <w:adjustRightInd/>
              <w:snapToGrid/>
              <w:rPr>
                <w:b/>
                <w:bCs/>
                <w:color w:val="auto"/>
              </w:rPr>
            </w:pPr>
            <w:r>
              <w:rPr>
                <w:b/>
                <w:bCs/>
                <w:color w:val="auto"/>
              </w:rPr>
              <w:t>kg/h</w:t>
            </w:r>
          </w:p>
        </w:tc>
        <w:tc>
          <w:tcPr>
            <w:tcW w:w="421" w:type="pct"/>
            <w:tcBorders>
              <w:tl2br w:val="nil"/>
              <w:tr2bl w:val="nil"/>
            </w:tcBorders>
            <w:shd w:val="clear" w:color="auto" w:fill="D8D8D8"/>
            <w:vAlign w:val="center"/>
          </w:tcPr>
          <w:p w14:paraId="74DD58FA">
            <w:pPr>
              <w:pStyle w:val="12"/>
              <w:pageBreakBefore w:val="0"/>
              <w:wordWrap/>
              <w:bidi w:val="0"/>
              <w:adjustRightInd/>
              <w:snapToGrid/>
              <w:rPr>
                <w:b/>
                <w:bCs/>
                <w:color w:val="auto"/>
              </w:rPr>
            </w:pPr>
            <w:r>
              <w:rPr>
                <w:b/>
                <w:bCs/>
                <w:color w:val="auto"/>
              </w:rPr>
              <w:t>t/a</w:t>
            </w:r>
          </w:p>
        </w:tc>
        <w:tc>
          <w:tcPr>
            <w:tcW w:w="532" w:type="pct"/>
            <w:tcBorders>
              <w:tl2br w:val="nil"/>
              <w:tr2bl w:val="nil"/>
            </w:tcBorders>
            <w:shd w:val="clear" w:color="auto" w:fill="D8D8D8"/>
            <w:vAlign w:val="center"/>
          </w:tcPr>
          <w:p w14:paraId="5B60A1AC">
            <w:pPr>
              <w:pStyle w:val="12"/>
              <w:pageBreakBefore w:val="0"/>
              <w:wordWrap/>
              <w:bidi w:val="0"/>
              <w:adjustRightInd/>
              <w:snapToGrid/>
              <w:rPr>
                <w:b/>
                <w:bCs/>
                <w:color w:val="auto"/>
              </w:rPr>
            </w:pPr>
            <w:r>
              <w:rPr>
                <w:b/>
                <w:bCs/>
                <w:color w:val="auto"/>
              </w:rPr>
              <w:t>kg/h</w:t>
            </w:r>
          </w:p>
        </w:tc>
        <w:tc>
          <w:tcPr>
            <w:tcW w:w="450" w:type="pct"/>
            <w:tcBorders>
              <w:tl2br w:val="nil"/>
              <w:tr2bl w:val="nil"/>
            </w:tcBorders>
            <w:shd w:val="clear" w:color="auto" w:fill="D8D8D8"/>
            <w:vAlign w:val="center"/>
          </w:tcPr>
          <w:p w14:paraId="28206D8F">
            <w:pPr>
              <w:pStyle w:val="12"/>
              <w:pageBreakBefore w:val="0"/>
              <w:wordWrap/>
              <w:bidi w:val="0"/>
              <w:adjustRightInd/>
              <w:snapToGrid/>
              <w:rPr>
                <w:b/>
                <w:bCs/>
                <w:color w:val="auto"/>
              </w:rPr>
            </w:pPr>
            <w:r>
              <w:rPr>
                <w:b/>
                <w:bCs/>
                <w:color w:val="auto"/>
              </w:rPr>
              <w:t>t/a</w:t>
            </w:r>
          </w:p>
        </w:tc>
      </w:tr>
      <w:tr w14:paraId="65B3A9F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restart"/>
            <w:tcBorders>
              <w:tl2br w:val="nil"/>
              <w:tr2bl w:val="nil"/>
            </w:tcBorders>
            <w:vAlign w:val="center"/>
          </w:tcPr>
          <w:p w14:paraId="1E8211C1">
            <w:pPr>
              <w:pStyle w:val="12"/>
              <w:pageBreakBefore w:val="0"/>
              <w:wordWrap/>
              <w:bidi w:val="0"/>
              <w:adjustRightInd/>
              <w:snapToGrid/>
              <w:rPr>
                <w:rFonts w:hint="default" w:eastAsia="宋体"/>
                <w:color w:val="auto"/>
                <w:lang w:val="en-US" w:eastAsia="zh-CN"/>
              </w:rPr>
            </w:pPr>
            <w:r>
              <w:rPr>
                <w:rFonts w:hint="eastAsia"/>
                <w:color w:val="auto"/>
                <w:lang w:val="en-US" w:eastAsia="zh-CN"/>
              </w:rPr>
              <w:t>预处理单元</w:t>
            </w:r>
          </w:p>
        </w:tc>
        <w:tc>
          <w:tcPr>
            <w:tcW w:w="1584" w:type="pct"/>
            <w:tcBorders>
              <w:tl2br w:val="nil"/>
              <w:tr2bl w:val="nil"/>
            </w:tcBorders>
            <w:vAlign w:val="center"/>
          </w:tcPr>
          <w:p w14:paraId="7C5A8D12">
            <w:pPr>
              <w:pStyle w:val="12"/>
              <w:pageBreakBefore w:val="0"/>
              <w:wordWrap/>
              <w:bidi w:val="0"/>
              <w:adjustRightInd/>
              <w:snapToGrid/>
              <w:rPr>
                <w:color w:val="auto"/>
              </w:rPr>
            </w:pPr>
            <w:r>
              <w:rPr>
                <w:rFonts w:hint="eastAsia"/>
                <w:color w:val="auto"/>
                <w:lang w:val="en-US" w:eastAsia="zh-CN"/>
              </w:rPr>
              <w:t>超细格栅</w:t>
            </w:r>
          </w:p>
        </w:tc>
        <w:tc>
          <w:tcPr>
            <w:tcW w:w="755" w:type="pct"/>
            <w:tcBorders>
              <w:tl2br w:val="nil"/>
              <w:tr2bl w:val="nil"/>
            </w:tcBorders>
            <w:vAlign w:val="center"/>
          </w:tcPr>
          <w:p w14:paraId="16C16DD5">
            <w:pPr>
              <w:pStyle w:val="12"/>
              <w:pageBreakBefore w:val="0"/>
              <w:wordWrap/>
              <w:bidi w:val="0"/>
              <w:adjustRightInd/>
              <w:snapToGrid/>
              <w:rPr>
                <w:rFonts w:hint="default" w:eastAsia="宋体"/>
                <w:color w:val="auto"/>
                <w:lang w:val="en-US" w:eastAsia="zh-CN"/>
              </w:rPr>
            </w:pPr>
            <w:r>
              <w:rPr>
                <w:rFonts w:hint="eastAsia"/>
                <w:color w:val="auto"/>
                <w:lang w:val="en-US" w:eastAsia="zh-CN"/>
              </w:rPr>
              <w:t>26.95</w:t>
            </w:r>
          </w:p>
        </w:tc>
        <w:tc>
          <w:tcPr>
            <w:tcW w:w="422" w:type="pct"/>
            <w:tcBorders>
              <w:tl2br w:val="nil"/>
              <w:tr2bl w:val="nil"/>
            </w:tcBorders>
            <w:vAlign w:val="center"/>
          </w:tcPr>
          <w:p w14:paraId="0E6205EB">
            <w:pPr>
              <w:pStyle w:val="12"/>
              <w:pageBreakBefore w:val="0"/>
              <w:wordWrap/>
              <w:bidi w:val="0"/>
              <w:adjustRightInd/>
              <w:snapToGrid/>
              <w:rPr>
                <w:color w:val="auto"/>
              </w:rPr>
            </w:pPr>
            <w:r>
              <w:rPr>
                <w:rFonts w:hint="default"/>
                <w:color w:val="auto"/>
                <w:lang w:val="en-US" w:eastAsia="zh-CN"/>
              </w:rPr>
              <w:t xml:space="preserve">0.0089 </w:t>
            </w:r>
          </w:p>
        </w:tc>
        <w:tc>
          <w:tcPr>
            <w:tcW w:w="421" w:type="pct"/>
            <w:tcBorders>
              <w:tl2br w:val="nil"/>
              <w:tr2bl w:val="nil"/>
            </w:tcBorders>
            <w:vAlign w:val="center"/>
          </w:tcPr>
          <w:p w14:paraId="6DD13C78">
            <w:pPr>
              <w:pStyle w:val="12"/>
              <w:pageBreakBefore w:val="0"/>
              <w:wordWrap/>
              <w:bidi w:val="0"/>
              <w:adjustRightInd/>
              <w:snapToGrid/>
              <w:rPr>
                <w:color w:val="auto"/>
              </w:rPr>
            </w:pPr>
            <w:r>
              <w:rPr>
                <w:rFonts w:hint="default"/>
                <w:color w:val="auto"/>
                <w:lang w:val="en-US" w:eastAsia="zh-CN"/>
              </w:rPr>
              <w:t xml:space="preserve">0.0782 </w:t>
            </w:r>
          </w:p>
        </w:tc>
        <w:tc>
          <w:tcPr>
            <w:tcW w:w="532" w:type="pct"/>
            <w:tcBorders>
              <w:tl2br w:val="nil"/>
              <w:tr2bl w:val="nil"/>
            </w:tcBorders>
            <w:vAlign w:val="center"/>
          </w:tcPr>
          <w:p w14:paraId="45A2DB54">
            <w:pPr>
              <w:pStyle w:val="12"/>
              <w:pageBreakBefore w:val="0"/>
              <w:wordWrap/>
              <w:bidi w:val="0"/>
              <w:adjustRightInd/>
              <w:snapToGrid/>
              <w:rPr>
                <w:color w:val="auto"/>
              </w:rPr>
            </w:pPr>
            <w:r>
              <w:rPr>
                <w:rFonts w:hint="default"/>
                <w:color w:val="auto"/>
                <w:lang w:val="en-US" w:eastAsia="zh-CN"/>
              </w:rPr>
              <w:t xml:space="preserve">0.00009 </w:t>
            </w:r>
          </w:p>
        </w:tc>
        <w:tc>
          <w:tcPr>
            <w:tcW w:w="450" w:type="pct"/>
            <w:tcBorders>
              <w:tl2br w:val="nil"/>
              <w:tr2bl w:val="nil"/>
            </w:tcBorders>
            <w:vAlign w:val="center"/>
          </w:tcPr>
          <w:p w14:paraId="6D50D22A">
            <w:pPr>
              <w:pStyle w:val="12"/>
              <w:pageBreakBefore w:val="0"/>
              <w:wordWrap/>
              <w:bidi w:val="0"/>
              <w:adjustRightInd/>
              <w:snapToGrid/>
              <w:rPr>
                <w:color w:val="auto"/>
              </w:rPr>
            </w:pPr>
            <w:r>
              <w:rPr>
                <w:rFonts w:hint="default"/>
                <w:color w:val="auto"/>
                <w:lang w:val="en-US" w:eastAsia="zh-CN"/>
              </w:rPr>
              <w:t xml:space="preserve">0.0008 </w:t>
            </w:r>
          </w:p>
        </w:tc>
      </w:tr>
      <w:tr w14:paraId="413054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7CCBC3E8">
            <w:pPr>
              <w:pStyle w:val="12"/>
              <w:pageBreakBefore w:val="0"/>
              <w:wordWrap/>
              <w:bidi w:val="0"/>
              <w:adjustRightInd/>
              <w:snapToGrid/>
              <w:rPr>
                <w:color w:val="auto"/>
              </w:rPr>
            </w:pPr>
          </w:p>
        </w:tc>
        <w:tc>
          <w:tcPr>
            <w:tcW w:w="1584" w:type="pct"/>
            <w:tcBorders>
              <w:tl2br w:val="nil"/>
              <w:tr2bl w:val="nil"/>
            </w:tcBorders>
            <w:vAlign w:val="center"/>
          </w:tcPr>
          <w:p w14:paraId="0F6DFA37">
            <w:pPr>
              <w:pStyle w:val="12"/>
              <w:pageBreakBefore w:val="0"/>
              <w:wordWrap/>
              <w:bidi w:val="0"/>
              <w:adjustRightInd/>
              <w:snapToGrid/>
              <w:rPr>
                <w:color w:val="auto"/>
              </w:rPr>
            </w:pPr>
            <w:r>
              <w:rPr>
                <w:rFonts w:hint="eastAsia"/>
                <w:color w:val="auto"/>
                <w:lang w:eastAsia="zh-CN"/>
              </w:rPr>
              <w:t>污水处理厂</w:t>
            </w:r>
            <w:r>
              <w:rPr>
                <w:rFonts w:hint="eastAsia"/>
                <w:color w:val="auto"/>
              </w:rPr>
              <w:t>调节池-事故应急池</w:t>
            </w:r>
          </w:p>
        </w:tc>
        <w:tc>
          <w:tcPr>
            <w:tcW w:w="755" w:type="pct"/>
            <w:tcBorders>
              <w:tl2br w:val="nil"/>
              <w:tr2bl w:val="nil"/>
            </w:tcBorders>
            <w:vAlign w:val="center"/>
          </w:tcPr>
          <w:p w14:paraId="56C8BC8E">
            <w:pPr>
              <w:pStyle w:val="12"/>
              <w:pageBreakBefore w:val="0"/>
              <w:wordWrap/>
              <w:bidi w:val="0"/>
              <w:adjustRightInd/>
              <w:snapToGrid/>
              <w:rPr>
                <w:rFonts w:hint="default" w:eastAsia="宋体"/>
                <w:color w:val="auto"/>
                <w:lang w:val="en-US" w:eastAsia="zh-CN"/>
              </w:rPr>
            </w:pPr>
            <w:r>
              <w:rPr>
                <w:rFonts w:hint="eastAsia"/>
                <w:color w:val="auto"/>
                <w:lang w:val="en-US" w:eastAsia="zh-CN"/>
              </w:rPr>
              <w:t>736.44</w:t>
            </w:r>
          </w:p>
        </w:tc>
        <w:tc>
          <w:tcPr>
            <w:tcW w:w="422" w:type="pct"/>
            <w:tcBorders>
              <w:tl2br w:val="nil"/>
              <w:tr2bl w:val="nil"/>
            </w:tcBorders>
            <w:vAlign w:val="center"/>
          </w:tcPr>
          <w:p w14:paraId="3C32DDC7">
            <w:pPr>
              <w:pStyle w:val="12"/>
              <w:pageBreakBefore w:val="0"/>
              <w:wordWrap/>
              <w:bidi w:val="0"/>
              <w:adjustRightInd/>
              <w:snapToGrid/>
              <w:rPr>
                <w:color w:val="auto"/>
              </w:rPr>
            </w:pPr>
            <w:r>
              <w:rPr>
                <w:rFonts w:hint="default"/>
                <w:color w:val="auto"/>
                <w:lang w:val="en-US" w:eastAsia="zh-CN"/>
              </w:rPr>
              <w:t xml:space="preserve">0.2439 </w:t>
            </w:r>
          </w:p>
        </w:tc>
        <w:tc>
          <w:tcPr>
            <w:tcW w:w="421" w:type="pct"/>
            <w:tcBorders>
              <w:tl2br w:val="nil"/>
              <w:tr2bl w:val="nil"/>
            </w:tcBorders>
            <w:vAlign w:val="center"/>
          </w:tcPr>
          <w:p w14:paraId="1D3640E3">
            <w:pPr>
              <w:pStyle w:val="12"/>
              <w:pageBreakBefore w:val="0"/>
              <w:wordWrap/>
              <w:bidi w:val="0"/>
              <w:adjustRightInd/>
              <w:snapToGrid/>
              <w:rPr>
                <w:color w:val="auto"/>
              </w:rPr>
            </w:pPr>
            <w:r>
              <w:rPr>
                <w:rFonts w:hint="default"/>
                <w:color w:val="auto"/>
                <w:lang w:val="en-US" w:eastAsia="zh-CN"/>
              </w:rPr>
              <w:t xml:space="preserve">2.1366 </w:t>
            </w:r>
          </w:p>
        </w:tc>
        <w:tc>
          <w:tcPr>
            <w:tcW w:w="532" w:type="pct"/>
            <w:tcBorders>
              <w:tl2br w:val="nil"/>
              <w:tr2bl w:val="nil"/>
            </w:tcBorders>
            <w:vAlign w:val="center"/>
          </w:tcPr>
          <w:p w14:paraId="346791FD">
            <w:pPr>
              <w:pStyle w:val="12"/>
              <w:pageBreakBefore w:val="0"/>
              <w:wordWrap/>
              <w:bidi w:val="0"/>
              <w:adjustRightInd/>
              <w:snapToGrid/>
              <w:rPr>
                <w:color w:val="auto"/>
              </w:rPr>
            </w:pPr>
            <w:r>
              <w:rPr>
                <w:rFonts w:hint="default"/>
                <w:color w:val="auto"/>
                <w:lang w:val="en-US" w:eastAsia="zh-CN"/>
              </w:rPr>
              <w:t xml:space="preserve">0.00247 </w:t>
            </w:r>
          </w:p>
        </w:tc>
        <w:tc>
          <w:tcPr>
            <w:tcW w:w="450" w:type="pct"/>
            <w:tcBorders>
              <w:tl2br w:val="nil"/>
              <w:tr2bl w:val="nil"/>
            </w:tcBorders>
            <w:vAlign w:val="center"/>
          </w:tcPr>
          <w:p w14:paraId="0BF5830B">
            <w:pPr>
              <w:pStyle w:val="12"/>
              <w:pageBreakBefore w:val="0"/>
              <w:wordWrap/>
              <w:bidi w:val="0"/>
              <w:adjustRightInd/>
              <w:snapToGrid/>
              <w:rPr>
                <w:color w:val="auto"/>
              </w:rPr>
            </w:pPr>
            <w:r>
              <w:rPr>
                <w:rFonts w:hint="default"/>
                <w:color w:val="auto"/>
                <w:lang w:val="en-US" w:eastAsia="zh-CN"/>
              </w:rPr>
              <w:t xml:space="preserve">0.0216 </w:t>
            </w:r>
          </w:p>
        </w:tc>
      </w:tr>
      <w:tr w14:paraId="6A4806E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16986DE1">
            <w:pPr>
              <w:pStyle w:val="12"/>
              <w:pageBreakBefore w:val="0"/>
              <w:wordWrap/>
              <w:bidi w:val="0"/>
              <w:adjustRightInd/>
              <w:snapToGrid/>
              <w:rPr>
                <w:color w:val="auto"/>
              </w:rPr>
            </w:pPr>
          </w:p>
        </w:tc>
        <w:tc>
          <w:tcPr>
            <w:tcW w:w="1584" w:type="pct"/>
            <w:tcBorders>
              <w:tl2br w:val="nil"/>
              <w:tr2bl w:val="nil"/>
            </w:tcBorders>
            <w:vAlign w:val="center"/>
          </w:tcPr>
          <w:p w14:paraId="425D158A">
            <w:pPr>
              <w:pStyle w:val="12"/>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水解酸化池</w:t>
            </w:r>
          </w:p>
        </w:tc>
        <w:tc>
          <w:tcPr>
            <w:tcW w:w="755" w:type="pct"/>
            <w:tcBorders>
              <w:tl2br w:val="nil"/>
              <w:tr2bl w:val="nil"/>
            </w:tcBorders>
            <w:vAlign w:val="center"/>
          </w:tcPr>
          <w:p w14:paraId="4D08B6AF">
            <w:pPr>
              <w:pStyle w:val="12"/>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278.88</w:t>
            </w:r>
          </w:p>
        </w:tc>
        <w:tc>
          <w:tcPr>
            <w:tcW w:w="422" w:type="pct"/>
            <w:tcBorders>
              <w:tl2br w:val="nil"/>
              <w:tr2bl w:val="nil"/>
            </w:tcBorders>
            <w:vAlign w:val="center"/>
          </w:tcPr>
          <w:p w14:paraId="61F86884">
            <w:pPr>
              <w:pStyle w:val="12"/>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0.0924 </w:t>
            </w:r>
          </w:p>
        </w:tc>
        <w:tc>
          <w:tcPr>
            <w:tcW w:w="421" w:type="pct"/>
            <w:tcBorders>
              <w:tl2br w:val="nil"/>
              <w:tr2bl w:val="nil"/>
            </w:tcBorders>
            <w:vAlign w:val="center"/>
          </w:tcPr>
          <w:p w14:paraId="17C4B017">
            <w:pPr>
              <w:pStyle w:val="12"/>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0.8091 </w:t>
            </w:r>
          </w:p>
        </w:tc>
        <w:tc>
          <w:tcPr>
            <w:tcW w:w="532" w:type="pct"/>
            <w:tcBorders>
              <w:tl2br w:val="nil"/>
              <w:tr2bl w:val="nil"/>
            </w:tcBorders>
            <w:vAlign w:val="center"/>
          </w:tcPr>
          <w:p w14:paraId="1354C2FA">
            <w:pPr>
              <w:pStyle w:val="12"/>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0.00093 </w:t>
            </w:r>
          </w:p>
        </w:tc>
        <w:tc>
          <w:tcPr>
            <w:tcW w:w="450" w:type="pct"/>
            <w:tcBorders>
              <w:tl2br w:val="nil"/>
              <w:tr2bl w:val="nil"/>
            </w:tcBorders>
            <w:vAlign w:val="center"/>
          </w:tcPr>
          <w:p w14:paraId="584DCEF8">
            <w:pPr>
              <w:pStyle w:val="12"/>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0.0082 </w:t>
            </w:r>
          </w:p>
        </w:tc>
      </w:tr>
      <w:tr w14:paraId="489604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47DEADA1">
            <w:pPr>
              <w:pStyle w:val="12"/>
              <w:pageBreakBefore w:val="0"/>
              <w:wordWrap/>
              <w:bidi w:val="0"/>
              <w:adjustRightInd/>
              <w:snapToGrid/>
              <w:rPr>
                <w:color w:val="auto"/>
              </w:rPr>
            </w:pPr>
          </w:p>
        </w:tc>
        <w:tc>
          <w:tcPr>
            <w:tcW w:w="1584" w:type="pct"/>
            <w:tcBorders>
              <w:tl2br w:val="nil"/>
              <w:tr2bl w:val="nil"/>
            </w:tcBorders>
            <w:vAlign w:val="center"/>
          </w:tcPr>
          <w:p w14:paraId="256FD57F">
            <w:pPr>
              <w:pStyle w:val="12"/>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园区应急事故池</w:t>
            </w:r>
          </w:p>
        </w:tc>
        <w:tc>
          <w:tcPr>
            <w:tcW w:w="755" w:type="pct"/>
            <w:tcBorders>
              <w:tl2br w:val="nil"/>
              <w:tr2bl w:val="nil"/>
            </w:tcBorders>
            <w:vAlign w:val="center"/>
          </w:tcPr>
          <w:p w14:paraId="49697BF4">
            <w:pPr>
              <w:pStyle w:val="12"/>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945</w:t>
            </w:r>
          </w:p>
        </w:tc>
        <w:tc>
          <w:tcPr>
            <w:tcW w:w="422" w:type="pct"/>
            <w:tcBorders>
              <w:tl2br w:val="nil"/>
              <w:tr2bl w:val="nil"/>
            </w:tcBorders>
            <w:vAlign w:val="center"/>
          </w:tcPr>
          <w:p w14:paraId="757DBB68">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0.3130 </w:t>
            </w:r>
          </w:p>
        </w:tc>
        <w:tc>
          <w:tcPr>
            <w:tcW w:w="421" w:type="pct"/>
            <w:tcBorders>
              <w:tl2br w:val="nil"/>
              <w:tr2bl w:val="nil"/>
            </w:tcBorders>
            <w:vAlign w:val="center"/>
          </w:tcPr>
          <w:p w14:paraId="6C1C2ADD">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2.7417 </w:t>
            </w:r>
          </w:p>
        </w:tc>
        <w:tc>
          <w:tcPr>
            <w:tcW w:w="532" w:type="pct"/>
            <w:tcBorders>
              <w:tl2br w:val="nil"/>
              <w:tr2bl w:val="nil"/>
            </w:tcBorders>
            <w:vAlign w:val="center"/>
          </w:tcPr>
          <w:p w14:paraId="50929DAF">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0.00316 </w:t>
            </w:r>
          </w:p>
        </w:tc>
        <w:tc>
          <w:tcPr>
            <w:tcW w:w="450" w:type="pct"/>
            <w:tcBorders>
              <w:tl2br w:val="nil"/>
              <w:tr2bl w:val="nil"/>
            </w:tcBorders>
            <w:vAlign w:val="center"/>
          </w:tcPr>
          <w:p w14:paraId="2FC33478">
            <w:pPr>
              <w:pStyle w:val="12"/>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0.0277 </w:t>
            </w:r>
          </w:p>
        </w:tc>
      </w:tr>
      <w:tr w14:paraId="731FF0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restart"/>
            <w:tcBorders>
              <w:tl2br w:val="nil"/>
              <w:tr2bl w:val="nil"/>
            </w:tcBorders>
            <w:vAlign w:val="center"/>
          </w:tcPr>
          <w:p w14:paraId="357A68AD">
            <w:pPr>
              <w:pStyle w:val="12"/>
              <w:pageBreakBefore w:val="0"/>
              <w:wordWrap/>
              <w:bidi w:val="0"/>
              <w:adjustRightInd/>
              <w:snapToGrid/>
              <w:rPr>
                <w:rFonts w:hint="default" w:eastAsia="宋体"/>
                <w:color w:val="auto"/>
                <w:lang w:val="en-US" w:eastAsia="zh-CN"/>
              </w:rPr>
            </w:pPr>
            <w:r>
              <w:rPr>
                <w:rFonts w:hint="eastAsia"/>
                <w:color w:val="auto"/>
                <w:lang w:val="en-US" w:eastAsia="zh-CN"/>
              </w:rPr>
              <w:t>生化处理单元</w:t>
            </w:r>
          </w:p>
        </w:tc>
        <w:tc>
          <w:tcPr>
            <w:tcW w:w="1584" w:type="pct"/>
            <w:tcBorders>
              <w:tl2br w:val="nil"/>
              <w:tr2bl w:val="nil"/>
            </w:tcBorders>
            <w:vAlign w:val="center"/>
          </w:tcPr>
          <w:p w14:paraId="0DEFF427">
            <w:pPr>
              <w:pStyle w:val="12"/>
              <w:pageBreakBefore w:val="0"/>
              <w:wordWrap/>
              <w:bidi w:val="0"/>
              <w:adjustRightInd/>
              <w:snapToGrid/>
              <w:rPr>
                <w:rFonts w:hint="eastAsia" w:eastAsia="宋体"/>
                <w:color w:val="auto"/>
                <w:lang w:val="en-US" w:eastAsia="zh-CN"/>
              </w:rPr>
            </w:pPr>
            <w:r>
              <w:rPr>
                <w:rFonts w:hint="eastAsia"/>
                <w:color w:val="auto"/>
                <w:lang w:val="en-US" w:eastAsia="zh-CN"/>
              </w:rPr>
              <w:t>生化池</w:t>
            </w:r>
          </w:p>
        </w:tc>
        <w:tc>
          <w:tcPr>
            <w:tcW w:w="755" w:type="pct"/>
            <w:tcBorders>
              <w:tl2br w:val="nil"/>
              <w:tr2bl w:val="nil"/>
            </w:tcBorders>
            <w:vAlign w:val="center"/>
          </w:tcPr>
          <w:p w14:paraId="580DD51B">
            <w:pPr>
              <w:pStyle w:val="12"/>
              <w:pageBreakBefore w:val="0"/>
              <w:wordWrap/>
              <w:bidi w:val="0"/>
              <w:adjustRightInd/>
              <w:snapToGrid/>
              <w:rPr>
                <w:rFonts w:hint="default" w:eastAsia="宋体"/>
                <w:color w:val="auto"/>
                <w:lang w:val="en-US" w:eastAsia="zh-CN"/>
              </w:rPr>
            </w:pPr>
            <w:r>
              <w:rPr>
                <w:rFonts w:hint="eastAsia"/>
                <w:color w:val="auto"/>
                <w:lang w:val="en-US" w:eastAsia="zh-CN"/>
              </w:rPr>
              <w:t>680.16</w:t>
            </w:r>
          </w:p>
        </w:tc>
        <w:tc>
          <w:tcPr>
            <w:tcW w:w="422" w:type="pct"/>
            <w:tcBorders>
              <w:tl2br w:val="nil"/>
              <w:tr2bl w:val="nil"/>
            </w:tcBorders>
            <w:vAlign w:val="center"/>
          </w:tcPr>
          <w:p w14:paraId="4FA4547E">
            <w:pPr>
              <w:pStyle w:val="12"/>
              <w:pageBreakBefore w:val="0"/>
              <w:wordWrap/>
              <w:bidi w:val="0"/>
              <w:adjustRightInd/>
              <w:snapToGrid/>
              <w:rPr>
                <w:color w:val="auto"/>
              </w:rPr>
            </w:pPr>
            <w:r>
              <w:rPr>
                <w:rFonts w:hint="default"/>
                <w:color w:val="auto"/>
                <w:lang w:val="en-US" w:eastAsia="zh-CN"/>
              </w:rPr>
              <w:t xml:space="preserve">0.0441 </w:t>
            </w:r>
          </w:p>
        </w:tc>
        <w:tc>
          <w:tcPr>
            <w:tcW w:w="421" w:type="pct"/>
            <w:tcBorders>
              <w:tl2br w:val="nil"/>
              <w:tr2bl w:val="nil"/>
            </w:tcBorders>
            <w:vAlign w:val="center"/>
          </w:tcPr>
          <w:p w14:paraId="2C2F4195">
            <w:pPr>
              <w:pStyle w:val="12"/>
              <w:pageBreakBefore w:val="0"/>
              <w:wordWrap/>
              <w:bidi w:val="0"/>
              <w:adjustRightInd/>
              <w:snapToGrid/>
              <w:rPr>
                <w:color w:val="auto"/>
              </w:rPr>
            </w:pPr>
            <w:r>
              <w:rPr>
                <w:rFonts w:hint="default"/>
                <w:color w:val="auto"/>
                <w:lang w:val="en-US" w:eastAsia="zh-CN"/>
              </w:rPr>
              <w:t xml:space="preserve">0.3861 </w:t>
            </w:r>
          </w:p>
        </w:tc>
        <w:tc>
          <w:tcPr>
            <w:tcW w:w="532" w:type="pct"/>
            <w:tcBorders>
              <w:tl2br w:val="nil"/>
              <w:tr2bl w:val="nil"/>
            </w:tcBorders>
            <w:vAlign w:val="center"/>
          </w:tcPr>
          <w:p w14:paraId="679C9D67">
            <w:pPr>
              <w:pStyle w:val="12"/>
              <w:pageBreakBefore w:val="0"/>
              <w:wordWrap/>
              <w:bidi w:val="0"/>
              <w:adjustRightInd/>
              <w:snapToGrid/>
              <w:rPr>
                <w:color w:val="auto"/>
              </w:rPr>
            </w:pPr>
            <w:r>
              <w:rPr>
                <w:rFonts w:hint="default"/>
                <w:color w:val="auto"/>
                <w:lang w:val="en-US" w:eastAsia="zh-CN"/>
              </w:rPr>
              <w:t xml:space="preserve">0.00110 </w:t>
            </w:r>
          </w:p>
        </w:tc>
        <w:tc>
          <w:tcPr>
            <w:tcW w:w="450" w:type="pct"/>
            <w:tcBorders>
              <w:tl2br w:val="nil"/>
              <w:tr2bl w:val="nil"/>
            </w:tcBorders>
            <w:vAlign w:val="center"/>
          </w:tcPr>
          <w:p w14:paraId="7BE0FD1A">
            <w:pPr>
              <w:pStyle w:val="12"/>
              <w:pageBreakBefore w:val="0"/>
              <w:wordWrap/>
              <w:bidi w:val="0"/>
              <w:adjustRightInd/>
              <w:snapToGrid/>
              <w:rPr>
                <w:color w:val="auto"/>
              </w:rPr>
            </w:pPr>
            <w:r>
              <w:rPr>
                <w:rFonts w:hint="default"/>
                <w:color w:val="auto"/>
                <w:lang w:val="en-US" w:eastAsia="zh-CN"/>
              </w:rPr>
              <w:t xml:space="preserve">0.0097 </w:t>
            </w:r>
          </w:p>
        </w:tc>
      </w:tr>
      <w:tr w14:paraId="4129A2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1734C6EC">
            <w:pPr>
              <w:pStyle w:val="12"/>
              <w:pageBreakBefore w:val="0"/>
              <w:wordWrap/>
              <w:bidi w:val="0"/>
              <w:adjustRightInd/>
              <w:snapToGrid/>
              <w:rPr>
                <w:color w:val="auto"/>
              </w:rPr>
            </w:pPr>
          </w:p>
        </w:tc>
        <w:tc>
          <w:tcPr>
            <w:tcW w:w="1584" w:type="pct"/>
            <w:tcBorders>
              <w:tl2br w:val="nil"/>
              <w:tr2bl w:val="nil"/>
            </w:tcBorders>
            <w:vAlign w:val="center"/>
          </w:tcPr>
          <w:p w14:paraId="5FC658E1">
            <w:pPr>
              <w:pStyle w:val="12"/>
              <w:pageBreakBefore w:val="0"/>
              <w:wordWrap/>
              <w:bidi w:val="0"/>
              <w:adjustRightInd/>
              <w:snapToGrid/>
              <w:rPr>
                <w:rFonts w:hint="default" w:eastAsia="宋体"/>
                <w:color w:val="auto"/>
                <w:lang w:val="en-US" w:eastAsia="zh-CN"/>
              </w:rPr>
            </w:pPr>
            <w:r>
              <w:rPr>
                <w:rFonts w:hint="eastAsia"/>
                <w:color w:val="auto"/>
                <w:lang w:val="en-US" w:eastAsia="zh-CN"/>
              </w:rPr>
              <w:t>反硝化深床滤池</w:t>
            </w:r>
          </w:p>
        </w:tc>
        <w:tc>
          <w:tcPr>
            <w:tcW w:w="755" w:type="pct"/>
            <w:tcBorders>
              <w:tl2br w:val="nil"/>
              <w:tr2bl w:val="nil"/>
            </w:tcBorders>
            <w:vAlign w:val="center"/>
          </w:tcPr>
          <w:p w14:paraId="4D460742">
            <w:pPr>
              <w:pStyle w:val="12"/>
              <w:pageBreakBefore w:val="0"/>
              <w:wordWrap/>
              <w:bidi w:val="0"/>
              <w:adjustRightInd/>
              <w:snapToGrid/>
              <w:rPr>
                <w:color w:val="auto"/>
              </w:rPr>
            </w:pPr>
            <w:r>
              <w:rPr>
                <w:rFonts w:hint="eastAsia"/>
                <w:color w:val="auto"/>
                <w:lang w:val="en-US" w:eastAsia="zh-CN"/>
              </w:rPr>
              <w:t>319.74</w:t>
            </w:r>
          </w:p>
        </w:tc>
        <w:tc>
          <w:tcPr>
            <w:tcW w:w="422" w:type="pct"/>
            <w:tcBorders>
              <w:tl2br w:val="nil"/>
              <w:tr2bl w:val="nil"/>
            </w:tcBorders>
            <w:vAlign w:val="center"/>
          </w:tcPr>
          <w:p w14:paraId="7DAD6C97">
            <w:pPr>
              <w:pStyle w:val="12"/>
              <w:pageBreakBefore w:val="0"/>
              <w:wordWrap/>
              <w:bidi w:val="0"/>
              <w:adjustRightInd/>
              <w:snapToGrid/>
              <w:rPr>
                <w:color w:val="auto"/>
              </w:rPr>
            </w:pPr>
            <w:r>
              <w:rPr>
                <w:rFonts w:hint="default"/>
                <w:color w:val="auto"/>
                <w:lang w:val="en-US" w:eastAsia="zh-CN"/>
              </w:rPr>
              <w:t xml:space="preserve">0.0207 </w:t>
            </w:r>
          </w:p>
        </w:tc>
        <w:tc>
          <w:tcPr>
            <w:tcW w:w="421" w:type="pct"/>
            <w:tcBorders>
              <w:tl2br w:val="nil"/>
              <w:tr2bl w:val="nil"/>
            </w:tcBorders>
            <w:vAlign w:val="center"/>
          </w:tcPr>
          <w:p w14:paraId="16A3B215">
            <w:pPr>
              <w:pStyle w:val="12"/>
              <w:pageBreakBefore w:val="0"/>
              <w:wordWrap/>
              <w:bidi w:val="0"/>
              <w:adjustRightInd/>
              <w:snapToGrid/>
              <w:rPr>
                <w:color w:val="auto"/>
              </w:rPr>
            </w:pPr>
            <w:r>
              <w:rPr>
                <w:rFonts w:hint="default"/>
                <w:color w:val="auto"/>
                <w:lang w:val="en-US" w:eastAsia="zh-CN"/>
              </w:rPr>
              <w:t xml:space="preserve">0.1815 </w:t>
            </w:r>
          </w:p>
        </w:tc>
        <w:tc>
          <w:tcPr>
            <w:tcW w:w="532" w:type="pct"/>
            <w:tcBorders>
              <w:tl2br w:val="nil"/>
              <w:tr2bl w:val="nil"/>
            </w:tcBorders>
            <w:vAlign w:val="center"/>
          </w:tcPr>
          <w:p w14:paraId="5EA45595">
            <w:pPr>
              <w:pStyle w:val="12"/>
              <w:pageBreakBefore w:val="0"/>
              <w:wordWrap/>
              <w:bidi w:val="0"/>
              <w:adjustRightInd/>
              <w:snapToGrid/>
              <w:rPr>
                <w:color w:val="auto"/>
              </w:rPr>
            </w:pPr>
            <w:r>
              <w:rPr>
                <w:rFonts w:hint="default"/>
                <w:color w:val="auto"/>
                <w:lang w:val="en-US" w:eastAsia="zh-CN"/>
              </w:rPr>
              <w:t xml:space="preserve">0.00052 </w:t>
            </w:r>
          </w:p>
        </w:tc>
        <w:tc>
          <w:tcPr>
            <w:tcW w:w="450" w:type="pct"/>
            <w:tcBorders>
              <w:tl2br w:val="nil"/>
              <w:tr2bl w:val="nil"/>
            </w:tcBorders>
            <w:vAlign w:val="center"/>
          </w:tcPr>
          <w:p w14:paraId="00C58324">
            <w:pPr>
              <w:pStyle w:val="12"/>
              <w:pageBreakBefore w:val="0"/>
              <w:wordWrap/>
              <w:bidi w:val="0"/>
              <w:adjustRightInd/>
              <w:snapToGrid/>
              <w:rPr>
                <w:color w:val="auto"/>
              </w:rPr>
            </w:pPr>
            <w:r>
              <w:rPr>
                <w:rFonts w:hint="default"/>
                <w:color w:val="auto"/>
                <w:lang w:val="en-US" w:eastAsia="zh-CN"/>
              </w:rPr>
              <w:t xml:space="preserve">0.0045 </w:t>
            </w:r>
          </w:p>
        </w:tc>
      </w:tr>
      <w:tr w14:paraId="55D6F8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084517BE">
            <w:pPr>
              <w:pStyle w:val="12"/>
              <w:pageBreakBefore w:val="0"/>
              <w:wordWrap/>
              <w:bidi w:val="0"/>
              <w:adjustRightInd/>
              <w:snapToGrid/>
              <w:rPr>
                <w:rFonts w:hint="default" w:eastAsia="宋体"/>
                <w:color w:val="auto"/>
                <w:lang w:val="en-US" w:eastAsia="zh-CN"/>
              </w:rPr>
            </w:pPr>
          </w:p>
        </w:tc>
        <w:tc>
          <w:tcPr>
            <w:tcW w:w="1584" w:type="pct"/>
            <w:tcBorders>
              <w:tl2br w:val="nil"/>
              <w:tr2bl w:val="nil"/>
            </w:tcBorders>
            <w:vAlign w:val="center"/>
          </w:tcPr>
          <w:p w14:paraId="45201535">
            <w:pPr>
              <w:pStyle w:val="12"/>
              <w:pageBreakBefore w:val="0"/>
              <w:wordWrap/>
              <w:bidi w:val="0"/>
              <w:adjustRightInd/>
              <w:snapToGrid/>
              <w:rPr>
                <w:rFonts w:hint="default" w:eastAsia="宋体"/>
                <w:color w:val="auto"/>
                <w:lang w:val="en-US" w:eastAsia="zh-CN"/>
              </w:rPr>
            </w:pPr>
            <w:r>
              <w:rPr>
                <w:rFonts w:hint="eastAsia"/>
                <w:color w:val="auto"/>
                <w:lang w:val="en-US" w:eastAsia="zh-CN"/>
              </w:rPr>
              <w:t>高级氧化深度处理</w:t>
            </w:r>
          </w:p>
        </w:tc>
        <w:tc>
          <w:tcPr>
            <w:tcW w:w="755" w:type="pct"/>
            <w:tcBorders>
              <w:tl2br w:val="nil"/>
              <w:tr2bl w:val="nil"/>
            </w:tcBorders>
            <w:vAlign w:val="center"/>
          </w:tcPr>
          <w:p w14:paraId="333D9993">
            <w:pPr>
              <w:pStyle w:val="12"/>
              <w:pageBreakBefore w:val="0"/>
              <w:wordWrap/>
              <w:bidi w:val="0"/>
              <w:adjustRightInd/>
              <w:snapToGrid/>
              <w:rPr>
                <w:rFonts w:hint="default" w:eastAsia="宋体"/>
                <w:color w:val="auto"/>
                <w:lang w:val="en-US" w:eastAsia="zh-CN"/>
              </w:rPr>
            </w:pPr>
            <w:r>
              <w:rPr>
                <w:rFonts w:hint="eastAsia"/>
                <w:color w:val="auto"/>
                <w:lang w:val="en-US" w:eastAsia="zh-CN"/>
              </w:rPr>
              <w:t>40</w:t>
            </w:r>
          </w:p>
        </w:tc>
        <w:tc>
          <w:tcPr>
            <w:tcW w:w="422" w:type="pct"/>
            <w:tcBorders>
              <w:tl2br w:val="nil"/>
              <w:tr2bl w:val="nil"/>
            </w:tcBorders>
            <w:vAlign w:val="center"/>
          </w:tcPr>
          <w:p w14:paraId="27F5DCF7">
            <w:pPr>
              <w:pStyle w:val="12"/>
              <w:pageBreakBefore w:val="0"/>
              <w:wordWrap/>
              <w:bidi w:val="0"/>
              <w:adjustRightInd/>
              <w:snapToGrid/>
              <w:rPr>
                <w:color w:val="auto"/>
              </w:rPr>
            </w:pPr>
            <w:r>
              <w:rPr>
                <w:rFonts w:hint="default"/>
                <w:color w:val="auto"/>
                <w:lang w:val="en-US" w:eastAsia="zh-CN"/>
              </w:rPr>
              <w:t xml:space="preserve">0.0026 </w:t>
            </w:r>
          </w:p>
        </w:tc>
        <w:tc>
          <w:tcPr>
            <w:tcW w:w="421" w:type="pct"/>
            <w:tcBorders>
              <w:tl2br w:val="nil"/>
              <w:tr2bl w:val="nil"/>
            </w:tcBorders>
            <w:vAlign w:val="center"/>
          </w:tcPr>
          <w:p w14:paraId="32012BBC">
            <w:pPr>
              <w:pStyle w:val="12"/>
              <w:pageBreakBefore w:val="0"/>
              <w:wordWrap/>
              <w:bidi w:val="0"/>
              <w:adjustRightInd/>
              <w:snapToGrid/>
              <w:rPr>
                <w:color w:val="auto"/>
              </w:rPr>
            </w:pPr>
            <w:r>
              <w:rPr>
                <w:rFonts w:hint="default"/>
                <w:color w:val="auto"/>
                <w:lang w:val="en-US" w:eastAsia="zh-CN"/>
              </w:rPr>
              <w:t xml:space="preserve">0.0227 </w:t>
            </w:r>
          </w:p>
        </w:tc>
        <w:tc>
          <w:tcPr>
            <w:tcW w:w="532" w:type="pct"/>
            <w:tcBorders>
              <w:tl2br w:val="nil"/>
              <w:tr2bl w:val="nil"/>
            </w:tcBorders>
            <w:vAlign w:val="center"/>
          </w:tcPr>
          <w:p w14:paraId="0C725EB9">
            <w:pPr>
              <w:pStyle w:val="12"/>
              <w:pageBreakBefore w:val="0"/>
              <w:wordWrap/>
              <w:bidi w:val="0"/>
              <w:adjustRightInd/>
              <w:snapToGrid/>
              <w:rPr>
                <w:color w:val="auto"/>
              </w:rPr>
            </w:pPr>
            <w:r>
              <w:rPr>
                <w:rFonts w:hint="default"/>
                <w:color w:val="auto"/>
                <w:lang w:val="en-US" w:eastAsia="zh-CN"/>
              </w:rPr>
              <w:t xml:space="preserve">0.00006 </w:t>
            </w:r>
          </w:p>
        </w:tc>
        <w:tc>
          <w:tcPr>
            <w:tcW w:w="450" w:type="pct"/>
            <w:tcBorders>
              <w:tl2br w:val="nil"/>
              <w:tr2bl w:val="nil"/>
            </w:tcBorders>
            <w:vAlign w:val="center"/>
          </w:tcPr>
          <w:p w14:paraId="0CB7D846">
            <w:pPr>
              <w:pStyle w:val="12"/>
              <w:pageBreakBefore w:val="0"/>
              <w:wordWrap/>
              <w:bidi w:val="0"/>
              <w:adjustRightInd/>
              <w:snapToGrid/>
              <w:rPr>
                <w:color w:val="auto"/>
              </w:rPr>
            </w:pPr>
            <w:r>
              <w:rPr>
                <w:rFonts w:hint="default"/>
                <w:color w:val="auto"/>
                <w:lang w:val="en-US" w:eastAsia="zh-CN"/>
              </w:rPr>
              <w:t xml:space="preserve">0.0006 </w:t>
            </w:r>
          </w:p>
        </w:tc>
      </w:tr>
      <w:tr w14:paraId="18C4757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restart"/>
            <w:tcBorders>
              <w:tl2br w:val="nil"/>
              <w:tr2bl w:val="nil"/>
            </w:tcBorders>
            <w:vAlign w:val="center"/>
          </w:tcPr>
          <w:p w14:paraId="14CC6C50">
            <w:pPr>
              <w:pStyle w:val="12"/>
              <w:pageBreakBefore w:val="0"/>
              <w:wordWrap/>
              <w:bidi w:val="0"/>
              <w:adjustRightInd/>
              <w:snapToGrid/>
              <w:rPr>
                <w:rFonts w:hint="default" w:eastAsia="宋体"/>
                <w:color w:val="auto"/>
                <w:lang w:val="en-US" w:eastAsia="zh-CN"/>
              </w:rPr>
            </w:pPr>
            <w:r>
              <w:rPr>
                <w:rFonts w:hint="eastAsia"/>
                <w:color w:val="auto"/>
                <w:lang w:val="en-US" w:eastAsia="zh-CN"/>
              </w:rPr>
              <w:t>污泥处理单元</w:t>
            </w:r>
          </w:p>
        </w:tc>
        <w:tc>
          <w:tcPr>
            <w:tcW w:w="1584" w:type="pct"/>
            <w:tcBorders>
              <w:tl2br w:val="nil"/>
              <w:tr2bl w:val="nil"/>
            </w:tcBorders>
            <w:vAlign w:val="center"/>
          </w:tcPr>
          <w:p w14:paraId="12A183E1">
            <w:pPr>
              <w:pStyle w:val="12"/>
              <w:pageBreakBefore w:val="0"/>
              <w:wordWrap/>
              <w:bidi w:val="0"/>
              <w:adjustRightInd/>
              <w:snapToGrid/>
              <w:rPr>
                <w:rFonts w:hint="default" w:eastAsia="宋体"/>
                <w:color w:val="auto"/>
                <w:lang w:val="en-US" w:eastAsia="zh-CN"/>
              </w:rPr>
            </w:pPr>
            <w:r>
              <w:rPr>
                <w:rFonts w:hint="eastAsia"/>
                <w:color w:val="auto"/>
                <w:lang w:val="en-US" w:eastAsia="zh-CN"/>
              </w:rPr>
              <w:t>磁混凝沉淀池</w:t>
            </w:r>
          </w:p>
        </w:tc>
        <w:tc>
          <w:tcPr>
            <w:tcW w:w="755" w:type="pct"/>
            <w:tcBorders>
              <w:tl2br w:val="nil"/>
              <w:tr2bl w:val="nil"/>
            </w:tcBorders>
            <w:vAlign w:val="center"/>
          </w:tcPr>
          <w:p w14:paraId="2B36D3CB">
            <w:pPr>
              <w:pStyle w:val="12"/>
              <w:pageBreakBefore w:val="0"/>
              <w:wordWrap/>
              <w:bidi w:val="0"/>
              <w:adjustRightInd/>
              <w:snapToGrid/>
              <w:rPr>
                <w:rFonts w:hint="default" w:eastAsia="宋体"/>
                <w:color w:val="auto"/>
                <w:lang w:val="en-US" w:eastAsia="zh-CN"/>
              </w:rPr>
            </w:pPr>
            <w:r>
              <w:rPr>
                <w:rFonts w:hint="eastAsia"/>
                <w:color w:val="auto"/>
                <w:lang w:val="en-US" w:eastAsia="zh-CN"/>
              </w:rPr>
              <w:t>230.4</w:t>
            </w:r>
          </w:p>
        </w:tc>
        <w:tc>
          <w:tcPr>
            <w:tcW w:w="422" w:type="pct"/>
            <w:tcBorders>
              <w:tl2br w:val="nil"/>
              <w:tr2bl w:val="nil"/>
            </w:tcBorders>
            <w:vAlign w:val="center"/>
          </w:tcPr>
          <w:p w14:paraId="45EC0AAE">
            <w:pPr>
              <w:pStyle w:val="12"/>
              <w:pageBreakBefore w:val="0"/>
              <w:wordWrap/>
              <w:bidi w:val="0"/>
              <w:adjustRightInd/>
              <w:snapToGrid/>
              <w:rPr>
                <w:color w:val="auto"/>
              </w:rPr>
            </w:pPr>
            <w:r>
              <w:rPr>
                <w:rFonts w:hint="default"/>
                <w:color w:val="auto"/>
                <w:lang w:val="en-US" w:eastAsia="zh-CN"/>
              </w:rPr>
              <w:t xml:space="preserve">0.0705 </w:t>
            </w:r>
          </w:p>
        </w:tc>
        <w:tc>
          <w:tcPr>
            <w:tcW w:w="421" w:type="pct"/>
            <w:tcBorders>
              <w:tl2br w:val="nil"/>
              <w:tr2bl w:val="nil"/>
            </w:tcBorders>
            <w:vAlign w:val="center"/>
          </w:tcPr>
          <w:p w14:paraId="4E268A79">
            <w:pPr>
              <w:pStyle w:val="12"/>
              <w:pageBreakBefore w:val="0"/>
              <w:wordWrap/>
              <w:bidi w:val="0"/>
              <w:adjustRightInd/>
              <w:snapToGrid/>
              <w:rPr>
                <w:color w:val="auto"/>
              </w:rPr>
            </w:pPr>
            <w:r>
              <w:rPr>
                <w:rFonts w:hint="default"/>
                <w:color w:val="auto"/>
                <w:lang w:val="en-US" w:eastAsia="zh-CN"/>
              </w:rPr>
              <w:t xml:space="preserve">0.6176 </w:t>
            </w:r>
          </w:p>
        </w:tc>
        <w:tc>
          <w:tcPr>
            <w:tcW w:w="532" w:type="pct"/>
            <w:tcBorders>
              <w:tl2br w:val="nil"/>
              <w:tr2bl w:val="nil"/>
            </w:tcBorders>
            <w:vAlign w:val="center"/>
          </w:tcPr>
          <w:p w14:paraId="67A08F1A">
            <w:pPr>
              <w:pStyle w:val="12"/>
              <w:pageBreakBefore w:val="0"/>
              <w:wordWrap/>
              <w:bidi w:val="0"/>
              <w:adjustRightInd/>
              <w:snapToGrid/>
              <w:rPr>
                <w:color w:val="auto"/>
              </w:rPr>
            </w:pPr>
            <w:r>
              <w:rPr>
                <w:rFonts w:hint="default"/>
                <w:color w:val="auto"/>
                <w:lang w:val="en-US" w:eastAsia="zh-CN"/>
              </w:rPr>
              <w:t xml:space="preserve">0.00197 </w:t>
            </w:r>
          </w:p>
        </w:tc>
        <w:tc>
          <w:tcPr>
            <w:tcW w:w="450" w:type="pct"/>
            <w:tcBorders>
              <w:tl2br w:val="nil"/>
              <w:tr2bl w:val="nil"/>
            </w:tcBorders>
            <w:vAlign w:val="center"/>
          </w:tcPr>
          <w:p w14:paraId="7E9CB938">
            <w:pPr>
              <w:pStyle w:val="12"/>
              <w:pageBreakBefore w:val="0"/>
              <w:wordWrap/>
              <w:bidi w:val="0"/>
              <w:adjustRightInd/>
              <w:snapToGrid/>
              <w:rPr>
                <w:color w:val="auto"/>
              </w:rPr>
            </w:pPr>
            <w:r>
              <w:rPr>
                <w:rFonts w:hint="default"/>
                <w:color w:val="auto"/>
                <w:lang w:val="en-US" w:eastAsia="zh-CN"/>
              </w:rPr>
              <w:t xml:space="preserve">0.0173 </w:t>
            </w:r>
          </w:p>
        </w:tc>
      </w:tr>
      <w:tr w14:paraId="4A05AC5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126D2C83">
            <w:pPr>
              <w:pStyle w:val="12"/>
              <w:pageBreakBefore w:val="0"/>
              <w:wordWrap/>
              <w:bidi w:val="0"/>
              <w:adjustRightInd/>
              <w:snapToGrid/>
              <w:rPr>
                <w:color w:val="auto"/>
              </w:rPr>
            </w:pPr>
          </w:p>
        </w:tc>
        <w:tc>
          <w:tcPr>
            <w:tcW w:w="1584" w:type="pct"/>
            <w:tcBorders>
              <w:tl2br w:val="nil"/>
              <w:tr2bl w:val="nil"/>
            </w:tcBorders>
            <w:vAlign w:val="center"/>
          </w:tcPr>
          <w:p w14:paraId="4258E67C">
            <w:pPr>
              <w:pStyle w:val="12"/>
              <w:pageBreakBefore w:val="0"/>
              <w:wordWrap/>
              <w:bidi w:val="0"/>
              <w:adjustRightInd/>
              <w:snapToGrid/>
              <w:rPr>
                <w:rFonts w:hint="default" w:eastAsia="宋体"/>
                <w:color w:val="auto"/>
                <w:lang w:val="en-US" w:eastAsia="zh-CN"/>
              </w:rPr>
            </w:pPr>
            <w:r>
              <w:rPr>
                <w:rFonts w:hint="eastAsia"/>
                <w:color w:val="auto"/>
                <w:lang w:val="en-US" w:eastAsia="zh-CN"/>
              </w:rPr>
              <w:t>污泥池</w:t>
            </w:r>
          </w:p>
        </w:tc>
        <w:tc>
          <w:tcPr>
            <w:tcW w:w="755" w:type="pct"/>
            <w:tcBorders>
              <w:tl2br w:val="nil"/>
              <w:tr2bl w:val="nil"/>
            </w:tcBorders>
            <w:vAlign w:val="center"/>
          </w:tcPr>
          <w:p w14:paraId="40247838">
            <w:pPr>
              <w:pStyle w:val="12"/>
              <w:pageBreakBefore w:val="0"/>
              <w:wordWrap/>
              <w:bidi w:val="0"/>
              <w:adjustRightInd/>
              <w:snapToGrid/>
              <w:rPr>
                <w:rFonts w:hint="default" w:eastAsia="宋体"/>
                <w:color w:val="auto"/>
                <w:lang w:val="en-US" w:eastAsia="zh-CN"/>
              </w:rPr>
            </w:pPr>
            <w:r>
              <w:rPr>
                <w:rFonts w:hint="eastAsia"/>
                <w:color w:val="auto"/>
                <w:lang w:val="en-US" w:eastAsia="zh-CN"/>
              </w:rPr>
              <w:t>41.5</w:t>
            </w:r>
          </w:p>
        </w:tc>
        <w:tc>
          <w:tcPr>
            <w:tcW w:w="422" w:type="pct"/>
            <w:tcBorders>
              <w:tl2br w:val="nil"/>
              <w:tr2bl w:val="nil"/>
            </w:tcBorders>
            <w:vAlign w:val="center"/>
          </w:tcPr>
          <w:p w14:paraId="2736DF03">
            <w:pPr>
              <w:pStyle w:val="12"/>
              <w:pageBreakBefore w:val="0"/>
              <w:wordWrap/>
              <w:bidi w:val="0"/>
              <w:adjustRightInd/>
              <w:snapToGrid/>
              <w:rPr>
                <w:color w:val="auto"/>
              </w:rPr>
            </w:pPr>
            <w:r>
              <w:rPr>
                <w:rFonts w:hint="default"/>
                <w:color w:val="auto"/>
                <w:lang w:val="en-US" w:eastAsia="zh-CN"/>
              </w:rPr>
              <w:t xml:space="preserve">0.0127 </w:t>
            </w:r>
          </w:p>
        </w:tc>
        <w:tc>
          <w:tcPr>
            <w:tcW w:w="421" w:type="pct"/>
            <w:tcBorders>
              <w:tl2br w:val="nil"/>
              <w:tr2bl w:val="nil"/>
            </w:tcBorders>
            <w:vAlign w:val="center"/>
          </w:tcPr>
          <w:p w14:paraId="6227DF40">
            <w:pPr>
              <w:pStyle w:val="12"/>
              <w:pageBreakBefore w:val="0"/>
              <w:wordWrap/>
              <w:bidi w:val="0"/>
              <w:adjustRightInd/>
              <w:snapToGrid/>
              <w:rPr>
                <w:color w:val="auto"/>
              </w:rPr>
            </w:pPr>
            <w:r>
              <w:rPr>
                <w:rFonts w:hint="default"/>
                <w:color w:val="auto"/>
                <w:lang w:val="en-US" w:eastAsia="zh-CN"/>
              </w:rPr>
              <w:t xml:space="preserve">0.1112 </w:t>
            </w:r>
          </w:p>
        </w:tc>
        <w:tc>
          <w:tcPr>
            <w:tcW w:w="532" w:type="pct"/>
            <w:tcBorders>
              <w:tl2br w:val="nil"/>
              <w:tr2bl w:val="nil"/>
            </w:tcBorders>
            <w:vAlign w:val="center"/>
          </w:tcPr>
          <w:p w14:paraId="6FA510E5">
            <w:pPr>
              <w:pStyle w:val="12"/>
              <w:pageBreakBefore w:val="0"/>
              <w:wordWrap/>
              <w:bidi w:val="0"/>
              <w:adjustRightInd/>
              <w:snapToGrid/>
              <w:rPr>
                <w:color w:val="auto"/>
              </w:rPr>
            </w:pPr>
            <w:r>
              <w:rPr>
                <w:rFonts w:hint="default"/>
                <w:color w:val="auto"/>
                <w:lang w:val="en-US" w:eastAsia="zh-CN"/>
              </w:rPr>
              <w:t xml:space="preserve">0.00036 </w:t>
            </w:r>
          </w:p>
        </w:tc>
        <w:tc>
          <w:tcPr>
            <w:tcW w:w="450" w:type="pct"/>
            <w:tcBorders>
              <w:tl2br w:val="nil"/>
              <w:tr2bl w:val="nil"/>
            </w:tcBorders>
            <w:vAlign w:val="center"/>
          </w:tcPr>
          <w:p w14:paraId="519A74BD">
            <w:pPr>
              <w:pStyle w:val="12"/>
              <w:pageBreakBefore w:val="0"/>
              <w:wordWrap/>
              <w:bidi w:val="0"/>
              <w:adjustRightInd/>
              <w:snapToGrid/>
              <w:rPr>
                <w:color w:val="auto"/>
              </w:rPr>
            </w:pPr>
            <w:r>
              <w:rPr>
                <w:rFonts w:hint="default"/>
                <w:color w:val="auto"/>
                <w:lang w:val="en-US" w:eastAsia="zh-CN"/>
              </w:rPr>
              <w:t xml:space="preserve">0.0031 </w:t>
            </w:r>
          </w:p>
        </w:tc>
      </w:tr>
      <w:tr w14:paraId="66CE7F2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vAlign w:val="center"/>
          </w:tcPr>
          <w:p w14:paraId="3A9CD0ED">
            <w:pPr>
              <w:pStyle w:val="12"/>
              <w:pageBreakBefore w:val="0"/>
              <w:wordWrap/>
              <w:bidi w:val="0"/>
              <w:adjustRightInd/>
              <w:snapToGrid/>
              <w:rPr>
                <w:color w:val="auto"/>
              </w:rPr>
            </w:pPr>
          </w:p>
        </w:tc>
        <w:tc>
          <w:tcPr>
            <w:tcW w:w="1584" w:type="pct"/>
            <w:tcBorders>
              <w:tl2br w:val="nil"/>
              <w:tr2bl w:val="nil"/>
            </w:tcBorders>
            <w:vAlign w:val="center"/>
          </w:tcPr>
          <w:p w14:paraId="3F3B6B14">
            <w:pPr>
              <w:pStyle w:val="12"/>
              <w:pageBreakBefore w:val="0"/>
              <w:wordWrap/>
              <w:bidi w:val="0"/>
              <w:adjustRightInd/>
              <w:snapToGrid/>
              <w:rPr>
                <w:color w:val="auto"/>
              </w:rPr>
            </w:pPr>
            <w:r>
              <w:rPr>
                <w:rFonts w:hint="eastAsia"/>
                <w:color w:val="auto"/>
                <w:lang w:val="en-US" w:eastAsia="zh-CN"/>
              </w:rPr>
              <w:t>污泥脱水车间</w:t>
            </w:r>
          </w:p>
        </w:tc>
        <w:tc>
          <w:tcPr>
            <w:tcW w:w="755" w:type="pct"/>
            <w:tcBorders>
              <w:tl2br w:val="nil"/>
              <w:tr2bl w:val="nil"/>
            </w:tcBorders>
            <w:vAlign w:val="center"/>
          </w:tcPr>
          <w:p w14:paraId="0F644E2E">
            <w:pPr>
              <w:pStyle w:val="12"/>
              <w:pageBreakBefore w:val="0"/>
              <w:wordWrap/>
              <w:bidi w:val="0"/>
              <w:adjustRightInd/>
              <w:snapToGrid/>
              <w:rPr>
                <w:rFonts w:hint="default" w:eastAsia="宋体"/>
                <w:color w:val="auto"/>
                <w:lang w:val="en-US" w:eastAsia="zh-CN"/>
              </w:rPr>
            </w:pPr>
            <w:r>
              <w:rPr>
                <w:rFonts w:hint="eastAsia"/>
                <w:color w:val="auto"/>
                <w:lang w:val="en-US" w:eastAsia="zh-CN"/>
              </w:rPr>
              <w:t>301.44</w:t>
            </w:r>
          </w:p>
        </w:tc>
        <w:tc>
          <w:tcPr>
            <w:tcW w:w="422" w:type="pct"/>
            <w:tcBorders>
              <w:tl2br w:val="nil"/>
              <w:tr2bl w:val="nil"/>
            </w:tcBorders>
            <w:vAlign w:val="center"/>
          </w:tcPr>
          <w:p w14:paraId="136B5B75">
            <w:pPr>
              <w:pStyle w:val="12"/>
              <w:pageBreakBefore w:val="0"/>
              <w:wordWrap/>
              <w:bidi w:val="0"/>
              <w:adjustRightInd/>
              <w:snapToGrid/>
              <w:rPr>
                <w:color w:val="auto"/>
              </w:rPr>
            </w:pPr>
            <w:r>
              <w:rPr>
                <w:rFonts w:hint="default"/>
                <w:color w:val="auto"/>
                <w:lang w:val="en-US" w:eastAsia="zh-CN"/>
              </w:rPr>
              <w:t xml:space="preserve">0.0922 </w:t>
            </w:r>
          </w:p>
        </w:tc>
        <w:tc>
          <w:tcPr>
            <w:tcW w:w="421" w:type="pct"/>
            <w:tcBorders>
              <w:tl2br w:val="nil"/>
              <w:tr2bl w:val="nil"/>
            </w:tcBorders>
            <w:vAlign w:val="center"/>
          </w:tcPr>
          <w:p w14:paraId="3B7258AD">
            <w:pPr>
              <w:pStyle w:val="12"/>
              <w:pageBreakBefore w:val="0"/>
              <w:wordWrap/>
              <w:bidi w:val="0"/>
              <w:adjustRightInd/>
              <w:snapToGrid/>
              <w:rPr>
                <w:color w:val="auto"/>
              </w:rPr>
            </w:pPr>
            <w:r>
              <w:rPr>
                <w:rFonts w:hint="default"/>
                <w:color w:val="auto"/>
                <w:lang w:val="en-US" w:eastAsia="zh-CN"/>
              </w:rPr>
              <w:t xml:space="preserve">0.8080 </w:t>
            </w:r>
          </w:p>
        </w:tc>
        <w:tc>
          <w:tcPr>
            <w:tcW w:w="532" w:type="pct"/>
            <w:tcBorders>
              <w:tl2br w:val="nil"/>
              <w:tr2bl w:val="nil"/>
            </w:tcBorders>
            <w:vAlign w:val="center"/>
          </w:tcPr>
          <w:p w14:paraId="58768F45">
            <w:pPr>
              <w:pStyle w:val="12"/>
              <w:pageBreakBefore w:val="0"/>
              <w:wordWrap/>
              <w:bidi w:val="0"/>
              <w:adjustRightInd/>
              <w:snapToGrid/>
              <w:rPr>
                <w:color w:val="auto"/>
              </w:rPr>
            </w:pPr>
            <w:r>
              <w:rPr>
                <w:rFonts w:hint="default"/>
                <w:color w:val="auto"/>
                <w:lang w:val="en-US" w:eastAsia="zh-CN"/>
              </w:rPr>
              <w:t xml:space="preserve">0.00258 </w:t>
            </w:r>
          </w:p>
        </w:tc>
        <w:tc>
          <w:tcPr>
            <w:tcW w:w="450" w:type="pct"/>
            <w:tcBorders>
              <w:tl2br w:val="nil"/>
              <w:tr2bl w:val="nil"/>
            </w:tcBorders>
            <w:vAlign w:val="center"/>
          </w:tcPr>
          <w:p w14:paraId="3B883D03">
            <w:pPr>
              <w:pStyle w:val="12"/>
              <w:pageBreakBefore w:val="0"/>
              <w:wordWrap/>
              <w:bidi w:val="0"/>
              <w:adjustRightInd/>
              <w:snapToGrid/>
              <w:rPr>
                <w:color w:val="auto"/>
              </w:rPr>
            </w:pPr>
            <w:r>
              <w:rPr>
                <w:rFonts w:hint="default"/>
                <w:color w:val="auto"/>
                <w:lang w:val="en-US" w:eastAsia="zh-CN"/>
              </w:rPr>
              <w:t xml:space="preserve">0.0226 </w:t>
            </w:r>
          </w:p>
        </w:tc>
      </w:tr>
      <w:tr w14:paraId="62471CB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174" w:type="pct"/>
            <w:gridSpan w:val="3"/>
            <w:tcBorders>
              <w:tl2br w:val="nil"/>
              <w:tr2bl w:val="nil"/>
            </w:tcBorders>
            <w:vAlign w:val="center"/>
          </w:tcPr>
          <w:p w14:paraId="4B251B19">
            <w:pPr>
              <w:pStyle w:val="12"/>
              <w:pageBreakBefore w:val="0"/>
              <w:wordWrap/>
              <w:bidi w:val="0"/>
              <w:adjustRightInd/>
              <w:snapToGrid/>
              <w:rPr>
                <w:color w:val="auto"/>
              </w:rPr>
            </w:pPr>
            <w:r>
              <w:rPr>
                <w:color w:val="auto"/>
              </w:rPr>
              <w:t>合计</w:t>
            </w:r>
          </w:p>
        </w:tc>
        <w:tc>
          <w:tcPr>
            <w:tcW w:w="422" w:type="pct"/>
            <w:tcBorders>
              <w:tl2br w:val="nil"/>
              <w:tr2bl w:val="nil"/>
            </w:tcBorders>
            <w:vAlign w:val="center"/>
          </w:tcPr>
          <w:p w14:paraId="52466B11">
            <w:pPr>
              <w:pStyle w:val="12"/>
              <w:pageBreakBefore w:val="0"/>
              <w:wordWrap/>
              <w:bidi w:val="0"/>
              <w:adjustRightInd/>
              <w:snapToGrid/>
              <w:rPr>
                <w:color w:val="auto"/>
              </w:rPr>
            </w:pPr>
            <w:r>
              <w:rPr>
                <w:rFonts w:hint="default"/>
                <w:color w:val="auto"/>
                <w:lang w:val="en-US" w:eastAsia="zh-CN"/>
              </w:rPr>
              <w:t>/</w:t>
            </w:r>
          </w:p>
        </w:tc>
        <w:tc>
          <w:tcPr>
            <w:tcW w:w="421" w:type="pct"/>
            <w:tcBorders>
              <w:tl2br w:val="nil"/>
              <w:tr2bl w:val="nil"/>
            </w:tcBorders>
            <w:vAlign w:val="center"/>
          </w:tcPr>
          <w:p w14:paraId="51B59DC2">
            <w:pPr>
              <w:pStyle w:val="12"/>
              <w:pageBreakBefore w:val="0"/>
              <w:wordWrap/>
              <w:bidi w:val="0"/>
              <w:adjustRightInd/>
              <w:snapToGrid/>
              <w:rPr>
                <w:color w:val="auto"/>
              </w:rPr>
            </w:pPr>
            <w:r>
              <w:rPr>
                <w:rFonts w:hint="default"/>
                <w:color w:val="auto"/>
                <w:lang w:val="en-US" w:eastAsia="zh-CN"/>
              </w:rPr>
              <w:t xml:space="preserve">7.8929 </w:t>
            </w:r>
          </w:p>
        </w:tc>
        <w:tc>
          <w:tcPr>
            <w:tcW w:w="532" w:type="pct"/>
            <w:tcBorders>
              <w:tl2br w:val="nil"/>
              <w:tr2bl w:val="nil"/>
            </w:tcBorders>
            <w:vAlign w:val="center"/>
          </w:tcPr>
          <w:p w14:paraId="472C6413">
            <w:pPr>
              <w:pStyle w:val="12"/>
              <w:pageBreakBefore w:val="0"/>
              <w:wordWrap/>
              <w:bidi w:val="0"/>
              <w:adjustRightInd/>
              <w:snapToGrid/>
              <w:rPr>
                <w:color w:val="auto"/>
              </w:rPr>
            </w:pPr>
            <w:r>
              <w:rPr>
                <w:rFonts w:hint="default"/>
                <w:color w:val="auto"/>
                <w:lang w:val="en-US" w:eastAsia="zh-CN"/>
              </w:rPr>
              <w:t>/</w:t>
            </w:r>
          </w:p>
        </w:tc>
        <w:tc>
          <w:tcPr>
            <w:tcW w:w="450" w:type="pct"/>
            <w:tcBorders>
              <w:tl2br w:val="nil"/>
              <w:tr2bl w:val="nil"/>
            </w:tcBorders>
            <w:vAlign w:val="center"/>
          </w:tcPr>
          <w:p w14:paraId="4AFE80BF">
            <w:pPr>
              <w:pStyle w:val="12"/>
              <w:pageBreakBefore w:val="0"/>
              <w:wordWrap/>
              <w:bidi w:val="0"/>
              <w:adjustRightInd/>
              <w:snapToGrid/>
              <w:rPr>
                <w:color w:val="auto"/>
              </w:rPr>
            </w:pPr>
            <w:r>
              <w:rPr>
                <w:rFonts w:hint="default"/>
                <w:color w:val="auto"/>
                <w:lang w:val="en-US" w:eastAsia="zh-CN"/>
              </w:rPr>
              <w:t xml:space="preserve">0.1161 </w:t>
            </w:r>
          </w:p>
        </w:tc>
      </w:tr>
    </w:tbl>
    <w:p w14:paraId="3557DE7E">
      <w:pPr>
        <w:keepNext w:val="0"/>
        <w:keepLines w:val="0"/>
        <w:pageBreakBefore w:val="0"/>
        <w:widowControl w:val="0"/>
        <w:kinsoku/>
        <w:wordWrap/>
        <w:overflowPunct/>
        <w:topLinePunct w:val="0"/>
        <w:autoSpaceDE/>
        <w:autoSpaceDN/>
        <w:bidi w:val="0"/>
        <w:adjustRightInd/>
        <w:snapToGrid/>
        <w:spacing w:before="144" w:beforeLines="50"/>
        <w:ind w:firstLine="480"/>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臭气治理措施</w:t>
      </w:r>
    </w:p>
    <w:p w14:paraId="33A3F788">
      <w:pPr>
        <w:pageBreakBefore w:val="0"/>
        <w:wordWrap/>
        <w:bidi w:val="0"/>
        <w:adjustRightInd/>
        <w:snapToGrid/>
        <w:rPr>
          <w:rFonts w:hint="eastAsia"/>
          <w:color w:val="auto"/>
          <w:lang w:val="en-US" w:eastAsia="zh-CN"/>
        </w:rPr>
      </w:pPr>
      <w:r>
        <w:rPr>
          <w:rFonts w:hint="eastAsia"/>
          <w:color w:val="auto"/>
          <w:lang w:val="en-US" w:eastAsia="zh-CN"/>
        </w:rPr>
        <w:t>根据项目初设，为降低臭气对周围环境的影响，项目对主要恶臭源构筑物进行密闭、分区加盖，恶臭污染物经收集后通过新增1套生物除臭系统（生物滤池除臭）进行处置，少量未被收集部分属无组织排放源，废气捕集率约95%，生物除臭装置的去除效率可达95%，风机风量：20000m³/h。</w:t>
      </w:r>
    </w:p>
    <w:p w14:paraId="45FC68F7">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达标分析</w:t>
      </w:r>
    </w:p>
    <w:p w14:paraId="1579C4AC">
      <w:pPr>
        <w:pageBreakBefore w:val="0"/>
        <w:wordWrap/>
        <w:bidi w:val="0"/>
        <w:adjustRightInd/>
        <w:snapToGrid/>
        <w:rPr>
          <w:color w:val="auto"/>
        </w:rPr>
      </w:pPr>
      <w:r>
        <w:rPr>
          <w:rFonts w:hint="eastAsia"/>
          <w:color w:val="auto"/>
        </w:rPr>
        <w:t>根据《污水处理厂恶臭防治对策及环境影响评价的研究》</w:t>
      </w:r>
      <w:r>
        <w:rPr>
          <w:rFonts w:hint="eastAsia"/>
          <w:color w:val="auto"/>
          <w:lang w:eastAsia="zh-CN"/>
        </w:rPr>
        <w:t>（</w:t>
      </w:r>
      <w:r>
        <w:rPr>
          <w:rFonts w:hint="eastAsia"/>
          <w:color w:val="auto"/>
        </w:rPr>
        <w:t>薛松、和慧等，青岛理工大学学报，2012年</w:t>
      </w:r>
      <w:r>
        <w:rPr>
          <w:rFonts w:hint="eastAsia"/>
          <w:color w:val="auto"/>
          <w:lang w:eastAsia="zh-CN"/>
        </w:rPr>
        <w:t>）</w:t>
      </w:r>
      <w:r>
        <w:rPr>
          <w:rFonts w:hint="eastAsia"/>
          <w:color w:val="auto"/>
        </w:rPr>
        <w:t>以及建设单位提供的资料，污水处理厂各臭气排放设施加盖后对臭气的收集率按95%计</w:t>
      </w:r>
      <w:r>
        <w:rPr>
          <w:color w:val="auto"/>
        </w:rPr>
        <w:t>；根据相同处理工艺的经验数据，生物滤池除臭工艺对于硫化氢和氨的去除率可以达到95%以上，则污水处理厂各臭气收集装置收集的臭气经生物滤池除臭后，生物滤池排气筒硫化氢和氨的排放情况见下表。</w:t>
      </w:r>
    </w:p>
    <w:p w14:paraId="200C4F6E">
      <w:pPr>
        <w:pStyle w:val="15"/>
        <w:bidi w:val="0"/>
        <w:ind w:left="0" w:leftChars="0" w:firstLine="0" w:firstLineChars="0"/>
        <w:rPr>
          <w:color w:val="auto"/>
        </w:rPr>
      </w:pPr>
      <w:r>
        <w:rPr>
          <w:color w:val="auto"/>
        </w:rPr>
        <w:t>污水处理厂臭气有组织排放一览表</w:t>
      </w:r>
    </w:p>
    <w:tbl>
      <w:tblPr>
        <w:tblStyle w:val="48"/>
        <w:tblW w:w="85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02"/>
        <w:gridCol w:w="666"/>
        <w:gridCol w:w="819"/>
        <w:gridCol w:w="2683"/>
        <w:gridCol w:w="740"/>
        <w:gridCol w:w="911"/>
        <w:gridCol w:w="1006"/>
        <w:gridCol w:w="1033"/>
      </w:tblGrid>
      <w:tr w14:paraId="03396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0" w:type="pct"/>
            <w:vMerge w:val="restart"/>
            <w:noWrap w:val="0"/>
            <w:vAlign w:val="center"/>
          </w:tcPr>
          <w:p w14:paraId="4727101F">
            <w:pPr>
              <w:pStyle w:val="12"/>
              <w:pageBreakBefore w:val="0"/>
              <w:wordWrap/>
              <w:bidi w:val="0"/>
              <w:adjustRightInd/>
              <w:snapToGrid/>
              <w:rPr>
                <w:rFonts w:hint="default"/>
                <w:b/>
                <w:bCs/>
                <w:color w:val="auto"/>
              </w:rPr>
            </w:pPr>
            <w:r>
              <w:rPr>
                <w:rFonts w:hint="default"/>
                <w:b/>
                <w:bCs/>
                <w:color w:val="auto"/>
              </w:rPr>
              <w:t>产污工序</w:t>
            </w:r>
          </w:p>
        </w:tc>
        <w:tc>
          <w:tcPr>
            <w:tcW w:w="389" w:type="pct"/>
            <w:vMerge w:val="restart"/>
            <w:noWrap w:val="0"/>
            <w:vAlign w:val="center"/>
          </w:tcPr>
          <w:p w14:paraId="66C781B5">
            <w:pPr>
              <w:pStyle w:val="12"/>
              <w:pageBreakBefore w:val="0"/>
              <w:wordWrap/>
              <w:bidi w:val="0"/>
              <w:adjustRightInd/>
              <w:snapToGrid/>
              <w:rPr>
                <w:rFonts w:hint="default"/>
                <w:b/>
                <w:bCs/>
                <w:color w:val="auto"/>
              </w:rPr>
            </w:pPr>
            <w:r>
              <w:rPr>
                <w:rFonts w:hint="default"/>
                <w:b/>
                <w:bCs/>
                <w:color w:val="auto"/>
              </w:rPr>
              <w:t>污染物</w:t>
            </w:r>
          </w:p>
        </w:tc>
        <w:tc>
          <w:tcPr>
            <w:tcW w:w="478" w:type="pct"/>
            <w:vMerge w:val="restart"/>
            <w:noWrap w:val="0"/>
            <w:vAlign w:val="center"/>
          </w:tcPr>
          <w:p w14:paraId="3AF97F61">
            <w:pPr>
              <w:pStyle w:val="12"/>
              <w:pageBreakBefore w:val="0"/>
              <w:wordWrap/>
              <w:bidi w:val="0"/>
              <w:adjustRightInd/>
              <w:snapToGrid/>
              <w:rPr>
                <w:rFonts w:hint="default"/>
                <w:b/>
                <w:bCs/>
                <w:color w:val="auto"/>
              </w:rPr>
            </w:pPr>
            <w:r>
              <w:rPr>
                <w:rFonts w:hint="default"/>
                <w:b/>
                <w:bCs/>
                <w:color w:val="auto"/>
              </w:rPr>
              <w:t>产生量（t/a）</w:t>
            </w:r>
          </w:p>
        </w:tc>
        <w:tc>
          <w:tcPr>
            <w:tcW w:w="1566" w:type="pct"/>
            <w:vMerge w:val="restart"/>
            <w:noWrap w:val="0"/>
            <w:vAlign w:val="center"/>
          </w:tcPr>
          <w:p w14:paraId="4FD5FCBB">
            <w:pPr>
              <w:pStyle w:val="12"/>
              <w:pageBreakBefore w:val="0"/>
              <w:wordWrap/>
              <w:bidi w:val="0"/>
              <w:adjustRightInd/>
              <w:snapToGrid/>
              <w:rPr>
                <w:rFonts w:hint="default"/>
                <w:b/>
                <w:bCs/>
                <w:color w:val="auto"/>
              </w:rPr>
            </w:pPr>
            <w:r>
              <w:rPr>
                <w:rFonts w:hint="default"/>
                <w:b/>
                <w:bCs/>
                <w:color w:val="auto"/>
              </w:rPr>
              <w:t>治理措施</w:t>
            </w:r>
          </w:p>
        </w:tc>
        <w:tc>
          <w:tcPr>
            <w:tcW w:w="1551" w:type="pct"/>
            <w:gridSpan w:val="3"/>
            <w:noWrap w:val="0"/>
            <w:vAlign w:val="center"/>
          </w:tcPr>
          <w:p w14:paraId="20A8888B">
            <w:pPr>
              <w:pStyle w:val="12"/>
              <w:pageBreakBefore w:val="0"/>
              <w:wordWrap/>
              <w:bidi w:val="0"/>
              <w:adjustRightInd/>
              <w:snapToGrid/>
              <w:rPr>
                <w:rFonts w:hint="default"/>
                <w:b/>
                <w:bCs/>
                <w:color w:val="auto"/>
              </w:rPr>
            </w:pPr>
            <w:r>
              <w:rPr>
                <w:rFonts w:hint="default"/>
                <w:b/>
                <w:bCs/>
                <w:color w:val="auto"/>
              </w:rPr>
              <w:t>有组织排放</w:t>
            </w:r>
          </w:p>
        </w:tc>
        <w:tc>
          <w:tcPr>
            <w:tcW w:w="603" w:type="pct"/>
            <w:vMerge w:val="restart"/>
            <w:noWrap w:val="0"/>
            <w:vAlign w:val="center"/>
          </w:tcPr>
          <w:p w14:paraId="2A2D45E5">
            <w:pPr>
              <w:pStyle w:val="12"/>
              <w:pageBreakBefore w:val="0"/>
              <w:wordWrap/>
              <w:bidi w:val="0"/>
              <w:adjustRightInd/>
              <w:snapToGrid/>
              <w:rPr>
                <w:rFonts w:hint="default"/>
                <w:b/>
                <w:bCs/>
                <w:color w:val="auto"/>
              </w:rPr>
            </w:pPr>
            <w:r>
              <w:rPr>
                <w:rFonts w:hint="default"/>
                <w:b/>
                <w:bCs/>
                <w:color w:val="auto"/>
              </w:rPr>
              <w:t>无组织排放量（t/a）</w:t>
            </w:r>
          </w:p>
        </w:tc>
      </w:tr>
      <w:tr w14:paraId="121C8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0" w:type="pct"/>
            <w:vMerge w:val="continue"/>
            <w:noWrap w:val="0"/>
            <w:vAlign w:val="center"/>
          </w:tcPr>
          <w:p w14:paraId="2D3D1F0A">
            <w:pPr>
              <w:pStyle w:val="12"/>
              <w:pageBreakBefore w:val="0"/>
              <w:wordWrap/>
              <w:bidi w:val="0"/>
              <w:adjustRightInd/>
              <w:snapToGrid/>
              <w:rPr>
                <w:rFonts w:hint="default"/>
                <w:color w:val="auto"/>
              </w:rPr>
            </w:pPr>
          </w:p>
        </w:tc>
        <w:tc>
          <w:tcPr>
            <w:tcW w:w="389" w:type="pct"/>
            <w:vMerge w:val="continue"/>
            <w:noWrap w:val="0"/>
            <w:vAlign w:val="center"/>
          </w:tcPr>
          <w:p w14:paraId="3FD4D936">
            <w:pPr>
              <w:pStyle w:val="12"/>
              <w:pageBreakBefore w:val="0"/>
              <w:wordWrap/>
              <w:bidi w:val="0"/>
              <w:adjustRightInd/>
              <w:snapToGrid/>
              <w:rPr>
                <w:rFonts w:hint="default"/>
                <w:color w:val="auto"/>
              </w:rPr>
            </w:pPr>
          </w:p>
        </w:tc>
        <w:tc>
          <w:tcPr>
            <w:tcW w:w="478" w:type="pct"/>
            <w:vMerge w:val="continue"/>
            <w:noWrap w:val="0"/>
            <w:vAlign w:val="center"/>
          </w:tcPr>
          <w:p w14:paraId="3A651A6A">
            <w:pPr>
              <w:pStyle w:val="12"/>
              <w:pageBreakBefore w:val="0"/>
              <w:wordWrap/>
              <w:bidi w:val="0"/>
              <w:adjustRightInd/>
              <w:snapToGrid/>
              <w:rPr>
                <w:rFonts w:hint="default"/>
                <w:color w:val="auto"/>
              </w:rPr>
            </w:pPr>
          </w:p>
        </w:tc>
        <w:tc>
          <w:tcPr>
            <w:tcW w:w="1566" w:type="pct"/>
            <w:vMerge w:val="continue"/>
            <w:noWrap w:val="0"/>
            <w:vAlign w:val="center"/>
          </w:tcPr>
          <w:p w14:paraId="033637A4">
            <w:pPr>
              <w:pStyle w:val="12"/>
              <w:pageBreakBefore w:val="0"/>
              <w:wordWrap/>
              <w:bidi w:val="0"/>
              <w:adjustRightInd/>
              <w:snapToGrid/>
              <w:rPr>
                <w:rFonts w:hint="default"/>
                <w:color w:val="auto"/>
              </w:rPr>
            </w:pPr>
          </w:p>
        </w:tc>
        <w:tc>
          <w:tcPr>
            <w:tcW w:w="432" w:type="pct"/>
            <w:noWrap w:val="0"/>
            <w:vAlign w:val="center"/>
          </w:tcPr>
          <w:p w14:paraId="40396209">
            <w:pPr>
              <w:pStyle w:val="12"/>
              <w:pageBreakBefore w:val="0"/>
              <w:wordWrap/>
              <w:bidi w:val="0"/>
              <w:adjustRightInd/>
              <w:snapToGrid/>
              <w:rPr>
                <w:rFonts w:hint="default"/>
                <w:b/>
                <w:bCs/>
                <w:color w:val="auto"/>
              </w:rPr>
            </w:pPr>
            <w:r>
              <w:rPr>
                <w:rFonts w:hint="default"/>
                <w:b/>
                <w:bCs/>
                <w:color w:val="auto"/>
              </w:rPr>
              <w:t>排放量（t/a）</w:t>
            </w:r>
          </w:p>
        </w:tc>
        <w:tc>
          <w:tcPr>
            <w:tcW w:w="532" w:type="pct"/>
            <w:noWrap w:val="0"/>
            <w:vAlign w:val="center"/>
          </w:tcPr>
          <w:p w14:paraId="195F9E97">
            <w:pPr>
              <w:pStyle w:val="12"/>
              <w:pageBreakBefore w:val="0"/>
              <w:wordWrap/>
              <w:bidi w:val="0"/>
              <w:adjustRightInd/>
              <w:snapToGrid/>
              <w:rPr>
                <w:rFonts w:hint="default"/>
                <w:b/>
                <w:bCs/>
                <w:color w:val="auto"/>
              </w:rPr>
            </w:pPr>
            <w:r>
              <w:rPr>
                <w:rFonts w:hint="default"/>
                <w:b/>
                <w:bCs/>
                <w:color w:val="auto"/>
              </w:rPr>
              <w:t>速率（kg/h）</w:t>
            </w:r>
          </w:p>
        </w:tc>
        <w:tc>
          <w:tcPr>
            <w:tcW w:w="587" w:type="pct"/>
            <w:noWrap w:val="0"/>
            <w:vAlign w:val="center"/>
          </w:tcPr>
          <w:p w14:paraId="2F73DF7D">
            <w:pPr>
              <w:pStyle w:val="12"/>
              <w:pageBreakBefore w:val="0"/>
              <w:wordWrap/>
              <w:bidi w:val="0"/>
              <w:adjustRightInd/>
              <w:snapToGrid/>
              <w:rPr>
                <w:rFonts w:hint="default"/>
                <w:b/>
                <w:bCs/>
                <w:color w:val="auto"/>
              </w:rPr>
            </w:pPr>
            <w:r>
              <w:rPr>
                <w:rFonts w:hint="default"/>
                <w:b/>
                <w:bCs/>
                <w:color w:val="auto"/>
              </w:rPr>
              <w:t>浓度（mg/m</w:t>
            </w:r>
            <w:r>
              <w:rPr>
                <w:rFonts w:hint="eastAsia"/>
                <w:b/>
                <w:bCs/>
                <w:color w:val="auto"/>
                <w:lang w:val="en-US" w:eastAsia="zh-CN"/>
              </w:rPr>
              <w:t>³</w:t>
            </w:r>
            <w:r>
              <w:rPr>
                <w:rFonts w:hint="default"/>
                <w:b/>
                <w:bCs/>
                <w:color w:val="auto"/>
              </w:rPr>
              <w:t>）</w:t>
            </w:r>
          </w:p>
        </w:tc>
        <w:tc>
          <w:tcPr>
            <w:tcW w:w="603" w:type="pct"/>
            <w:vMerge w:val="continue"/>
            <w:noWrap w:val="0"/>
            <w:vAlign w:val="center"/>
          </w:tcPr>
          <w:p w14:paraId="0FD1AAA0">
            <w:pPr>
              <w:pStyle w:val="12"/>
              <w:pageBreakBefore w:val="0"/>
              <w:wordWrap/>
              <w:bidi w:val="0"/>
              <w:adjustRightInd/>
              <w:snapToGrid/>
              <w:rPr>
                <w:rFonts w:hint="default"/>
                <w:color w:val="auto"/>
              </w:rPr>
            </w:pPr>
          </w:p>
        </w:tc>
      </w:tr>
      <w:tr w14:paraId="1232B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0" w:type="pct"/>
            <w:vMerge w:val="restart"/>
            <w:noWrap w:val="0"/>
            <w:vAlign w:val="center"/>
          </w:tcPr>
          <w:p w14:paraId="10E4C3C4">
            <w:pPr>
              <w:pStyle w:val="12"/>
              <w:pageBreakBefore w:val="0"/>
              <w:wordWrap/>
              <w:bidi w:val="0"/>
              <w:adjustRightInd/>
              <w:snapToGrid/>
              <w:rPr>
                <w:rFonts w:hint="default"/>
                <w:color w:val="auto"/>
              </w:rPr>
            </w:pPr>
            <w:r>
              <w:rPr>
                <w:rFonts w:hint="default"/>
                <w:color w:val="auto"/>
              </w:rPr>
              <w:t>DA00</w:t>
            </w:r>
            <w:r>
              <w:rPr>
                <w:rFonts w:hint="eastAsia"/>
                <w:color w:val="auto"/>
                <w:lang w:val="en-US" w:eastAsia="zh-CN"/>
              </w:rPr>
              <w:t>1</w:t>
            </w:r>
          </w:p>
        </w:tc>
        <w:tc>
          <w:tcPr>
            <w:tcW w:w="389" w:type="pct"/>
            <w:noWrap w:val="0"/>
            <w:vAlign w:val="center"/>
          </w:tcPr>
          <w:p w14:paraId="3E5B29B4">
            <w:pPr>
              <w:pStyle w:val="12"/>
              <w:pageBreakBefore w:val="0"/>
              <w:wordWrap/>
              <w:bidi w:val="0"/>
              <w:adjustRightInd/>
              <w:snapToGrid/>
              <w:rPr>
                <w:rFonts w:hint="default"/>
                <w:color w:val="auto"/>
              </w:rPr>
            </w:pPr>
            <w:r>
              <w:rPr>
                <w:rFonts w:hint="default"/>
                <w:color w:val="auto"/>
              </w:rPr>
              <w:t>NH</w:t>
            </w:r>
            <w:r>
              <w:rPr>
                <w:rFonts w:hint="default"/>
                <w:color w:val="auto"/>
                <w:vertAlign w:val="subscript"/>
              </w:rPr>
              <w:t>3</w:t>
            </w:r>
          </w:p>
        </w:tc>
        <w:tc>
          <w:tcPr>
            <w:tcW w:w="478" w:type="pct"/>
            <w:noWrap w:val="0"/>
            <w:vAlign w:val="center"/>
          </w:tcPr>
          <w:p w14:paraId="280FB899">
            <w:pPr>
              <w:pStyle w:val="12"/>
              <w:pageBreakBefore w:val="0"/>
              <w:wordWrap/>
              <w:bidi w:val="0"/>
              <w:adjustRightInd/>
              <w:snapToGrid/>
              <w:rPr>
                <w:rFonts w:hint="default"/>
                <w:color w:val="auto"/>
                <w:lang w:val="en-US" w:eastAsia="zh-CN"/>
              </w:rPr>
            </w:pPr>
            <w:r>
              <w:rPr>
                <w:rFonts w:hint="eastAsia"/>
                <w:color w:val="auto"/>
                <w:lang w:val="en-US" w:eastAsia="zh-CN"/>
              </w:rPr>
              <w:t>7.8929</w:t>
            </w:r>
          </w:p>
        </w:tc>
        <w:tc>
          <w:tcPr>
            <w:tcW w:w="1566" w:type="pct"/>
            <w:vMerge w:val="restart"/>
            <w:noWrap w:val="0"/>
            <w:vAlign w:val="center"/>
          </w:tcPr>
          <w:p w14:paraId="1035FDA7">
            <w:pPr>
              <w:pStyle w:val="12"/>
              <w:pageBreakBefore w:val="0"/>
              <w:wordWrap/>
              <w:bidi w:val="0"/>
              <w:adjustRightInd/>
              <w:snapToGrid/>
              <w:rPr>
                <w:rFonts w:hint="default"/>
                <w:color w:val="auto"/>
                <w:lang w:eastAsia="zh-CN"/>
              </w:rPr>
            </w:pPr>
            <w:r>
              <w:rPr>
                <w:rFonts w:hint="default"/>
                <w:color w:val="auto"/>
                <w:lang w:eastAsia="zh-CN"/>
              </w:rPr>
              <w:t>新增1套生物除臭设备，风量  15000m</w:t>
            </w:r>
            <w:r>
              <w:rPr>
                <w:rFonts w:hint="eastAsia"/>
                <w:color w:val="auto"/>
                <w:lang w:val="en-US" w:eastAsia="zh-CN"/>
              </w:rPr>
              <w:t>³</w:t>
            </w:r>
            <w:r>
              <w:rPr>
                <w:rFonts w:hint="default"/>
                <w:color w:val="auto"/>
                <w:lang w:eastAsia="zh-CN"/>
              </w:rPr>
              <w:t>/h，收集效率95%，处理效率95%</w:t>
            </w:r>
          </w:p>
        </w:tc>
        <w:tc>
          <w:tcPr>
            <w:tcW w:w="432" w:type="pct"/>
            <w:noWrap w:val="0"/>
            <w:vAlign w:val="center"/>
          </w:tcPr>
          <w:p w14:paraId="6ED28DC8">
            <w:pPr>
              <w:pStyle w:val="12"/>
              <w:pageBreakBefore w:val="0"/>
              <w:wordWrap/>
              <w:bidi w:val="0"/>
              <w:adjustRightInd/>
              <w:snapToGrid/>
              <w:rPr>
                <w:rFonts w:hint="default"/>
                <w:color w:val="auto"/>
                <w:lang w:val="en-US" w:eastAsia="zh-CN"/>
              </w:rPr>
            </w:pPr>
            <w:r>
              <w:rPr>
                <w:rFonts w:hint="eastAsia"/>
                <w:color w:val="auto"/>
                <w:lang w:val="en-US" w:eastAsia="zh-CN"/>
              </w:rPr>
              <w:t>0.3749</w:t>
            </w:r>
          </w:p>
        </w:tc>
        <w:tc>
          <w:tcPr>
            <w:tcW w:w="532" w:type="pct"/>
            <w:noWrap w:val="0"/>
            <w:vAlign w:val="center"/>
          </w:tcPr>
          <w:p w14:paraId="151799EB">
            <w:pPr>
              <w:pStyle w:val="12"/>
              <w:pageBreakBefore w:val="0"/>
              <w:wordWrap/>
              <w:bidi w:val="0"/>
              <w:adjustRightInd/>
              <w:snapToGrid/>
              <w:rPr>
                <w:rFonts w:hint="default"/>
                <w:color w:val="auto"/>
                <w:lang w:val="en-US" w:eastAsia="zh-CN"/>
              </w:rPr>
            </w:pPr>
            <w:r>
              <w:rPr>
                <w:rFonts w:hint="eastAsia"/>
                <w:color w:val="auto"/>
                <w:lang w:val="en-US" w:eastAsia="zh-CN"/>
              </w:rPr>
              <w:t>0.0428</w:t>
            </w:r>
          </w:p>
        </w:tc>
        <w:tc>
          <w:tcPr>
            <w:tcW w:w="587" w:type="pct"/>
            <w:noWrap w:val="0"/>
            <w:vAlign w:val="center"/>
          </w:tcPr>
          <w:p w14:paraId="7A67DB28">
            <w:pPr>
              <w:pStyle w:val="12"/>
              <w:pageBreakBefore w:val="0"/>
              <w:wordWrap/>
              <w:bidi w:val="0"/>
              <w:adjustRightInd/>
              <w:snapToGrid/>
              <w:rPr>
                <w:rFonts w:hint="default"/>
                <w:color w:val="auto"/>
                <w:lang w:val="en-US" w:eastAsia="zh-CN"/>
              </w:rPr>
            </w:pPr>
            <w:r>
              <w:rPr>
                <w:rFonts w:hint="eastAsia"/>
                <w:color w:val="auto"/>
                <w:lang w:val="en-US" w:eastAsia="zh-CN"/>
              </w:rPr>
              <w:t>2.14</w:t>
            </w:r>
          </w:p>
        </w:tc>
        <w:tc>
          <w:tcPr>
            <w:tcW w:w="603" w:type="pct"/>
            <w:noWrap w:val="0"/>
            <w:vAlign w:val="center"/>
          </w:tcPr>
          <w:p w14:paraId="1F4E1CF4">
            <w:pPr>
              <w:pStyle w:val="12"/>
              <w:pageBreakBefore w:val="0"/>
              <w:wordWrap/>
              <w:bidi w:val="0"/>
              <w:adjustRightInd/>
              <w:snapToGrid/>
              <w:rPr>
                <w:rFonts w:hint="default"/>
                <w:color w:val="auto"/>
                <w:lang w:val="en-US" w:eastAsia="zh-CN"/>
              </w:rPr>
            </w:pPr>
            <w:r>
              <w:rPr>
                <w:rFonts w:hint="eastAsia"/>
                <w:color w:val="auto"/>
                <w:lang w:val="en-US" w:eastAsia="zh-CN"/>
              </w:rPr>
              <w:t>0.3946</w:t>
            </w:r>
          </w:p>
        </w:tc>
      </w:tr>
      <w:tr w14:paraId="172AC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0" w:type="pct"/>
            <w:vMerge w:val="continue"/>
            <w:noWrap w:val="0"/>
            <w:vAlign w:val="center"/>
          </w:tcPr>
          <w:p w14:paraId="50680163">
            <w:pPr>
              <w:pStyle w:val="12"/>
              <w:pageBreakBefore w:val="0"/>
              <w:wordWrap/>
              <w:bidi w:val="0"/>
              <w:adjustRightInd/>
              <w:snapToGrid/>
              <w:rPr>
                <w:rFonts w:hint="default"/>
                <w:color w:val="auto"/>
              </w:rPr>
            </w:pPr>
          </w:p>
        </w:tc>
        <w:tc>
          <w:tcPr>
            <w:tcW w:w="389" w:type="pct"/>
            <w:noWrap w:val="0"/>
            <w:vAlign w:val="center"/>
          </w:tcPr>
          <w:p w14:paraId="31DB450C">
            <w:pPr>
              <w:pStyle w:val="12"/>
              <w:pageBreakBefore w:val="0"/>
              <w:wordWrap/>
              <w:bidi w:val="0"/>
              <w:adjustRightInd/>
              <w:snapToGrid/>
              <w:rPr>
                <w:rFonts w:hint="default"/>
                <w:color w:val="auto"/>
              </w:rPr>
            </w:pPr>
            <w:r>
              <w:rPr>
                <w:rFonts w:hint="default"/>
                <w:color w:val="auto"/>
              </w:rPr>
              <w:t>H</w:t>
            </w:r>
            <w:r>
              <w:rPr>
                <w:rFonts w:hint="default"/>
                <w:color w:val="auto"/>
                <w:vertAlign w:val="subscript"/>
              </w:rPr>
              <w:t>2</w:t>
            </w:r>
            <w:r>
              <w:rPr>
                <w:rFonts w:hint="default"/>
                <w:color w:val="auto"/>
              </w:rPr>
              <w:t>S</w:t>
            </w:r>
          </w:p>
        </w:tc>
        <w:tc>
          <w:tcPr>
            <w:tcW w:w="478" w:type="pct"/>
            <w:noWrap w:val="0"/>
            <w:vAlign w:val="center"/>
          </w:tcPr>
          <w:p w14:paraId="1F283442">
            <w:pPr>
              <w:pStyle w:val="12"/>
              <w:pageBreakBefore w:val="0"/>
              <w:wordWrap/>
              <w:bidi w:val="0"/>
              <w:adjustRightInd/>
              <w:snapToGrid/>
              <w:rPr>
                <w:rFonts w:hint="default"/>
                <w:color w:val="auto"/>
                <w:lang w:val="en-US" w:eastAsia="zh-CN"/>
              </w:rPr>
            </w:pPr>
            <w:r>
              <w:rPr>
                <w:rFonts w:hint="eastAsia"/>
                <w:color w:val="auto"/>
                <w:lang w:val="en-US" w:eastAsia="zh-CN"/>
              </w:rPr>
              <w:t>0.1161</w:t>
            </w:r>
          </w:p>
        </w:tc>
        <w:tc>
          <w:tcPr>
            <w:tcW w:w="1566" w:type="pct"/>
            <w:vMerge w:val="continue"/>
            <w:noWrap w:val="0"/>
            <w:vAlign w:val="center"/>
          </w:tcPr>
          <w:p w14:paraId="17AA3E76">
            <w:pPr>
              <w:pStyle w:val="12"/>
              <w:pageBreakBefore w:val="0"/>
              <w:wordWrap/>
              <w:bidi w:val="0"/>
              <w:adjustRightInd/>
              <w:snapToGrid/>
              <w:rPr>
                <w:rFonts w:hint="default"/>
                <w:color w:val="auto"/>
              </w:rPr>
            </w:pPr>
          </w:p>
        </w:tc>
        <w:tc>
          <w:tcPr>
            <w:tcW w:w="432" w:type="pct"/>
            <w:noWrap w:val="0"/>
            <w:vAlign w:val="center"/>
          </w:tcPr>
          <w:p w14:paraId="044DA20C">
            <w:pPr>
              <w:pStyle w:val="12"/>
              <w:pageBreakBefore w:val="0"/>
              <w:wordWrap/>
              <w:bidi w:val="0"/>
              <w:adjustRightInd/>
              <w:snapToGrid/>
              <w:rPr>
                <w:rFonts w:hint="default"/>
                <w:color w:val="auto"/>
                <w:lang w:val="en-US" w:eastAsia="zh-CN"/>
              </w:rPr>
            </w:pPr>
            <w:r>
              <w:rPr>
                <w:rFonts w:hint="eastAsia"/>
                <w:color w:val="auto"/>
                <w:lang w:val="en-US" w:eastAsia="zh-CN"/>
              </w:rPr>
              <w:t>0.0055</w:t>
            </w:r>
          </w:p>
        </w:tc>
        <w:tc>
          <w:tcPr>
            <w:tcW w:w="532" w:type="pct"/>
            <w:noWrap w:val="0"/>
            <w:vAlign w:val="center"/>
          </w:tcPr>
          <w:p w14:paraId="664569BB">
            <w:pPr>
              <w:pStyle w:val="12"/>
              <w:pageBreakBefore w:val="0"/>
              <w:wordWrap/>
              <w:bidi w:val="0"/>
              <w:adjustRightInd/>
              <w:snapToGrid/>
              <w:rPr>
                <w:rFonts w:hint="default"/>
                <w:color w:val="auto"/>
                <w:lang w:val="en-US" w:eastAsia="zh-CN"/>
              </w:rPr>
            </w:pPr>
            <w:r>
              <w:rPr>
                <w:rFonts w:hint="eastAsia"/>
                <w:color w:val="auto"/>
                <w:lang w:val="en-US" w:eastAsia="zh-CN"/>
              </w:rPr>
              <w:t>0.00063</w:t>
            </w:r>
          </w:p>
        </w:tc>
        <w:tc>
          <w:tcPr>
            <w:tcW w:w="587" w:type="pct"/>
            <w:noWrap w:val="0"/>
            <w:vAlign w:val="center"/>
          </w:tcPr>
          <w:p w14:paraId="244EEF9D">
            <w:pPr>
              <w:pStyle w:val="12"/>
              <w:pageBreakBefore w:val="0"/>
              <w:wordWrap/>
              <w:bidi w:val="0"/>
              <w:adjustRightInd/>
              <w:snapToGrid/>
              <w:rPr>
                <w:rFonts w:hint="default"/>
                <w:color w:val="auto"/>
                <w:lang w:val="en-US" w:eastAsia="zh-CN"/>
              </w:rPr>
            </w:pPr>
            <w:r>
              <w:rPr>
                <w:rFonts w:hint="eastAsia"/>
                <w:color w:val="auto"/>
                <w:lang w:val="en-US" w:eastAsia="zh-CN"/>
              </w:rPr>
              <w:t>0.0315</w:t>
            </w:r>
          </w:p>
        </w:tc>
        <w:tc>
          <w:tcPr>
            <w:tcW w:w="603" w:type="pct"/>
            <w:noWrap w:val="0"/>
            <w:vAlign w:val="center"/>
          </w:tcPr>
          <w:p w14:paraId="0A5BD332">
            <w:pPr>
              <w:pStyle w:val="12"/>
              <w:pageBreakBefore w:val="0"/>
              <w:wordWrap/>
              <w:bidi w:val="0"/>
              <w:adjustRightInd/>
              <w:snapToGrid/>
              <w:rPr>
                <w:rFonts w:hint="default"/>
                <w:color w:val="auto"/>
                <w:lang w:val="en-US" w:eastAsia="zh-CN"/>
              </w:rPr>
            </w:pPr>
            <w:r>
              <w:rPr>
                <w:rFonts w:hint="eastAsia"/>
                <w:color w:val="auto"/>
                <w:lang w:val="en-US" w:eastAsia="zh-CN"/>
              </w:rPr>
              <w:t>0.0058</w:t>
            </w:r>
          </w:p>
        </w:tc>
      </w:tr>
    </w:tbl>
    <w:p w14:paraId="719DB397">
      <w:pPr>
        <w:keepNext w:val="0"/>
        <w:keepLines w:val="0"/>
        <w:pageBreakBefore w:val="0"/>
        <w:widowControl w:val="0"/>
        <w:kinsoku/>
        <w:wordWrap/>
        <w:overflowPunct/>
        <w:topLinePunct w:val="0"/>
        <w:autoSpaceDE/>
        <w:autoSpaceDN/>
        <w:bidi w:val="0"/>
        <w:adjustRightInd/>
        <w:snapToGrid/>
        <w:spacing w:before="144" w:beforeLines="50"/>
        <w:ind w:firstLine="480"/>
        <w:textAlignment w:val="auto"/>
        <w:rPr>
          <w:color w:val="auto"/>
        </w:rPr>
      </w:pPr>
      <w:r>
        <w:rPr>
          <w:color w:val="auto"/>
        </w:rPr>
        <w:t>由上表可知，污水处理厂生物滤池排气筒中NH</w:t>
      </w:r>
      <w:r>
        <w:rPr>
          <w:color w:val="auto"/>
          <w:vertAlign w:val="subscript"/>
        </w:rPr>
        <w:t>3</w:t>
      </w:r>
      <w:r>
        <w:rPr>
          <w:color w:val="auto"/>
        </w:rPr>
        <w:t>和H</w:t>
      </w:r>
      <w:r>
        <w:rPr>
          <w:color w:val="auto"/>
          <w:vertAlign w:val="subscript"/>
        </w:rPr>
        <w:t>2</w:t>
      </w:r>
      <w:r>
        <w:rPr>
          <w:color w:val="auto"/>
        </w:rPr>
        <w:t>S的排放速率均能够满足《恶臭污染物排放标准》</w:t>
      </w:r>
      <w:r>
        <w:rPr>
          <w:rFonts w:hint="eastAsia"/>
          <w:color w:val="auto"/>
          <w:lang w:eastAsia="zh-CN"/>
        </w:rPr>
        <w:t>（</w:t>
      </w:r>
      <w:r>
        <w:rPr>
          <w:color w:val="auto"/>
        </w:rPr>
        <w:t>GB14554-93</w:t>
      </w:r>
      <w:r>
        <w:rPr>
          <w:rFonts w:hint="eastAsia"/>
          <w:color w:val="auto"/>
          <w:lang w:eastAsia="zh-CN"/>
        </w:rPr>
        <w:t>）</w:t>
      </w:r>
      <w:r>
        <w:rPr>
          <w:color w:val="auto"/>
        </w:rPr>
        <w:t>表2中二级排放标准的要求，达标排放。</w:t>
      </w:r>
    </w:p>
    <w:p w14:paraId="6DD5FF11">
      <w:pPr>
        <w:pageBreakBefore w:val="0"/>
        <w:wordWrap/>
        <w:bidi w:val="0"/>
        <w:adjustRightInd/>
        <w:snapToGrid/>
        <w:ind w:firstLine="480"/>
        <w:rPr>
          <w:b/>
          <w:bCs/>
          <w:color w:val="auto"/>
        </w:rPr>
      </w:pPr>
      <w:r>
        <w:rPr>
          <w:b/>
          <w:bCs/>
          <w:color w:val="auto"/>
        </w:rPr>
        <w:t>☆生物除臭原理：</w:t>
      </w:r>
    </w:p>
    <w:p w14:paraId="2C6902A6">
      <w:pPr>
        <w:pageBreakBefore w:val="0"/>
        <w:wordWrap/>
        <w:bidi w:val="0"/>
        <w:adjustRightInd/>
        <w:snapToGrid/>
        <w:ind w:firstLine="480"/>
        <w:rPr>
          <w:rFonts w:hint="eastAsia"/>
          <w:color w:val="auto"/>
        </w:rPr>
      </w:pPr>
      <w:r>
        <w:rPr>
          <w:color w:val="auto"/>
        </w:rPr>
        <w:t>本项目采用生物滤池除臭，</w:t>
      </w:r>
      <w:r>
        <w:rPr>
          <w:rFonts w:hint="eastAsia"/>
          <w:color w:val="auto"/>
        </w:rPr>
        <w:t>其原理是将臭气源散发的臭气经收集系统收集后集中送到生物滤池除臭装置进行处理，臭气通过湿润、多孔和充满活性微生物的滤层，利用微生物细胞对恶臭物质的吸附、吸收和降解功能，微生物的细胞个体小、表面积大、吸附性强、代谢类型多样的特点，将恶臭物</w:t>
      </w:r>
    </w:p>
    <w:p w14:paraId="6BFE9180">
      <w:pPr>
        <w:pageBreakBefore w:val="0"/>
        <w:wordWrap/>
        <w:bidi w:val="0"/>
        <w:adjustRightInd/>
        <w:snapToGrid/>
        <w:ind w:firstLine="480"/>
        <w:rPr>
          <w:rFonts w:hint="eastAsia"/>
          <w:color w:val="auto"/>
        </w:rPr>
      </w:pPr>
      <w:r>
        <w:rPr>
          <w:rFonts w:hint="eastAsia"/>
          <w:color w:val="auto"/>
        </w:rPr>
        <w:t>质吸附后分解成CO</w:t>
      </w:r>
      <w:r>
        <w:rPr>
          <w:rFonts w:hint="eastAsia"/>
          <w:color w:val="auto"/>
          <w:vertAlign w:val="subscript"/>
          <w:lang w:val="en-US" w:eastAsia="zh-CN"/>
        </w:rPr>
        <w:t>2</w:t>
      </w:r>
      <w:r>
        <w:rPr>
          <w:rFonts w:hint="eastAsia"/>
          <w:color w:val="auto"/>
        </w:rPr>
        <w:t>、H</w:t>
      </w:r>
      <w:r>
        <w:rPr>
          <w:rFonts w:hint="eastAsia"/>
          <w:color w:val="auto"/>
          <w:vertAlign w:val="subscript"/>
          <w:lang w:val="en-US" w:eastAsia="zh-CN"/>
        </w:rPr>
        <w:t>2</w:t>
      </w:r>
      <w:r>
        <w:rPr>
          <w:rFonts w:hint="eastAsia"/>
          <w:color w:val="auto"/>
        </w:rPr>
        <w:t>O、H</w:t>
      </w:r>
      <w:r>
        <w:rPr>
          <w:rFonts w:hint="eastAsia"/>
          <w:color w:val="auto"/>
          <w:vertAlign w:val="subscript"/>
          <w:lang w:val="en-US" w:eastAsia="zh-CN"/>
        </w:rPr>
        <w:t>2</w:t>
      </w:r>
      <w:r>
        <w:rPr>
          <w:rFonts w:hint="eastAsia"/>
          <w:color w:val="auto"/>
        </w:rPr>
        <w:t>SO</w:t>
      </w:r>
      <w:r>
        <w:rPr>
          <w:rFonts w:hint="eastAsia"/>
          <w:color w:val="auto"/>
          <w:vertAlign w:val="subscript"/>
        </w:rPr>
        <w:t>4</w:t>
      </w:r>
      <w:r>
        <w:rPr>
          <w:rFonts w:hint="eastAsia"/>
          <w:color w:val="auto"/>
        </w:rPr>
        <w:t>、HNO</w:t>
      </w:r>
      <w:r>
        <w:rPr>
          <w:rFonts w:hint="eastAsia"/>
          <w:color w:val="auto"/>
          <w:vertAlign w:val="subscript"/>
          <w:lang w:val="en-US" w:eastAsia="zh-CN"/>
        </w:rPr>
        <w:t>3</w:t>
      </w:r>
      <w:r>
        <w:rPr>
          <w:rFonts w:hint="eastAsia"/>
          <w:color w:val="auto"/>
        </w:rPr>
        <w:t>等简单无机物。</w:t>
      </w:r>
    </w:p>
    <w:p w14:paraId="6981048C">
      <w:pPr>
        <w:pageBreakBefore w:val="0"/>
        <w:wordWrap/>
        <w:bidi w:val="0"/>
        <w:adjustRightInd/>
        <w:snapToGrid/>
        <w:ind w:firstLine="480"/>
        <w:rPr>
          <w:color w:val="auto"/>
        </w:rPr>
      </w:pPr>
      <w:r>
        <w:rPr>
          <w:rFonts w:hint="eastAsia"/>
          <w:color w:val="auto"/>
        </w:rPr>
        <w:t>生物除臭主要有三个步骤：</w:t>
      </w:r>
      <w:r>
        <w:rPr>
          <w:rFonts w:hint="eastAsia"/>
          <w:color w:val="auto"/>
          <w:lang w:eastAsia="zh-CN"/>
        </w:rPr>
        <w:t>（</w:t>
      </w:r>
      <w:r>
        <w:rPr>
          <w:rFonts w:hint="eastAsia"/>
          <w:color w:val="auto"/>
        </w:rPr>
        <w:t>1</w:t>
      </w:r>
      <w:r>
        <w:rPr>
          <w:rFonts w:hint="eastAsia"/>
          <w:color w:val="auto"/>
          <w:lang w:eastAsia="zh-CN"/>
        </w:rPr>
        <w:t>）</w:t>
      </w:r>
      <w:r>
        <w:rPr>
          <w:rFonts w:hint="eastAsia"/>
          <w:color w:val="auto"/>
        </w:rPr>
        <w:t>水溶渗透；</w:t>
      </w:r>
      <w:r>
        <w:rPr>
          <w:rFonts w:hint="eastAsia"/>
          <w:color w:val="auto"/>
          <w:lang w:eastAsia="zh-CN"/>
        </w:rPr>
        <w:t>（</w:t>
      </w:r>
      <w:r>
        <w:rPr>
          <w:rFonts w:hint="eastAsia"/>
          <w:color w:val="auto"/>
        </w:rPr>
        <w:t>2</w:t>
      </w:r>
      <w:r>
        <w:rPr>
          <w:rFonts w:hint="eastAsia"/>
          <w:color w:val="auto"/>
          <w:lang w:eastAsia="zh-CN"/>
        </w:rPr>
        <w:t>）</w:t>
      </w:r>
      <w:r>
        <w:rPr>
          <w:rFonts w:hint="eastAsia"/>
          <w:color w:val="auto"/>
        </w:rPr>
        <w:t>生物吸收；</w:t>
      </w:r>
      <w:r>
        <w:rPr>
          <w:rFonts w:hint="eastAsia"/>
          <w:color w:val="auto"/>
          <w:lang w:eastAsia="zh-CN"/>
        </w:rPr>
        <w:t>（</w:t>
      </w:r>
      <w:r>
        <w:rPr>
          <w:rFonts w:hint="eastAsia"/>
          <w:color w:val="auto"/>
        </w:rPr>
        <w:t>3</w:t>
      </w:r>
      <w:r>
        <w:rPr>
          <w:rFonts w:hint="eastAsia"/>
          <w:color w:val="auto"/>
          <w:lang w:eastAsia="zh-CN"/>
        </w:rPr>
        <w:t>）</w:t>
      </w:r>
      <w:r>
        <w:rPr>
          <w:rFonts w:hint="eastAsia"/>
          <w:color w:val="auto"/>
        </w:rPr>
        <w:t>生物氧化。</w:t>
      </w:r>
    </w:p>
    <w:p w14:paraId="2877C8E1">
      <w:pPr>
        <w:pageBreakBefore w:val="0"/>
        <w:wordWrap/>
        <w:bidi w:val="0"/>
        <w:adjustRightInd/>
        <w:snapToGrid/>
        <w:ind w:firstLine="480"/>
        <w:rPr>
          <w:color w:val="auto"/>
        </w:rPr>
      </w:pPr>
      <w:r>
        <w:rPr>
          <w:color w:val="auto"/>
        </w:rPr>
        <w:drawing>
          <wp:inline distT="0" distB="0" distL="114300" distR="114300">
            <wp:extent cx="2447925" cy="1419225"/>
            <wp:effectExtent l="0" t="0" r="9525" b="9525"/>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58"/>
                    <a:stretch>
                      <a:fillRect/>
                    </a:stretch>
                  </pic:blipFill>
                  <pic:spPr>
                    <a:xfrm>
                      <a:off x="0" y="0"/>
                      <a:ext cx="2447925" cy="1419225"/>
                    </a:xfrm>
                    <a:prstGeom prst="rect">
                      <a:avLst/>
                    </a:prstGeom>
                    <a:noFill/>
                    <a:ln>
                      <a:noFill/>
                    </a:ln>
                  </pic:spPr>
                </pic:pic>
              </a:graphicData>
            </a:graphic>
          </wp:inline>
        </w:drawing>
      </w:r>
    </w:p>
    <w:p w14:paraId="16CEE3DC">
      <w:pPr>
        <w:pageBreakBefore w:val="0"/>
        <w:wordWrap/>
        <w:bidi w:val="0"/>
        <w:adjustRightInd/>
        <w:snapToGrid/>
        <w:rPr>
          <w:rFonts w:hint="eastAsia"/>
          <w:color w:val="auto"/>
        </w:rPr>
      </w:pPr>
      <w:r>
        <w:rPr>
          <w:rFonts w:hint="eastAsia"/>
          <w:color w:val="auto"/>
        </w:rPr>
        <w:t>第一步：水溶渗透。滤料表面覆盖有水层，臭气中的化学物质与滤料接触后在表层溶解，并从气相转化为水相，以利于滤料中的细菌</w:t>
      </w:r>
      <w:r>
        <w:rPr>
          <w:rFonts w:hint="eastAsia"/>
          <w:color w:val="auto"/>
          <w:lang w:eastAsia="zh-CN"/>
        </w:rPr>
        <w:t>做进一步</w:t>
      </w:r>
      <w:r>
        <w:rPr>
          <w:rFonts w:hint="eastAsia"/>
          <w:color w:val="auto"/>
        </w:rPr>
        <w:t>的吸收和分解。另外，滤料的多孔性使其具有超大的比表面积，使气、水两相有更大的接触面积，有效增大了气相化学物质在水相中的传送扩散速率</w:t>
      </w:r>
      <w:r>
        <w:rPr>
          <w:rFonts w:hint="eastAsia"/>
          <w:color w:val="auto"/>
          <w:lang w:eastAsia="zh-CN"/>
        </w:rPr>
        <w:t>（</w:t>
      </w:r>
      <w:r>
        <w:rPr>
          <w:rFonts w:hint="eastAsia"/>
          <w:color w:val="auto"/>
        </w:rPr>
        <w:t>经实验测试所得，其产生的瞬时效应是化学清洗的好几百倍</w:t>
      </w:r>
      <w:r>
        <w:rPr>
          <w:rFonts w:hint="eastAsia"/>
          <w:color w:val="auto"/>
          <w:lang w:eastAsia="zh-CN"/>
        </w:rPr>
        <w:t>）</w:t>
      </w:r>
      <w:r>
        <w:rPr>
          <w:rFonts w:hint="eastAsia"/>
          <w:color w:val="auto"/>
        </w:rPr>
        <w:t>。所以，水溶渗透过程其实是</w:t>
      </w:r>
      <w:r>
        <w:rPr>
          <w:rFonts w:hint="eastAsia"/>
          <w:color w:val="auto"/>
          <w:lang w:eastAsia="zh-CN"/>
        </w:rPr>
        <w:t>一个</w:t>
      </w:r>
      <w:r>
        <w:rPr>
          <w:rFonts w:hint="eastAsia"/>
          <w:color w:val="auto"/>
        </w:rPr>
        <w:t>物理作用过程，高速的传送扩散意味着滤料可迅速将臭气的浓度降到极低的水平。</w:t>
      </w:r>
    </w:p>
    <w:p w14:paraId="477B72A0">
      <w:pPr>
        <w:pageBreakBefore w:val="0"/>
        <w:wordWrap/>
        <w:bidi w:val="0"/>
        <w:adjustRightInd/>
        <w:snapToGrid/>
        <w:rPr>
          <w:rFonts w:hint="eastAsia"/>
          <w:color w:val="auto"/>
        </w:rPr>
      </w:pPr>
      <w:r>
        <w:rPr>
          <w:rFonts w:hint="eastAsia"/>
          <w:color w:val="auto"/>
        </w:rPr>
        <w:t>第二步：水溶液中的恶臭成分被微生物吸附、吸收，恶臭成分从水中转移至微生物体内。</w:t>
      </w:r>
    </w:p>
    <w:p w14:paraId="1AF8DBA5">
      <w:pPr>
        <w:pageBreakBefore w:val="0"/>
        <w:wordWrap/>
        <w:bidi w:val="0"/>
        <w:adjustRightInd/>
        <w:snapToGrid/>
        <w:rPr>
          <w:rFonts w:hint="eastAsia"/>
          <w:color w:val="auto"/>
        </w:rPr>
      </w:pPr>
      <w:r>
        <w:rPr>
          <w:rFonts w:hint="eastAsia"/>
          <w:color w:val="auto"/>
        </w:rPr>
        <w:t>第三步：通过生物氧化来降解污染物的过程。滤料中的专性细菌</w:t>
      </w:r>
      <w:r>
        <w:rPr>
          <w:rFonts w:hint="eastAsia"/>
          <w:color w:val="auto"/>
          <w:lang w:eastAsia="zh-CN"/>
        </w:rPr>
        <w:t>（</w:t>
      </w:r>
      <w:r>
        <w:rPr>
          <w:rFonts w:hint="eastAsia"/>
          <w:color w:val="auto"/>
        </w:rPr>
        <w:t>根据臭源的类型筛选而得到的处理菌种</w:t>
      </w:r>
      <w:r>
        <w:rPr>
          <w:rFonts w:hint="eastAsia"/>
          <w:color w:val="auto"/>
          <w:lang w:eastAsia="zh-CN"/>
        </w:rPr>
        <w:t>）</w:t>
      </w:r>
      <w:r>
        <w:rPr>
          <w:rFonts w:hint="eastAsia"/>
          <w:color w:val="auto"/>
        </w:rPr>
        <w:t>将以污染物为食，把污染物转化为自身的营养物质，使碳、氢、氧、氮、硫等元素从化合物的形式转化为游离态，进入微生物的自身循环过程，从而达到降解的目的。同时，专性细菌等微生物又可实现自身的繁殖，当作为食物的污染化合物与专性细菌的营养需要达到平衡，且水分、温度、酸碱度等条件均符合微生物所需时，专性细菌的代谢繁殖将会达到一个稳定平衡，最终的产物是无污染的二氧化碳，水和盐，从而将污染物去除。</w:t>
      </w:r>
    </w:p>
    <w:p w14:paraId="500936F3">
      <w:pPr>
        <w:pageBreakBefore w:val="0"/>
        <w:wordWrap/>
        <w:bidi w:val="0"/>
        <w:adjustRightInd/>
        <w:snapToGrid/>
        <w:rPr>
          <w:color w:val="auto"/>
        </w:rPr>
      </w:pPr>
      <w:r>
        <w:rPr>
          <w:rFonts w:hint="eastAsia"/>
          <w:color w:val="auto"/>
        </w:rPr>
        <w:t>通过以上的分析，针对污水</w:t>
      </w:r>
      <w:r>
        <w:rPr>
          <w:rFonts w:hint="eastAsia"/>
          <w:color w:val="auto"/>
          <w:lang w:eastAsia="zh-CN"/>
        </w:rPr>
        <w:t>处理厂</w:t>
      </w:r>
      <w:r>
        <w:rPr>
          <w:rFonts w:hint="eastAsia"/>
          <w:color w:val="auto"/>
        </w:rPr>
        <w:t>这种污染气体，生物除臭法具有低投资，操作和维护费用低，运行、维护最少，且不产生二次污染。就目前我公司在以往除臭项目的运行状况来看，生物滤池表现出良好的臭气去除效果，且运行维护极其简单，运行费用低。所以本项目采取降温措施后采用生物除臭装置是经济、可靠的处理工艺。</w:t>
      </w:r>
    </w:p>
    <w:p w14:paraId="3A3706FA">
      <w:pPr>
        <w:pageBreakBefore w:val="0"/>
        <w:wordWrap/>
        <w:bidi w:val="0"/>
        <w:adjustRightInd/>
        <w:snapToGrid/>
        <w:ind w:firstLine="480"/>
        <w:rPr>
          <w:color w:val="auto"/>
        </w:rPr>
      </w:pPr>
      <w:r>
        <w:rPr>
          <w:color w:val="auto"/>
        </w:rPr>
        <w:t>臭气处理系统产污：生物滴滤除臭装置的循环水池将定期排放一定的废水，废水排至本</w:t>
      </w:r>
      <w:r>
        <w:rPr>
          <w:rFonts w:hint="eastAsia"/>
          <w:color w:val="auto"/>
          <w:lang w:eastAsia="zh-CN"/>
        </w:rPr>
        <w:t>污水处理厂</w:t>
      </w:r>
      <w:r>
        <w:rPr>
          <w:color w:val="auto"/>
        </w:rPr>
        <w:t>进行处理；另外，每隔3</w:t>
      </w:r>
      <w:r>
        <w:rPr>
          <w:rFonts w:hint="eastAsia"/>
          <w:color w:val="auto"/>
          <w:lang w:eastAsia="zh-CN"/>
        </w:rPr>
        <w:t>～</w:t>
      </w:r>
      <w:r>
        <w:rPr>
          <w:color w:val="auto"/>
        </w:rPr>
        <w:t>5年将淘汰生物填料作为固废，废弃填料由生产厂家回收处置。</w:t>
      </w:r>
    </w:p>
    <w:p w14:paraId="708B39B9">
      <w:pPr>
        <w:pStyle w:val="6"/>
        <w:pageBreakBefore w:val="0"/>
        <w:wordWrap/>
        <w:bidi w:val="0"/>
        <w:adjustRightInd/>
        <w:snapToGrid/>
        <w:rPr>
          <w:color w:val="auto"/>
        </w:rPr>
      </w:pPr>
      <w:r>
        <w:rPr>
          <w:color w:val="auto"/>
        </w:rPr>
        <w:t>生活废气</w:t>
      </w:r>
    </w:p>
    <w:p w14:paraId="015D61C5">
      <w:pPr>
        <w:pageBreakBefore w:val="0"/>
        <w:wordWrap/>
        <w:bidi w:val="0"/>
        <w:adjustRightInd/>
        <w:snapToGrid/>
        <w:rPr>
          <w:b/>
          <w:bCs/>
          <w:color w:val="auto"/>
        </w:rPr>
      </w:pPr>
      <w:r>
        <w:rPr>
          <w:b/>
          <w:bCs/>
          <w:color w:val="auto"/>
        </w:rPr>
        <w:t>（1）产生源强</w:t>
      </w:r>
    </w:p>
    <w:p w14:paraId="11DA8506">
      <w:pPr>
        <w:pageBreakBefore w:val="0"/>
        <w:wordWrap/>
        <w:bidi w:val="0"/>
        <w:adjustRightInd/>
        <w:snapToGrid/>
        <w:rPr>
          <w:color w:val="auto"/>
        </w:rPr>
      </w:pPr>
      <w:r>
        <w:rPr>
          <w:color w:val="auto"/>
        </w:rPr>
        <w:t>本项目在综合楼第1F设置有员工食堂，供全厂职工就餐。食堂烹饪过程会产生油烟废气，根据第二次全国污染源普查《排放源统计调查产排污核算方法和系数手册</w:t>
      </w:r>
      <w:r>
        <w:rPr>
          <w:rFonts w:hint="eastAsia"/>
          <w:color w:val="auto"/>
        </w:rPr>
        <w:t>-生活污染源产排污系数手册</w:t>
      </w:r>
      <w:r>
        <w:rPr>
          <w:color w:val="auto"/>
        </w:rPr>
        <w:t>》，四川属于</w:t>
      </w:r>
      <w:r>
        <w:rPr>
          <w:rFonts w:hint="eastAsia"/>
          <w:color w:val="auto"/>
          <w:lang w:val="en-US" w:eastAsia="zh-CN"/>
        </w:rPr>
        <w:t>三</w:t>
      </w:r>
      <w:r>
        <w:rPr>
          <w:color w:val="auto"/>
        </w:rPr>
        <w:t>区，餐饮油烟排污系数为</w:t>
      </w:r>
      <w:r>
        <w:rPr>
          <w:rFonts w:hint="eastAsia"/>
          <w:color w:val="auto"/>
          <w:lang w:val="en-US" w:eastAsia="zh-CN"/>
        </w:rPr>
        <w:t>301</w:t>
      </w:r>
      <w:r>
        <w:rPr>
          <w:color w:val="auto"/>
        </w:rPr>
        <w:t>g/人•年，本项目用餐人数为</w:t>
      </w:r>
      <w:r>
        <w:rPr>
          <w:rFonts w:hint="eastAsia"/>
          <w:color w:val="auto"/>
          <w:lang w:val="en-US" w:eastAsia="zh-CN"/>
        </w:rPr>
        <w:t>18</w:t>
      </w:r>
      <w:r>
        <w:rPr>
          <w:color w:val="auto"/>
        </w:rPr>
        <w:t>人，则本项目食堂油烟产生量为</w:t>
      </w:r>
      <w:r>
        <w:rPr>
          <w:rFonts w:hint="eastAsia"/>
          <w:color w:val="auto"/>
          <w:lang w:val="en-US" w:eastAsia="zh-CN"/>
        </w:rPr>
        <w:t>5.418</w:t>
      </w:r>
      <w:r>
        <w:rPr>
          <w:color w:val="auto"/>
        </w:rPr>
        <w:t>kg/a。</w:t>
      </w:r>
    </w:p>
    <w:p w14:paraId="6736B0E9">
      <w:pPr>
        <w:pageBreakBefore w:val="0"/>
        <w:wordWrap/>
        <w:bidi w:val="0"/>
        <w:adjustRightInd/>
        <w:snapToGrid/>
        <w:rPr>
          <w:b/>
          <w:bCs/>
          <w:color w:val="auto"/>
        </w:rPr>
      </w:pPr>
      <w:r>
        <w:rPr>
          <w:b/>
          <w:bCs/>
          <w:color w:val="auto"/>
        </w:rPr>
        <w:t>（2）治理措施</w:t>
      </w:r>
    </w:p>
    <w:p w14:paraId="07E91588">
      <w:pPr>
        <w:pageBreakBefore w:val="0"/>
        <w:wordWrap/>
        <w:bidi w:val="0"/>
        <w:adjustRightInd/>
        <w:snapToGrid/>
        <w:rPr>
          <w:color w:val="auto"/>
        </w:rPr>
      </w:pPr>
      <w:r>
        <w:rPr>
          <w:color w:val="auto"/>
        </w:rPr>
        <w:t>拟在灶台上方设集气罩（处理风量3000</w:t>
      </w:r>
      <w:r>
        <w:rPr>
          <w:rFonts w:hint="eastAsia"/>
          <w:color w:val="auto"/>
          <w:lang w:eastAsia="zh-CN"/>
        </w:rPr>
        <w:t>m³</w:t>
      </w:r>
      <w:r>
        <w:rPr>
          <w:color w:val="auto"/>
        </w:rPr>
        <w:t>/h），油烟经集气罩收集后经油烟净化器（</w:t>
      </w:r>
      <w:r>
        <w:rPr>
          <w:rFonts w:hint="eastAsia"/>
          <w:color w:val="auto"/>
          <w:lang w:val="en-US" w:eastAsia="zh-CN"/>
        </w:rPr>
        <w:t>收集效率90%，</w:t>
      </w:r>
      <w:r>
        <w:rPr>
          <w:color w:val="auto"/>
        </w:rPr>
        <w:t>净化效率以</w:t>
      </w:r>
      <w:r>
        <w:rPr>
          <w:rFonts w:hint="eastAsia"/>
          <w:color w:val="auto"/>
          <w:lang w:val="en-US" w:eastAsia="zh-CN"/>
        </w:rPr>
        <w:t>60</w:t>
      </w:r>
      <w:r>
        <w:rPr>
          <w:color w:val="auto"/>
        </w:rPr>
        <w:t>%计）处理后，最后经排气筒引至综合楼楼顶排放。</w:t>
      </w:r>
      <w:r>
        <w:rPr>
          <w:rFonts w:hint="eastAsia"/>
          <w:color w:val="auto"/>
          <w:lang w:val="en-US" w:eastAsia="zh-CN"/>
        </w:rPr>
        <w:t>食堂油烟集中排放时间约为6h（按每天3餐，每餐2h），则</w:t>
      </w:r>
      <w:r>
        <w:rPr>
          <w:color w:val="auto"/>
        </w:rPr>
        <w:t>采取以上措施处理后食堂油烟排放量为0.00</w:t>
      </w:r>
      <w:r>
        <w:rPr>
          <w:rFonts w:hint="eastAsia"/>
          <w:color w:val="auto"/>
          <w:lang w:val="en-US" w:eastAsia="zh-CN"/>
        </w:rPr>
        <w:t>53kg</w:t>
      </w:r>
      <w:r>
        <w:rPr>
          <w:color w:val="auto"/>
        </w:rPr>
        <w:t>/</w:t>
      </w:r>
      <w:r>
        <w:rPr>
          <w:rFonts w:hint="eastAsia"/>
          <w:color w:val="auto"/>
          <w:lang w:val="en-US" w:eastAsia="zh-CN"/>
        </w:rPr>
        <w:t>d</w:t>
      </w:r>
      <w:r>
        <w:rPr>
          <w:rFonts w:hint="eastAsia"/>
          <w:color w:val="auto"/>
          <w:lang w:eastAsia="zh-CN"/>
        </w:rPr>
        <w:t>，</w:t>
      </w:r>
      <w:r>
        <w:rPr>
          <w:rFonts w:hint="eastAsia"/>
          <w:color w:val="auto"/>
          <w:lang w:val="en-US" w:eastAsia="zh-CN"/>
        </w:rPr>
        <w:t>0.297</w:t>
      </w:r>
      <w:r>
        <w:rPr>
          <w:color w:val="auto"/>
        </w:rPr>
        <w:t>mg/m</w:t>
      </w:r>
      <w:r>
        <w:rPr>
          <w:rFonts w:hint="eastAsia"/>
          <w:color w:val="auto"/>
          <w:lang w:val="en-US" w:eastAsia="zh-CN"/>
        </w:rPr>
        <w:t>³</w:t>
      </w:r>
      <w:r>
        <w:rPr>
          <w:color w:val="auto"/>
        </w:rPr>
        <w:t>，能够满足《饮食业油烟排放标准（试行）》（GB18483-2001）标准要求（油烟排放浓度不得超过2.0mg/m</w:t>
      </w:r>
      <w:r>
        <w:rPr>
          <w:rFonts w:hint="eastAsia"/>
          <w:color w:val="auto"/>
          <w:lang w:val="en-US" w:eastAsia="zh-CN"/>
        </w:rPr>
        <w:t>³</w:t>
      </w:r>
      <w:r>
        <w:rPr>
          <w:color w:val="auto"/>
        </w:rPr>
        <w:t>）。</w:t>
      </w:r>
    </w:p>
    <w:p w14:paraId="08519CDC">
      <w:pPr>
        <w:pStyle w:val="5"/>
        <w:pageBreakBefore w:val="0"/>
        <w:wordWrap/>
        <w:bidi w:val="0"/>
        <w:adjustRightInd/>
        <w:snapToGrid/>
        <w:spacing w:before="48" w:after="48"/>
        <w:ind w:left="0"/>
        <w:rPr>
          <w:rFonts w:eastAsia="宋体"/>
          <w:color w:val="auto"/>
        </w:rPr>
      </w:pPr>
      <w:r>
        <w:rPr>
          <w:rFonts w:hint="eastAsia"/>
          <w:color w:val="auto"/>
          <w:lang w:val="en-US" w:eastAsia="zh-CN"/>
        </w:rPr>
        <w:t xml:space="preserve"> </w:t>
      </w:r>
      <w:r>
        <w:rPr>
          <w:rFonts w:eastAsia="宋体"/>
          <w:color w:val="auto"/>
        </w:rPr>
        <w:t>营运期噪声产生及治理措施</w:t>
      </w:r>
      <w:r>
        <w:rPr>
          <w:rFonts w:hint="eastAsia"/>
          <w:color w:val="auto"/>
          <w:lang w:val="en-US" w:eastAsia="zh-CN"/>
        </w:rPr>
        <w:t xml:space="preserve"> </w:t>
      </w:r>
    </w:p>
    <w:p w14:paraId="34BA842C">
      <w:pPr>
        <w:pageBreakBefore w:val="0"/>
        <w:widowControl/>
        <w:wordWrap/>
        <w:bidi w:val="0"/>
        <w:adjustRightInd/>
        <w:snapToGrid/>
        <w:ind w:firstLine="480"/>
        <w:jc w:val="left"/>
        <w:rPr>
          <w:color w:val="auto"/>
          <w:kern w:val="0"/>
          <w:lang w:bidi="ar"/>
        </w:rPr>
      </w:pPr>
      <w:r>
        <w:rPr>
          <w:color w:val="auto"/>
          <w:kern w:val="0"/>
          <w:lang w:bidi="ar"/>
        </w:rPr>
        <w:t>项目噪声源主要来源于各类水泵、鼓风机、污泥脱水机等，</w:t>
      </w:r>
      <w:r>
        <w:rPr>
          <w:rFonts w:hint="eastAsia"/>
          <w:color w:val="auto"/>
          <w:kern w:val="0"/>
          <w:lang w:val="en-US" w:eastAsia="zh-CN" w:bidi="ar"/>
        </w:rPr>
        <w:t>水泵和设备等均位于室内或池体内，均视为位于室内，</w:t>
      </w:r>
      <w:r>
        <w:rPr>
          <w:color w:val="auto"/>
          <w:kern w:val="0"/>
          <w:lang w:bidi="ar"/>
        </w:rPr>
        <w:t>噪声源强</w:t>
      </w:r>
      <w:r>
        <w:rPr>
          <w:rFonts w:hint="eastAsia"/>
          <w:color w:val="auto"/>
          <w:kern w:val="0"/>
          <w:lang w:val="en-US" w:eastAsia="zh-CN" w:bidi="ar"/>
        </w:rPr>
        <w:t>75</w:t>
      </w:r>
      <w:r>
        <w:rPr>
          <w:color w:val="auto"/>
          <w:kern w:val="0"/>
          <w:lang w:bidi="ar"/>
        </w:rPr>
        <w:t>~95dB</w:t>
      </w:r>
      <w:r>
        <w:rPr>
          <w:rFonts w:hint="eastAsia"/>
          <w:color w:val="auto"/>
          <w:kern w:val="0"/>
          <w:lang w:eastAsia="zh-CN" w:bidi="ar"/>
        </w:rPr>
        <w:t>（</w:t>
      </w:r>
      <w:r>
        <w:rPr>
          <w:color w:val="auto"/>
          <w:kern w:val="0"/>
          <w:lang w:bidi="ar"/>
        </w:rPr>
        <w:t>A</w:t>
      </w:r>
      <w:r>
        <w:rPr>
          <w:rFonts w:hint="eastAsia"/>
          <w:color w:val="auto"/>
          <w:kern w:val="0"/>
          <w:lang w:eastAsia="zh-CN" w:bidi="ar"/>
        </w:rPr>
        <w:t>）</w:t>
      </w:r>
      <w:r>
        <w:rPr>
          <w:color w:val="auto"/>
          <w:kern w:val="0"/>
          <w:lang w:bidi="ar"/>
        </w:rPr>
        <w:t>之间。项目各类噪声源源强、拟采取的治理措施及治理后的声级值如下：</w:t>
      </w:r>
    </w:p>
    <w:p w14:paraId="2BB6255B">
      <w:pPr>
        <w:pStyle w:val="44"/>
        <w:pageBreakBefore w:val="0"/>
        <w:wordWrap/>
        <w:bidi w:val="0"/>
        <w:adjustRightInd/>
        <w:snapToGrid/>
        <w:rPr>
          <w:color w:val="auto"/>
          <w:kern w:val="0"/>
          <w:lang w:bidi="ar"/>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3343390D">
      <w:pPr>
        <w:pStyle w:val="15"/>
        <w:bidi w:val="0"/>
        <w:ind w:left="0" w:leftChars="0" w:firstLine="0" w:firstLineChars="0"/>
        <w:rPr>
          <w:color w:val="auto"/>
        </w:rPr>
      </w:pPr>
      <w:r>
        <w:rPr>
          <w:rFonts w:hint="eastAsia"/>
          <w:color w:val="auto"/>
          <w:lang w:val="en-US" w:eastAsia="zh-CN"/>
        </w:rPr>
        <w:t xml:space="preserve"> </w:t>
      </w:r>
      <w:r>
        <w:rPr>
          <w:color w:val="auto"/>
        </w:rPr>
        <w:t>工业企业噪声源强调查清单（室内声源）</w:t>
      </w:r>
    </w:p>
    <w:tbl>
      <w:tblPr>
        <w:tblStyle w:val="703"/>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453"/>
        <w:gridCol w:w="528"/>
        <w:gridCol w:w="1743"/>
        <w:gridCol w:w="799"/>
        <w:gridCol w:w="1039"/>
        <w:gridCol w:w="1039"/>
        <w:gridCol w:w="595"/>
        <w:gridCol w:w="592"/>
        <w:gridCol w:w="601"/>
        <w:gridCol w:w="939"/>
        <w:gridCol w:w="1218"/>
        <w:gridCol w:w="735"/>
        <w:gridCol w:w="1296"/>
        <w:gridCol w:w="791"/>
        <w:gridCol w:w="796"/>
        <w:gridCol w:w="786"/>
      </w:tblGrid>
      <w:tr w14:paraId="03E529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vMerge w:val="restart"/>
            <w:tcBorders>
              <w:tl2br w:val="nil"/>
              <w:tr2bl w:val="nil"/>
            </w:tcBorders>
            <w:shd w:val="clear" w:color="auto" w:fill="D8D8D8"/>
            <w:vAlign w:val="center"/>
          </w:tcPr>
          <w:p w14:paraId="6B7F2CA2">
            <w:pPr>
              <w:pStyle w:val="12"/>
              <w:pageBreakBefore w:val="0"/>
              <w:wordWrap/>
              <w:bidi w:val="0"/>
              <w:adjustRightInd/>
              <w:snapToGrid/>
              <w:rPr>
                <w:b/>
                <w:bCs/>
                <w:color w:val="auto"/>
              </w:rPr>
            </w:pPr>
            <w:r>
              <w:rPr>
                <w:b/>
                <w:bCs/>
                <w:color w:val="auto"/>
              </w:rPr>
              <w:t>序号</w:t>
            </w:r>
          </w:p>
        </w:tc>
        <w:tc>
          <w:tcPr>
            <w:tcW w:w="189" w:type="pct"/>
            <w:vMerge w:val="restart"/>
            <w:tcBorders>
              <w:tl2br w:val="nil"/>
              <w:tr2bl w:val="nil"/>
            </w:tcBorders>
            <w:shd w:val="clear" w:color="auto" w:fill="D8D8D8"/>
            <w:vAlign w:val="center"/>
          </w:tcPr>
          <w:p w14:paraId="5F26682B">
            <w:pPr>
              <w:pStyle w:val="12"/>
              <w:pageBreakBefore w:val="0"/>
              <w:wordWrap/>
              <w:bidi w:val="0"/>
              <w:adjustRightInd/>
              <w:snapToGrid/>
              <w:rPr>
                <w:b/>
                <w:bCs/>
                <w:color w:val="auto"/>
              </w:rPr>
            </w:pPr>
            <w:r>
              <w:rPr>
                <w:b/>
                <w:bCs/>
                <w:color w:val="auto"/>
              </w:rPr>
              <w:t>工序位置</w:t>
            </w:r>
          </w:p>
        </w:tc>
        <w:tc>
          <w:tcPr>
            <w:tcW w:w="624" w:type="pct"/>
            <w:vMerge w:val="restart"/>
            <w:tcBorders>
              <w:tl2br w:val="nil"/>
              <w:tr2bl w:val="nil"/>
            </w:tcBorders>
            <w:shd w:val="clear" w:color="auto" w:fill="D8D8D8"/>
            <w:vAlign w:val="center"/>
          </w:tcPr>
          <w:p w14:paraId="689E52B8">
            <w:pPr>
              <w:pStyle w:val="12"/>
              <w:pageBreakBefore w:val="0"/>
              <w:wordWrap/>
              <w:bidi w:val="0"/>
              <w:adjustRightInd/>
              <w:snapToGrid/>
              <w:rPr>
                <w:b/>
                <w:bCs/>
                <w:color w:val="auto"/>
              </w:rPr>
            </w:pPr>
            <w:r>
              <w:rPr>
                <w:b/>
                <w:bCs/>
                <w:color w:val="auto"/>
              </w:rPr>
              <w:t>设备名称</w:t>
            </w:r>
          </w:p>
        </w:tc>
        <w:tc>
          <w:tcPr>
            <w:tcW w:w="286" w:type="pct"/>
            <w:vMerge w:val="restart"/>
            <w:tcBorders>
              <w:tl2br w:val="nil"/>
              <w:tr2bl w:val="nil"/>
            </w:tcBorders>
            <w:shd w:val="clear" w:color="auto" w:fill="D8D8D8"/>
            <w:vAlign w:val="center"/>
          </w:tcPr>
          <w:p w14:paraId="09620478">
            <w:pPr>
              <w:pStyle w:val="12"/>
              <w:pageBreakBefore w:val="0"/>
              <w:wordWrap/>
              <w:bidi w:val="0"/>
              <w:adjustRightInd/>
              <w:snapToGrid/>
              <w:rPr>
                <w:rFonts w:hint="eastAsia" w:eastAsia="宋体"/>
                <w:b/>
                <w:bCs/>
                <w:color w:val="auto"/>
                <w:lang w:eastAsia="zh-CN"/>
              </w:rPr>
            </w:pPr>
            <w:r>
              <w:rPr>
                <w:rFonts w:hint="eastAsia"/>
                <w:b/>
                <w:bCs/>
                <w:color w:val="auto"/>
                <w:lang w:val="en-US" w:eastAsia="zh-CN"/>
              </w:rPr>
              <w:t>数量</w:t>
            </w:r>
          </w:p>
        </w:tc>
        <w:tc>
          <w:tcPr>
            <w:tcW w:w="372" w:type="pct"/>
            <w:vMerge w:val="restart"/>
            <w:tcBorders>
              <w:tl2br w:val="nil"/>
              <w:tr2bl w:val="nil"/>
            </w:tcBorders>
            <w:shd w:val="clear" w:color="auto" w:fill="D8D8D8"/>
            <w:vAlign w:val="center"/>
          </w:tcPr>
          <w:p w14:paraId="6D837F90">
            <w:pPr>
              <w:pStyle w:val="12"/>
              <w:pageBreakBefore w:val="0"/>
              <w:wordWrap/>
              <w:bidi w:val="0"/>
              <w:adjustRightInd/>
              <w:snapToGrid/>
              <w:rPr>
                <w:b/>
                <w:bCs/>
                <w:color w:val="auto"/>
              </w:rPr>
            </w:pPr>
            <w:r>
              <w:rPr>
                <w:b/>
                <w:bCs/>
                <w:color w:val="auto"/>
              </w:rPr>
              <w:t>声源源强 /dB（A）</w:t>
            </w:r>
          </w:p>
        </w:tc>
        <w:tc>
          <w:tcPr>
            <w:tcW w:w="372" w:type="pct"/>
            <w:vMerge w:val="restart"/>
            <w:tcBorders>
              <w:tl2br w:val="nil"/>
              <w:tr2bl w:val="nil"/>
            </w:tcBorders>
            <w:shd w:val="clear" w:color="auto" w:fill="D8D8D8"/>
            <w:vAlign w:val="center"/>
          </w:tcPr>
          <w:p w14:paraId="2D706B15">
            <w:pPr>
              <w:pStyle w:val="12"/>
              <w:pageBreakBefore w:val="0"/>
              <w:wordWrap/>
              <w:bidi w:val="0"/>
              <w:adjustRightInd/>
              <w:snapToGrid/>
              <w:rPr>
                <w:b/>
                <w:bCs/>
                <w:color w:val="auto"/>
              </w:rPr>
            </w:pPr>
            <w:r>
              <w:rPr>
                <w:b/>
                <w:bCs/>
                <w:color w:val="auto"/>
              </w:rPr>
              <w:t>声源控制措施</w:t>
            </w:r>
          </w:p>
        </w:tc>
        <w:tc>
          <w:tcPr>
            <w:tcW w:w="640" w:type="pct"/>
            <w:gridSpan w:val="3"/>
            <w:tcBorders>
              <w:tl2br w:val="nil"/>
              <w:tr2bl w:val="nil"/>
            </w:tcBorders>
            <w:shd w:val="clear" w:color="auto" w:fill="D8D8D8"/>
            <w:vAlign w:val="center"/>
          </w:tcPr>
          <w:p w14:paraId="7B55D12B">
            <w:pPr>
              <w:pStyle w:val="12"/>
              <w:pageBreakBefore w:val="0"/>
              <w:wordWrap/>
              <w:bidi w:val="0"/>
              <w:adjustRightInd/>
              <w:snapToGrid/>
              <w:rPr>
                <w:b/>
                <w:bCs/>
                <w:color w:val="auto"/>
              </w:rPr>
            </w:pPr>
            <w:r>
              <w:rPr>
                <w:b/>
                <w:bCs/>
                <w:color w:val="auto"/>
              </w:rPr>
              <w:t>空间相对位置/m</w:t>
            </w:r>
          </w:p>
        </w:tc>
        <w:tc>
          <w:tcPr>
            <w:tcW w:w="336" w:type="pct"/>
            <w:vMerge w:val="restart"/>
            <w:tcBorders>
              <w:tl2br w:val="nil"/>
              <w:tr2bl w:val="nil"/>
            </w:tcBorders>
            <w:shd w:val="clear" w:color="auto" w:fill="D8D8D8"/>
            <w:vAlign w:val="center"/>
          </w:tcPr>
          <w:p w14:paraId="406BAA77">
            <w:pPr>
              <w:pStyle w:val="12"/>
              <w:pageBreakBefore w:val="0"/>
              <w:wordWrap/>
              <w:bidi w:val="0"/>
              <w:adjustRightInd/>
              <w:snapToGrid/>
              <w:rPr>
                <w:b/>
                <w:bCs/>
                <w:color w:val="auto"/>
              </w:rPr>
            </w:pPr>
            <w:r>
              <w:rPr>
                <w:b/>
                <w:bCs/>
                <w:color w:val="auto"/>
              </w:rPr>
              <w:t>距室内边界距离/m</w:t>
            </w:r>
          </w:p>
        </w:tc>
        <w:tc>
          <w:tcPr>
            <w:tcW w:w="436" w:type="pct"/>
            <w:vMerge w:val="restart"/>
            <w:tcBorders>
              <w:tl2br w:val="nil"/>
              <w:tr2bl w:val="nil"/>
            </w:tcBorders>
            <w:shd w:val="clear" w:color="auto" w:fill="D8D8D8"/>
            <w:vAlign w:val="center"/>
          </w:tcPr>
          <w:p w14:paraId="554BE412">
            <w:pPr>
              <w:pStyle w:val="12"/>
              <w:pageBreakBefore w:val="0"/>
              <w:wordWrap/>
              <w:bidi w:val="0"/>
              <w:adjustRightInd/>
              <w:snapToGrid/>
              <w:rPr>
                <w:b/>
                <w:bCs/>
                <w:color w:val="auto"/>
              </w:rPr>
            </w:pPr>
            <w:r>
              <w:rPr>
                <w:b/>
                <w:bCs/>
                <w:color w:val="auto"/>
              </w:rPr>
              <w:t>室内边界声级/dB（A）</w:t>
            </w:r>
          </w:p>
        </w:tc>
        <w:tc>
          <w:tcPr>
            <w:tcW w:w="263" w:type="pct"/>
            <w:vMerge w:val="restart"/>
            <w:tcBorders>
              <w:tl2br w:val="nil"/>
              <w:tr2bl w:val="nil"/>
            </w:tcBorders>
            <w:shd w:val="clear" w:color="auto" w:fill="D8D8D8"/>
            <w:vAlign w:val="center"/>
          </w:tcPr>
          <w:p w14:paraId="42750673">
            <w:pPr>
              <w:pStyle w:val="12"/>
              <w:pageBreakBefore w:val="0"/>
              <w:wordWrap/>
              <w:bidi w:val="0"/>
              <w:adjustRightInd/>
              <w:snapToGrid/>
              <w:rPr>
                <w:b/>
                <w:bCs/>
                <w:color w:val="auto"/>
              </w:rPr>
            </w:pPr>
            <w:r>
              <w:rPr>
                <w:b/>
                <w:bCs/>
                <w:color w:val="auto"/>
              </w:rPr>
              <w:t>运行时段</w:t>
            </w:r>
          </w:p>
        </w:tc>
        <w:tc>
          <w:tcPr>
            <w:tcW w:w="464" w:type="pct"/>
            <w:vMerge w:val="restart"/>
            <w:tcBorders>
              <w:tl2br w:val="nil"/>
              <w:tr2bl w:val="nil"/>
            </w:tcBorders>
            <w:shd w:val="clear" w:color="auto" w:fill="D8D8D8"/>
            <w:vAlign w:val="center"/>
          </w:tcPr>
          <w:p w14:paraId="652DCCDB">
            <w:pPr>
              <w:pStyle w:val="12"/>
              <w:pageBreakBefore w:val="0"/>
              <w:wordWrap/>
              <w:bidi w:val="0"/>
              <w:adjustRightInd/>
              <w:snapToGrid/>
              <w:rPr>
                <w:b/>
                <w:bCs/>
                <w:color w:val="auto"/>
              </w:rPr>
            </w:pPr>
            <w:r>
              <w:rPr>
                <w:b/>
                <w:bCs/>
                <w:color w:val="auto"/>
              </w:rPr>
              <w:t>建筑物插入损 失/dB（A）</w:t>
            </w:r>
          </w:p>
        </w:tc>
        <w:tc>
          <w:tcPr>
            <w:tcW w:w="568" w:type="pct"/>
            <w:gridSpan w:val="2"/>
            <w:tcBorders>
              <w:tl2br w:val="nil"/>
              <w:tr2bl w:val="nil"/>
            </w:tcBorders>
            <w:shd w:val="clear" w:color="auto" w:fill="D8D8D8"/>
            <w:vAlign w:val="center"/>
          </w:tcPr>
          <w:p w14:paraId="35272D2C">
            <w:pPr>
              <w:pStyle w:val="12"/>
              <w:pageBreakBefore w:val="0"/>
              <w:wordWrap/>
              <w:bidi w:val="0"/>
              <w:adjustRightInd/>
              <w:snapToGrid/>
              <w:rPr>
                <w:b/>
                <w:bCs/>
                <w:color w:val="auto"/>
              </w:rPr>
            </w:pPr>
            <w:r>
              <w:rPr>
                <w:b/>
                <w:bCs/>
                <w:color w:val="auto"/>
              </w:rPr>
              <w:t>建筑物外噪声</w:t>
            </w:r>
          </w:p>
        </w:tc>
        <w:tc>
          <w:tcPr>
            <w:tcW w:w="281" w:type="pct"/>
            <w:vMerge w:val="restart"/>
            <w:tcBorders>
              <w:tl2br w:val="nil"/>
              <w:tr2bl w:val="nil"/>
            </w:tcBorders>
            <w:shd w:val="clear" w:color="auto" w:fill="D8D8D8"/>
            <w:vAlign w:val="center"/>
          </w:tcPr>
          <w:p w14:paraId="33628D2F">
            <w:pPr>
              <w:pStyle w:val="12"/>
              <w:pageBreakBefore w:val="0"/>
              <w:wordWrap/>
              <w:bidi w:val="0"/>
              <w:adjustRightInd/>
              <w:snapToGrid/>
              <w:rPr>
                <w:b/>
                <w:bCs/>
                <w:color w:val="auto"/>
              </w:rPr>
            </w:pPr>
          </w:p>
          <w:p w14:paraId="1A7312F7">
            <w:pPr>
              <w:pStyle w:val="12"/>
              <w:pageBreakBefore w:val="0"/>
              <w:wordWrap/>
              <w:bidi w:val="0"/>
              <w:adjustRightInd/>
              <w:snapToGrid/>
              <w:rPr>
                <w:b/>
                <w:bCs/>
                <w:color w:val="auto"/>
              </w:rPr>
            </w:pPr>
            <w:r>
              <w:rPr>
                <w:b/>
                <w:bCs/>
                <w:color w:val="auto"/>
              </w:rPr>
              <w:t>备注</w:t>
            </w:r>
          </w:p>
        </w:tc>
      </w:tr>
      <w:tr w14:paraId="37FA10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vMerge w:val="continue"/>
            <w:tcBorders>
              <w:tl2br w:val="nil"/>
              <w:tr2bl w:val="nil"/>
            </w:tcBorders>
            <w:vAlign w:val="center"/>
          </w:tcPr>
          <w:p w14:paraId="76CBF59B">
            <w:pPr>
              <w:pStyle w:val="12"/>
              <w:pageBreakBefore w:val="0"/>
              <w:wordWrap/>
              <w:bidi w:val="0"/>
              <w:adjustRightInd/>
              <w:snapToGrid/>
              <w:rPr>
                <w:color w:val="auto"/>
              </w:rPr>
            </w:pPr>
          </w:p>
        </w:tc>
        <w:tc>
          <w:tcPr>
            <w:tcW w:w="189" w:type="pct"/>
            <w:vMerge w:val="continue"/>
            <w:tcBorders>
              <w:tl2br w:val="nil"/>
              <w:tr2bl w:val="nil"/>
            </w:tcBorders>
            <w:vAlign w:val="center"/>
          </w:tcPr>
          <w:p w14:paraId="0DA1D066">
            <w:pPr>
              <w:pStyle w:val="12"/>
              <w:pageBreakBefore w:val="0"/>
              <w:wordWrap/>
              <w:bidi w:val="0"/>
              <w:adjustRightInd/>
              <w:snapToGrid/>
              <w:rPr>
                <w:color w:val="auto"/>
              </w:rPr>
            </w:pPr>
          </w:p>
        </w:tc>
        <w:tc>
          <w:tcPr>
            <w:tcW w:w="624" w:type="pct"/>
            <w:vMerge w:val="continue"/>
            <w:tcBorders>
              <w:tl2br w:val="nil"/>
              <w:tr2bl w:val="nil"/>
            </w:tcBorders>
            <w:vAlign w:val="center"/>
          </w:tcPr>
          <w:p w14:paraId="28D556F9">
            <w:pPr>
              <w:pStyle w:val="12"/>
              <w:pageBreakBefore w:val="0"/>
              <w:wordWrap/>
              <w:bidi w:val="0"/>
              <w:adjustRightInd/>
              <w:snapToGrid/>
              <w:rPr>
                <w:color w:val="auto"/>
              </w:rPr>
            </w:pPr>
          </w:p>
        </w:tc>
        <w:tc>
          <w:tcPr>
            <w:tcW w:w="286" w:type="pct"/>
            <w:vMerge w:val="continue"/>
            <w:tcBorders>
              <w:tl2br w:val="nil"/>
              <w:tr2bl w:val="nil"/>
            </w:tcBorders>
            <w:vAlign w:val="center"/>
          </w:tcPr>
          <w:p w14:paraId="7A52A667">
            <w:pPr>
              <w:pStyle w:val="12"/>
              <w:pageBreakBefore w:val="0"/>
              <w:wordWrap/>
              <w:bidi w:val="0"/>
              <w:adjustRightInd/>
              <w:snapToGrid/>
              <w:rPr>
                <w:color w:val="auto"/>
              </w:rPr>
            </w:pPr>
          </w:p>
        </w:tc>
        <w:tc>
          <w:tcPr>
            <w:tcW w:w="372" w:type="pct"/>
            <w:vMerge w:val="continue"/>
            <w:tcBorders>
              <w:tl2br w:val="nil"/>
              <w:tr2bl w:val="nil"/>
            </w:tcBorders>
            <w:vAlign w:val="center"/>
          </w:tcPr>
          <w:p w14:paraId="4A19D6FF">
            <w:pPr>
              <w:pStyle w:val="12"/>
              <w:pageBreakBefore w:val="0"/>
              <w:wordWrap/>
              <w:bidi w:val="0"/>
              <w:adjustRightInd/>
              <w:snapToGrid/>
              <w:rPr>
                <w:color w:val="auto"/>
              </w:rPr>
            </w:pPr>
          </w:p>
        </w:tc>
        <w:tc>
          <w:tcPr>
            <w:tcW w:w="372" w:type="pct"/>
            <w:vMerge w:val="continue"/>
            <w:tcBorders>
              <w:tl2br w:val="nil"/>
              <w:tr2bl w:val="nil"/>
            </w:tcBorders>
            <w:vAlign w:val="center"/>
          </w:tcPr>
          <w:p w14:paraId="6B2E591D">
            <w:pPr>
              <w:pStyle w:val="12"/>
              <w:pageBreakBefore w:val="0"/>
              <w:wordWrap/>
              <w:bidi w:val="0"/>
              <w:adjustRightInd/>
              <w:snapToGrid/>
              <w:rPr>
                <w:color w:val="auto"/>
              </w:rPr>
            </w:pPr>
          </w:p>
        </w:tc>
        <w:tc>
          <w:tcPr>
            <w:tcW w:w="213" w:type="pct"/>
            <w:tcBorders>
              <w:tl2br w:val="nil"/>
              <w:tr2bl w:val="nil"/>
            </w:tcBorders>
            <w:shd w:val="clear" w:color="auto" w:fill="D8D8D8"/>
            <w:vAlign w:val="center"/>
          </w:tcPr>
          <w:p w14:paraId="01D38D1E">
            <w:pPr>
              <w:pStyle w:val="12"/>
              <w:pageBreakBefore w:val="0"/>
              <w:wordWrap/>
              <w:bidi w:val="0"/>
              <w:adjustRightInd/>
              <w:snapToGrid/>
              <w:rPr>
                <w:b/>
                <w:bCs/>
                <w:color w:val="auto"/>
              </w:rPr>
            </w:pPr>
            <w:r>
              <w:rPr>
                <w:b/>
                <w:bCs/>
                <w:color w:val="auto"/>
              </w:rPr>
              <w:t>X</w:t>
            </w:r>
          </w:p>
        </w:tc>
        <w:tc>
          <w:tcPr>
            <w:tcW w:w="212" w:type="pct"/>
            <w:tcBorders>
              <w:tl2br w:val="nil"/>
              <w:tr2bl w:val="nil"/>
            </w:tcBorders>
            <w:shd w:val="clear" w:color="auto" w:fill="D8D8D8"/>
            <w:vAlign w:val="center"/>
          </w:tcPr>
          <w:p w14:paraId="6BE5E238">
            <w:pPr>
              <w:pStyle w:val="12"/>
              <w:pageBreakBefore w:val="0"/>
              <w:wordWrap/>
              <w:bidi w:val="0"/>
              <w:adjustRightInd/>
              <w:snapToGrid/>
              <w:rPr>
                <w:b/>
                <w:bCs/>
                <w:color w:val="auto"/>
              </w:rPr>
            </w:pPr>
            <w:r>
              <w:rPr>
                <w:b/>
                <w:bCs/>
                <w:color w:val="auto"/>
              </w:rPr>
              <w:t>Y</w:t>
            </w:r>
          </w:p>
        </w:tc>
        <w:tc>
          <w:tcPr>
            <w:tcW w:w="215" w:type="pct"/>
            <w:tcBorders>
              <w:tl2br w:val="nil"/>
              <w:tr2bl w:val="nil"/>
            </w:tcBorders>
            <w:shd w:val="clear" w:color="auto" w:fill="D8D8D8"/>
            <w:vAlign w:val="center"/>
          </w:tcPr>
          <w:p w14:paraId="3DF9C66F">
            <w:pPr>
              <w:pStyle w:val="12"/>
              <w:pageBreakBefore w:val="0"/>
              <w:wordWrap/>
              <w:bidi w:val="0"/>
              <w:adjustRightInd/>
              <w:snapToGrid/>
              <w:rPr>
                <w:b/>
                <w:bCs/>
                <w:color w:val="auto"/>
              </w:rPr>
            </w:pPr>
            <w:r>
              <w:rPr>
                <w:b/>
                <w:bCs/>
                <w:color w:val="auto"/>
              </w:rPr>
              <w:t>Z</w:t>
            </w:r>
          </w:p>
        </w:tc>
        <w:tc>
          <w:tcPr>
            <w:tcW w:w="336" w:type="pct"/>
            <w:vMerge w:val="continue"/>
            <w:tcBorders>
              <w:tl2br w:val="nil"/>
              <w:tr2bl w:val="nil"/>
            </w:tcBorders>
            <w:vAlign w:val="center"/>
          </w:tcPr>
          <w:p w14:paraId="44AA3267">
            <w:pPr>
              <w:pStyle w:val="12"/>
              <w:pageBreakBefore w:val="0"/>
              <w:wordWrap/>
              <w:bidi w:val="0"/>
              <w:adjustRightInd/>
              <w:snapToGrid/>
              <w:rPr>
                <w:b/>
                <w:bCs/>
                <w:color w:val="auto"/>
              </w:rPr>
            </w:pPr>
          </w:p>
        </w:tc>
        <w:tc>
          <w:tcPr>
            <w:tcW w:w="436" w:type="pct"/>
            <w:vMerge w:val="continue"/>
            <w:tcBorders>
              <w:tl2br w:val="nil"/>
              <w:tr2bl w:val="nil"/>
            </w:tcBorders>
            <w:vAlign w:val="center"/>
          </w:tcPr>
          <w:p w14:paraId="41D7781C">
            <w:pPr>
              <w:pStyle w:val="12"/>
              <w:pageBreakBefore w:val="0"/>
              <w:wordWrap/>
              <w:bidi w:val="0"/>
              <w:adjustRightInd/>
              <w:snapToGrid/>
              <w:rPr>
                <w:b/>
                <w:bCs/>
                <w:color w:val="auto"/>
              </w:rPr>
            </w:pPr>
          </w:p>
        </w:tc>
        <w:tc>
          <w:tcPr>
            <w:tcW w:w="263" w:type="pct"/>
            <w:vMerge w:val="continue"/>
            <w:tcBorders>
              <w:tl2br w:val="nil"/>
              <w:tr2bl w:val="nil"/>
            </w:tcBorders>
            <w:vAlign w:val="center"/>
          </w:tcPr>
          <w:p w14:paraId="1531C2C2">
            <w:pPr>
              <w:pStyle w:val="12"/>
              <w:pageBreakBefore w:val="0"/>
              <w:wordWrap/>
              <w:bidi w:val="0"/>
              <w:adjustRightInd/>
              <w:snapToGrid/>
              <w:rPr>
                <w:b/>
                <w:bCs/>
                <w:color w:val="auto"/>
              </w:rPr>
            </w:pPr>
          </w:p>
        </w:tc>
        <w:tc>
          <w:tcPr>
            <w:tcW w:w="464" w:type="pct"/>
            <w:vMerge w:val="continue"/>
            <w:tcBorders>
              <w:tl2br w:val="nil"/>
              <w:tr2bl w:val="nil"/>
            </w:tcBorders>
            <w:vAlign w:val="center"/>
          </w:tcPr>
          <w:p w14:paraId="2E7DB61B">
            <w:pPr>
              <w:pStyle w:val="12"/>
              <w:pageBreakBefore w:val="0"/>
              <w:wordWrap/>
              <w:bidi w:val="0"/>
              <w:adjustRightInd/>
              <w:snapToGrid/>
              <w:rPr>
                <w:b/>
                <w:bCs/>
                <w:color w:val="auto"/>
              </w:rPr>
            </w:pPr>
          </w:p>
        </w:tc>
        <w:tc>
          <w:tcPr>
            <w:tcW w:w="283" w:type="pct"/>
            <w:tcBorders>
              <w:tl2br w:val="nil"/>
              <w:tr2bl w:val="nil"/>
            </w:tcBorders>
            <w:shd w:val="clear" w:color="auto" w:fill="D8D8D8"/>
            <w:vAlign w:val="center"/>
          </w:tcPr>
          <w:p w14:paraId="71CA9A31">
            <w:pPr>
              <w:pStyle w:val="12"/>
              <w:pageBreakBefore w:val="0"/>
              <w:wordWrap/>
              <w:bidi w:val="0"/>
              <w:adjustRightInd/>
              <w:snapToGrid/>
              <w:rPr>
                <w:b/>
                <w:bCs/>
                <w:color w:val="auto"/>
              </w:rPr>
            </w:pPr>
            <w:r>
              <w:rPr>
                <w:b/>
                <w:bCs/>
                <w:color w:val="auto"/>
              </w:rPr>
              <w:t>声压级/dB（A）</w:t>
            </w:r>
          </w:p>
        </w:tc>
        <w:tc>
          <w:tcPr>
            <w:tcW w:w="285" w:type="pct"/>
            <w:tcBorders>
              <w:tl2br w:val="nil"/>
              <w:tr2bl w:val="nil"/>
            </w:tcBorders>
            <w:shd w:val="clear" w:color="auto" w:fill="D8D8D8"/>
            <w:vAlign w:val="center"/>
          </w:tcPr>
          <w:p w14:paraId="43C45DC0">
            <w:pPr>
              <w:pStyle w:val="12"/>
              <w:pageBreakBefore w:val="0"/>
              <w:wordWrap/>
              <w:bidi w:val="0"/>
              <w:adjustRightInd/>
              <w:snapToGrid/>
              <w:rPr>
                <w:b/>
                <w:bCs/>
                <w:color w:val="auto"/>
              </w:rPr>
            </w:pPr>
            <w:r>
              <w:rPr>
                <w:b/>
                <w:bCs/>
                <w:color w:val="auto"/>
              </w:rPr>
              <w:t>建筑物 外距离</w:t>
            </w:r>
          </w:p>
        </w:tc>
        <w:tc>
          <w:tcPr>
            <w:tcW w:w="281" w:type="pct"/>
            <w:vMerge w:val="continue"/>
            <w:tcBorders>
              <w:tl2br w:val="nil"/>
              <w:tr2bl w:val="nil"/>
            </w:tcBorders>
            <w:vAlign w:val="center"/>
          </w:tcPr>
          <w:p w14:paraId="3639769F">
            <w:pPr>
              <w:pStyle w:val="12"/>
              <w:pageBreakBefore w:val="0"/>
              <w:wordWrap/>
              <w:bidi w:val="0"/>
              <w:adjustRightInd/>
              <w:snapToGrid/>
              <w:rPr>
                <w:color w:val="auto"/>
              </w:rPr>
            </w:pPr>
          </w:p>
        </w:tc>
      </w:tr>
      <w:tr w14:paraId="0B6F270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BB55047">
            <w:pPr>
              <w:pStyle w:val="12"/>
              <w:pageBreakBefore w:val="0"/>
              <w:wordWrap/>
              <w:bidi w:val="0"/>
              <w:adjustRightInd/>
              <w:snapToGrid/>
              <w:ind w:left="0" w:leftChars="0" w:firstLine="0" w:firstLineChars="0"/>
              <w:rPr>
                <w:rFonts w:hint="eastAsia"/>
                <w:color w:val="auto"/>
                <w:lang w:val="en-US" w:eastAsia="zh-CN"/>
              </w:rPr>
            </w:pPr>
            <w:r>
              <w:rPr>
                <w:color w:val="auto"/>
              </w:rPr>
              <w:t>1</w:t>
            </w:r>
          </w:p>
        </w:tc>
        <w:tc>
          <w:tcPr>
            <w:tcW w:w="189" w:type="pct"/>
            <w:vMerge w:val="restart"/>
            <w:tcBorders>
              <w:tl2br w:val="nil"/>
              <w:tr2bl w:val="nil"/>
            </w:tcBorders>
            <w:vAlign w:val="center"/>
          </w:tcPr>
          <w:p w14:paraId="11A6DCD4">
            <w:pPr>
              <w:pageBreakBefore w:val="0"/>
              <w:wordWrap/>
              <w:bidi w:val="0"/>
              <w:adjustRightInd/>
              <w:snapToGrid/>
              <w:ind w:left="0" w:leftChars="0" w:firstLine="0" w:firstLineChars="0"/>
              <w:jc w:val="center"/>
              <w:rPr>
                <w:rFonts w:hint="eastAsia"/>
                <w:color w:val="auto"/>
                <w:lang w:val="en-US" w:eastAsia="zh-CN"/>
              </w:rPr>
            </w:pPr>
            <w:r>
              <w:rPr>
                <w:rFonts w:hint="eastAsia"/>
                <w:color w:val="auto"/>
                <w:sz w:val="21"/>
                <w:szCs w:val="21"/>
                <w:lang w:val="en-US" w:eastAsia="zh-CN"/>
              </w:rPr>
              <w:t>超细格栅</w:t>
            </w:r>
          </w:p>
        </w:tc>
        <w:tc>
          <w:tcPr>
            <w:tcW w:w="624" w:type="pct"/>
            <w:tcBorders>
              <w:tl2br w:val="nil"/>
              <w:tr2bl w:val="nil"/>
            </w:tcBorders>
            <w:vAlign w:val="center"/>
          </w:tcPr>
          <w:p w14:paraId="3ABD52A3">
            <w:pPr>
              <w:pStyle w:val="12"/>
              <w:pageBreakBefore w:val="0"/>
              <w:wordWrap/>
              <w:bidi w:val="0"/>
              <w:adjustRightInd/>
              <w:snapToGrid/>
              <w:ind w:left="0" w:leftChars="0" w:firstLine="0" w:firstLineChars="0"/>
              <w:rPr>
                <w:color w:val="auto"/>
              </w:rPr>
            </w:pPr>
            <w:r>
              <w:rPr>
                <w:color w:val="auto"/>
              </w:rPr>
              <w:t>螺旋压榨机</w:t>
            </w:r>
          </w:p>
        </w:tc>
        <w:tc>
          <w:tcPr>
            <w:tcW w:w="286" w:type="pct"/>
            <w:tcBorders>
              <w:tl2br w:val="nil"/>
              <w:tr2bl w:val="nil"/>
            </w:tcBorders>
            <w:vAlign w:val="center"/>
          </w:tcPr>
          <w:p w14:paraId="34565EE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372" w:type="pct"/>
            <w:tcBorders>
              <w:tl2br w:val="nil"/>
              <w:tr2bl w:val="nil"/>
            </w:tcBorders>
            <w:vAlign w:val="center"/>
          </w:tcPr>
          <w:p w14:paraId="01889C6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restart"/>
            <w:tcBorders>
              <w:tl2br w:val="nil"/>
              <w:tr2bl w:val="nil"/>
            </w:tcBorders>
            <w:vAlign w:val="center"/>
          </w:tcPr>
          <w:p w14:paraId="221E85B4">
            <w:pPr>
              <w:pStyle w:val="12"/>
              <w:pageBreakBefore w:val="0"/>
              <w:wordWrap/>
              <w:bidi w:val="0"/>
              <w:adjustRightInd/>
              <w:snapToGrid/>
              <w:rPr>
                <w:color w:val="auto"/>
              </w:rPr>
            </w:pPr>
            <w:r>
              <w:rPr>
                <w:color w:val="auto"/>
                <w:kern w:val="0"/>
                <w:sz w:val="21"/>
                <w:szCs w:val="21"/>
                <w:lang w:bidi="ar"/>
              </w:rPr>
              <w:t>选择低噪声机型，布置地下</w:t>
            </w:r>
            <w:r>
              <w:rPr>
                <w:rFonts w:hint="eastAsia"/>
                <w:color w:val="auto"/>
                <w:kern w:val="0"/>
                <w:sz w:val="21"/>
                <w:szCs w:val="21"/>
                <w:lang w:eastAsia="zh-CN" w:bidi="ar"/>
              </w:rPr>
              <w:t>，</w:t>
            </w:r>
            <w:r>
              <w:rPr>
                <w:color w:val="auto"/>
              </w:rPr>
              <w:t>基础减振，隔声</w:t>
            </w:r>
          </w:p>
        </w:tc>
        <w:tc>
          <w:tcPr>
            <w:tcW w:w="213" w:type="pct"/>
            <w:tcBorders>
              <w:tl2br w:val="nil"/>
              <w:tr2bl w:val="nil"/>
            </w:tcBorders>
            <w:vAlign w:val="center"/>
          </w:tcPr>
          <w:p w14:paraId="1721E25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27.4</w:t>
            </w:r>
          </w:p>
        </w:tc>
        <w:tc>
          <w:tcPr>
            <w:tcW w:w="212" w:type="pct"/>
            <w:tcBorders>
              <w:tl2br w:val="nil"/>
              <w:tr2bl w:val="nil"/>
            </w:tcBorders>
            <w:vAlign w:val="center"/>
          </w:tcPr>
          <w:p w14:paraId="0DFDA55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79.6</w:t>
            </w:r>
          </w:p>
        </w:tc>
        <w:tc>
          <w:tcPr>
            <w:tcW w:w="215" w:type="pct"/>
            <w:tcBorders>
              <w:tl2br w:val="nil"/>
              <w:tr2bl w:val="nil"/>
            </w:tcBorders>
            <w:vAlign w:val="center"/>
          </w:tcPr>
          <w:p w14:paraId="386993C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w:t>
            </w:r>
          </w:p>
        </w:tc>
        <w:tc>
          <w:tcPr>
            <w:tcW w:w="336" w:type="pct"/>
            <w:tcBorders>
              <w:tl2br w:val="nil"/>
              <w:tr2bl w:val="nil"/>
            </w:tcBorders>
            <w:vAlign w:val="center"/>
          </w:tcPr>
          <w:p w14:paraId="6552CEC8">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104F0BB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restart"/>
            <w:tcBorders>
              <w:tl2br w:val="nil"/>
              <w:tr2bl w:val="nil"/>
            </w:tcBorders>
            <w:vAlign w:val="center"/>
          </w:tcPr>
          <w:p w14:paraId="06153B1C">
            <w:pPr>
              <w:pStyle w:val="12"/>
              <w:pageBreakBefore w:val="0"/>
              <w:wordWrap/>
              <w:bidi w:val="0"/>
              <w:adjustRightInd/>
              <w:snapToGrid/>
              <w:rPr>
                <w:color w:val="auto"/>
              </w:rPr>
            </w:pPr>
            <w:r>
              <w:rPr>
                <w:color w:val="auto"/>
              </w:rPr>
              <w:t>昼夜连续运行</w:t>
            </w:r>
          </w:p>
        </w:tc>
        <w:tc>
          <w:tcPr>
            <w:tcW w:w="464" w:type="pct"/>
            <w:tcBorders>
              <w:tl2br w:val="nil"/>
              <w:tr2bl w:val="nil"/>
            </w:tcBorders>
            <w:vAlign w:val="center"/>
          </w:tcPr>
          <w:p w14:paraId="50FE2A7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0063FB8B">
            <w:pPr>
              <w:pStyle w:val="12"/>
              <w:bidi w:val="0"/>
              <w:rPr>
                <w:rFonts w:hint="default"/>
                <w:color w:val="auto"/>
                <w:lang w:val="en-US" w:eastAsia="zh-CN"/>
              </w:rPr>
            </w:pPr>
          </w:p>
        </w:tc>
        <w:tc>
          <w:tcPr>
            <w:tcW w:w="285" w:type="pct"/>
            <w:tcBorders>
              <w:tl2br w:val="nil"/>
              <w:tr2bl w:val="nil"/>
            </w:tcBorders>
            <w:vAlign w:val="center"/>
          </w:tcPr>
          <w:p w14:paraId="653BBCF5">
            <w:pPr>
              <w:pStyle w:val="12"/>
              <w:pageBreakBefore w:val="0"/>
              <w:wordWrap/>
              <w:bidi w:val="0"/>
              <w:adjustRightInd/>
              <w:snapToGrid/>
              <w:ind w:left="0" w:leftChars="0" w:firstLine="0" w:firstLineChars="0"/>
              <w:rPr>
                <w:color w:val="auto"/>
              </w:rPr>
            </w:pPr>
            <w:r>
              <w:rPr>
                <w:color w:val="auto"/>
              </w:rPr>
              <w:t>1</w:t>
            </w:r>
          </w:p>
        </w:tc>
        <w:tc>
          <w:tcPr>
            <w:tcW w:w="281" w:type="pct"/>
            <w:vMerge w:val="restart"/>
            <w:tcBorders>
              <w:tl2br w:val="nil"/>
              <w:tr2bl w:val="nil"/>
            </w:tcBorders>
            <w:vAlign w:val="center"/>
          </w:tcPr>
          <w:p w14:paraId="06863D35">
            <w:pPr>
              <w:pStyle w:val="12"/>
              <w:pageBreakBefore w:val="0"/>
              <w:wordWrap/>
              <w:bidi w:val="0"/>
              <w:adjustRightInd/>
              <w:snapToGrid/>
              <w:rPr>
                <w:rFonts w:hint="default"/>
                <w:color w:val="auto"/>
                <w:lang w:val="en-US" w:eastAsia="zh-CN"/>
              </w:rPr>
            </w:pPr>
            <w:r>
              <w:rPr>
                <w:rFonts w:hint="eastAsia"/>
                <w:color w:val="auto"/>
                <w:lang w:val="en-US" w:eastAsia="zh-CN"/>
              </w:rPr>
              <w:t>新增</w:t>
            </w:r>
          </w:p>
        </w:tc>
      </w:tr>
      <w:tr w14:paraId="37DEC9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98ABC55">
            <w:pPr>
              <w:pStyle w:val="12"/>
              <w:pageBreakBefore w:val="0"/>
              <w:wordWrap/>
              <w:bidi w:val="0"/>
              <w:adjustRightInd/>
              <w:snapToGrid/>
              <w:ind w:left="0" w:leftChars="0" w:firstLine="0" w:firstLineChars="0"/>
              <w:rPr>
                <w:rFonts w:hint="eastAsia"/>
                <w:color w:val="auto"/>
                <w:lang w:val="en-US" w:eastAsia="zh-CN"/>
              </w:rPr>
            </w:pPr>
            <w:r>
              <w:rPr>
                <w:color w:val="auto"/>
              </w:rPr>
              <w:t>2</w:t>
            </w:r>
          </w:p>
        </w:tc>
        <w:tc>
          <w:tcPr>
            <w:tcW w:w="189" w:type="pct"/>
            <w:vMerge w:val="continue"/>
            <w:tcBorders>
              <w:tl2br w:val="nil"/>
              <w:tr2bl w:val="nil"/>
            </w:tcBorders>
            <w:vAlign w:val="center"/>
          </w:tcPr>
          <w:p w14:paraId="2994A357">
            <w:pPr>
              <w:pageBreakBefore w:val="0"/>
              <w:wordWrap/>
              <w:bidi w:val="0"/>
              <w:adjustRightInd/>
              <w:snapToGrid/>
              <w:ind w:firstLine="480" w:firstLineChars="200"/>
              <w:rPr>
                <w:rFonts w:hint="eastAsia"/>
                <w:color w:val="auto"/>
                <w:lang w:val="en-US" w:eastAsia="zh-CN"/>
              </w:rPr>
            </w:pPr>
          </w:p>
        </w:tc>
        <w:tc>
          <w:tcPr>
            <w:tcW w:w="624" w:type="pct"/>
            <w:tcBorders>
              <w:tl2br w:val="nil"/>
              <w:tr2bl w:val="nil"/>
            </w:tcBorders>
            <w:vAlign w:val="center"/>
          </w:tcPr>
          <w:p w14:paraId="79569DB6">
            <w:pPr>
              <w:pStyle w:val="12"/>
              <w:pageBreakBefore w:val="0"/>
              <w:wordWrap/>
              <w:bidi w:val="0"/>
              <w:adjustRightInd/>
              <w:snapToGrid/>
              <w:ind w:left="0" w:leftChars="0" w:firstLine="0" w:firstLineChars="0"/>
              <w:rPr>
                <w:color w:val="auto"/>
              </w:rPr>
            </w:pPr>
            <w:r>
              <w:rPr>
                <w:color w:val="auto"/>
              </w:rPr>
              <w:t>高压冲洗水泵</w:t>
            </w:r>
          </w:p>
        </w:tc>
        <w:tc>
          <w:tcPr>
            <w:tcW w:w="286" w:type="pct"/>
            <w:tcBorders>
              <w:tl2br w:val="nil"/>
              <w:tr2bl w:val="nil"/>
            </w:tcBorders>
            <w:vAlign w:val="center"/>
          </w:tcPr>
          <w:p w14:paraId="64BB0F6B">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372" w:type="pct"/>
            <w:tcBorders>
              <w:tl2br w:val="nil"/>
              <w:tr2bl w:val="nil"/>
            </w:tcBorders>
            <w:vAlign w:val="center"/>
          </w:tcPr>
          <w:p w14:paraId="224DEAA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54773EEE">
            <w:pPr>
              <w:pStyle w:val="12"/>
              <w:pageBreakBefore w:val="0"/>
              <w:wordWrap/>
              <w:bidi w:val="0"/>
              <w:adjustRightInd/>
              <w:snapToGrid/>
              <w:rPr>
                <w:color w:val="auto"/>
              </w:rPr>
            </w:pPr>
          </w:p>
        </w:tc>
        <w:tc>
          <w:tcPr>
            <w:tcW w:w="213" w:type="pct"/>
            <w:tcBorders>
              <w:tl2br w:val="nil"/>
              <w:tr2bl w:val="nil"/>
            </w:tcBorders>
            <w:vAlign w:val="center"/>
          </w:tcPr>
          <w:p w14:paraId="260D8A2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29.3</w:t>
            </w:r>
          </w:p>
        </w:tc>
        <w:tc>
          <w:tcPr>
            <w:tcW w:w="212" w:type="pct"/>
            <w:tcBorders>
              <w:tl2br w:val="nil"/>
              <w:tr2bl w:val="nil"/>
            </w:tcBorders>
            <w:vAlign w:val="center"/>
          </w:tcPr>
          <w:p w14:paraId="060830B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74.6</w:t>
            </w:r>
          </w:p>
        </w:tc>
        <w:tc>
          <w:tcPr>
            <w:tcW w:w="215" w:type="pct"/>
            <w:tcBorders>
              <w:tl2br w:val="nil"/>
              <w:tr2bl w:val="nil"/>
            </w:tcBorders>
            <w:vAlign w:val="center"/>
          </w:tcPr>
          <w:p w14:paraId="1B3CCB5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w:t>
            </w:r>
          </w:p>
        </w:tc>
        <w:tc>
          <w:tcPr>
            <w:tcW w:w="336" w:type="pct"/>
            <w:tcBorders>
              <w:tl2br w:val="nil"/>
              <w:tr2bl w:val="nil"/>
            </w:tcBorders>
            <w:vAlign w:val="center"/>
          </w:tcPr>
          <w:p w14:paraId="329695A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3A1260A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447E4A6A">
            <w:pPr>
              <w:pStyle w:val="12"/>
              <w:pageBreakBefore w:val="0"/>
              <w:wordWrap/>
              <w:bidi w:val="0"/>
              <w:adjustRightInd/>
              <w:snapToGrid/>
              <w:rPr>
                <w:color w:val="auto"/>
              </w:rPr>
            </w:pPr>
          </w:p>
        </w:tc>
        <w:tc>
          <w:tcPr>
            <w:tcW w:w="464" w:type="pct"/>
            <w:tcBorders>
              <w:tl2br w:val="nil"/>
              <w:tr2bl w:val="nil"/>
            </w:tcBorders>
            <w:vAlign w:val="center"/>
          </w:tcPr>
          <w:p w14:paraId="145FCAAB">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1A403308">
            <w:pPr>
              <w:pStyle w:val="12"/>
              <w:bidi w:val="0"/>
              <w:rPr>
                <w:rFonts w:hint="default"/>
                <w:color w:val="auto"/>
                <w:lang w:val="en-US" w:eastAsia="zh-CN"/>
              </w:rPr>
            </w:pPr>
          </w:p>
        </w:tc>
        <w:tc>
          <w:tcPr>
            <w:tcW w:w="285" w:type="pct"/>
            <w:tcBorders>
              <w:tl2br w:val="nil"/>
              <w:tr2bl w:val="nil"/>
            </w:tcBorders>
            <w:vAlign w:val="center"/>
          </w:tcPr>
          <w:p w14:paraId="69E6411E">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38D72E40">
            <w:pPr>
              <w:pStyle w:val="12"/>
              <w:pageBreakBefore w:val="0"/>
              <w:wordWrap/>
              <w:bidi w:val="0"/>
              <w:adjustRightInd/>
              <w:snapToGrid/>
              <w:rPr>
                <w:rFonts w:hint="eastAsia"/>
                <w:color w:val="auto"/>
                <w:lang w:val="en-US" w:eastAsia="zh-CN"/>
              </w:rPr>
            </w:pPr>
          </w:p>
        </w:tc>
      </w:tr>
      <w:tr w14:paraId="1C5540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A43D319">
            <w:pPr>
              <w:pStyle w:val="12"/>
              <w:pageBreakBefore w:val="0"/>
              <w:wordWrap/>
              <w:bidi w:val="0"/>
              <w:adjustRightInd/>
              <w:snapToGrid/>
              <w:ind w:left="0" w:leftChars="0" w:firstLine="0" w:firstLineChars="0"/>
              <w:rPr>
                <w:rFonts w:hint="eastAsia"/>
                <w:color w:val="auto"/>
                <w:lang w:val="en-US" w:eastAsia="zh-CN"/>
              </w:rPr>
            </w:pPr>
            <w:r>
              <w:rPr>
                <w:color w:val="auto"/>
              </w:rPr>
              <w:t>3</w:t>
            </w:r>
          </w:p>
        </w:tc>
        <w:tc>
          <w:tcPr>
            <w:tcW w:w="189" w:type="pct"/>
            <w:vMerge w:val="restart"/>
            <w:tcBorders>
              <w:tl2br w:val="nil"/>
              <w:tr2bl w:val="nil"/>
            </w:tcBorders>
            <w:vAlign w:val="center"/>
          </w:tcPr>
          <w:p w14:paraId="34382388">
            <w:pPr>
              <w:pStyle w:val="12"/>
              <w:pageBreakBefore w:val="0"/>
              <w:wordWrap/>
              <w:bidi w:val="0"/>
              <w:adjustRightInd/>
              <w:snapToGrid/>
              <w:ind w:left="0" w:leftChars="0" w:firstLine="0" w:firstLineChars="0"/>
              <w:rPr>
                <w:rFonts w:hint="eastAsia"/>
                <w:color w:val="auto"/>
                <w:lang w:val="en-US" w:eastAsia="zh-CN"/>
              </w:rPr>
            </w:pPr>
            <w:r>
              <w:rPr>
                <w:rFonts w:hint="eastAsia"/>
                <w:color w:val="auto"/>
                <w:sz w:val="21"/>
                <w:szCs w:val="21"/>
              </w:rPr>
              <w:t>调节池-厂区事故池</w:t>
            </w:r>
          </w:p>
        </w:tc>
        <w:tc>
          <w:tcPr>
            <w:tcW w:w="624" w:type="pct"/>
            <w:tcBorders>
              <w:tl2br w:val="nil"/>
              <w:tr2bl w:val="nil"/>
            </w:tcBorders>
            <w:vAlign w:val="center"/>
          </w:tcPr>
          <w:p w14:paraId="5B163031">
            <w:pPr>
              <w:pStyle w:val="12"/>
              <w:pageBreakBefore w:val="0"/>
              <w:wordWrap/>
              <w:bidi w:val="0"/>
              <w:adjustRightInd/>
              <w:snapToGrid/>
              <w:ind w:left="0" w:leftChars="0" w:firstLine="0" w:firstLineChars="0"/>
              <w:rPr>
                <w:color w:val="auto"/>
              </w:rPr>
            </w:pPr>
            <w:r>
              <w:rPr>
                <w:rFonts w:hint="eastAsia"/>
                <w:color w:val="auto"/>
                <w:lang w:val="en-US" w:eastAsia="zh-CN"/>
              </w:rPr>
              <w:t>潜污泵</w:t>
            </w:r>
          </w:p>
        </w:tc>
        <w:tc>
          <w:tcPr>
            <w:tcW w:w="286" w:type="pct"/>
            <w:tcBorders>
              <w:tl2br w:val="nil"/>
              <w:tr2bl w:val="nil"/>
            </w:tcBorders>
            <w:vAlign w:val="center"/>
          </w:tcPr>
          <w:p w14:paraId="33D13F04">
            <w:pPr>
              <w:pStyle w:val="12"/>
              <w:pageBreakBefore w:val="0"/>
              <w:wordWrap/>
              <w:bidi w:val="0"/>
              <w:adjustRightInd/>
              <w:snapToGrid/>
              <w:ind w:left="0" w:leftChars="0" w:firstLine="0" w:firstLineChars="0"/>
              <w:rPr>
                <w:color w:val="auto"/>
              </w:rPr>
            </w:pPr>
            <w:r>
              <w:rPr>
                <w:rFonts w:hint="eastAsia"/>
                <w:color w:val="auto"/>
                <w:lang w:val="en-US" w:eastAsia="zh-CN"/>
              </w:rPr>
              <w:t>2用2备</w:t>
            </w:r>
          </w:p>
        </w:tc>
        <w:tc>
          <w:tcPr>
            <w:tcW w:w="372" w:type="pct"/>
            <w:tcBorders>
              <w:tl2br w:val="nil"/>
              <w:tr2bl w:val="nil"/>
            </w:tcBorders>
            <w:vAlign w:val="center"/>
          </w:tcPr>
          <w:p w14:paraId="2913F77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7A0DE99E">
            <w:pPr>
              <w:pStyle w:val="12"/>
              <w:pageBreakBefore w:val="0"/>
              <w:wordWrap/>
              <w:bidi w:val="0"/>
              <w:adjustRightInd/>
              <w:snapToGrid/>
              <w:rPr>
                <w:color w:val="auto"/>
              </w:rPr>
            </w:pPr>
          </w:p>
        </w:tc>
        <w:tc>
          <w:tcPr>
            <w:tcW w:w="213" w:type="pct"/>
            <w:tcBorders>
              <w:tl2br w:val="nil"/>
              <w:tr2bl w:val="nil"/>
            </w:tcBorders>
            <w:vAlign w:val="center"/>
          </w:tcPr>
          <w:p w14:paraId="47B623E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66.5</w:t>
            </w:r>
          </w:p>
        </w:tc>
        <w:tc>
          <w:tcPr>
            <w:tcW w:w="212" w:type="pct"/>
            <w:tcBorders>
              <w:tl2br w:val="nil"/>
              <w:tr2bl w:val="nil"/>
            </w:tcBorders>
            <w:vAlign w:val="center"/>
          </w:tcPr>
          <w:p w14:paraId="1C60846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21</w:t>
            </w:r>
          </w:p>
        </w:tc>
        <w:tc>
          <w:tcPr>
            <w:tcW w:w="215" w:type="pct"/>
            <w:tcBorders>
              <w:tl2br w:val="nil"/>
              <w:tr2bl w:val="nil"/>
            </w:tcBorders>
            <w:vAlign w:val="center"/>
          </w:tcPr>
          <w:p w14:paraId="11BC035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-6.8</w:t>
            </w:r>
          </w:p>
        </w:tc>
        <w:tc>
          <w:tcPr>
            <w:tcW w:w="336" w:type="pct"/>
            <w:tcBorders>
              <w:tl2br w:val="nil"/>
              <w:tr2bl w:val="nil"/>
            </w:tcBorders>
            <w:vAlign w:val="center"/>
          </w:tcPr>
          <w:p w14:paraId="6304F6AD">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3EADFC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2A5272B5">
            <w:pPr>
              <w:pStyle w:val="12"/>
              <w:pageBreakBefore w:val="0"/>
              <w:wordWrap/>
              <w:bidi w:val="0"/>
              <w:adjustRightInd/>
              <w:snapToGrid/>
              <w:rPr>
                <w:color w:val="auto"/>
              </w:rPr>
            </w:pPr>
          </w:p>
        </w:tc>
        <w:tc>
          <w:tcPr>
            <w:tcW w:w="464" w:type="pct"/>
            <w:tcBorders>
              <w:tl2br w:val="nil"/>
              <w:tr2bl w:val="nil"/>
            </w:tcBorders>
            <w:vAlign w:val="center"/>
          </w:tcPr>
          <w:p w14:paraId="7045B680">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29B291B5">
            <w:pPr>
              <w:pStyle w:val="12"/>
              <w:bidi w:val="0"/>
              <w:rPr>
                <w:rFonts w:hint="default"/>
                <w:color w:val="auto"/>
                <w:lang w:val="en-US" w:eastAsia="zh-CN"/>
              </w:rPr>
            </w:pPr>
          </w:p>
        </w:tc>
        <w:tc>
          <w:tcPr>
            <w:tcW w:w="285" w:type="pct"/>
            <w:tcBorders>
              <w:tl2br w:val="nil"/>
              <w:tr2bl w:val="nil"/>
            </w:tcBorders>
            <w:vAlign w:val="center"/>
          </w:tcPr>
          <w:p w14:paraId="5498F091">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7C5F3C08">
            <w:pPr>
              <w:pStyle w:val="12"/>
              <w:pageBreakBefore w:val="0"/>
              <w:wordWrap/>
              <w:bidi w:val="0"/>
              <w:adjustRightInd/>
              <w:snapToGrid/>
              <w:rPr>
                <w:rFonts w:hint="eastAsia"/>
                <w:color w:val="auto"/>
                <w:lang w:val="en-US" w:eastAsia="zh-CN"/>
              </w:rPr>
            </w:pPr>
          </w:p>
        </w:tc>
      </w:tr>
      <w:tr w14:paraId="2830A9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E40214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189" w:type="pct"/>
            <w:vMerge w:val="continue"/>
            <w:tcBorders>
              <w:tl2br w:val="nil"/>
              <w:tr2bl w:val="nil"/>
            </w:tcBorders>
            <w:vAlign w:val="center"/>
          </w:tcPr>
          <w:p w14:paraId="07D0B74C">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536C6D6A">
            <w:pPr>
              <w:pStyle w:val="12"/>
              <w:pageBreakBefore w:val="0"/>
              <w:wordWrap/>
              <w:bidi w:val="0"/>
              <w:adjustRightInd/>
              <w:snapToGrid/>
              <w:ind w:left="0" w:leftChars="0" w:firstLine="0" w:firstLineChars="0"/>
              <w:rPr>
                <w:color w:val="auto"/>
              </w:rPr>
            </w:pPr>
            <w:r>
              <w:rPr>
                <w:rFonts w:hint="eastAsia"/>
                <w:color w:val="auto"/>
                <w:lang w:val="en-US" w:eastAsia="zh-CN"/>
              </w:rPr>
              <w:t>潜水搅拌机</w:t>
            </w:r>
          </w:p>
        </w:tc>
        <w:tc>
          <w:tcPr>
            <w:tcW w:w="286" w:type="pct"/>
            <w:tcBorders>
              <w:tl2br w:val="nil"/>
              <w:tr2bl w:val="nil"/>
            </w:tcBorders>
            <w:vAlign w:val="center"/>
          </w:tcPr>
          <w:p w14:paraId="13B4D058">
            <w:pPr>
              <w:pStyle w:val="12"/>
              <w:pageBreakBefore w:val="0"/>
              <w:wordWrap/>
              <w:bidi w:val="0"/>
              <w:adjustRightInd/>
              <w:snapToGrid/>
              <w:ind w:left="0" w:leftChars="0" w:firstLine="0" w:firstLineChars="0"/>
              <w:rPr>
                <w:color w:val="auto"/>
              </w:rPr>
            </w:pPr>
            <w:r>
              <w:rPr>
                <w:rFonts w:hint="eastAsia"/>
                <w:color w:val="auto"/>
                <w:lang w:val="en-US" w:eastAsia="zh-CN"/>
              </w:rPr>
              <w:t>15</w:t>
            </w:r>
          </w:p>
        </w:tc>
        <w:tc>
          <w:tcPr>
            <w:tcW w:w="372" w:type="pct"/>
            <w:tcBorders>
              <w:tl2br w:val="nil"/>
              <w:tr2bl w:val="nil"/>
            </w:tcBorders>
            <w:vAlign w:val="center"/>
          </w:tcPr>
          <w:p w14:paraId="5A1D565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4EEFC720">
            <w:pPr>
              <w:pStyle w:val="12"/>
              <w:pageBreakBefore w:val="0"/>
              <w:wordWrap/>
              <w:bidi w:val="0"/>
              <w:adjustRightInd/>
              <w:snapToGrid/>
              <w:rPr>
                <w:color w:val="auto"/>
              </w:rPr>
            </w:pPr>
          </w:p>
        </w:tc>
        <w:tc>
          <w:tcPr>
            <w:tcW w:w="213" w:type="pct"/>
            <w:tcBorders>
              <w:tl2br w:val="nil"/>
              <w:tr2bl w:val="nil"/>
            </w:tcBorders>
            <w:vAlign w:val="center"/>
          </w:tcPr>
          <w:p w14:paraId="0C9CAE4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69.6</w:t>
            </w:r>
          </w:p>
        </w:tc>
        <w:tc>
          <w:tcPr>
            <w:tcW w:w="212" w:type="pct"/>
            <w:tcBorders>
              <w:tl2br w:val="nil"/>
              <w:tr2bl w:val="nil"/>
            </w:tcBorders>
            <w:vAlign w:val="center"/>
          </w:tcPr>
          <w:p w14:paraId="771C1F6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215" w:type="pct"/>
            <w:tcBorders>
              <w:tl2br w:val="nil"/>
              <w:tr2bl w:val="nil"/>
            </w:tcBorders>
            <w:vAlign w:val="center"/>
          </w:tcPr>
          <w:p w14:paraId="6EEE855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-6.8</w:t>
            </w:r>
          </w:p>
        </w:tc>
        <w:tc>
          <w:tcPr>
            <w:tcW w:w="336" w:type="pct"/>
            <w:tcBorders>
              <w:tl2br w:val="nil"/>
              <w:tr2bl w:val="nil"/>
            </w:tcBorders>
            <w:vAlign w:val="center"/>
          </w:tcPr>
          <w:p w14:paraId="40A03A3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38E532C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1D7C4A6E">
            <w:pPr>
              <w:pStyle w:val="12"/>
              <w:pageBreakBefore w:val="0"/>
              <w:wordWrap/>
              <w:bidi w:val="0"/>
              <w:adjustRightInd/>
              <w:snapToGrid/>
              <w:rPr>
                <w:color w:val="auto"/>
              </w:rPr>
            </w:pPr>
          </w:p>
        </w:tc>
        <w:tc>
          <w:tcPr>
            <w:tcW w:w="464" w:type="pct"/>
            <w:tcBorders>
              <w:tl2br w:val="nil"/>
              <w:tr2bl w:val="nil"/>
            </w:tcBorders>
            <w:vAlign w:val="center"/>
          </w:tcPr>
          <w:p w14:paraId="3BB8DB42">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750D0ACA">
            <w:pPr>
              <w:pStyle w:val="12"/>
              <w:bidi w:val="0"/>
              <w:rPr>
                <w:rFonts w:hint="default"/>
                <w:color w:val="auto"/>
                <w:lang w:val="en-US" w:eastAsia="zh-CN"/>
              </w:rPr>
            </w:pPr>
          </w:p>
        </w:tc>
        <w:tc>
          <w:tcPr>
            <w:tcW w:w="285" w:type="pct"/>
            <w:tcBorders>
              <w:tl2br w:val="nil"/>
              <w:tr2bl w:val="nil"/>
            </w:tcBorders>
            <w:vAlign w:val="center"/>
          </w:tcPr>
          <w:p w14:paraId="2822A8BD">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29FB8E43">
            <w:pPr>
              <w:pStyle w:val="12"/>
              <w:pageBreakBefore w:val="0"/>
              <w:wordWrap/>
              <w:bidi w:val="0"/>
              <w:adjustRightInd/>
              <w:snapToGrid/>
              <w:rPr>
                <w:rFonts w:hint="eastAsia"/>
                <w:color w:val="auto"/>
                <w:lang w:val="en-US" w:eastAsia="zh-CN"/>
              </w:rPr>
            </w:pPr>
          </w:p>
        </w:tc>
      </w:tr>
      <w:tr w14:paraId="583E3C1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19BE354">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5</w:t>
            </w:r>
          </w:p>
        </w:tc>
        <w:tc>
          <w:tcPr>
            <w:tcW w:w="189" w:type="pct"/>
            <w:vMerge w:val="continue"/>
            <w:tcBorders>
              <w:tl2br w:val="nil"/>
              <w:tr2bl w:val="nil"/>
            </w:tcBorders>
            <w:vAlign w:val="center"/>
          </w:tcPr>
          <w:p w14:paraId="6B4C8A02">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7CA692B0">
            <w:pPr>
              <w:pStyle w:val="12"/>
              <w:pageBreakBefore w:val="0"/>
              <w:wordWrap/>
              <w:bidi w:val="0"/>
              <w:adjustRightInd/>
              <w:snapToGrid/>
              <w:ind w:left="0" w:leftChars="0" w:firstLine="0" w:firstLineChars="0"/>
              <w:rPr>
                <w:color w:val="auto"/>
              </w:rPr>
            </w:pPr>
            <w:r>
              <w:rPr>
                <w:rFonts w:hint="eastAsia"/>
                <w:color w:val="auto"/>
                <w:lang w:val="en-US" w:eastAsia="zh-CN"/>
              </w:rPr>
              <w:t>电动葫芦</w:t>
            </w:r>
          </w:p>
        </w:tc>
        <w:tc>
          <w:tcPr>
            <w:tcW w:w="286" w:type="pct"/>
            <w:tcBorders>
              <w:tl2br w:val="nil"/>
              <w:tr2bl w:val="nil"/>
            </w:tcBorders>
            <w:vAlign w:val="center"/>
          </w:tcPr>
          <w:p w14:paraId="008D3AB3">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372" w:type="pct"/>
            <w:tcBorders>
              <w:tl2br w:val="nil"/>
              <w:tr2bl w:val="nil"/>
            </w:tcBorders>
            <w:vAlign w:val="center"/>
          </w:tcPr>
          <w:p w14:paraId="0166385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BFD0FA4">
            <w:pPr>
              <w:pStyle w:val="12"/>
              <w:pageBreakBefore w:val="0"/>
              <w:wordWrap/>
              <w:bidi w:val="0"/>
              <w:adjustRightInd/>
              <w:snapToGrid/>
              <w:rPr>
                <w:color w:val="auto"/>
              </w:rPr>
            </w:pPr>
          </w:p>
        </w:tc>
        <w:tc>
          <w:tcPr>
            <w:tcW w:w="213" w:type="pct"/>
            <w:tcBorders>
              <w:tl2br w:val="nil"/>
              <w:tr2bl w:val="nil"/>
            </w:tcBorders>
            <w:vAlign w:val="center"/>
          </w:tcPr>
          <w:p w14:paraId="2525F2D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69.6</w:t>
            </w:r>
          </w:p>
        </w:tc>
        <w:tc>
          <w:tcPr>
            <w:tcW w:w="212" w:type="pct"/>
            <w:tcBorders>
              <w:tl2br w:val="nil"/>
              <w:tr2bl w:val="nil"/>
            </w:tcBorders>
            <w:vAlign w:val="center"/>
          </w:tcPr>
          <w:p w14:paraId="2FCDB31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215" w:type="pct"/>
            <w:tcBorders>
              <w:tl2br w:val="nil"/>
              <w:tr2bl w:val="nil"/>
            </w:tcBorders>
            <w:vAlign w:val="center"/>
          </w:tcPr>
          <w:p w14:paraId="4EFAF31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78EC590F">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415C87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4521F49A">
            <w:pPr>
              <w:pStyle w:val="12"/>
              <w:pageBreakBefore w:val="0"/>
              <w:wordWrap/>
              <w:bidi w:val="0"/>
              <w:adjustRightInd/>
              <w:snapToGrid/>
              <w:rPr>
                <w:color w:val="auto"/>
              </w:rPr>
            </w:pPr>
          </w:p>
        </w:tc>
        <w:tc>
          <w:tcPr>
            <w:tcW w:w="464" w:type="pct"/>
            <w:tcBorders>
              <w:tl2br w:val="nil"/>
              <w:tr2bl w:val="nil"/>
            </w:tcBorders>
            <w:vAlign w:val="center"/>
          </w:tcPr>
          <w:p w14:paraId="68C7AEA6">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14BBC97F">
            <w:pPr>
              <w:pStyle w:val="12"/>
              <w:bidi w:val="0"/>
              <w:rPr>
                <w:rFonts w:hint="default"/>
                <w:color w:val="auto"/>
                <w:lang w:val="en-US" w:eastAsia="zh-CN"/>
              </w:rPr>
            </w:pPr>
          </w:p>
        </w:tc>
        <w:tc>
          <w:tcPr>
            <w:tcW w:w="285" w:type="pct"/>
            <w:tcBorders>
              <w:tl2br w:val="nil"/>
              <w:tr2bl w:val="nil"/>
            </w:tcBorders>
            <w:vAlign w:val="center"/>
          </w:tcPr>
          <w:p w14:paraId="76BD2098">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1356F3E3">
            <w:pPr>
              <w:pStyle w:val="12"/>
              <w:pageBreakBefore w:val="0"/>
              <w:wordWrap/>
              <w:bidi w:val="0"/>
              <w:adjustRightInd/>
              <w:snapToGrid/>
              <w:rPr>
                <w:rFonts w:hint="eastAsia"/>
                <w:color w:val="auto"/>
                <w:lang w:val="en-US" w:eastAsia="zh-CN"/>
              </w:rPr>
            </w:pPr>
          </w:p>
        </w:tc>
      </w:tr>
      <w:tr w14:paraId="6DEF63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261A02E">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6</w:t>
            </w:r>
          </w:p>
        </w:tc>
        <w:tc>
          <w:tcPr>
            <w:tcW w:w="189" w:type="pct"/>
            <w:vMerge w:val="restart"/>
            <w:tcBorders>
              <w:tl2br w:val="nil"/>
              <w:tr2bl w:val="nil"/>
            </w:tcBorders>
            <w:vAlign w:val="center"/>
          </w:tcPr>
          <w:p w14:paraId="371B0019">
            <w:pPr>
              <w:pageBreakBefore w:val="0"/>
              <w:wordWrap/>
              <w:bidi w:val="0"/>
              <w:adjustRightInd/>
              <w:snapToGrid/>
              <w:spacing w:line="240" w:lineRule="auto"/>
              <w:ind w:firstLine="0" w:firstLineChars="0"/>
              <w:jc w:val="center"/>
              <w:rPr>
                <w:rFonts w:hint="eastAsia"/>
                <w:color w:val="auto"/>
                <w:lang w:val="en-US" w:eastAsia="zh-CN"/>
              </w:rPr>
            </w:pPr>
            <w:r>
              <w:rPr>
                <w:rFonts w:hint="eastAsia"/>
                <w:color w:val="auto"/>
                <w:sz w:val="21"/>
                <w:szCs w:val="21"/>
                <w:lang w:val="en-US" w:eastAsia="zh-CN"/>
              </w:rPr>
              <w:t>水解酸化池</w:t>
            </w:r>
          </w:p>
        </w:tc>
        <w:tc>
          <w:tcPr>
            <w:tcW w:w="624" w:type="pct"/>
            <w:tcBorders>
              <w:tl2br w:val="nil"/>
              <w:tr2bl w:val="nil"/>
            </w:tcBorders>
            <w:vAlign w:val="center"/>
          </w:tcPr>
          <w:p w14:paraId="2EE0369B">
            <w:pPr>
              <w:pStyle w:val="12"/>
              <w:pageBreakBefore w:val="0"/>
              <w:wordWrap/>
              <w:bidi w:val="0"/>
              <w:adjustRightInd/>
              <w:snapToGrid/>
              <w:ind w:left="0" w:leftChars="0" w:firstLine="0" w:firstLineChars="0"/>
              <w:rPr>
                <w:color w:val="auto"/>
              </w:rPr>
            </w:pPr>
            <w:r>
              <w:rPr>
                <w:color w:val="auto"/>
              </w:rPr>
              <w:t>污泥泵</w:t>
            </w:r>
          </w:p>
        </w:tc>
        <w:tc>
          <w:tcPr>
            <w:tcW w:w="286" w:type="pct"/>
            <w:tcBorders>
              <w:tl2br w:val="nil"/>
              <w:tr2bl w:val="nil"/>
            </w:tcBorders>
            <w:vAlign w:val="center"/>
          </w:tcPr>
          <w:p w14:paraId="67B3A388">
            <w:pPr>
              <w:pStyle w:val="12"/>
              <w:pageBreakBefore w:val="0"/>
              <w:wordWrap/>
              <w:bidi w:val="0"/>
              <w:adjustRightInd/>
              <w:snapToGrid/>
              <w:ind w:left="0" w:leftChars="0" w:firstLine="0" w:firstLineChars="0"/>
              <w:rPr>
                <w:color w:val="auto"/>
              </w:rPr>
            </w:pPr>
            <w:r>
              <w:rPr>
                <w:rFonts w:hint="eastAsia"/>
                <w:color w:val="auto"/>
                <w:lang w:val="en-US" w:eastAsia="zh-CN"/>
              </w:rPr>
              <w:t>8用2备</w:t>
            </w:r>
          </w:p>
        </w:tc>
        <w:tc>
          <w:tcPr>
            <w:tcW w:w="372" w:type="pct"/>
            <w:tcBorders>
              <w:tl2br w:val="nil"/>
              <w:tr2bl w:val="nil"/>
            </w:tcBorders>
            <w:vAlign w:val="center"/>
          </w:tcPr>
          <w:p w14:paraId="3FB77B6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56A6A097">
            <w:pPr>
              <w:pStyle w:val="12"/>
              <w:pageBreakBefore w:val="0"/>
              <w:wordWrap/>
              <w:bidi w:val="0"/>
              <w:adjustRightInd/>
              <w:snapToGrid/>
              <w:rPr>
                <w:color w:val="auto"/>
              </w:rPr>
            </w:pPr>
          </w:p>
        </w:tc>
        <w:tc>
          <w:tcPr>
            <w:tcW w:w="213" w:type="pct"/>
            <w:tcBorders>
              <w:tl2br w:val="nil"/>
              <w:tr2bl w:val="nil"/>
            </w:tcBorders>
            <w:vAlign w:val="center"/>
          </w:tcPr>
          <w:p w14:paraId="6687180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90.6</w:t>
            </w:r>
          </w:p>
        </w:tc>
        <w:tc>
          <w:tcPr>
            <w:tcW w:w="212" w:type="pct"/>
            <w:tcBorders>
              <w:tl2br w:val="nil"/>
              <w:tr2bl w:val="nil"/>
            </w:tcBorders>
            <w:vAlign w:val="center"/>
          </w:tcPr>
          <w:p w14:paraId="0C894DB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-6.1</w:t>
            </w:r>
          </w:p>
        </w:tc>
        <w:tc>
          <w:tcPr>
            <w:tcW w:w="215" w:type="pct"/>
            <w:tcBorders>
              <w:tl2br w:val="nil"/>
              <w:tr2bl w:val="nil"/>
            </w:tcBorders>
            <w:vAlign w:val="center"/>
          </w:tcPr>
          <w:p w14:paraId="58B45B2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-6.5</w:t>
            </w:r>
          </w:p>
        </w:tc>
        <w:tc>
          <w:tcPr>
            <w:tcW w:w="336" w:type="pct"/>
            <w:tcBorders>
              <w:tl2br w:val="nil"/>
              <w:tr2bl w:val="nil"/>
            </w:tcBorders>
            <w:vAlign w:val="center"/>
          </w:tcPr>
          <w:p w14:paraId="30405391">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18FF280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0EBE9AB6">
            <w:pPr>
              <w:pStyle w:val="12"/>
              <w:pageBreakBefore w:val="0"/>
              <w:wordWrap/>
              <w:bidi w:val="0"/>
              <w:adjustRightInd/>
              <w:snapToGrid/>
              <w:rPr>
                <w:color w:val="auto"/>
              </w:rPr>
            </w:pPr>
          </w:p>
        </w:tc>
        <w:tc>
          <w:tcPr>
            <w:tcW w:w="464" w:type="pct"/>
            <w:tcBorders>
              <w:tl2br w:val="nil"/>
              <w:tr2bl w:val="nil"/>
            </w:tcBorders>
            <w:vAlign w:val="center"/>
          </w:tcPr>
          <w:p w14:paraId="68BE3603">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0882BC44">
            <w:pPr>
              <w:pStyle w:val="12"/>
              <w:bidi w:val="0"/>
              <w:rPr>
                <w:rFonts w:hint="default"/>
                <w:color w:val="auto"/>
                <w:lang w:val="en-US" w:eastAsia="zh-CN"/>
              </w:rPr>
            </w:pPr>
          </w:p>
        </w:tc>
        <w:tc>
          <w:tcPr>
            <w:tcW w:w="285" w:type="pct"/>
            <w:tcBorders>
              <w:tl2br w:val="nil"/>
              <w:tr2bl w:val="nil"/>
            </w:tcBorders>
            <w:vAlign w:val="center"/>
          </w:tcPr>
          <w:p w14:paraId="4D5A5B5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709B4B20">
            <w:pPr>
              <w:pStyle w:val="12"/>
              <w:pageBreakBefore w:val="0"/>
              <w:wordWrap/>
              <w:bidi w:val="0"/>
              <w:adjustRightInd/>
              <w:snapToGrid/>
              <w:rPr>
                <w:rFonts w:hint="eastAsia"/>
                <w:color w:val="auto"/>
                <w:lang w:val="en-US" w:eastAsia="zh-CN"/>
              </w:rPr>
            </w:pPr>
          </w:p>
        </w:tc>
      </w:tr>
      <w:tr w14:paraId="76EF66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A0003EC">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7</w:t>
            </w:r>
          </w:p>
        </w:tc>
        <w:tc>
          <w:tcPr>
            <w:tcW w:w="189" w:type="pct"/>
            <w:vMerge w:val="continue"/>
            <w:tcBorders>
              <w:tl2br w:val="nil"/>
              <w:tr2bl w:val="nil"/>
            </w:tcBorders>
            <w:vAlign w:val="center"/>
          </w:tcPr>
          <w:p w14:paraId="25E6A487">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779A7EA0">
            <w:pPr>
              <w:pStyle w:val="12"/>
              <w:pageBreakBefore w:val="0"/>
              <w:wordWrap/>
              <w:bidi w:val="0"/>
              <w:adjustRightInd/>
              <w:snapToGrid/>
              <w:ind w:left="0" w:leftChars="0" w:firstLine="0" w:firstLineChars="0"/>
              <w:rPr>
                <w:color w:val="auto"/>
              </w:rPr>
            </w:pPr>
            <w:r>
              <w:rPr>
                <w:color w:val="auto"/>
              </w:rPr>
              <w:t>低速潜水推流器</w:t>
            </w:r>
          </w:p>
        </w:tc>
        <w:tc>
          <w:tcPr>
            <w:tcW w:w="286" w:type="pct"/>
            <w:tcBorders>
              <w:tl2br w:val="nil"/>
              <w:tr2bl w:val="nil"/>
            </w:tcBorders>
            <w:vAlign w:val="center"/>
          </w:tcPr>
          <w:p w14:paraId="25668E19">
            <w:pPr>
              <w:pStyle w:val="12"/>
              <w:pageBreakBefore w:val="0"/>
              <w:wordWrap/>
              <w:bidi w:val="0"/>
              <w:adjustRightInd/>
              <w:snapToGrid/>
              <w:ind w:left="0" w:leftChars="0" w:firstLine="0" w:firstLineChars="0"/>
              <w:rPr>
                <w:color w:val="auto"/>
              </w:rPr>
            </w:pPr>
            <w:r>
              <w:rPr>
                <w:rFonts w:hint="eastAsia"/>
                <w:color w:val="auto"/>
                <w:lang w:val="en-US" w:eastAsia="zh-CN"/>
              </w:rPr>
              <w:t>4</w:t>
            </w:r>
          </w:p>
        </w:tc>
        <w:tc>
          <w:tcPr>
            <w:tcW w:w="372" w:type="pct"/>
            <w:tcBorders>
              <w:tl2br w:val="nil"/>
              <w:tr2bl w:val="nil"/>
            </w:tcBorders>
            <w:vAlign w:val="center"/>
          </w:tcPr>
          <w:p w14:paraId="3C82133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27CDC9FE">
            <w:pPr>
              <w:pStyle w:val="12"/>
              <w:pageBreakBefore w:val="0"/>
              <w:wordWrap/>
              <w:bidi w:val="0"/>
              <w:adjustRightInd/>
              <w:snapToGrid/>
              <w:rPr>
                <w:color w:val="auto"/>
              </w:rPr>
            </w:pPr>
          </w:p>
        </w:tc>
        <w:tc>
          <w:tcPr>
            <w:tcW w:w="213" w:type="pct"/>
            <w:tcBorders>
              <w:tl2br w:val="nil"/>
              <w:tr2bl w:val="nil"/>
            </w:tcBorders>
            <w:vAlign w:val="center"/>
          </w:tcPr>
          <w:p w14:paraId="75267BC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90.6</w:t>
            </w:r>
          </w:p>
        </w:tc>
        <w:tc>
          <w:tcPr>
            <w:tcW w:w="212" w:type="pct"/>
            <w:tcBorders>
              <w:tl2br w:val="nil"/>
              <w:tr2bl w:val="nil"/>
            </w:tcBorders>
            <w:vAlign w:val="center"/>
          </w:tcPr>
          <w:p w14:paraId="13FA01D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-6.1</w:t>
            </w:r>
          </w:p>
        </w:tc>
        <w:tc>
          <w:tcPr>
            <w:tcW w:w="215" w:type="pct"/>
            <w:tcBorders>
              <w:tl2br w:val="nil"/>
              <w:tr2bl w:val="nil"/>
            </w:tcBorders>
            <w:vAlign w:val="center"/>
          </w:tcPr>
          <w:p w14:paraId="3995B8E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w:t>
            </w:r>
          </w:p>
        </w:tc>
        <w:tc>
          <w:tcPr>
            <w:tcW w:w="336" w:type="pct"/>
            <w:tcBorders>
              <w:tl2br w:val="nil"/>
              <w:tr2bl w:val="nil"/>
            </w:tcBorders>
            <w:vAlign w:val="center"/>
          </w:tcPr>
          <w:p w14:paraId="3BC0042C">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9472ED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6AC868E5">
            <w:pPr>
              <w:pStyle w:val="12"/>
              <w:pageBreakBefore w:val="0"/>
              <w:wordWrap/>
              <w:bidi w:val="0"/>
              <w:adjustRightInd/>
              <w:snapToGrid/>
              <w:rPr>
                <w:color w:val="auto"/>
              </w:rPr>
            </w:pPr>
          </w:p>
        </w:tc>
        <w:tc>
          <w:tcPr>
            <w:tcW w:w="464" w:type="pct"/>
            <w:tcBorders>
              <w:tl2br w:val="nil"/>
              <w:tr2bl w:val="nil"/>
            </w:tcBorders>
            <w:vAlign w:val="center"/>
          </w:tcPr>
          <w:p w14:paraId="57B0A616">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59AD5DE8">
            <w:pPr>
              <w:pStyle w:val="12"/>
              <w:bidi w:val="0"/>
              <w:rPr>
                <w:rFonts w:hint="default"/>
                <w:color w:val="auto"/>
                <w:lang w:val="en-US" w:eastAsia="zh-CN"/>
              </w:rPr>
            </w:pPr>
          </w:p>
        </w:tc>
        <w:tc>
          <w:tcPr>
            <w:tcW w:w="285" w:type="pct"/>
            <w:tcBorders>
              <w:tl2br w:val="nil"/>
              <w:tr2bl w:val="nil"/>
            </w:tcBorders>
            <w:vAlign w:val="center"/>
          </w:tcPr>
          <w:p w14:paraId="0EF5B1E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3090E1C0">
            <w:pPr>
              <w:pStyle w:val="12"/>
              <w:pageBreakBefore w:val="0"/>
              <w:wordWrap/>
              <w:bidi w:val="0"/>
              <w:adjustRightInd/>
              <w:snapToGrid/>
              <w:rPr>
                <w:rFonts w:hint="eastAsia"/>
                <w:color w:val="auto"/>
                <w:lang w:val="en-US" w:eastAsia="zh-CN"/>
              </w:rPr>
            </w:pPr>
          </w:p>
        </w:tc>
      </w:tr>
      <w:tr w14:paraId="6829C1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C24EF91">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8</w:t>
            </w:r>
          </w:p>
        </w:tc>
        <w:tc>
          <w:tcPr>
            <w:tcW w:w="189" w:type="pct"/>
            <w:vMerge w:val="restart"/>
            <w:tcBorders>
              <w:tl2br w:val="nil"/>
              <w:tr2bl w:val="nil"/>
            </w:tcBorders>
            <w:vAlign w:val="center"/>
          </w:tcPr>
          <w:p w14:paraId="18ED89D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生化池</w:t>
            </w:r>
          </w:p>
        </w:tc>
        <w:tc>
          <w:tcPr>
            <w:tcW w:w="624" w:type="pct"/>
            <w:tcBorders>
              <w:tl2br w:val="nil"/>
              <w:tr2bl w:val="nil"/>
            </w:tcBorders>
            <w:vAlign w:val="center"/>
          </w:tcPr>
          <w:p w14:paraId="1B31E909">
            <w:pPr>
              <w:pStyle w:val="12"/>
              <w:pageBreakBefore w:val="0"/>
              <w:wordWrap/>
              <w:bidi w:val="0"/>
              <w:adjustRightInd/>
              <w:snapToGrid/>
              <w:ind w:left="0" w:leftChars="0" w:firstLine="0" w:firstLineChars="0"/>
              <w:rPr>
                <w:color w:val="auto"/>
              </w:rPr>
            </w:pPr>
            <w:r>
              <w:rPr>
                <w:color w:val="auto"/>
              </w:rPr>
              <w:t>空气推流器</w:t>
            </w:r>
          </w:p>
        </w:tc>
        <w:tc>
          <w:tcPr>
            <w:tcW w:w="286" w:type="pct"/>
            <w:tcBorders>
              <w:tl2br w:val="nil"/>
              <w:tr2bl w:val="nil"/>
            </w:tcBorders>
            <w:vAlign w:val="center"/>
          </w:tcPr>
          <w:p w14:paraId="5400404A">
            <w:pPr>
              <w:pStyle w:val="12"/>
              <w:pageBreakBefore w:val="0"/>
              <w:wordWrap/>
              <w:bidi w:val="0"/>
              <w:adjustRightInd/>
              <w:snapToGrid/>
              <w:ind w:left="0" w:leftChars="0" w:firstLine="0" w:firstLineChars="0"/>
              <w:rPr>
                <w:color w:val="auto"/>
              </w:rPr>
            </w:pPr>
            <w:r>
              <w:rPr>
                <w:rFonts w:hint="eastAsia"/>
                <w:color w:val="auto"/>
                <w:lang w:val="en-US" w:eastAsia="zh-CN"/>
              </w:rPr>
              <w:t>7</w:t>
            </w:r>
          </w:p>
        </w:tc>
        <w:tc>
          <w:tcPr>
            <w:tcW w:w="372" w:type="pct"/>
            <w:tcBorders>
              <w:tl2br w:val="nil"/>
              <w:tr2bl w:val="nil"/>
            </w:tcBorders>
            <w:vAlign w:val="center"/>
          </w:tcPr>
          <w:p w14:paraId="3A2C69D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40B44E0">
            <w:pPr>
              <w:pStyle w:val="12"/>
              <w:pageBreakBefore w:val="0"/>
              <w:wordWrap/>
              <w:bidi w:val="0"/>
              <w:adjustRightInd/>
              <w:snapToGrid/>
              <w:rPr>
                <w:color w:val="auto"/>
              </w:rPr>
            </w:pPr>
          </w:p>
        </w:tc>
        <w:tc>
          <w:tcPr>
            <w:tcW w:w="213" w:type="pct"/>
            <w:tcBorders>
              <w:tl2br w:val="nil"/>
              <w:tr2bl w:val="nil"/>
            </w:tcBorders>
            <w:vAlign w:val="center"/>
          </w:tcPr>
          <w:p w14:paraId="591BAE3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109.4</w:t>
            </w:r>
          </w:p>
        </w:tc>
        <w:tc>
          <w:tcPr>
            <w:tcW w:w="212" w:type="pct"/>
            <w:tcBorders>
              <w:tl2br w:val="nil"/>
              <w:tr2bl w:val="nil"/>
            </w:tcBorders>
            <w:vAlign w:val="center"/>
          </w:tcPr>
          <w:p w14:paraId="4985817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-18.4</w:t>
            </w:r>
          </w:p>
        </w:tc>
        <w:tc>
          <w:tcPr>
            <w:tcW w:w="215" w:type="pct"/>
            <w:tcBorders>
              <w:tl2br w:val="nil"/>
              <w:tr2bl w:val="nil"/>
            </w:tcBorders>
            <w:vAlign w:val="center"/>
          </w:tcPr>
          <w:p w14:paraId="0ACA001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-6.3</w:t>
            </w:r>
          </w:p>
        </w:tc>
        <w:tc>
          <w:tcPr>
            <w:tcW w:w="336" w:type="pct"/>
            <w:tcBorders>
              <w:tl2br w:val="nil"/>
              <w:tr2bl w:val="nil"/>
            </w:tcBorders>
            <w:vAlign w:val="center"/>
          </w:tcPr>
          <w:p w14:paraId="1CE1067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4696428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6E24A9B5">
            <w:pPr>
              <w:pStyle w:val="12"/>
              <w:pageBreakBefore w:val="0"/>
              <w:wordWrap/>
              <w:bidi w:val="0"/>
              <w:adjustRightInd/>
              <w:snapToGrid/>
              <w:rPr>
                <w:color w:val="auto"/>
              </w:rPr>
            </w:pPr>
          </w:p>
        </w:tc>
        <w:tc>
          <w:tcPr>
            <w:tcW w:w="464" w:type="pct"/>
            <w:tcBorders>
              <w:tl2br w:val="nil"/>
              <w:tr2bl w:val="nil"/>
            </w:tcBorders>
            <w:vAlign w:val="center"/>
          </w:tcPr>
          <w:p w14:paraId="59C0CA77">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04E86687">
            <w:pPr>
              <w:pStyle w:val="12"/>
              <w:bidi w:val="0"/>
              <w:rPr>
                <w:rFonts w:hint="default"/>
                <w:color w:val="auto"/>
                <w:lang w:val="en-US" w:eastAsia="zh-CN"/>
              </w:rPr>
            </w:pPr>
          </w:p>
        </w:tc>
        <w:tc>
          <w:tcPr>
            <w:tcW w:w="285" w:type="pct"/>
            <w:tcBorders>
              <w:tl2br w:val="nil"/>
              <w:tr2bl w:val="nil"/>
            </w:tcBorders>
            <w:vAlign w:val="center"/>
          </w:tcPr>
          <w:p w14:paraId="7DC4C196">
            <w:pPr>
              <w:pStyle w:val="12"/>
              <w:pageBreakBefore w:val="0"/>
              <w:wordWrap/>
              <w:bidi w:val="0"/>
              <w:adjustRightInd/>
              <w:snapToGrid/>
              <w:ind w:left="0" w:leftChars="0" w:firstLine="0" w:firstLineChars="0"/>
              <w:rPr>
                <w:color w:val="auto"/>
              </w:rPr>
            </w:pPr>
            <w:r>
              <w:rPr>
                <w:color w:val="auto"/>
              </w:rPr>
              <w:t>1</w:t>
            </w:r>
          </w:p>
        </w:tc>
        <w:tc>
          <w:tcPr>
            <w:tcW w:w="281" w:type="pct"/>
            <w:vMerge w:val="continue"/>
            <w:tcBorders>
              <w:tl2br w:val="nil"/>
              <w:tr2bl w:val="nil"/>
            </w:tcBorders>
            <w:vAlign w:val="center"/>
          </w:tcPr>
          <w:p w14:paraId="6E057FAE">
            <w:pPr>
              <w:pStyle w:val="12"/>
              <w:pageBreakBefore w:val="0"/>
              <w:wordWrap/>
              <w:bidi w:val="0"/>
              <w:adjustRightInd/>
              <w:snapToGrid/>
              <w:rPr>
                <w:rFonts w:hint="eastAsia"/>
                <w:color w:val="auto"/>
                <w:lang w:val="en-US" w:eastAsia="zh-CN"/>
              </w:rPr>
            </w:pPr>
          </w:p>
        </w:tc>
      </w:tr>
      <w:tr w14:paraId="1894A6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5C9B5C9">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9</w:t>
            </w:r>
          </w:p>
        </w:tc>
        <w:tc>
          <w:tcPr>
            <w:tcW w:w="189" w:type="pct"/>
            <w:vMerge w:val="continue"/>
            <w:tcBorders>
              <w:tl2br w:val="nil"/>
              <w:tr2bl w:val="nil"/>
            </w:tcBorders>
            <w:vAlign w:val="center"/>
          </w:tcPr>
          <w:p w14:paraId="3F047F6E">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79935C9D">
            <w:pPr>
              <w:pStyle w:val="12"/>
              <w:pageBreakBefore w:val="0"/>
              <w:wordWrap/>
              <w:bidi w:val="0"/>
              <w:adjustRightInd/>
              <w:snapToGrid/>
              <w:ind w:left="0" w:leftChars="0" w:firstLine="0" w:firstLineChars="0"/>
              <w:rPr>
                <w:color w:val="auto"/>
              </w:rPr>
            </w:pPr>
            <w:r>
              <w:rPr>
                <w:color w:val="auto"/>
              </w:rPr>
              <w:t>污泥回流泵</w:t>
            </w:r>
          </w:p>
        </w:tc>
        <w:tc>
          <w:tcPr>
            <w:tcW w:w="286" w:type="pct"/>
            <w:tcBorders>
              <w:tl2br w:val="nil"/>
              <w:tr2bl w:val="nil"/>
            </w:tcBorders>
            <w:vAlign w:val="center"/>
          </w:tcPr>
          <w:p w14:paraId="69280F98">
            <w:pPr>
              <w:pStyle w:val="12"/>
              <w:pageBreakBefore w:val="0"/>
              <w:wordWrap/>
              <w:bidi w:val="0"/>
              <w:adjustRightInd/>
              <w:snapToGrid/>
              <w:ind w:left="0" w:leftChars="0" w:firstLine="0" w:firstLineChars="0"/>
              <w:rPr>
                <w:color w:val="auto"/>
              </w:rPr>
            </w:pPr>
            <w:r>
              <w:rPr>
                <w:rFonts w:hint="eastAsia"/>
                <w:color w:val="auto"/>
                <w:lang w:val="en-US" w:eastAsia="zh-CN"/>
              </w:rPr>
              <w:t>4</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31766F8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34BA65D9">
            <w:pPr>
              <w:pStyle w:val="12"/>
              <w:pageBreakBefore w:val="0"/>
              <w:wordWrap/>
              <w:bidi w:val="0"/>
              <w:adjustRightInd/>
              <w:snapToGrid/>
              <w:rPr>
                <w:color w:val="auto"/>
              </w:rPr>
            </w:pPr>
          </w:p>
        </w:tc>
        <w:tc>
          <w:tcPr>
            <w:tcW w:w="213" w:type="pct"/>
            <w:tcBorders>
              <w:tl2br w:val="nil"/>
              <w:tr2bl w:val="nil"/>
            </w:tcBorders>
            <w:vAlign w:val="center"/>
          </w:tcPr>
          <w:p w14:paraId="27DB0C2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110.9</w:t>
            </w:r>
          </w:p>
        </w:tc>
        <w:tc>
          <w:tcPr>
            <w:tcW w:w="212" w:type="pct"/>
            <w:tcBorders>
              <w:tl2br w:val="nil"/>
              <w:tr2bl w:val="nil"/>
            </w:tcBorders>
            <w:vAlign w:val="center"/>
          </w:tcPr>
          <w:p w14:paraId="0FDCF20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-19.8</w:t>
            </w:r>
          </w:p>
        </w:tc>
        <w:tc>
          <w:tcPr>
            <w:tcW w:w="215" w:type="pct"/>
            <w:tcBorders>
              <w:tl2br w:val="nil"/>
              <w:tr2bl w:val="nil"/>
            </w:tcBorders>
            <w:vAlign w:val="center"/>
          </w:tcPr>
          <w:p w14:paraId="53B7B2F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-6.3</w:t>
            </w:r>
          </w:p>
        </w:tc>
        <w:tc>
          <w:tcPr>
            <w:tcW w:w="336" w:type="pct"/>
            <w:tcBorders>
              <w:tl2br w:val="nil"/>
              <w:tr2bl w:val="nil"/>
            </w:tcBorders>
            <w:vAlign w:val="center"/>
          </w:tcPr>
          <w:p w14:paraId="20E770F7">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45F6BF0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1B061285">
            <w:pPr>
              <w:pStyle w:val="12"/>
              <w:pageBreakBefore w:val="0"/>
              <w:wordWrap/>
              <w:bidi w:val="0"/>
              <w:adjustRightInd/>
              <w:snapToGrid/>
              <w:rPr>
                <w:color w:val="auto"/>
              </w:rPr>
            </w:pPr>
          </w:p>
        </w:tc>
        <w:tc>
          <w:tcPr>
            <w:tcW w:w="464" w:type="pct"/>
            <w:tcBorders>
              <w:tl2br w:val="nil"/>
              <w:tr2bl w:val="nil"/>
            </w:tcBorders>
            <w:vAlign w:val="center"/>
          </w:tcPr>
          <w:p w14:paraId="231A8857">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7CA9BB86">
            <w:pPr>
              <w:pStyle w:val="12"/>
              <w:bidi w:val="0"/>
              <w:rPr>
                <w:rFonts w:hint="default"/>
                <w:color w:val="auto"/>
                <w:lang w:val="en-US" w:eastAsia="zh-CN"/>
              </w:rPr>
            </w:pPr>
          </w:p>
        </w:tc>
        <w:tc>
          <w:tcPr>
            <w:tcW w:w="285" w:type="pct"/>
            <w:tcBorders>
              <w:tl2br w:val="nil"/>
              <w:tr2bl w:val="nil"/>
            </w:tcBorders>
            <w:vAlign w:val="center"/>
          </w:tcPr>
          <w:p w14:paraId="68F639B7">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04584B54">
            <w:pPr>
              <w:pStyle w:val="12"/>
              <w:pageBreakBefore w:val="0"/>
              <w:wordWrap/>
              <w:bidi w:val="0"/>
              <w:adjustRightInd/>
              <w:snapToGrid/>
              <w:rPr>
                <w:rFonts w:hint="eastAsia"/>
                <w:color w:val="auto"/>
                <w:lang w:val="en-US" w:eastAsia="zh-CN"/>
              </w:rPr>
            </w:pPr>
          </w:p>
        </w:tc>
      </w:tr>
      <w:tr w14:paraId="177A75B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D1FA407">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10</w:t>
            </w:r>
          </w:p>
        </w:tc>
        <w:tc>
          <w:tcPr>
            <w:tcW w:w="189" w:type="pct"/>
            <w:vMerge w:val="continue"/>
            <w:tcBorders>
              <w:tl2br w:val="nil"/>
              <w:tr2bl w:val="nil"/>
            </w:tcBorders>
            <w:vAlign w:val="center"/>
          </w:tcPr>
          <w:p w14:paraId="4D5527DC">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1DF4FEC4">
            <w:pPr>
              <w:pStyle w:val="12"/>
              <w:pageBreakBefore w:val="0"/>
              <w:wordWrap/>
              <w:bidi w:val="0"/>
              <w:adjustRightInd/>
              <w:snapToGrid/>
              <w:ind w:left="0" w:leftChars="0" w:firstLine="0" w:firstLineChars="0"/>
              <w:rPr>
                <w:color w:val="auto"/>
              </w:rPr>
            </w:pPr>
            <w:r>
              <w:rPr>
                <w:color w:val="auto"/>
              </w:rPr>
              <w:t>潜水搅拌器</w:t>
            </w:r>
          </w:p>
        </w:tc>
        <w:tc>
          <w:tcPr>
            <w:tcW w:w="286" w:type="pct"/>
            <w:tcBorders>
              <w:tl2br w:val="nil"/>
              <w:tr2bl w:val="nil"/>
            </w:tcBorders>
            <w:vAlign w:val="center"/>
          </w:tcPr>
          <w:p w14:paraId="38C4F5E7">
            <w:pPr>
              <w:pStyle w:val="12"/>
              <w:pageBreakBefore w:val="0"/>
              <w:wordWrap/>
              <w:bidi w:val="0"/>
              <w:adjustRightInd/>
              <w:snapToGrid/>
              <w:ind w:left="0" w:leftChars="0" w:firstLine="0" w:firstLineChars="0"/>
              <w:rPr>
                <w:color w:val="auto"/>
              </w:rPr>
            </w:pPr>
            <w:r>
              <w:rPr>
                <w:rFonts w:hint="eastAsia"/>
                <w:color w:val="auto"/>
                <w:lang w:val="en-US" w:eastAsia="zh-CN"/>
              </w:rPr>
              <w:t>7</w:t>
            </w:r>
          </w:p>
        </w:tc>
        <w:tc>
          <w:tcPr>
            <w:tcW w:w="372" w:type="pct"/>
            <w:tcBorders>
              <w:tl2br w:val="nil"/>
              <w:tr2bl w:val="nil"/>
            </w:tcBorders>
            <w:vAlign w:val="center"/>
          </w:tcPr>
          <w:p w14:paraId="6626869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6114ACD">
            <w:pPr>
              <w:pStyle w:val="12"/>
              <w:pageBreakBefore w:val="0"/>
              <w:wordWrap/>
              <w:bidi w:val="0"/>
              <w:adjustRightInd/>
              <w:snapToGrid/>
              <w:rPr>
                <w:color w:val="auto"/>
              </w:rPr>
            </w:pPr>
          </w:p>
        </w:tc>
        <w:tc>
          <w:tcPr>
            <w:tcW w:w="213" w:type="pct"/>
            <w:tcBorders>
              <w:tl2br w:val="nil"/>
              <w:tr2bl w:val="nil"/>
            </w:tcBorders>
            <w:vAlign w:val="center"/>
          </w:tcPr>
          <w:p w14:paraId="047B46B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116.1</w:t>
            </w:r>
          </w:p>
        </w:tc>
        <w:tc>
          <w:tcPr>
            <w:tcW w:w="212" w:type="pct"/>
            <w:tcBorders>
              <w:tl2br w:val="nil"/>
              <w:tr2bl w:val="nil"/>
            </w:tcBorders>
            <w:vAlign w:val="center"/>
          </w:tcPr>
          <w:p w14:paraId="0390DC9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-23.6</w:t>
            </w:r>
          </w:p>
        </w:tc>
        <w:tc>
          <w:tcPr>
            <w:tcW w:w="215" w:type="pct"/>
            <w:tcBorders>
              <w:tl2br w:val="nil"/>
              <w:tr2bl w:val="nil"/>
            </w:tcBorders>
            <w:vAlign w:val="center"/>
          </w:tcPr>
          <w:p w14:paraId="5CCC9C5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-6.3</w:t>
            </w:r>
          </w:p>
        </w:tc>
        <w:tc>
          <w:tcPr>
            <w:tcW w:w="336" w:type="pct"/>
            <w:tcBorders>
              <w:tl2br w:val="nil"/>
              <w:tr2bl w:val="nil"/>
            </w:tcBorders>
            <w:vAlign w:val="center"/>
          </w:tcPr>
          <w:p w14:paraId="1AE0D944">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11C4AA9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4714E4B5">
            <w:pPr>
              <w:pStyle w:val="12"/>
              <w:pageBreakBefore w:val="0"/>
              <w:wordWrap/>
              <w:bidi w:val="0"/>
              <w:adjustRightInd/>
              <w:snapToGrid/>
              <w:rPr>
                <w:color w:val="auto"/>
              </w:rPr>
            </w:pPr>
          </w:p>
        </w:tc>
        <w:tc>
          <w:tcPr>
            <w:tcW w:w="464" w:type="pct"/>
            <w:tcBorders>
              <w:tl2br w:val="nil"/>
              <w:tr2bl w:val="nil"/>
            </w:tcBorders>
            <w:vAlign w:val="center"/>
          </w:tcPr>
          <w:p w14:paraId="478ADBC5">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44F1CE8E">
            <w:pPr>
              <w:pStyle w:val="12"/>
              <w:bidi w:val="0"/>
              <w:rPr>
                <w:rFonts w:hint="default"/>
                <w:color w:val="auto"/>
                <w:lang w:val="en-US" w:eastAsia="zh-CN"/>
              </w:rPr>
            </w:pPr>
          </w:p>
        </w:tc>
        <w:tc>
          <w:tcPr>
            <w:tcW w:w="285" w:type="pct"/>
            <w:tcBorders>
              <w:tl2br w:val="nil"/>
              <w:tr2bl w:val="nil"/>
            </w:tcBorders>
            <w:vAlign w:val="center"/>
          </w:tcPr>
          <w:p w14:paraId="451AE73E">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6C9EFFED">
            <w:pPr>
              <w:pStyle w:val="12"/>
              <w:pageBreakBefore w:val="0"/>
              <w:wordWrap/>
              <w:bidi w:val="0"/>
              <w:adjustRightInd/>
              <w:snapToGrid/>
              <w:rPr>
                <w:rFonts w:hint="eastAsia"/>
                <w:color w:val="auto"/>
                <w:lang w:val="en-US" w:eastAsia="zh-CN"/>
              </w:rPr>
            </w:pPr>
          </w:p>
        </w:tc>
      </w:tr>
      <w:tr w14:paraId="41D6EB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6E88257">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11</w:t>
            </w:r>
          </w:p>
        </w:tc>
        <w:tc>
          <w:tcPr>
            <w:tcW w:w="189" w:type="pct"/>
            <w:vMerge w:val="restart"/>
            <w:tcBorders>
              <w:tl2br w:val="nil"/>
              <w:tr2bl w:val="nil"/>
            </w:tcBorders>
            <w:vAlign w:val="center"/>
          </w:tcPr>
          <w:p w14:paraId="54F3034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磁混凝沉淀池</w:t>
            </w:r>
          </w:p>
        </w:tc>
        <w:tc>
          <w:tcPr>
            <w:tcW w:w="624" w:type="pct"/>
            <w:tcBorders>
              <w:tl2br w:val="nil"/>
              <w:tr2bl w:val="nil"/>
            </w:tcBorders>
            <w:vAlign w:val="center"/>
          </w:tcPr>
          <w:p w14:paraId="2AA9D290">
            <w:pPr>
              <w:pStyle w:val="12"/>
              <w:pageBreakBefore w:val="0"/>
              <w:wordWrap/>
              <w:bidi w:val="0"/>
              <w:adjustRightInd/>
              <w:snapToGrid/>
              <w:ind w:left="0" w:leftChars="0" w:firstLine="0" w:firstLineChars="0"/>
              <w:rPr>
                <w:color w:val="auto"/>
              </w:rPr>
            </w:pPr>
            <w:r>
              <w:rPr>
                <w:color w:val="auto"/>
              </w:rPr>
              <w:t>磁介质混凝反应器</w:t>
            </w:r>
          </w:p>
        </w:tc>
        <w:tc>
          <w:tcPr>
            <w:tcW w:w="286" w:type="pct"/>
            <w:tcBorders>
              <w:tl2br w:val="nil"/>
              <w:tr2bl w:val="nil"/>
            </w:tcBorders>
            <w:vAlign w:val="center"/>
          </w:tcPr>
          <w:p w14:paraId="55ADC1E7">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72B65A9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A2C2DC3">
            <w:pPr>
              <w:pStyle w:val="12"/>
              <w:pageBreakBefore w:val="0"/>
              <w:wordWrap/>
              <w:bidi w:val="0"/>
              <w:adjustRightInd/>
              <w:snapToGrid/>
              <w:rPr>
                <w:color w:val="auto"/>
              </w:rPr>
            </w:pPr>
          </w:p>
        </w:tc>
        <w:tc>
          <w:tcPr>
            <w:tcW w:w="213" w:type="pct"/>
            <w:tcBorders>
              <w:tl2br w:val="nil"/>
              <w:tr2bl w:val="nil"/>
            </w:tcBorders>
            <w:vAlign w:val="center"/>
          </w:tcPr>
          <w:p w14:paraId="03911BB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126.6</w:t>
            </w:r>
          </w:p>
        </w:tc>
        <w:tc>
          <w:tcPr>
            <w:tcW w:w="212" w:type="pct"/>
            <w:tcBorders>
              <w:tl2br w:val="nil"/>
              <w:tr2bl w:val="nil"/>
            </w:tcBorders>
            <w:vAlign w:val="center"/>
          </w:tcPr>
          <w:p w14:paraId="097EF57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21.5</w:t>
            </w:r>
          </w:p>
        </w:tc>
        <w:tc>
          <w:tcPr>
            <w:tcW w:w="215" w:type="pct"/>
            <w:tcBorders>
              <w:tl2br w:val="nil"/>
              <w:tr2bl w:val="nil"/>
            </w:tcBorders>
            <w:vAlign w:val="center"/>
          </w:tcPr>
          <w:p w14:paraId="2D8D411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62E234F3">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7991B7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7A624C2F">
            <w:pPr>
              <w:pStyle w:val="12"/>
              <w:pageBreakBefore w:val="0"/>
              <w:wordWrap/>
              <w:bidi w:val="0"/>
              <w:adjustRightInd/>
              <w:snapToGrid/>
              <w:rPr>
                <w:color w:val="auto"/>
              </w:rPr>
            </w:pPr>
          </w:p>
        </w:tc>
        <w:tc>
          <w:tcPr>
            <w:tcW w:w="464" w:type="pct"/>
            <w:tcBorders>
              <w:tl2br w:val="nil"/>
              <w:tr2bl w:val="nil"/>
            </w:tcBorders>
            <w:vAlign w:val="center"/>
          </w:tcPr>
          <w:p w14:paraId="4EED8492">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2AFC0254">
            <w:pPr>
              <w:pStyle w:val="12"/>
              <w:bidi w:val="0"/>
              <w:rPr>
                <w:rFonts w:hint="default"/>
                <w:color w:val="auto"/>
                <w:lang w:val="en-US" w:eastAsia="zh-CN"/>
              </w:rPr>
            </w:pPr>
          </w:p>
        </w:tc>
        <w:tc>
          <w:tcPr>
            <w:tcW w:w="285" w:type="pct"/>
            <w:tcBorders>
              <w:tl2br w:val="nil"/>
              <w:tr2bl w:val="nil"/>
            </w:tcBorders>
            <w:vAlign w:val="center"/>
          </w:tcPr>
          <w:p w14:paraId="52BE1917">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343EF5C6">
            <w:pPr>
              <w:pStyle w:val="12"/>
              <w:pageBreakBefore w:val="0"/>
              <w:wordWrap/>
              <w:bidi w:val="0"/>
              <w:adjustRightInd/>
              <w:snapToGrid/>
              <w:rPr>
                <w:rFonts w:hint="eastAsia"/>
                <w:color w:val="auto"/>
                <w:lang w:val="en-US" w:eastAsia="zh-CN"/>
              </w:rPr>
            </w:pPr>
          </w:p>
        </w:tc>
      </w:tr>
      <w:tr w14:paraId="53854F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738DE80">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12</w:t>
            </w:r>
          </w:p>
        </w:tc>
        <w:tc>
          <w:tcPr>
            <w:tcW w:w="189" w:type="pct"/>
            <w:vMerge w:val="continue"/>
            <w:tcBorders>
              <w:tl2br w:val="nil"/>
              <w:tr2bl w:val="nil"/>
            </w:tcBorders>
            <w:vAlign w:val="center"/>
          </w:tcPr>
          <w:p w14:paraId="7D74CBA5">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3134A6FD">
            <w:pPr>
              <w:pStyle w:val="12"/>
              <w:pageBreakBefore w:val="0"/>
              <w:wordWrap/>
              <w:bidi w:val="0"/>
              <w:adjustRightInd/>
              <w:snapToGrid/>
              <w:ind w:left="0" w:leftChars="0" w:firstLine="0" w:firstLineChars="0"/>
              <w:rPr>
                <w:color w:val="auto"/>
              </w:rPr>
            </w:pPr>
            <w:r>
              <w:rPr>
                <w:color w:val="auto"/>
              </w:rPr>
              <w:t>磁介质混合搅拌机</w:t>
            </w:r>
          </w:p>
        </w:tc>
        <w:tc>
          <w:tcPr>
            <w:tcW w:w="286" w:type="pct"/>
            <w:tcBorders>
              <w:tl2br w:val="nil"/>
              <w:tr2bl w:val="nil"/>
            </w:tcBorders>
            <w:vAlign w:val="center"/>
          </w:tcPr>
          <w:p w14:paraId="5BE22E44">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4AAAE66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735904C2">
            <w:pPr>
              <w:pStyle w:val="12"/>
              <w:pageBreakBefore w:val="0"/>
              <w:wordWrap/>
              <w:bidi w:val="0"/>
              <w:adjustRightInd/>
              <w:snapToGrid/>
              <w:rPr>
                <w:color w:val="auto"/>
              </w:rPr>
            </w:pPr>
          </w:p>
        </w:tc>
        <w:tc>
          <w:tcPr>
            <w:tcW w:w="213" w:type="pct"/>
            <w:tcBorders>
              <w:tl2br w:val="nil"/>
              <w:tr2bl w:val="nil"/>
            </w:tcBorders>
            <w:vAlign w:val="center"/>
          </w:tcPr>
          <w:p w14:paraId="1505A12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126.6</w:t>
            </w:r>
          </w:p>
        </w:tc>
        <w:tc>
          <w:tcPr>
            <w:tcW w:w="212" w:type="pct"/>
            <w:tcBorders>
              <w:tl2br w:val="nil"/>
              <w:tr2bl w:val="nil"/>
            </w:tcBorders>
            <w:vAlign w:val="center"/>
          </w:tcPr>
          <w:p w14:paraId="42AA80B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21.5</w:t>
            </w:r>
          </w:p>
        </w:tc>
        <w:tc>
          <w:tcPr>
            <w:tcW w:w="215" w:type="pct"/>
            <w:tcBorders>
              <w:tl2br w:val="nil"/>
              <w:tr2bl w:val="nil"/>
            </w:tcBorders>
            <w:vAlign w:val="center"/>
          </w:tcPr>
          <w:p w14:paraId="00E369F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135CF9E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75EE984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065B7232">
            <w:pPr>
              <w:pStyle w:val="12"/>
              <w:pageBreakBefore w:val="0"/>
              <w:wordWrap/>
              <w:bidi w:val="0"/>
              <w:adjustRightInd/>
              <w:snapToGrid/>
              <w:rPr>
                <w:color w:val="auto"/>
              </w:rPr>
            </w:pPr>
          </w:p>
        </w:tc>
        <w:tc>
          <w:tcPr>
            <w:tcW w:w="464" w:type="pct"/>
            <w:tcBorders>
              <w:tl2br w:val="nil"/>
              <w:tr2bl w:val="nil"/>
            </w:tcBorders>
            <w:vAlign w:val="center"/>
          </w:tcPr>
          <w:p w14:paraId="3E49F2EC">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2CAB0491">
            <w:pPr>
              <w:pStyle w:val="12"/>
              <w:bidi w:val="0"/>
              <w:rPr>
                <w:rFonts w:hint="default"/>
                <w:color w:val="auto"/>
                <w:lang w:val="en-US" w:eastAsia="zh-CN"/>
              </w:rPr>
            </w:pPr>
          </w:p>
        </w:tc>
        <w:tc>
          <w:tcPr>
            <w:tcW w:w="285" w:type="pct"/>
            <w:tcBorders>
              <w:tl2br w:val="nil"/>
              <w:tr2bl w:val="nil"/>
            </w:tcBorders>
            <w:vAlign w:val="center"/>
          </w:tcPr>
          <w:p w14:paraId="3873501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697762C8">
            <w:pPr>
              <w:pStyle w:val="12"/>
              <w:pageBreakBefore w:val="0"/>
              <w:wordWrap/>
              <w:bidi w:val="0"/>
              <w:adjustRightInd/>
              <w:snapToGrid/>
              <w:rPr>
                <w:rFonts w:hint="eastAsia"/>
                <w:color w:val="auto"/>
                <w:lang w:val="en-US" w:eastAsia="zh-CN"/>
              </w:rPr>
            </w:pPr>
          </w:p>
        </w:tc>
      </w:tr>
      <w:tr w14:paraId="4117CA9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80C580B">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13</w:t>
            </w:r>
          </w:p>
        </w:tc>
        <w:tc>
          <w:tcPr>
            <w:tcW w:w="189" w:type="pct"/>
            <w:vMerge w:val="continue"/>
            <w:tcBorders>
              <w:tl2br w:val="nil"/>
              <w:tr2bl w:val="nil"/>
            </w:tcBorders>
            <w:vAlign w:val="center"/>
          </w:tcPr>
          <w:p w14:paraId="00F7935E">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7DDA6FEA">
            <w:pPr>
              <w:pStyle w:val="12"/>
              <w:pageBreakBefore w:val="0"/>
              <w:wordWrap/>
              <w:bidi w:val="0"/>
              <w:adjustRightInd/>
              <w:snapToGrid/>
              <w:ind w:left="0" w:leftChars="0" w:firstLine="0" w:firstLineChars="0"/>
              <w:rPr>
                <w:color w:val="auto"/>
              </w:rPr>
            </w:pPr>
            <w:r>
              <w:rPr>
                <w:color w:val="auto"/>
              </w:rPr>
              <w:t>絮凝反应搅拌机</w:t>
            </w:r>
          </w:p>
        </w:tc>
        <w:tc>
          <w:tcPr>
            <w:tcW w:w="286" w:type="pct"/>
            <w:tcBorders>
              <w:tl2br w:val="nil"/>
              <w:tr2bl w:val="nil"/>
            </w:tcBorders>
            <w:vAlign w:val="center"/>
          </w:tcPr>
          <w:p w14:paraId="21591AFC">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3ED2952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2D4187F">
            <w:pPr>
              <w:pStyle w:val="12"/>
              <w:pageBreakBefore w:val="0"/>
              <w:wordWrap/>
              <w:bidi w:val="0"/>
              <w:adjustRightInd/>
              <w:snapToGrid/>
              <w:rPr>
                <w:color w:val="auto"/>
              </w:rPr>
            </w:pPr>
          </w:p>
        </w:tc>
        <w:tc>
          <w:tcPr>
            <w:tcW w:w="213" w:type="pct"/>
            <w:tcBorders>
              <w:tl2br w:val="nil"/>
              <w:tr2bl w:val="nil"/>
            </w:tcBorders>
            <w:vAlign w:val="center"/>
          </w:tcPr>
          <w:p w14:paraId="49D97A5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126.6</w:t>
            </w:r>
          </w:p>
        </w:tc>
        <w:tc>
          <w:tcPr>
            <w:tcW w:w="212" w:type="pct"/>
            <w:tcBorders>
              <w:tl2br w:val="nil"/>
              <w:tr2bl w:val="nil"/>
            </w:tcBorders>
            <w:vAlign w:val="center"/>
          </w:tcPr>
          <w:p w14:paraId="17FAA9E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21.5</w:t>
            </w:r>
          </w:p>
        </w:tc>
        <w:tc>
          <w:tcPr>
            <w:tcW w:w="215" w:type="pct"/>
            <w:tcBorders>
              <w:tl2br w:val="nil"/>
              <w:tr2bl w:val="nil"/>
            </w:tcBorders>
            <w:vAlign w:val="center"/>
          </w:tcPr>
          <w:p w14:paraId="7268139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5420E034">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5BC34DC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7B3CA0A6">
            <w:pPr>
              <w:pStyle w:val="12"/>
              <w:pageBreakBefore w:val="0"/>
              <w:wordWrap/>
              <w:bidi w:val="0"/>
              <w:adjustRightInd/>
              <w:snapToGrid/>
              <w:rPr>
                <w:color w:val="auto"/>
              </w:rPr>
            </w:pPr>
          </w:p>
        </w:tc>
        <w:tc>
          <w:tcPr>
            <w:tcW w:w="464" w:type="pct"/>
            <w:tcBorders>
              <w:tl2br w:val="nil"/>
              <w:tr2bl w:val="nil"/>
            </w:tcBorders>
            <w:vAlign w:val="center"/>
          </w:tcPr>
          <w:p w14:paraId="39B3B8D0">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F88BC53">
            <w:pPr>
              <w:pStyle w:val="12"/>
              <w:bidi w:val="0"/>
              <w:rPr>
                <w:rFonts w:hint="default"/>
                <w:color w:val="auto"/>
                <w:lang w:val="en-US" w:eastAsia="zh-CN"/>
              </w:rPr>
            </w:pPr>
          </w:p>
        </w:tc>
        <w:tc>
          <w:tcPr>
            <w:tcW w:w="285" w:type="pct"/>
            <w:tcBorders>
              <w:tl2br w:val="nil"/>
              <w:tr2bl w:val="nil"/>
            </w:tcBorders>
            <w:vAlign w:val="center"/>
          </w:tcPr>
          <w:p w14:paraId="71FBAE36">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496DDA18">
            <w:pPr>
              <w:pStyle w:val="12"/>
              <w:pageBreakBefore w:val="0"/>
              <w:wordWrap/>
              <w:bidi w:val="0"/>
              <w:adjustRightInd/>
              <w:snapToGrid/>
              <w:rPr>
                <w:rFonts w:hint="eastAsia"/>
                <w:color w:val="auto"/>
                <w:lang w:val="en-US" w:eastAsia="zh-CN"/>
              </w:rPr>
            </w:pPr>
          </w:p>
        </w:tc>
      </w:tr>
      <w:tr w14:paraId="2158D6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0B6955B">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14</w:t>
            </w:r>
          </w:p>
        </w:tc>
        <w:tc>
          <w:tcPr>
            <w:tcW w:w="189" w:type="pct"/>
            <w:vMerge w:val="continue"/>
            <w:tcBorders>
              <w:tl2br w:val="nil"/>
              <w:tr2bl w:val="nil"/>
            </w:tcBorders>
            <w:vAlign w:val="center"/>
          </w:tcPr>
          <w:p w14:paraId="1FA3FC77">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3350150A">
            <w:pPr>
              <w:pStyle w:val="12"/>
              <w:pageBreakBefore w:val="0"/>
              <w:wordWrap/>
              <w:bidi w:val="0"/>
              <w:adjustRightInd/>
              <w:snapToGrid/>
              <w:ind w:left="0" w:leftChars="0" w:firstLine="0" w:firstLineChars="0"/>
              <w:rPr>
                <w:color w:val="auto"/>
              </w:rPr>
            </w:pPr>
            <w:r>
              <w:rPr>
                <w:color w:val="auto"/>
              </w:rPr>
              <w:t>CT</w:t>
            </w:r>
            <w:r>
              <w:rPr>
                <w:rFonts w:hint="eastAsia"/>
                <w:color w:val="auto"/>
                <w:lang w:eastAsia="zh-CN"/>
              </w:rPr>
              <w:t>，</w:t>
            </w:r>
            <w:r>
              <w:rPr>
                <w:color w:val="auto"/>
              </w:rPr>
              <w:t>中心传动刮泥机</w:t>
            </w:r>
          </w:p>
        </w:tc>
        <w:tc>
          <w:tcPr>
            <w:tcW w:w="286" w:type="pct"/>
            <w:tcBorders>
              <w:tl2br w:val="nil"/>
              <w:tr2bl w:val="nil"/>
            </w:tcBorders>
            <w:vAlign w:val="center"/>
          </w:tcPr>
          <w:p w14:paraId="3462A3B4">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650AA53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7F7B30ED">
            <w:pPr>
              <w:pStyle w:val="12"/>
              <w:pageBreakBefore w:val="0"/>
              <w:wordWrap/>
              <w:bidi w:val="0"/>
              <w:adjustRightInd/>
              <w:snapToGrid/>
              <w:rPr>
                <w:color w:val="auto"/>
              </w:rPr>
            </w:pPr>
          </w:p>
        </w:tc>
        <w:tc>
          <w:tcPr>
            <w:tcW w:w="213" w:type="pct"/>
            <w:tcBorders>
              <w:tl2br w:val="nil"/>
              <w:tr2bl w:val="nil"/>
            </w:tcBorders>
            <w:vAlign w:val="center"/>
          </w:tcPr>
          <w:p w14:paraId="74E4AD9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140</w:t>
            </w:r>
          </w:p>
        </w:tc>
        <w:tc>
          <w:tcPr>
            <w:tcW w:w="212" w:type="pct"/>
            <w:tcBorders>
              <w:tl2br w:val="nil"/>
              <w:tr2bl w:val="nil"/>
            </w:tcBorders>
            <w:vAlign w:val="center"/>
          </w:tcPr>
          <w:p w14:paraId="7034D66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w:t>
            </w:r>
          </w:p>
        </w:tc>
        <w:tc>
          <w:tcPr>
            <w:tcW w:w="215" w:type="pct"/>
            <w:tcBorders>
              <w:tl2br w:val="nil"/>
              <w:tr2bl w:val="nil"/>
            </w:tcBorders>
            <w:vAlign w:val="center"/>
          </w:tcPr>
          <w:p w14:paraId="6B9C662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w:t>
            </w:r>
          </w:p>
        </w:tc>
        <w:tc>
          <w:tcPr>
            <w:tcW w:w="336" w:type="pct"/>
            <w:tcBorders>
              <w:tl2br w:val="nil"/>
              <w:tr2bl w:val="nil"/>
            </w:tcBorders>
            <w:vAlign w:val="center"/>
          </w:tcPr>
          <w:p w14:paraId="68810E1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47CE81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0EADEFE3">
            <w:pPr>
              <w:pStyle w:val="12"/>
              <w:pageBreakBefore w:val="0"/>
              <w:wordWrap/>
              <w:bidi w:val="0"/>
              <w:adjustRightInd/>
              <w:snapToGrid/>
              <w:rPr>
                <w:color w:val="auto"/>
              </w:rPr>
            </w:pPr>
          </w:p>
        </w:tc>
        <w:tc>
          <w:tcPr>
            <w:tcW w:w="464" w:type="pct"/>
            <w:tcBorders>
              <w:tl2br w:val="nil"/>
              <w:tr2bl w:val="nil"/>
            </w:tcBorders>
            <w:vAlign w:val="center"/>
          </w:tcPr>
          <w:p w14:paraId="076740F4">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7E196D8">
            <w:pPr>
              <w:pStyle w:val="12"/>
              <w:bidi w:val="0"/>
              <w:rPr>
                <w:rFonts w:hint="default"/>
                <w:color w:val="auto"/>
                <w:lang w:val="en-US" w:eastAsia="zh-CN"/>
              </w:rPr>
            </w:pPr>
          </w:p>
        </w:tc>
        <w:tc>
          <w:tcPr>
            <w:tcW w:w="285" w:type="pct"/>
            <w:tcBorders>
              <w:tl2br w:val="nil"/>
              <w:tr2bl w:val="nil"/>
            </w:tcBorders>
            <w:vAlign w:val="center"/>
          </w:tcPr>
          <w:p w14:paraId="486FFB9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1C0F71A6">
            <w:pPr>
              <w:pStyle w:val="12"/>
              <w:pageBreakBefore w:val="0"/>
              <w:wordWrap/>
              <w:bidi w:val="0"/>
              <w:adjustRightInd/>
              <w:snapToGrid/>
              <w:rPr>
                <w:rFonts w:hint="eastAsia"/>
                <w:color w:val="auto"/>
                <w:lang w:val="en-US" w:eastAsia="zh-CN"/>
              </w:rPr>
            </w:pPr>
          </w:p>
        </w:tc>
      </w:tr>
      <w:tr w14:paraId="7822C9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5D7D34B">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15</w:t>
            </w:r>
          </w:p>
        </w:tc>
        <w:tc>
          <w:tcPr>
            <w:tcW w:w="189" w:type="pct"/>
            <w:vMerge w:val="continue"/>
            <w:tcBorders>
              <w:tl2br w:val="nil"/>
              <w:tr2bl w:val="nil"/>
            </w:tcBorders>
            <w:vAlign w:val="center"/>
          </w:tcPr>
          <w:p w14:paraId="217E658D">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268953B2">
            <w:pPr>
              <w:pStyle w:val="12"/>
              <w:pageBreakBefore w:val="0"/>
              <w:wordWrap/>
              <w:bidi w:val="0"/>
              <w:adjustRightInd/>
              <w:snapToGrid/>
              <w:ind w:left="0" w:leftChars="0" w:firstLine="0" w:firstLineChars="0"/>
              <w:rPr>
                <w:color w:val="auto"/>
              </w:rPr>
            </w:pPr>
            <w:r>
              <w:rPr>
                <w:color w:val="auto"/>
              </w:rPr>
              <w:t>污泥回流泵</w:t>
            </w:r>
          </w:p>
        </w:tc>
        <w:tc>
          <w:tcPr>
            <w:tcW w:w="286" w:type="pct"/>
            <w:tcBorders>
              <w:tl2br w:val="nil"/>
              <w:tr2bl w:val="nil"/>
            </w:tcBorders>
            <w:vAlign w:val="center"/>
          </w:tcPr>
          <w:p w14:paraId="3504DBA6">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62453C3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6B5622C9">
            <w:pPr>
              <w:pStyle w:val="12"/>
              <w:pageBreakBefore w:val="0"/>
              <w:wordWrap/>
              <w:bidi w:val="0"/>
              <w:adjustRightInd/>
              <w:snapToGrid/>
              <w:rPr>
                <w:color w:val="auto"/>
              </w:rPr>
            </w:pPr>
          </w:p>
        </w:tc>
        <w:tc>
          <w:tcPr>
            <w:tcW w:w="213" w:type="pct"/>
            <w:tcBorders>
              <w:tl2br w:val="nil"/>
              <w:tr2bl w:val="nil"/>
            </w:tcBorders>
            <w:vAlign w:val="center"/>
          </w:tcPr>
          <w:p w14:paraId="5889190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14DD5E9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44C4AAF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4E22388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9266B1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5FB16858">
            <w:pPr>
              <w:pStyle w:val="12"/>
              <w:pageBreakBefore w:val="0"/>
              <w:wordWrap/>
              <w:bidi w:val="0"/>
              <w:adjustRightInd/>
              <w:snapToGrid/>
              <w:rPr>
                <w:color w:val="auto"/>
              </w:rPr>
            </w:pPr>
          </w:p>
        </w:tc>
        <w:tc>
          <w:tcPr>
            <w:tcW w:w="464" w:type="pct"/>
            <w:tcBorders>
              <w:tl2br w:val="nil"/>
              <w:tr2bl w:val="nil"/>
            </w:tcBorders>
            <w:vAlign w:val="center"/>
          </w:tcPr>
          <w:p w14:paraId="00C57AF0">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1B030A8B">
            <w:pPr>
              <w:pStyle w:val="12"/>
              <w:bidi w:val="0"/>
              <w:rPr>
                <w:rFonts w:hint="default"/>
                <w:color w:val="auto"/>
                <w:lang w:val="en-US" w:eastAsia="zh-CN"/>
              </w:rPr>
            </w:pPr>
          </w:p>
        </w:tc>
        <w:tc>
          <w:tcPr>
            <w:tcW w:w="285" w:type="pct"/>
            <w:tcBorders>
              <w:tl2br w:val="nil"/>
              <w:tr2bl w:val="nil"/>
            </w:tcBorders>
            <w:vAlign w:val="center"/>
          </w:tcPr>
          <w:p w14:paraId="0993F882">
            <w:pPr>
              <w:pStyle w:val="12"/>
              <w:pageBreakBefore w:val="0"/>
              <w:wordWrap/>
              <w:bidi w:val="0"/>
              <w:adjustRightInd/>
              <w:snapToGrid/>
              <w:ind w:left="0" w:leftChars="0" w:firstLine="0" w:firstLineChars="0"/>
              <w:rPr>
                <w:color w:val="auto"/>
              </w:rPr>
            </w:pPr>
            <w:r>
              <w:rPr>
                <w:color w:val="auto"/>
              </w:rPr>
              <w:t>1</w:t>
            </w:r>
          </w:p>
        </w:tc>
        <w:tc>
          <w:tcPr>
            <w:tcW w:w="281" w:type="pct"/>
            <w:vMerge w:val="continue"/>
            <w:tcBorders>
              <w:tl2br w:val="nil"/>
              <w:tr2bl w:val="nil"/>
            </w:tcBorders>
            <w:vAlign w:val="center"/>
          </w:tcPr>
          <w:p w14:paraId="75AA1004">
            <w:pPr>
              <w:pStyle w:val="12"/>
              <w:pageBreakBefore w:val="0"/>
              <w:wordWrap/>
              <w:bidi w:val="0"/>
              <w:adjustRightInd/>
              <w:snapToGrid/>
              <w:rPr>
                <w:rFonts w:hint="eastAsia"/>
                <w:color w:val="auto"/>
                <w:lang w:val="en-US" w:eastAsia="zh-CN"/>
              </w:rPr>
            </w:pPr>
          </w:p>
        </w:tc>
      </w:tr>
      <w:tr w14:paraId="0127E06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FB79B0B">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16</w:t>
            </w:r>
          </w:p>
        </w:tc>
        <w:tc>
          <w:tcPr>
            <w:tcW w:w="189" w:type="pct"/>
            <w:vMerge w:val="continue"/>
            <w:tcBorders>
              <w:tl2br w:val="nil"/>
              <w:tr2bl w:val="nil"/>
            </w:tcBorders>
            <w:vAlign w:val="center"/>
          </w:tcPr>
          <w:p w14:paraId="09F167E9">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37335073">
            <w:pPr>
              <w:pStyle w:val="12"/>
              <w:pageBreakBefore w:val="0"/>
              <w:wordWrap/>
              <w:bidi w:val="0"/>
              <w:adjustRightInd/>
              <w:snapToGrid/>
              <w:ind w:left="0" w:leftChars="0" w:firstLine="0" w:firstLineChars="0"/>
              <w:rPr>
                <w:color w:val="auto"/>
              </w:rPr>
            </w:pPr>
            <w:r>
              <w:rPr>
                <w:color w:val="auto"/>
              </w:rPr>
              <w:t>剩余污泥泵</w:t>
            </w:r>
          </w:p>
        </w:tc>
        <w:tc>
          <w:tcPr>
            <w:tcW w:w="286" w:type="pct"/>
            <w:tcBorders>
              <w:tl2br w:val="nil"/>
              <w:tr2bl w:val="nil"/>
            </w:tcBorders>
            <w:vAlign w:val="center"/>
          </w:tcPr>
          <w:p w14:paraId="28F9616E">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33F9FD4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1BF4EB6D">
            <w:pPr>
              <w:pStyle w:val="12"/>
              <w:pageBreakBefore w:val="0"/>
              <w:wordWrap/>
              <w:bidi w:val="0"/>
              <w:adjustRightInd/>
              <w:snapToGrid/>
              <w:rPr>
                <w:color w:val="auto"/>
              </w:rPr>
            </w:pPr>
          </w:p>
        </w:tc>
        <w:tc>
          <w:tcPr>
            <w:tcW w:w="213" w:type="pct"/>
            <w:tcBorders>
              <w:tl2br w:val="nil"/>
              <w:tr2bl w:val="nil"/>
            </w:tcBorders>
            <w:vAlign w:val="center"/>
          </w:tcPr>
          <w:p w14:paraId="774F67D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2833CE6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3893537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45DAE766">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CA2DF4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1D418D76">
            <w:pPr>
              <w:pStyle w:val="12"/>
              <w:pageBreakBefore w:val="0"/>
              <w:wordWrap/>
              <w:bidi w:val="0"/>
              <w:adjustRightInd/>
              <w:snapToGrid/>
              <w:rPr>
                <w:color w:val="auto"/>
              </w:rPr>
            </w:pPr>
          </w:p>
        </w:tc>
        <w:tc>
          <w:tcPr>
            <w:tcW w:w="464" w:type="pct"/>
            <w:tcBorders>
              <w:tl2br w:val="nil"/>
              <w:tr2bl w:val="nil"/>
            </w:tcBorders>
            <w:vAlign w:val="center"/>
          </w:tcPr>
          <w:p w14:paraId="249B3D07">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47AFD4CE">
            <w:pPr>
              <w:pStyle w:val="12"/>
              <w:bidi w:val="0"/>
              <w:rPr>
                <w:rFonts w:hint="default"/>
                <w:color w:val="auto"/>
                <w:lang w:val="en-US" w:eastAsia="zh-CN"/>
              </w:rPr>
            </w:pPr>
          </w:p>
        </w:tc>
        <w:tc>
          <w:tcPr>
            <w:tcW w:w="285" w:type="pct"/>
            <w:tcBorders>
              <w:tl2br w:val="nil"/>
              <w:tr2bl w:val="nil"/>
            </w:tcBorders>
            <w:vAlign w:val="center"/>
          </w:tcPr>
          <w:p w14:paraId="3FCAA0F8">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89F523D">
            <w:pPr>
              <w:pStyle w:val="12"/>
              <w:pageBreakBefore w:val="0"/>
              <w:wordWrap/>
              <w:bidi w:val="0"/>
              <w:adjustRightInd/>
              <w:snapToGrid/>
              <w:rPr>
                <w:rFonts w:hint="eastAsia"/>
                <w:color w:val="auto"/>
                <w:lang w:val="en-US" w:eastAsia="zh-CN"/>
              </w:rPr>
            </w:pPr>
          </w:p>
        </w:tc>
      </w:tr>
      <w:tr w14:paraId="5024B6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943324D">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17</w:t>
            </w:r>
          </w:p>
        </w:tc>
        <w:tc>
          <w:tcPr>
            <w:tcW w:w="189" w:type="pct"/>
            <w:vMerge w:val="continue"/>
            <w:tcBorders>
              <w:tl2br w:val="nil"/>
              <w:tr2bl w:val="nil"/>
            </w:tcBorders>
            <w:vAlign w:val="center"/>
          </w:tcPr>
          <w:p w14:paraId="3A656D77">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2FDA381D">
            <w:pPr>
              <w:pStyle w:val="12"/>
              <w:pageBreakBefore w:val="0"/>
              <w:wordWrap/>
              <w:bidi w:val="0"/>
              <w:adjustRightInd/>
              <w:snapToGrid/>
              <w:ind w:left="0" w:leftChars="0" w:firstLine="0" w:firstLineChars="0"/>
              <w:rPr>
                <w:color w:val="auto"/>
              </w:rPr>
            </w:pPr>
            <w:r>
              <w:rPr>
                <w:color w:val="auto"/>
              </w:rPr>
              <w:t>污泥泵</w:t>
            </w:r>
          </w:p>
        </w:tc>
        <w:tc>
          <w:tcPr>
            <w:tcW w:w="286" w:type="pct"/>
            <w:tcBorders>
              <w:tl2br w:val="nil"/>
              <w:tr2bl w:val="nil"/>
            </w:tcBorders>
            <w:vAlign w:val="center"/>
          </w:tcPr>
          <w:p w14:paraId="42796F2C">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6F0CA9F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0CC59EA9">
            <w:pPr>
              <w:pStyle w:val="12"/>
              <w:pageBreakBefore w:val="0"/>
              <w:wordWrap/>
              <w:bidi w:val="0"/>
              <w:adjustRightInd/>
              <w:snapToGrid/>
              <w:rPr>
                <w:color w:val="auto"/>
              </w:rPr>
            </w:pPr>
          </w:p>
        </w:tc>
        <w:tc>
          <w:tcPr>
            <w:tcW w:w="213" w:type="pct"/>
            <w:tcBorders>
              <w:tl2br w:val="nil"/>
              <w:tr2bl w:val="nil"/>
            </w:tcBorders>
            <w:vAlign w:val="center"/>
          </w:tcPr>
          <w:p w14:paraId="6555EBB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7172461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34915A2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049FD6F9">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B0B870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51D4DA92">
            <w:pPr>
              <w:pStyle w:val="12"/>
              <w:pageBreakBefore w:val="0"/>
              <w:wordWrap/>
              <w:bidi w:val="0"/>
              <w:adjustRightInd/>
              <w:snapToGrid/>
              <w:rPr>
                <w:color w:val="auto"/>
              </w:rPr>
            </w:pPr>
          </w:p>
        </w:tc>
        <w:tc>
          <w:tcPr>
            <w:tcW w:w="464" w:type="pct"/>
            <w:tcBorders>
              <w:tl2br w:val="nil"/>
              <w:tr2bl w:val="nil"/>
            </w:tcBorders>
            <w:vAlign w:val="center"/>
          </w:tcPr>
          <w:p w14:paraId="21668820">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3AC1DBEB">
            <w:pPr>
              <w:pStyle w:val="12"/>
              <w:bidi w:val="0"/>
              <w:rPr>
                <w:rFonts w:hint="default"/>
                <w:color w:val="auto"/>
                <w:lang w:val="en-US" w:eastAsia="zh-CN"/>
              </w:rPr>
            </w:pPr>
          </w:p>
        </w:tc>
        <w:tc>
          <w:tcPr>
            <w:tcW w:w="285" w:type="pct"/>
            <w:tcBorders>
              <w:tl2br w:val="nil"/>
              <w:tr2bl w:val="nil"/>
            </w:tcBorders>
            <w:vAlign w:val="center"/>
          </w:tcPr>
          <w:p w14:paraId="4E73B663">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6857C46B">
            <w:pPr>
              <w:pStyle w:val="12"/>
              <w:pageBreakBefore w:val="0"/>
              <w:wordWrap/>
              <w:bidi w:val="0"/>
              <w:adjustRightInd/>
              <w:snapToGrid/>
              <w:rPr>
                <w:rFonts w:hint="eastAsia"/>
                <w:color w:val="auto"/>
                <w:lang w:val="en-US" w:eastAsia="zh-CN"/>
              </w:rPr>
            </w:pPr>
          </w:p>
        </w:tc>
      </w:tr>
      <w:tr w14:paraId="5FB3D00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A8641F9">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18</w:t>
            </w:r>
          </w:p>
        </w:tc>
        <w:tc>
          <w:tcPr>
            <w:tcW w:w="189" w:type="pct"/>
            <w:vMerge w:val="continue"/>
            <w:tcBorders>
              <w:tl2br w:val="nil"/>
              <w:tr2bl w:val="nil"/>
            </w:tcBorders>
            <w:vAlign w:val="center"/>
          </w:tcPr>
          <w:p w14:paraId="75DE0FA0">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552DC588">
            <w:pPr>
              <w:pStyle w:val="12"/>
              <w:pageBreakBefore w:val="0"/>
              <w:wordWrap/>
              <w:bidi w:val="0"/>
              <w:adjustRightInd/>
              <w:snapToGrid/>
              <w:ind w:left="0" w:leftChars="0" w:firstLine="0" w:firstLineChars="0"/>
              <w:rPr>
                <w:color w:val="auto"/>
              </w:rPr>
            </w:pPr>
            <w:r>
              <w:rPr>
                <w:color w:val="auto"/>
              </w:rPr>
              <w:t>清水自吸泵</w:t>
            </w:r>
          </w:p>
        </w:tc>
        <w:tc>
          <w:tcPr>
            <w:tcW w:w="286" w:type="pct"/>
            <w:tcBorders>
              <w:tl2br w:val="nil"/>
              <w:tr2bl w:val="nil"/>
            </w:tcBorders>
            <w:vAlign w:val="center"/>
          </w:tcPr>
          <w:p w14:paraId="563864D8">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50416B8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11FE3AFF">
            <w:pPr>
              <w:pStyle w:val="12"/>
              <w:pageBreakBefore w:val="0"/>
              <w:wordWrap/>
              <w:bidi w:val="0"/>
              <w:adjustRightInd/>
              <w:snapToGrid/>
              <w:rPr>
                <w:color w:val="auto"/>
              </w:rPr>
            </w:pPr>
          </w:p>
        </w:tc>
        <w:tc>
          <w:tcPr>
            <w:tcW w:w="213" w:type="pct"/>
            <w:tcBorders>
              <w:tl2br w:val="nil"/>
              <w:tr2bl w:val="nil"/>
            </w:tcBorders>
            <w:vAlign w:val="center"/>
          </w:tcPr>
          <w:p w14:paraId="1A1C39A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4A30F10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3FA4095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183429D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37E60B2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12FC2BC9">
            <w:pPr>
              <w:pStyle w:val="12"/>
              <w:pageBreakBefore w:val="0"/>
              <w:wordWrap/>
              <w:bidi w:val="0"/>
              <w:adjustRightInd/>
              <w:snapToGrid/>
              <w:rPr>
                <w:color w:val="auto"/>
              </w:rPr>
            </w:pPr>
          </w:p>
        </w:tc>
        <w:tc>
          <w:tcPr>
            <w:tcW w:w="464" w:type="pct"/>
            <w:tcBorders>
              <w:tl2br w:val="nil"/>
              <w:tr2bl w:val="nil"/>
            </w:tcBorders>
            <w:vAlign w:val="center"/>
          </w:tcPr>
          <w:p w14:paraId="5B095C45">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447F0C6C">
            <w:pPr>
              <w:pStyle w:val="12"/>
              <w:bidi w:val="0"/>
              <w:rPr>
                <w:rFonts w:hint="default"/>
                <w:color w:val="auto"/>
                <w:lang w:val="en-US" w:eastAsia="zh-CN"/>
              </w:rPr>
            </w:pPr>
          </w:p>
        </w:tc>
        <w:tc>
          <w:tcPr>
            <w:tcW w:w="285" w:type="pct"/>
            <w:tcBorders>
              <w:tl2br w:val="nil"/>
              <w:tr2bl w:val="nil"/>
            </w:tcBorders>
            <w:vAlign w:val="center"/>
          </w:tcPr>
          <w:p w14:paraId="4442294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03A7B338">
            <w:pPr>
              <w:pStyle w:val="12"/>
              <w:pageBreakBefore w:val="0"/>
              <w:wordWrap/>
              <w:bidi w:val="0"/>
              <w:adjustRightInd/>
              <w:snapToGrid/>
              <w:rPr>
                <w:rFonts w:hint="eastAsia"/>
                <w:color w:val="auto"/>
                <w:lang w:val="en-US" w:eastAsia="zh-CN"/>
              </w:rPr>
            </w:pPr>
          </w:p>
        </w:tc>
      </w:tr>
      <w:tr w14:paraId="6E5D8D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31FAF12">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19</w:t>
            </w:r>
          </w:p>
        </w:tc>
        <w:tc>
          <w:tcPr>
            <w:tcW w:w="189" w:type="pct"/>
            <w:vMerge w:val="continue"/>
            <w:tcBorders>
              <w:tl2br w:val="nil"/>
              <w:tr2bl w:val="nil"/>
            </w:tcBorders>
            <w:vAlign w:val="center"/>
          </w:tcPr>
          <w:p w14:paraId="667E3917">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6586CD2C">
            <w:pPr>
              <w:pStyle w:val="12"/>
              <w:pageBreakBefore w:val="0"/>
              <w:wordWrap/>
              <w:bidi w:val="0"/>
              <w:adjustRightInd/>
              <w:snapToGrid/>
              <w:ind w:left="0" w:leftChars="0" w:firstLine="0" w:firstLineChars="0"/>
              <w:rPr>
                <w:color w:val="auto"/>
              </w:rPr>
            </w:pPr>
            <w:r>
              <w:rPr>
                <w:color w:val="auto"/>
              </w:rPr>
              <w:t>PAC计量泵</w:t>
            </w:r>
          </w:p>
        </w:tc>
        <w:tc>
          <w:tcPr>
            <w:tcW w:w="286" w:type="pct"/>
            <w:tcBorders>
              <w:tl2br w:val="nil"/>
              <w:tr2bl w:val="nil"/>
            </w:tcBorders>
            <w:vAlign w:val="center"/>
          </w:tcPr>
          <w:p w14:paraId="1A44282C">
            <w:pPr>
              <w:pStyle w:val="12"/>
              <w:pageBreakBefore w:val="0"/>
              <w:wordWrap/>
              <w:bidi w:val="0"/>
              <w:adjustRightInd/>
              <w:snapToGrid/>
              <w:ind w:left="0" w:leftChars="0" w:firstLine="0" w:firstLineChars="0"/>
              <w:rPr>
                <w:color w:val="auto"/>
              </w:rPr>
            </w:pPr>
            <w:r>
              <w:rPr>
                <w:rFonts w:hint="eastAsia"/>
                <w:color w:val="auto"/>
                <w:lang w:val="en-US"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4003D87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6A8269DA">
            <w:pPr>
              <w:pStyle w:val="12"/>
              <w:pageBreakBefore w:val="0"/>
              <w:wordWrap/>
              <w:bidi w:val="0"/>
              <w:adjustRightInd/>
              <w:snapToGrid/>
              <w:rPr>
                <w:color w:val="auto"/>
              </w:rPr>
            </w:pPr>
          </w:p>
        </w:tc>
        <w:tc>
          <w:tcPr>
            <w:tcW w:w="213" w:type="pct"/>
            <w:tcBorders>
              <w:tl2br w:val="nil"/>
              <w:tr2bl w:val="nil"/>
            </w:tcBorders>
            <w:vAlign w:val="center"/>
          </w:tcPr>
          <w:p w14:paraId="483239E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22C6872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0494926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2D94ED3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5D47D47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3ADB5648">
            <w:pPr>
              <w:pStyle w:val="12"/>
              <w:pageBreakBefore w:val="0"/>
              <w:wordWrap/>
              <w:bidi w:val="0"/>
              <w:adjustRightInd/>
              <w:snapToGrid/>
              <w:rPr>
                <w:color w:val="auto"/>
              </w:rPr>
            </w:pPr>
          </w:p>
        </w:tc>
        <w:tc>
          <w:tcPr>
            <w:tcW w:w="464" w:type="pct"/>
            <w:tcBorders>
              <w:tl2br w:val="nil"/>
              <w:tr2bl w:val="nil"/>
            </w:tcBorders>
            <w:vAlign w:val="center"/>
          </w:tcPr>
          <w:p w14:paraId="16D917FB">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12B327E">
            <w:pPr>
              <w:pStyle w:val="12"/>
              <w:bidi w:val="0"/>
              <w:rPr>
                <w:rFonts w:hint="default"/>
                <w:color w:val="auto"/>
                <w:lang w:val="en-US" w:eastAsia="zh-CN"/>
              </w:rPr>
            </w:pPr>
          </w:p>
        </w:tc>
        <w:tc>
          <w:tcPr>
            <w:tcW w:w="285" w:type="pct"/>
            <w:tcBorders>
              <w:tl2br w:val="nil"/>
              <w:tr2bl w:val="nil"/>
            </w:tcBorders>
            <w:vAlign w:val="center"/>
          </w:tcPr>
          <w:p w14:paraId="792C3F24">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3A242B61">
            <w:pPr>
              <w:pStyle w:val="12"/>
              <w:pageBreakBefore w:val="0"/>
              <w:wordWrap/>
              <w:bidi w:val="0"/>
              <w:adjustRightInd/>
              <w:snapToGrid/>
              <w:rPr>
                <w:rFonts w:hint="eastAsia"/>
                <w:color w:val="auto"/>
                <w:lang w:val="en-US" w:eastAsia="zh-CN"/>
              </w:rPr>
            </w:pPr>
          </w:p>
        </w:tc>
      </w:tr>
      <w:tr w14:paraId="526E2B9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5397290">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20</w:t>
            </w:r>
          </w:p>
        </w:tc>
        <w:tc>
          <w:tcPr>
            <w:tcW w:w="189" w:type="pct"/>
            <w:vMerge w:val="continue"/>
            <w:tcBorders>
              <w:tl2br w:val="nil"/>
              <w:tr2bl w:val="nil"/>
            </w:tcBorders>
            <w:vAlign w:val="center"/>
          </w:tcPr>
          <w:p w14:paraId="01F2FA83">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51741A92">
            <w:pPr>
              <w:pStyle w:val="12"/>
              <w:pageBreakBefore w:val="0"/>
              <w:wordWrap/>
              <w:bidi w:val="0"/>
              <w:adjustRightInd/>
              <w:snapToGrid/>
              <w:ind w:left="0" w:leftChars="0" w:firstLine="0" w:firstLineChars="0"/>
              <w:rPr>
                <w:color w:val="auto"/>
              </w:rPr>
            </w:pPr>
            <w:r>
              <w:rPr>
                <w:color w:val="auto"/>
              </w:rPr>
              <w:t>PAM计量泵</w:t>
            </w:r>
          </w:p>
        </w:tc>
        <w:tc>
          <w:tcPr>
            <w:tcW w:w="286" w:type="pct"/>
            <w:tcBorders>
              <w:tl2br w:val="nil"/>
              <w:tr2bl w:val="nil"/>
            </w:tcBorders>
            <w:vAlign w:val="center"/>
          </w:tcPr>
          <w:p w14:paraId="35C8A999">
            <w:pPr>
              <w:pStyle w:val="12"/>
              <w:pageBreakBefore w:val="0"/>
              <w:wordWrap/>
              <w:bidi w:val="0"/>
              <w:adjustRightInd/>
              <w:snapToGrid/>
              <w:ind w:left="0" w:leftChars="0" w:firstLine="0" w:firstLineChars="0"/>
              <w:rPr>
                <w:color w:val="auto"/>
              </w:rPr>
            </w:pPr>
            <w:r>
              <w:rPr>
                <w:rFonts w:hint="eastAsia"/>
                <w:color w:val="auto"/>
                <w:lang w:val="en-US"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0DEE4F2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7075A8EF">
            <w:pPr>
              <w:pStyle w:val="12"/>
              <w:pageBreakBefore w:val="0"/>
              <w:wordWrap/>
              <w:bidi w:val="0"/>
              <w:adjustRightInd/>
              <w:snapToGrid/>
              <w:rPr>
                <w:color w:val="auto"/>
              </w:rPr>
            </w:pPr>
          </w:p>
        </w:tc>
        <w:tc>
          <w:tcPr>
            <w:tcW w:w="213" w:type="pct"/>
            <w:tcBorders>
              <w:tl2br w:val="nil"/>
              <w:tr2bl w:val="nil"/>
            </w:tcBorders>
            <w:vAlign w:val="center"/>
          </w:tcPr>
          <w:p w14:paraId="7C1EB21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152.8</w:t>
            </w:r>
          </w:p>
        </w:tc>
        <w:tc>
          <w:tcPr>
            <w:tcW w:w="212" w:type="pct"/>
            <w:tcBorders>
              <w:tl2br w:val="nil"/>
              <w:tr2bl w:val="nil"/>
            </w:tcBorders>
            <w:vAlign w:val="center"/>
          </w:tcPr>
          <w:p w14:paraId="4462B70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14.9</w:t>
            </w:r>
          </w:p>
        </w:tc>
        <w:tc>
          <w:tcPr>
            <w:tcW w:w="215" w:type="pct"/>
            <w:tcBorders>
              <w:tl2br w:val="nil"/>
              <w:tr2bl w:val="nil"/>
            </w:tcBorders>
            <w:vAlign w:val="center"/>
          </w:tcPr>
          <w:p w14:paraId="398A144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w:t>
            </w:r>
          </w:p>
        </w:tc>
        <w:tc>
          <w:tcPr>
            <w:tcW w:w="336" w:type="pct"/>
            <w:tcBorders>
              <w:tl2br w:val="nil"/>
              <w:tr2bl w:val="nil"/>
            </w:tcBorders>
            <w:vAlign w:val="center"/>
          </w:tcPr>
          <w:p w14:paraId="6303DEE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39A748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7E09558A">
            <w:pPr>
              <w:pStyle w:val="12"/>
              <w:pageBreakBefore w:val="0"/>
              <w:wordWrap/>
              <w:bidi w:val="0"/>
              <w:adjustRightInd/>
              <w:snapToGrid/>
              <w:rPr>
                <w:color w:val="auto"/>
              </w:rPr>
            </w:pPr>
          </w:p>
        </w:tc>
        <w:tc>
          <w:tcPr>
            <w:tcW w:w="464" w:type="pct"/>
            <w:tcBorders>
              <w:tl2br w:val="nil"/>
              <w:tr2bl w:val="nil"/>
            </w:tcBorders>
            <w:vAlign w:val="center"/>
          </w:tcPr>
          <w:p w14:paraId="1B2F6865">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39CE42B1">
            <w:pPr>
              <w:pStyle w:val="12"/>
              <w:bidi w:val="0"/>
              <w:rPr>
                <w:rFonts w:hint="default"/>
                <w:color w:val="auto"/>
                <w:lang w:val="en-US" w:eastAsia="zh-CN"/>
              </w:rPr>
            </w:pPr>
          </w:p>
        </w:tc>
        <w:tc>
          <w:tcPr>
            <w:tcW w:w="285" w:type="pct"/>
            <w:tcBorders>
              <w:tl2br w:val="nil"/>
              <w:tr2bl w:val="nil"/>
            </w:tcBorders>
            <w:vAlign w:val="center"/>
          </w:tcPr>
          <w:p w14:paraId="6B2B573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27E68827">
            <w:pPr>
              <w:pStyle w:val="12"/>
              <w:pageBreakBefore w:val="0"/>
              <w:wordWrap/>
              <w:bidi w:val="0"/>
              <w:adjustRightInd/>
              <w:snapToGrid/>
              <w:rPr>
                <w:rFonts w:hint="eastAsia"/>
                <w:color w:val="auto"/>
                <w:lang w:val="en-US" w:eastAsia="zh-CN"/>
              </w:rPr>
            </w:pPr>
          </w:p>
        </w:tc>
      </w:tr>
      <w:tr w14:paraId="568F98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E0FA701">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21</w:t>
            </w:r>
          </w:p>
        </w:tc>
        <w:tc>
          <w:tcPr>
            <w:tcW w:w="189" w:type="pct"/>
            <w:vMerge w:val="continue"/>
            <w:tcBorders>
              <w:tl2br w:val="nil"/>
              <w:tr2bl w:val="nil"/>
            </w:tcBorders>
            <w:vAlign w:val="center"/>
          </w:tcPr>
          <w:p w14:paraId="74F5530A">
            <w:pPr>
              <w:pStyle w:val="12"/>
              <w:pageBreakBefore w:val="0"/>
              <w:wordWrap/>
              <w:bidi w:val="0"/>
              <w:adjustRightInd/>
              <w:snapToGrid/>
              <w:ind w:left="0" w:leftChars="0" w:firstLine="0" w:firstLineChars="0"/>
              <w:rPr>
                <w:rFonts w:hint="eastAsia"/>
                <w:color w:val="auto"/>
                <w:lang w:val="en-US" w:eastAsia="zh-CN"/>
              </w:rPr>
            </w:pPr>
          </w:p>
        </w:tc>
        <w:tc>
          <w:tcPr>
            <w:tcW w:w="624" w:type="pct"/>
            <w:tcBorders>
              <w:tl2br w:val="nil"/>
              <w:tr2bl w:val="nil"/>
            </w:tcBorders>
            <w:vAlign w:val="center"/>
          </w:tcPr>
          <w:p w14:paraId="0CB5A636">
            <w:pPr>
              <w:pStyle w:val="12"/>
              <w:pageBreakBefore w:val="0"/>
              <w:wordWrap/>
              <w:bidi w:val="0"/>
              <w:adjustRightInd/>
              <w:snapToGrid/>
              <w:ind w:left="0" w:leftChars="0" w:firstLine="0" w:firstLineChars="0"/>
              <w:rPr>
                <w:color w:val="auto"/>
              </w:rPr>
            </w:pPr>
            <w:r>
              <w:rPr>
                <w:color w:val="auto"/>
              </w:rPr>
              <w:t>电动单梁悬挂起重机</w:t>
            </w:r>
          </w:p>
        </w:tc>
        <w:tc>
          <w:tcPr>
            <w:tcW w:w="286" w:type="pct"/>
            <w:tcBorders>
              <w:tl2br w:val="nil"/>
              <w:tr2bl w:val="nil"/>
            </w:tcBorders>
            <w:vAlign w:val="center"/>
          </w:tcPr>
          <w:p w14:paraId="4C5E3BE8">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2A24601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374F1C0">
            <w:pPr>
              <w:pStyle w:val="12"/>
              <w:pageBreakBefore w:val="0"/>
              <w:wordWrap/>
              <w:bidi w:val="0"/>
              <w:adjustRightInd/>
              <w:snapToGrid/>
              <w:rPr>
                <w:color w:val="auto"/>
              </w:rPr>
            </w:pPr>
          </w:p>
        </w:tc>
        <w:tc>
          <w:tcPr>
            <w:tcW w:w="213" w:type="pct"/>
            <w:tcBorders>
              <w:tl2br w:val="nil"/>
              <w:tr2bl w:val="nil"/>
            </w:tcBorders>
            <w:vAlign w:val="center"/>
          </w:tcPr>
          <w:p w14:paraId="137C330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145.4</w:t>
            </w:r>
          </w:p>
        </w:tc>
        <w:tc>
          <w:tcPr>
            <w:tcW w:w="212" w:type="pct"/>
            <w:tcBorders>
              <w:tl2br w:val="nil"/>
              <w:tr2bl w:val="nil"/>
            </w:tcBorders>
            <w:vAlign w:val="center"/>
          </w:tcPr>
          <w:p w14:paraId="4902FD0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24</w:t>
            </w:r>
          </w:p>
        </w:tc>
        <w:tc>
          <w:tcPr>
            <w:tcW w:w="215" w:type="pct"/>
            <w:tcBorders>
              <w:tl2br w:val="nil"/>
              <w:tr2bl w:val="nil"/>
            </w:tcBorders>
            <w:vAlign w:val="center"/>
          </w:tcPr>
          <w:p w14:paraId="61C3FB5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09FA383E">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779E734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5F0E4760">
            <w:pPr>
              <w:pStyle w:val="12"/>
              <w:pageBreakBefore w:val="0"/>
              <w:wordWrap/>
              <w:bidi w:val="0"/>
              <w:adjustRightInd/>
              <w:snapToGrid/>
              <w:rPr>
                <w:color w:val="auto"/>
              </w:rPr>
            </w:pPr>
          </w:p>
        </w:tc>
        <w:tc>
          <w:tcPr>
            <w:tcW w:w="464" w:type="pct"/>
            <w:tcBorders>
              <w:tl2br w:val="nil"/>
              <w:tr2bl w:val="nil"/>
            </w:tcBorders>
            <w:vAlign w:val="center"/>
          </w:tcPr>
          <w:p w14:paraId="77990FFF">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C9D1775">
            <w:pPr>
              <w:pStyle w:val="12"/>
              <w:bidi w:val="0"/>
              <w:rPr>
                <w:rFonts w:hint="default"/>
                <w:color w:val="auto"/>
                <w:lang w:val="en-US" w:eastAsia="zh-CN"/>
              </w:rPr>
            </w:pPr>
          </w:p>
        </w:tc>
        <w:tc>
          <w:tcPr>
            <w:tcW w:w="285" w:type="pct"/>
            <w:tcBorders>
              <w:tl2br w:val="nil"/>
              <w:tr2bl w:val="nil"/>
            </w:tcBorders>
            <w:vAlign w:val="center"/>
          </w:tcPr>
          <w:p w14:paraId="53739024">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08E908F">
            <w:pPr>
              <w:pStyle w:val="12"/>
              <w:pageBreakBefore w:val="0"/>
              <w:wordWrap/>
              <w:bidi w:val="0"/>
              <w:adjustRightInd/>
              <w:snapToGrid/>
              <w:rPr>
                <w:rFonts w:hint="eastAsia"/>
                <w:color w:val="auto"/>
                <w:lang w:val="en-US" w:eastAsia="zh-CN"/>
              </w:rPr>
            </w:pPr>
          </w:p>
        </w:tc>
      </w:tr>
      <w:tr w14:paraId="023C035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8FED495">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22</w:t>
            </w:r>
          </w:p>
        </w:tc>
        <w:tc>
          <w:tcPr>
            <w:tcW w:w="189" w:type="pct"/>
            <w:vMerge w:val="restart"/>
            <w:tcBorders>
              <w:tl2br w:val="nil"/>
              <w:tr2bl w:val="nil"/>
            </w:tcBorders>
            <w:vAlign w:val="center"/>
          </w:tcPr>
          <w:p w14:paraId="55ED674E">
            <w:pPr>
              <w:pageBreakBefore w:val="0"/>
              <w:wordWrap/>
              <w:bidi w:val="0"/>
              <w:adjustRightInd/>
              <w:snapToGrid/>
              <w:spacing w:line="240" w:lineRule="auto"/>
              <w:ind w:firstLine="0" w:firstLineChars="0"/>
              <w:jc w:val="center"/>
              <w:rPr>
                <w:rFonts w:hint="eastAsia"/>
                <w:color w:val="auto"/>
                <w:lang w:val="en-US" w:eastAsia="zh-CN"/>
              </w:rPr>
            </w:pPr>
            <w:r>
              <w:rPr>
                <w:rFonts w:hint="eastAsia"/>
                <w:color w:val="auto"/>
                <w:sz w:val="21"/>
                <w:szCs w:val="21"/>
                <w:lang w:val="en-US" w:eastAsia="zh-CN"/>
              </w:rPr>
              <w:t>反硝化滤池</w:t>
            </w:r>
          </w:p>
        </w:tc>
        <w:tc>
          <w:tcPr>
            <w:tcW w:w="624" w:type="pct"/>
            <w:tcBorders>
              <w:tl2br w:val="nil"/>
              <w:tr2bl w:val="nil"/>
            </w:tcBorders>
            <w:vAlign w:val="center"/>
          </w:tcPr>
          <w:p w14:paraId="7F87AF45">
            <w:pPr>
              <w:pStyle w:val="12"/>
              <w:pageBreakBefore w:val="0"/>
              <w:wordWrap/>
              <w:bidi w:val="0"/>
              <w:adjustRightInd/>
              <w:snapToGrid/>
              <w:ind w:left="0" w:leftChars="0" w:firstLine="0" w:firstLineChars="0"/>
              <w:rPr>
                <w:color w:val="auto"/>
              </w:rPr>
            </w:pPr>
            <w:r>
              <w:rPr>
                <w:color w:val="auto"/>
              </w:rPr>
              <w:t>快速搅拌机</w:t>
            </w:r>
          </w:p>
        </w:tc>
        <w:tc>
          <w:tcPr>
            <w:tcW w:w="286" w:type="pct"/>
            <w:tcBorders>
              <w:tl2br w:val="nil"/>
              <w:tr2bl w:val="nil"/>
            </w:tcBorders>
            <w:vAlign w:val="center"/>
          </w:tcPr>
          <w:p w14:paraId="59C7C6E9">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0298484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0E8A5B41">
            <w:pPr>
              <w:pStyle w:val="12"/>
              <w:pageBreakBefore w:val="0"/>
              <w:wordWrap/>
              <w:bidi w:val="0"/>
              <w:adjustRightInd/>
              <w:snapToGrid/>
              <w:rPr>
                <w:color w:val="auto"/>
              </w:rPr>
            </w:pPr>
          </w:p>
        </w:tc>
        <w:tc>
          <w:tcPr>
            <w:tcW w:w="213" w:type="pct"/>
            <w:tcBorders>
              <w:tl2br w:val="nil"/>
              <w:tr2bl w:val="nil"/>
            </w:tcBorders>
            <w:vAlign w:val="center"/>
          </w:tcPr>
          <w:p w14:paraId="62DEF3B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97</w:t>
            </w:r>
          </w:p>
        </w:tc>
        <w:tc>
          <w:tcPr>
            <w:tcW w:w="212" w:type="pct"/>
            <w:tcBorders>
              <w:tl2br w:val="nil"/>
              <w:tr2bl w:val="nil"/>
            </w:tcBorders>
            <w:vAlign w:val="center"/>
          </w:tcPr>
          <w:p w14:paraId="51FB060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-41.5</w:t>
            </w:r>
          </w:p>
        </w:tc>
        <w:tc>
          <w:tcPr>
            <w:tcW w:w="215" w:type="pct"/>
            <w:tcBorders>
              <w:tl2br w:val="nil"/>
              <w:tr2bl w:val="nil"/>
            </w:tcBorders>
            <w:vAlign w:val="center"/>
          </w:tcPr>
          <w:p w14:paraId="066E24C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37C7F25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36C4AC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2B41A096">
            <w:pPr>
              <w:pStyle w:val="12"/>
              <w:pageBreakBefore w:val="0"/>
              <w:wordWrap/>
              <w:bidi w:val="0"/>
              <w:adjustRightInd/>
              <w:snapToGrid/>
              <w:rPr>
                <w:color w:val="auto"/>
              </w:rPr>
            </w:pPr>
          </w:p>
        </w:tc>
        <w:tc>
          <w:tcPr>
            <w:tcW w:w="464" w:type="pct"/>
            <w:tcBorders>
              <w:tl2br w:val="nil"/>
              <w:tr2bl w:val="nil"/>
            </w:tcBorders>
            <w:vAlign w:val="center"/>
          </w:tcPr>
          <w:p w14:paraId="5A4D3A99">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45D8984B">
            <w:pPr>
              <w:pStyle w:val="12"/>
              <w:bidi w:val="0"/>
              <w:rPr>
                <w:rFonts w:hint="default"/>
                <w:color w:val="auto"/>
                <w:lang w:val="en-US" w:eastAsia="zh-CN"/>
              </w:rPr>
            </w:pPr>
          </w:p>
        </w:tc>
        <w:tc>
          <w:tcPr>
            <w:tcW w:w="285" w:type="pct"/>
            <w:tcBorders>
              <w:tl2br w:val="nil"/>
              <w:tr2bl w:val="nil"/>
            </w:tcBorders>
            <w:vAlign w:val="center"/>
          </w:tcPr>
          <w:p w14:paraId="6249B0E0">
            <w:pPr>
              <w:pStyle w:val="12"/>
              <w:pageBreakBefore w:val="0"/>
              <w:wordWrap/>
              <w:bidi w:val="0"/>
              <w:adjustRightInd/>
              <w:snapToGrid/>
              <w:ind w:left="0" w:leftChars="0" w:firstLine="0" w:firstLineChars="0"/>
              <w:rPr>
                <w:color w:val="auto"/>
              </w:rPr>
            </w:pPr>
            <w:r>
              <w:rPr>
                <w:color w:val="auto"/>
              </w:rPr>
              <w:t>1</w:t>
            </w:r>
          </w:p>
        </w:tc>
        <w:tc>
          <w:tcPr>
            <w:tcW w:w="281" w:type="pct"/>
            <w:vMerge w:val="continue"/>
            <w:tcBorders>
              <w:tl2br w:val="nil"/>
              <w:tr2bl w:val="nil"/>
            </w:tcBorders>
            <w:vAlign w:val="center"/>
          </w:tcPr>
          <w:p w14:paraId="49848729">
            <w:pPr>
              <w:pStyle w:val="12"/>
              <w:pageBreakBefore w:val="0"/>
              <w:wordWrap/>
              <w:bidi w:val="0"/>
              <w:adjustRightInd/>
              <w:snapToGrid/>
              <w:rPr>
                <w:rFonts w:hint="eastAsia"/>
                <w:color w:val="auto"/>
                <w:lang w:val="en-US" w:eastAsia="zh-CN"/>
              </w:rPr>
            </w:pPr>
          </w:p>
        </w:tc>
      </w:tr>
      <w:tr w14:paraId="476861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498946C">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23</w:t>
            </w:r>
          </w:p>
        </w:tc>
        <w:tc>
          <w:tcPr>
            <w:tcW w:w="189" w:type="pct"/>
            <w:vMerge w:val="continue"/>
            <w:tcBorders>
              <w:tl2br w:val="nil"/>
              <w:tr2bl w:val="nil"/>
            </w:tcBorders>
            <w:vAlign w:val="center"/>
          </w:tcPr>
          <w:p w14:paraId="28DFC77E">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6F0FB1FF">
            <w:pPr>
              <w:pStyle w:val="12"/>
              <w:pageBreakBefore w:val="0"/>
              <w:wordWrap/>
              <w:bidi w:val="0"/>
              <w:adjustRightInd/>
              <w:snapToGrid/>
              <w:ind w:left="0" w:leftChars="0" w:firstLine="0" w:firstLineChars="0"/>
              <w:rPr>
                <w:color w:val="auto"/>
              </w:rPr>
            </w:pPr>
            <w:r>
              <w:rPr>
                <w:color w:val="auto"/>
              </w:rPr>
              <w:t>反冲洗罗茨鼓风机</w:t>
            </w:r>
          </w:p>
        </w:tc>
        <w:tc>
          <w:tcPr>
            <w:tcW w:w="286" w:type="pct"/>
            <w:tcBorders>
              <w:tl2br w:val="nil"/>
              <w:tr2bl w:val="nil"/>
            </w:tcBorders>
            <w:vAlign w:val="center"/>
          </w:tcPr>
          <w:p w14:paraId="2324158B">
            <w:pPr>
              <w:pStyle w:val="12"/>
              <w:pageBreakBefore w:val="0"/>
              <w:wordWrap/>
              <w:bidi w:val="0"/>
              <w:adjustRightInd/>
              <w:snapToGrid/>
              <w:ind w:left="0" w:leftChars="0" w:firstLine="0" w:firstLineChars="0"/>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73FDDF5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224DD8B9">
            <w:pPr>
              <w:pStyle w:val="12"/>
              <w:pageBreakBefore w:val="0"/>
              <w:wordWrap/>
              <w:bidi w:val="0"/>
              <w:adjustRightInd/>
              <w:snapToGrid/>
              <w:rPr>
                <w:color w:val="auto"/>
              </w:rPr>
            </w:pPr>
          </w:p>
        </w:tc>
        <w:tc>
          <w:tcPr>
            <w:tcW w:w="213" w:type="pct"/>
            <w:tcBorders>
              <w:tl2br w:val="nil"/>
              <w:tr2bl w:val="nil"/>
            </w:tcBorders>
            <w:vAlign w:val="center"/>
          </w:tcPr>
          <w:p w14:paraId="1B07B57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490FA1E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3C71F21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6BFA41A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3EE05A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1BD7EA2F">
            <w:pPr>
              <w:pStyle w:val="12"/>
              <w:pageBreakBefore w:val="0"/>
              <w:wordWrap/>
              <w:bidi w:val="0"/>
              <w:adjustRightInd/>
              <w:snapToGrid/>
              <w:rPr>
                <w:color w:val="auto"/>
              </w:rPr>
            </w:pPr>
          </w:p>
        </w:tc>
        <w:tc>
          <w:tcPr>
            <w:tcW w:w="464" w:type="pct"/>
            <w:tcBorders>
              <w:tl2br w:val="nil"/>
              <w:tr2bl w:val="nil"/>
            </w:tcBorders>
            <w:vAlign w:val="center"/>
          </w:tcPr>
          <w:p w14:paraId="402C793F">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55FE8247">
            <w:pPr>
              <w:pStyle w:val="12"/>
              <w:bidi w:val="0"/>
              <w:rPr>
                <w:rFonts w:hint="default"/>
                <w:color w:val="auto"/>
                <w:lang w:val="en-US" w:eastAsia="zh-CN"/>
              </w:rPr>
            </w:pPr>
          </w:p>
        </w:tc>
        <w:tc>
          <w:tcPr>
            <w:tcW w:w="285" w:type="pct"/>
            <w:tcBorders>
              <w:tl2br w:val="nil"/>
              <w:tr2bl w:val="nil"/>
            </w:tcBorders>
            <w:vAlign w:val="center"/>
          </w:tcPr>
          <w:p w14:paraId="3381EA54">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3EFA4D53">
            <w:pPr>
              <w:pStyle w:val="12"/>
              <w:pageBreakBefore w:val="0"/>
              <w:wordWrap/>
              <w:bidi w:val="0"/>
              <w:adjustRightInd/>
              <w:snapToGrid/>
              <w:rPr>
                <w:rFonts w:hint="eastAsia"/>
                <w:color w:val="auto"/>
                <w:lang w:val="en-US" w:eastAsia="zh-CN"/>
              </w:rPr>
            </w:pPr>
          </w:p>
        </w:tc>
      </w:tr>
      <w:tr w14:paraId="28A873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67B61B7">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24</w:t>
            </w:r>
          </w:p>
        </w:tc>
        <w:tc>
          <w:tcPr>
            <w:tcW w:w="189" w:type="pct"/>
            <w:vMerge w:val="continue"/>
            <w:tcBorders>
              <w:tl2br w:val="nil"/>
              <w:tr2bl w:val="nil"/>
            </w:tcBorders>
            <w:vAlign w:val="center"/>
          </w:tcPr>
          <w:p w14:paraId="67B68197">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606040B1">
            <w:pPr>
              <w:pStyle w:val="12"/>
              <w:pageBreakBefore w:val="0"/>
              <w:wordWrap/>
              <w:bidi w:val="0"/>
              <w:adjustRightInd/>
              <w:snapToGrid/>
              <w:ind w:left="0" w:leftChars="0" w:firstLine="0" w:firstLineChars="0"/>
              <w:rPr>
                <w:color w:val="auto"/>
              </w:rPr>
            </w:pPr>
            <w:r>
              <w:rPr>
                <w:color w:val="auto"/>
              </w:rPr>
              <w:t>反冲洗水泵</w:t>
            </w:r>
          </w:p>
        </w:tc>
        <w:tc>
          <w:tcPr>
            <w:tcW w:w="286" w:type="pct"/>
            <w:tcBorders>
              <w:tl2br w:val="nil"/>
              <w:tr2bl w:val="nil"/>
            </w:tcBorders>
            <w:vAlign w:val="center"/>
          </w:tcPr>
          <w:p w14:paraId="4D297B92">
            <w:pPr>
              <w:pStyle w:val="12"/>
              <w:pageBreakBefore w:val="0"/>
              <w:wordWrap/>
              <w:bidi w:val="0"/>
              <w:adjustRightInd/>
              <w:snapToGrid/>
              <w:ind w:left="0" w:leftChars="0" w:firstLine="0" w:firstLineChars="0"/>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303AB73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4AD21F01">
            <w:pPr>
              <w:pStyle w:val="12"/>
              <w:pageBreakBefore w:val="0"/>
              <w:wordWrap/>
              <w:bidi w:val="0"/>
              <w:adjustRightInd/>
              <w:snapToGrid/>
              <w:rPr>
                <w:color w:val="auto"/>
              </w:rPr>
            </w:pPr>
          </w:p>
        </w:tc>
        <w:tc>
          <w:tcPr>
            <w:tcW w:w="213" w:type="pct"/>
            <w:tcBorders>
              <w:tl2br w:val="nil"/>
              <w:tr2bl w:val="nil"/>
            </w:tcBorders>
            <w:vAlign w:val="center"/>
          </w:tcPr>
          <w:p w14:paraId="2E0E020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1C1EFF9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3834EC0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13D1B26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59C36BB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6A134C57">
            <w:pPr>
              <w:pStyle w:val="12"/>
              <w:pageBreakBefore w:val="0"/>
              <w:wordWrap/>
              <w:bidi w:val="0"/>
              <w:adjustRightInd/>
              <w:snapToGrid/>
              <w:rPr>
                <w:color w:val="auto"/>
              </w:rPr>
            </w:pPr>
          </w:p>
        </w:tc>
        <w:tc>
          <w:tcPr>
            <w:tcW w:w="464" w:type="pct"/>
            <w:tcBorders>
              <w:tl2br w:val="nil"/>
              <w:tr2bl w:val="nil"/>
            </w:tcBorders>
            <w:vAlign w:val="center"/>
          </w:tcPr>
          <w:p w14:paraId="425CDEBC">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54F79D16">
            <w:pPr>
              <w:pStyle w:val="12"/>
              <w:bidi w:val="0"/>
              <w:rPr>
                <w:rFonts w:hint="default"/>
                <w:color w:val="auto"/>
                <w:lang w:val="en-US" w:eastAsia="zh-CN"/>
              </w:rPr>
            </w:pPr>
          </w:p>
        </w:tc>
        <w:tc>
          <w:tcPr>
            <w:tcW w:w="285" w:type="pct"/>
            <w:tcBorders>
              <w:tl2br w:val="nil"/>
              <w:tr2bl w:val="nil"/>
            </w:tcBorders>
            <w:vAlign w:val="center"/>
          </w:tcPr>
          <w:p w14:paraId="694D3B66">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8147D50">
            <w:pPr>
              <w:pStyle w:val="12"/>
              <w:pageBreakBefore w:val="0"/>
              <w:wordWrap/>
              <w:bidi w:val="0"/>
              <w:adjustRightInd/>
              <w:snapToGrid/>
              <w:rPr>
                <w:rFonts w:hint="eastAsia"/>
                <w:color w:val="auto"/>
                <w:lang w:val="en-US" w:eastAsia="zh-CN"/>
              </w:rPr>
            </w:pPr>
          </w:p>
        </w:tc>
      </w:tr>
      <w:tr w14:paraId="64A6B9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38E2536">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25</w:t>
            </w:r>
          </w:p>
        </w:tc>
        <w:tc>
          <w:tcPr>
            <w:tcW w:w="189" w:type="pct"/>
            <w:vMerge w:val="continue"/>
            <w:tcBorders>
              <w:tl2br w:val="nil"/>
              <w:tr2bl w:val="nil"/>
            </w:tcBorders>
            <w:vAlign w:val="center"/>
          </w:tcPr>
          <w:p w14:paraId="4C781B9F">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7C6D6738">
            <w:pPr>
              <w:pStyle w:val="12"/>
              <w:pageBreakBefore w:val="0"/>
              <w:wordWrap/>
              <w:bidi w:val="0"/>
              <w:adjustRightInd/>
              <w:snapToGrid/>
              <w:ind w:left="0" w:leftChars="0" w:firstLine="0" w:firstLineChars="0"/>
              <w:rPr>
                <w:color w:val="auto"/>
              </w:rPr>
            </w:pPr>
            <w:r>
              <w:rPr>
                <w:color w:val="auto"/>
              </w:rPr>
              <w:t>反冲洗废水泵</w:t>
            </w:r>
          </w:p>
        </w:tc>
        <w:tc>
          <w:tcPr>
            <w:tcW w:w="286" w:type="pct"/>
            <w:tcBorders>
              <w:tl2br w:val="nil"/>
              <w:tr2bl w:val="nil"/>
            </w:tcBorders>
            <w:vAlign w:val="center"/>
          </w:tcPr>
          <w:p w14:paraId="223F72E9">
            <w:pPr>
              <w:pStyle w:val="12"/>
              <w:pageBreakBefore w:val="0"/>
              <w:wordWrap/>
              <w:bidi w:val="0"/>
              <w:adjustRightInd/>
              <w:snapToGrid/>
              <w:ind w:left="0" w:leftChars="0" w:firstLine="0" w:firstLineChars="0"/>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517CF6B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13A065E5">
            <w:pPr>
              <w:pStyle w:val="12"/>
              <w:pageBreakBefore w:val="0"/>
              <w:wordWrap/>
              <w:bidi w:val="0"/>
              <w:adjustRightInd/>
              <w:snapToGrid/>
              <w:rPr>
                <w:color w:val="auto"/>
              </w:rPr>
            </w:pPr>
          </w:p>
        </w:tc>
        <w:tc>
          <w:tcPr>
            <w:tcW w:w="213" w:type="pct"/>
            <w:tcBorders>
              <w:tl2br w:val="nil"/>
              <w:tr2bl w:val="nil"/>
            </w:tcBorders>
            <w:vAlign w:val="center"/>
          </w:tcPr>
          <w:p w14:paraId="20C3E7A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20A830B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326D6EA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57DB69D9">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639EDD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0D4D91F1">
            <w:pPr>
              <w:pStyle w:val="12"/>
              <w:pageBreakBefore w:val="0"/>
              <w:wordWrap/>
              <w:bidi w:val="0"/>
              <w:adjustRightInd/>
              <w:snapToGrid/>
              <w:rPr>
                <w:color w:val="auto"/>
              </w:rPr>
            </w:pPr>
          </w:p>
        </w:tc>
        <w:tc>
          <w:tcPr>
            <w:tcW w:w="464" w:type="pct"/>
            <w:tcBorders>
              <w:tl2br w:val="nil"/>
              <w:tr2bl w:val="nil"/>
            </w:tcBorders>
            <w:vAlign w:val="center"/>
          </w:tcPr>
          <w:p w14:paraId="2609F585">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2FB81089">
            <w:pPr>
              <w:pStyle w:val="12"/>
              <w:bidi w:val="0"/>
              <w:rPr>
                <w:rFonts w:hint="default"/>
                <w:color w:val="auto"/>
                <w:lang w:val="en-US" w:eastAsia="zh-CN"/>
              </w:rPr>
            </w:pPr>
          </w:p>
        </w:tc>
        <w:tc>
          <w:tcPr>
            <w:tcW w:w="285" w:type="pct"/>
            <w:tcBorders>
              <w:tl2br w:val="nil"/>
              <w:tr2bl w:val="nil"/>
            </w:tcBorders>
            <w:vAlign w:val="center"/>
          </w:tcPr>
          <w:p w14:paraId="3448460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0C754840">
            <w:pPr>
              <w:pStyle w:val="12"/>
              <w:pageBreakBefore w:val="0"/>
              <w:wordWrap/>
              <w:bidi w:val="0"/>
              <w:adjustRightInd/>
              <w:snapToGrid/>
              <w:rPr>
                <w:rFonts w:hint="eastAsia"/>
                <w:color w:val="auto"/>
                <w:lang w:val="en-US" w:eastAsia="zh-CN"/>
              </w:rPr>
            </w:pPr>
          </w:p>
        </w:tc>
      </w:tr>
      <w:tr w14:paraId="182C9C2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A1C9D23">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26</w:t>
            </w:r>
          </w:p>
        </w:tc>
        <w:tc>
          <w:tcPr>
            <w:tcW w:w="189" w:type="pct"/>
            <w:vMerge w:val="continue"/>
            <w:tcBorders>
              <w:tl2br w:val="nil"/>
              <w:tr2bl w:val="nil"/>
            </w:tcBorders>
            <w:vAlign w:val="center"/>
          </w:tcPr>
          <w:p w14:paraId="4124519C">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37E6E77A">
            <w:pPr>
              <w:pStyle w:val="12"/>
              <w:pageBreakBefore w:val="0"/>
              <w:wordWrap/>
              <w:bidi w:val="0"/>
              <w:adjustRightInd/>
              <w:snapToGrid/>
              <w:ind w:left="0" w:leftChars="0" w:firstLine="0" w:firstLineChars="0"/>
              <w:rPr>
                <w:color w:val="auto"/>
              </w:rPr>
            </w:pPr>
            <w:r>
              <w:rPr>
                <w:color w:val="auto"/>
              </w:rPr>
              <w:t>管廊底坑排水泵</w:t>
            </w:r>
          </w:p>
        </w:tc>
        <w:tc>
          <w:tcPr>
            <w:tcW w:w="286" w:type="pct"/>
            <w:tcBorders>
              <w:tl2br w:val="nil"/>
              <w:tr2bl w:val="nil"/>
            </w:tcBorders>
            <w:vAlign w:val="center"/>
          </w:tcPr>
          <w:p w14:paraId="34DC6C1D">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7C62B58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2873AF68">
            <w:pPr>
              <w:pStyle w:val="12"/>
              <w:pageBreakBefore w:val="0"/>
              <w:wordWrap/>
              <w:bidi w:val="0"/>
              <w:adjustRightInd/>
              <w:snapToGrid/>
              <w:rPr>
                <w:color w:val="auto"/>
              </w:rPr>
            </w:pPr>
          </w:p>
        </w:tc>
        <w:tc>
          <w:tcPr>
            <w:tcW w:w="213" w:type="pct"/>
            <w:tcBorders>
              <w:tl2br w:val="nil"/>
              <w:tr2bl w:val="nil"/>
            </w:tcBorders>
            <w:vAlign w:val="center"/>
          </w:tcPr>
          <w:p w14:paraId="721EC02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3580864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59B7636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5CBCCC6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CF9C87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688755CF">
            <w:pPr>
              <w:pStyle w:val="12"/>
              <w:pageBreakBefore w:val="0"/>
              <w:wordWrap/>
              <w:bidi w:val="0"/>
              <w:adjustRightInd/>
              <w:snapToGrid/>
              <w:rPr>
                <w:color w:val="auto"/>
              </w:rPr>
            </w:pPr>
          </w:p>
        </w:tc>
        <w:tc>
          <w:tcPr>
            <w:tcW w:w="464" w:type="pct"/>
            <w:tcBorders>
              <w:tl2br w:val="nil"/>
              <w:tr2bl w:val="nil"/>
            </w:tcBorders>
            <w:vAlign w:val="center"/>
          </w:tcPr>
          <w:p w14:paraId="54F0FF57">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761DD7A4">
            <w:pPr>
              <w:pStyle w:val="12"/>
              <w:bidi w:val="0"/>
              <w:rPr>
                <w:rFonts w:hint="default"/>
                <w:color w:val="auto"/>
                <w:lang w:val="en-US" w:eastAsia="zh-CN"/>
              </w:rPr>
            </w:pPr>
          </w:p>
        </w:tc>
        <w:tc>
          <w:tcPr>
            <w:tcW w:w="285" w:type="pct"/>
            <w:tcBorders>
              <w:tl2br w:val="nil"/>
              <w:tr2bl w:val="nil"/>
            </w:tcBorders>
            <w:vAlign w:val="center"/>
          </w:tcPr>
          <w:p w14:paraId="7603217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E670E11">
            <w:pPr>
              <w:pStyle w:val="12"/>
              <w:pageBreakBefore w:val="0"/>
              <w:wordWrap/>
              <w:bidi w:val="0"/>
              <w:adjustRightInd/>
              <w:snapToGrid/>
              <w:rPr>
                <w:rFonts w:hint="eastAsia"/>
                <w:color w:val="auto"/>
                <w:lang w:val="en-US" w:eastAsia="zh-CN"/>
              </w:rPr>
            </w:pPr>
          </w:p>
        </w:tc>
      </w:tr>
      <w:tr w14:paraId="6B6CBA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060549C">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27</w:t>
            </w:r>
          </w:p>
        </w:tc>
        <w:tc>
          <w:tcPr>
            <w:tcW w:w="189" w:type="pct"/>
            <w:vMerge w:val="continue"/>
            <w:tcBorders>
              <w:tl2br w:val="nil"/>
              <w:tr2bl w:val="nil"/>
            </w:tcBorders>
            <w:vAlign w:val="center"/>
          </w:tcPr>
          <w:p w14:paraId="26FB1044">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69339E2D">
            <w:pPr>
              <w:pStyle w:val="12"/>
              <w:pageBreakBefore w:val="0"/>
              <w:wordWrap/>
              <w:bidi w:val="0"/>
              <w:adjustRightInd/>
              <w:snapToGrid/>
              <w:ind w:left="0" w:leftChars="0" w:firstLine="0" w:firstLineChars="0"/>
              <w:rPr>
                <w:color w:val="auto"/>
              </w:rPr>
            </w:pPr>
            <w:r>
              <w:rPr>
                <w:color w:val="auto"/>
              </w:rPr>
              <w:t>空压机</w:t>
            </w:r>
          </w:p>
        </w:tc>
        <w:tc>
          <w:tcPr>
            <w:tcW w:w="286" w:type="pct"/>
            <w:tcBorders>
              <w:tl2br w:val="nil"/>
              <w:tr2bl w:val="nil"/>
            </w:tcBorders>
            <w:vAlign w:val="center"/>
          </w:tcPr>
          <w:p w14:paraId="141027E5">
            <w:pPr>
              <w:pStyle w:val="12"/>
              <w:pageBreakBefore w:val="0"/>
              <w:wordWrap/>
              <w:bidi w:val="0"/>
              <w:adjustRightInd/>
              <w:snapToGrid/>
              <w:ind w:left="0" w:leftChars="0" w:firstLine="0" w:firstLineChars="0"/>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3CC0007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90</w:t>
            </w:r>
          </w:p>
        </w:tc>
        <w:tc>
          <w:tcPr>
            <w:tcW w:w="372" w:type="pct"/>
            <w:vMerge w:val="continue"/>
            <w:tcBorders>
              <w:tl2br w:val="nil"/>
              <w:tr2bl w:val="nil"/>
            </w:tcBorders>
            <w:vAlign w:val="center"/>
          </w:tcPr>
          <w:p w14:paraId="1A49921D">
            <w:pPr>
              <w:pStyle w:val="12"/>
              <w:pageBreakBefore w:val="0"/>
              <w:wordWrap/>
              <w:bidi w:val="0"/>
              <w:adjustRightInd/>
              <w:snapToGrid/>
              <w:rPr>
                <w:color w:val="auto"/>
              </w:rPr>
            </w:pPr>
          </w:p>
        </w:tc>
        <w:tc>
          <w:tcPr>
            <w:tcW w:w="213" w:type="pct"/>
            <w:tcBorders>
              <w:tl2br w:val="nil"/>
              <w:tr2bl w:val="nil"/>
            </w:tcBorders>
            <w:vAlign w:val="center"/>
          </w:tcPr>
          <w:p w14:paraId="15DA2FF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6B6078B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433E98E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14A2A16C">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77FD18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90</w:t>
            </w:r>
          </w:p>
        </w:tc>
        <w:tc>
          <w:tcPr>
            <w:tcW w:w="263" w:type="pct"/>
            <w:vMerge w:val="continue"/>
            <w:tcBorders>
              <w:tl2br w:val="nil"/>
              <w:tr2bl w:val="nil"/>
            </w:tcBorders>
            <w:vAlign w:val="center"/>
          </w:tcPr>
          <w:p w14:paraId="07CFF634">
            <w:pPr>
              <w:pStyle w:val="12"/>
              <w:pageBreakBefore w:val="0"/>
              <w:wordWrap/>
              <w:bidi w:val="0"/>
              <w:adjustRightInd/>
              <w:snapToGrid/>
              <w:rPr>
                <w:color w:val="auto"/>
              </w:rPr>
            </w:pPr>
          </w:p>
        </w:tc>
        <w:tc>
          <w:tcPr>
            <w:tcW w:w="464" w:type="pct"/>
            <w:tcBorders>
              <w:tl2br w:val="nil"/>
              <w:tr2bl w:val="nil"/>
            </w:tcBorders>
            <w:vAlign w:val="center"/>
          </w:tcPr>
          <w:p w14:paraId="7EF44CDC">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115D06CA">
            <w:pPr>
              <w:pStyle w:val="12"/>
              <w:bidi w:val="0"/>
              <w:rPr>
                <w:rFonts w:hint="default"/>
                <w:color w:val="auto"/>
                <w:lang w:val="en-US" w:eastAsia="zh-CN"/>
              </w:rPr>
            </w:pPr>
          </w:p>
        </w:tc>
        <w:tc>
          <w:tcPr>
            <w:tcW w:w="285" w:type="pct"/>
            <w:tcBorders>
              <w:tl2br w:val="nil"/>
              <w:tr2bl w:val="nil"/>
            </w:tcBorders>
            <w:vAlign w:val="center"/>
          </w:tcPr>
          <w:p w14:paraId="602D5879">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1CF2FEB4">
            <w:pPr>
              <w:pStyle w:val="12"/>
              <w:pageBreakBefore w:val="0"/>
              <w:wordWrap/>
              <w:bidi w:val="0"/>
              <w:adjustRightInd/>
              <w:snapToGrid/>
              <w:rPr>
                <w:rFonts w:hint="eastAsia"/>
                <w:color w:val="auto"/>
                <w:lang w:val="en-US" w:eastAsia="zh-CN"/>
              </w:rPr>
            </w:pPr>
          </w:p>
        </w:tc>
      </w:tr>
      <w:tr w14:paraId="04F556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8608FB3">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28</w:t>
            </w:r>
          </w:p>
        </w:tc>
        <w:tc>
          <w:tcPr>
            <w:tcW w:w="189" w:type="pct"/>
            <w:vMerge w:val="continue"/>
            <w:tcBorders>
              <w:tl2br w:val="nil"/>
              <w:tr2bl w:val="nil"/>
            </w:tcBorders>
            <w:vAlign w:val="center"/>
          </w:tcPr>
          <w:p w14:paraId="274AFF99">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65EE4CD1">
            <w:pPr>
              <w:pStyle w:val="12"/>
              <w:pageBreakBefore w:val="0"/>
              <w:wordWrap/>
              <w:bidi w:val="0"/>
              <w:adjustRightInd/>
              <w:snapToGrid/>
              <w:ind w:left="0" w:leftChars="0" w:firstLine="0" w:firstLineChars="0"/>
              <w:rPr>
                <w:color w:val="auto"/>
              </w:rPr>
            </w:pPr>
            <w:r>
              <w:rPr>
                <w:color w:val="auto"/>
              </w:rPr>
              <w:t>轴流风机</w:t>
            </w:r>
          </w:p>
        </w:tc>
        <w:tc>
          <w:tcPr>
            <w:tcW w:w="286" w:type="pct"/>
            <w:tcBorders>
              <w:tl2br w:val="nil"/>
              <w:tr2bl w:val="nil"/>
            </w:tcBorders>
            <w:vAlign w:val="center"/>
          </w:tcPr>
          <w:p w14:paraId="148EA099">
            <w:pPr>
              <w:pStyle w:val="12"/>
              <w:pageBreakBefore w:val="0"/>
              <w:wordWrap/>
              <w:bidi w:val="0"/>
              <w:adjustRightInd/>
              <w:snapToGrid/>
              <w:ind w:left="0" w:leftChars="0" w:firstLine="0" w:firstLineChars="0"/>
              <w:rPr>
                <w:color w:val="auto"/>
              </w:rPr>
            </w:pPr>
            <w:r>
              <w:rPr>
                <w:color w:val="auto"/>
              </w:rPr>
              <w:t>7</w:t>
            </w:r>
          </w:p>
        </w:tc>
        <w:tc>
          <w:tcPr>
            <w:tcW w:w="372" w:type="pct"/>
            <w:tcBorders>
              <w:tl2br w:val="nil"/>
              <w:tr2bl w:val="nil"/>
            </w:tcBorders>
            <w:vAlign w:val="center"/>
          </w:tcPr>
          <w:p w14:paraId="64A0D10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2A25A78A">
            <w:pPr>
              <w:pStyle w:val="12"/>
              <w:pageBreakBefore w:val="0"/>
              <w:wordWrap/>
              <w:bidi w:val="0"/>
              <w:adjustRightInd/>
              <w:snapToGrid/>
              <w:rPr>
                <w:color w:val="auto"/>
              </w:rPr>
            </w:pPr>
          </w:p>
        </w:tc>
        <w:tc>
          <w:tcPr>
            <w:tcW w:w="213" w:type="pct"/>
            <w:tcBorders>
              <w:tl2br w:val="nil"/>
              <w:tr2bl w:val="nil"/>
            </w:tcBorders>
            <w:vAlign w:val="center"/>
          </w:tcPr>
          <w:p w14:paraId="1719545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3391F59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5A66150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14C8BEF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DA43163">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7747B6FE">
            <w:pPr>
              <w:pStyle w:val="12"/>
              <w:pageBreakBefore w:val="0"/>
              <w:wordWrap/>
              <w:bidi w:val="0"/>
              <w:adjustRightInd/>
              <w:snapToGrid/>
              <w:rPr>
                <w:color w:val="auto"/>
              </w:rPr>
            </w:pPr>
          </w:p>
        </w:tc>
        <w:tc>
          <w:tcPr>
            <w:tcW w:w="464" w:type="pct"/>
            <w:tcBorders>
              <w:tl2br w:val="nil"/>
              <w:tr2bl w:val="nil"/>
            </w:tcBorders>
            <w:vAlign w:val="center"/>
          </w:tcPr>
          <w:p w14:paraId="296F391B">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4EB3262F">
            <w:pPr>
              <w:pStyle w:val="12"/>
              <w:bidi w:val="0"/>
              <w:rPr>
                <w:rFonts w:hint="default"/>
                <w:color w:val="auto"/>
                <w:lang w:val="en-US" w:eastAsia="zh-CN"/>
              </w:rPr>
            </w:pPr>
          </w:p>
        </w:tc>
        <w:tc>
          <w:tcPr>
            <w:tcW w:w="285" w:type="pct"/>
            <w:tcBorders>
              <w:tl2br w:val="nil"/>
              <w:tr2bl w:val="nil"/>
            </w:tcBorders>
            <w:vAlign w:val="center"/>
          </w:tcPr>
          <w:p w14:paraId="6EEA0A09">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2DF5292B">
            <w:pPr>
              <w:pStyle w:val="12"/>
              <w:pageBreakBefore w:val="0"/>
              <w:wordWrap/>
              <w:bidi w:val="0"/>
              <w:adjustRightInd/>
              <w:snapToGrid/>
              <w:rPr>
                <w:rFonts w:hint="eastAsia"/>
                <w:color w:val="auto"/>
                <w:lang w:val="en-US" w:eastAsia="zh-CN"/>
              </w:rPr>
            </w:pPr>
          </w:p>
        </w:tc>
      </w:tr>
      <w:tr w14:paraId="0A7B03C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21585B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29</w:t>
            </w:r>
          </w:p>
        </w:tc>
        <w:tc>
          <w:tcPr>
            <w:tcW w:w="189" w:type="pct"/>
            <w:vMerge w:val="continue"/>
            <w:tcBorders>
              <w:tl2br w:val="nil"/>
              <w:tr2bl w:val="nil"/>
            </w:tcBorders>
            <w:vAlign w:val="center"/>
          </w:tcPr>
          <w:p w14:paraId="526FF8DE">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6B1827E8">
            <w:pPr>
              <w:pStyle w:val="12"/>
              <w:pageBreakBefore w:val="0"/>
              <w:wordWrap/>
              <w:bidi w:val="0"/>
              <w:adjustRightInd/>
              <w:snapToGrid/>
              <w:ind w:left="0" w:leftChars="0" w:firstLine="0" w:firstLineChars="0"/>
              <w:rPr>
                <w:color w:val="auto"/>
              </w:rPr>
            </w:pPr>
            <w:r>
              <w:rPr>
                <w:color w:val="auto"/>
              </w:rPr>
              <w:t>电动单梁悬挂式起重机</w:t>
            </w:r>
          </w:p>
        </w:tc>
        <w:tc>
          <w:tcPr>
            <w:tcW w:w="286" w:type="pct"/>
            <w:tcBorders>
              <w:tl2br w:val="nil"/>
              <w:tr2bl w:val="nil"/>
            </w:tcBorders>
            <w:vAlign w:val="center"/>
          </w:tcPr>
          <w:p w14:paraId="33091960">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4098394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DB24B73">
            <w:pPr>
              <w:pStyle w:val="12"/>
              <w:pageBreakBefore w:val="0"/>
              <w:wordWrap/>
              <w:bidi w:val="0"/>
              <w:adjustRightInd/>
              <w:snapToGrid/>
              <w:rPr>
                <w:color w:val="auto"/>
              </w:rPr>
            </w:pPr>
          </w:p>
        </w:tc>
        <w:tc>
          <w:tcPr>
            <w:tcW w:w="213" w:type="pct"/>
            <w:tcBorders>
              <w:tl2br w:val="nil"/>
              <w:tr2bl w:val="nil"/>
            </w:tcBorders>
            <w:vAlign w:val="center"/>
          </w:tcPr>
          <w:p w14:paraId="41C01F6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105.6</w:t>
            </w:r>
          </w:p>
        </w:tc>
        <w:tc>
          <w:tcPr>
            <w:tcW w:w="212" w:type="pct"/>
            <w:tcBorders>
              <w:tl2br w:val="nil"/>
              <w:tr2bl w:val="nil"/>
            </w:tcBorders>
            <w:vAlign w:val="center"/>
          </w:tcPr>
          <w:p w14:paraId="0231055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-49.4</w:t>
            </w:r>
          </w:p>
        </w:tc>
        <w:tc>
          <w:tcPr>
            <w:tcW w:w="215" w:type="pct"/>
            <w:tcBorders>
              <w:tl2br w:val="nil"/>
              <w:tr2bl w:val="nil"/>
            </w:tcBorders>
            <w:vAlign w:val="center"/>
          </w:tcPr>
          <w:p w14:paraId="3514FC4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23445A0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52C5CC6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123F4137">
            <w:pPr>
              <w:pStyle w:val="12"/>
              <w:pageBreakBefore w:val="0"/>
              <w:wordWrap/>
              <w:bidi w:val="0"/>
              <w:adjustRightInd/>
              <w:snapToGrid/>
              <w:rPr>
                <w:color w:val="auto"/>
              </w:rPr>
            </w:pPr>
          </w:p>
        </w:tc>
        <w:tc>
          <w:tcPr>
            <w:tcW w:w="464" w:type="pct"/>
            <w:tcBorders>
              <w:tl2br w:val="nil"/>
              <w:tr2bl w:val="nil"/>
            </w:tcBorders>
            <w:vAlign w:val="center"/>
          </w:tcPr>
          <w:p w14:paraId="61AA305E">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930431F">
            <w:pPr>
              <w:pStyle w:val="12"/>
              <w:bidi w:val="0"/>
              <w:rPr>
                <w:rFonts w:hint="default"/>
                <w:color w:val="auto"/>
                <w:lang w:val="en-US" w:eastAsia="zh-CN"/>
              </w:rPr>
            </w:pPr>
          </w:p>
        </w:tc>
        <w:tc>
          <w:tcPr>
            <w:tcW w:w="285" w:type="pct"/>
            <w:tcBorders>
              <w:tl2br w:val="nil"/>
              <w:tr2bl w:val="nil"/>
            </w:tcBorders>
            <w:vAlign w:val="center"/>
          </w:tcPr>
          <w:p w14:paraId="6328A031">
            <w:pPr>
              <w:pStyle w:val="12"/>
              <w:pageBreakBefore w:val="0"/>
              <w:wordWrap/>
              <w:bidi w:val="0"/>
              <w:adjustRightInd/>
              <w:snapToGrid/>
              <w:ind w:left="0" w:leftChars="0" w:firstLine="0" w:firstLineChars="0"/>
              <w:rPr>
                <w:color w:val="auto"/>
              </w:rPr>
            </w:pPr>
            <w:r>
              <w:rPr>
                <w:color w:val="auto"/>
              </w:rPr>
              <w:t>1</w:t>
            </w:r>
          </w:p>
        </w:tc>
        <w:tc>
          <w:tcPr>
            <w:tcW w:w="281" w:type="pct"/>
            <w:vMerge w:val="continue"/>
            <w:tcBorders>
              <w:tl2br w:val="nil"/>
              <w:tr2bl w:val="nil"/>
            </w:tcBorders>
            <w:vAlign w:val="center"/>
          </w:tcPr>
          <w:p w14:paraId="6C5629DB">
            <w:pPr>
              <w:pStyle w:val="12"/>
              <w:pageBreakBefore w:val="0"/>
              <w:wordWrap/>
              <w:bidi w:val="0"/>
              <w:adjustRightInd/>
              <w:snapToGrid/>
              <w:rPr>
                <w:rFonts w:hint="eastAsia"/>
                <w:color w:val="auto"/>
                <w:lang w:val="en-US" w:eastAsia="zh-CN"/>
              </w:rPr>
            </w:pPr>
          </w:p>
        </w:tc>
      </w:tr>
      <w:tr w14:paraId="0DE124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5AF6B9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30</w:t>
            </w:r>
          </w:p>
        </w:tc>
        <w:tc>
          <w:tcPr>
            <w:tcW w:w="189" w:type="pct"/>
            <w:vMerge w:val="continue"/>
            <w:tcBorders>
              <w:tl2br w:val="nil"/>
              <w:tr2bl w:val="nil"/>
            </w:tcBorders>
            <w:vAlign w:val="center"/>
          </w:tcPr>
          <w:p w14:paraId="3248F9B1">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02EDDC42">
            <w:pPr>
              <w:pStyle w:val="12"/>
              <w:pageBreakBefore w:val="0"/>
              <w:wordWrap/>
              <w:bidi w:val="0"/>
              <w:adjustRightInd/>
              <w:snapToGrid/>
              <w:ind w:left="0" w:leftChars="0" w:firstLine="0" w:firstLineChars="0"/>
              <w:rPr>
                <w:color w:val="auto"/>
              </w:rPr>
            </w:pPr>
            <w:r>
              <w:rPr>
                <w:color w:val="auto"/>
              </w:rPr>
              <w:t>潜水搅拌机</w:t>
            </w:r>
          </w:p>
        </w:tc>
        <w:tc>
          <w:tcPr>
            <w:tcW w:w="286" w:type="pct"/>
            <w:tcBorders>
              <w:tl2br w:val="nil"/>
              <w:tr2bl w:val="nil"/>
            </w:tcBorders>
            <w:vAlign w:val="center"/>
          </w:tcPr>
          <w:p w14:paraId="6D91B23B">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4F89F5F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3CD9AAC9">
            <w:pPr>
              <w:pStyle w:val="12"/>
              <w:pageBreakBefore w:val="0"/>
              <w:wordWrap/>
              <w:bidi w:val="0"/>
              <w:adjustRightInd/>
              <w:snapToGrid/>
              <w:rPr>
                <w:color w:val="auto"/>
              </w:rPr>
            </w:pPr>
          </w:p>
        </w:tc>
        <w:tc>
          <w:tcPr>
            <w:tcW w:w="213" w:type="pct"/>
            <w:tcBorders>
              <w:tl2br w:val="nil"/>
              <w:tr2bl w:val="nil"/>
            </w:tcBorders>
            <w:vAlign w:val="center"/>
          </w:tcPr>
          <w:p w14:paraId="3492E4E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105.6</w:t>
            </w:r>
          </w:p>
        </w:tc>
        <w:tc>
          <w:tcPr>
            <w:tcW w:w="212" w:type="pct"/>
            <w:tcBorders>
              <w:tl2br w:val="nil"/>
              <w:tr2bl w:val="nil"/>
            </w:tcBorders>
            <w:vAlign w:val="center"/>
          </w:tcPr>
          <w:p w14:paraId="54860DEC">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-49.4</w:t>
            </w:r>
          </w:p>
        </w:tc>
        <w:tc>
          <w:tcPr>
            <w:tcW w:w="215" w:type="pct"/>
            <w:tcBorders>
              <w:tl2br w:val="nil"/>
              <w:tr2bl w:val="nil"/>
            </w:tcBorders>
            <w:vAlign w:val="center"/>
          </w:tcPr>
          <w:p w14:paraId="7241CD5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65AC1346">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2DBEFE8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4A11AEAD">
            <w:pPr>
              <w:pStyle w:val="12"/>
              <w:pageBreakBefore w:val="0"/>
              <w:wordWrap/>
              <w:bidi w:val="0"/>
              <w:adjustRightInd/>
              <w:snapToGrid/>
              <w:rPr>
                <w:color w:val="auto"/>
              </w:rPr>
            </w:pPr>
          </w:p>
        </w:tc>
        <w:tc>
          <w:tcPr>
            <w:tcW w:w="464" w:type="pct"/>
            <w:tcBorders>
              <w:tl2br w:val="nil"/>
              <w:tr2bl w:val="nil"/>
            </w:tcBorders>
            <w:vAlign w:val="center"/>
          </w:tcPr>
          <w:p w14:paraId="097724F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3F19D4A">
            <w:pPr>
              <w:pStyle w:val="12"/>
              <w:bidi w:val="0"/>
              <w:rPr>
                <w:rFonts w:hint="default"/>
                <w:color w:val="auto"/>
                <w:lang w:val="en-US" w:eastAsia="zh-CN"/>
              </w:rPr>
            </w:pPr>
          </w:p>
        </w:tc>
        <w:tc>
          <w:tcPr>
            <w:tcW w:w="285" w:type="pct"/>
            <w:tcBorders>
              <w:tl2br w:val="nil"/>
              <w:tr2bl w:val="nil"/>
            </w:tcBorders>
            <w:vAlign w:val="center"/>
          </w:tcPr>
          <w:p w14:paraId="1A2370E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7D0A7A82">
            <w:pPr>
              <w:pStyle w:val="12"/>
              <w:pageBreakBefore w:val="0"/>
              <w:wordWrap/>
              <w:bidi w:val="0"/>
              <w:adjustRightInd/>
              <w:snapToGrid/>
              <w:rPr>
                <w:rFonts w:hint="eastAsia"/>
                <w:color w:val="auto"/>
                <w:lang w:val="en-US" w:eastAsia="zh-CN"/>
              </w:rPr>
            </w:pPr>
          </w:p>
        </w:tc>
      </w:tr>
      <w:tr w14:paraId="534A2D0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939FF0D">
            <w:pPr>
              <w:pStyle w:val="12"/>
              <w:pageBreakBefore w:val="0"/>
              <w:wordWrap/>
              <w:bidi w:val="0"/>
              <w:adjustRightInd/>
              <w:snapToGrid/>
              <w:ind w:left="0" w:leftChars="0" w:firstLine="0" w:firstLineChars="0"/>
              <w:rPr>
                <w:rFonts w:hint="eastAsia"/>
                <w:color w:val="auto"/>
                <w:lang w:val="en-US" w:eastAsia="zh-CN"/>
              </w:rPr>
            </w:pPr>
            <w:r>
              <w:rPr>
                <w:rFonts w:hint="eastAsia" w:cs="Times New Roman"/>
                <w:color w:val="auto"/>
                <w:kern w:val="2"/>
                <w:sz w:val="21"/>
                <w:szCs w:val="24"/>
                <w:lang w:val="en-US" w:eastAsia="zh-CN" w:bidi="ar-SA"/>
              </w:rPr>
              <w:t>31</w:t>
            </w:r>
          </w:p>
        </w:tc>
        <w:tc>
          <w:tcPr>
            <w:tcW w:w="189" w:type="pct"/>
            <w:vMerge w:val="continue"/>
            <w:tcBorders>
              <w:tl2br w:val="nil"/>
              <w:tr2bl w:val="nil"/>
            </w:tcBorders>
            <w:vAlign w:val="center"/>
          </w:tcPr>
          <w:p w14:paraId="3EF9AB3A">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50508753">
            <w:pPr>
              <w:pStyle w:val="12"/>
              <w:pageBreakBefore w:val="0"/>
              <w:wordWrap/>
              <w:bidi w:val="0"/>
              <w:adjustRightInd/>
              <w:snapToGrid/>
              <w:ind w:left="0" w:leftChars="0" w:firstLine="0" w:firstLineChars="0"/>
              <w:rPr>
                <w:color w:val="auto"/>
              </w:rPr>
            </w:pPr>
            <w:r>
              <w:rPr>
                <w:color w:val="auto"/>
              </w:rPr>
              <w:t>提升泵</w:t>
            </w:r>
          </w:p>
        </w:tc>
        <w:tc>
          <w:tcPr>
            <w:tcW w:w="286" w:type="pct"/>
            <w:tcBorders>
              <w:tl2br w:val="nil"/>
              <w:tr2bl w:val="nil"/>
            </w:tcBorders>
            <w:vAlign w:val="center"/>
          </w:tcPr>
          <w:p w14:paraId="6BDD90DF">
            <w:pPr>
              <w:pStyle w:val="12"/>
              <w:pageBreakBefore w:val="0"/>
              <w:wordWrap/>
              <w:bidi w:val="0"/>
              <w:adjustRightInd/>
              <w:snapToGrid/>
              <w:ind w:left="0" w:leftChars="0" w:firstLine="0" w:firstLineChars="0"/>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598C36A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24E262BE">
            <w:pPr>
              <w:pStyle w:val="12"/>
              <w:pageBreakBefore w:val="0"/>
              <w:wordWrap/>
              <w:bidi w:val="0"/>
              <w:adjustRightInd/>
              <w:snapToGrid/>
              <w:rPr>
                <w:color w:val="auto"/>
              </w:rPr>
            </w:pPr>
          </w:p>
        </w:tc>
        <w:tc>
          <w:tcPr>
            <w:tcW w:w="213" w:type="pct"/>
            <w:tcBorders>
              <w:tl2br w:val="nil"/>
              <w:tr2bl w:val="nil"/>
            </w:tcBorders>
            <w:vAlign w:val="center"/>
          </w:tcPr>
          <w:p w14:paraId="7BDF16B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92.4</w:t>
            </w:r>
          </w:p>
        </w:tc>
        <w:tc>
          <w:tcPr>
            <w:tcW w:w="212" w:type="pct"/>
            <w:tcBorders>
              <w:tl2br w:val="nil"/>
              <w:tr2bl w:val="nil"/>
            </w:tcBorders>
            <w:vAlign w:val="center"/>
          </w:tcPr>
          <w:p w14:paraId="7AFE176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-46.6</w:t>
            </w:r>
          </w:p>
        </w:tc>
        <w:tc>
          <w:tcPr>
            <w:tcW w:w="215" w:type="pct"/>
            <w:tcBorders>
              <w:tl2br w:val="nil"/>
              <w:tr2bl w:val="nil"/>
            </w:tcBorders>
            <w:vAlign w:val="center"/>
          </w:tcPr>
          <w:p w14:paraId="6236D4E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w:t>
            </w:r>
          </w:p>
        </w:tc>
        <w:tc>
          <w:tcPr>
            <w:tcW w:w="336" w:type="pct"/>
            <w:tcBorders>
              <w:tl2br w:val="nil"/>
              <w:tr2bl w:val="nil"/>
            </w:tcBorders>
            <w:vAlign w:val="center"/>
          </w:tcPr>
          <w:p w14:paraId="380D9A4B">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6516520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7AB9B747">
            <w:pPr>
              <w:pStyle w:val="12"/>
              <w:pageBreakBefore w:val="0"/>
              <w:wordWrap/>
              <w:bidi w:val="0"/>
              <w:adjustRightInd/>
              <w:snapToGrid/>
              <w:rPr>
                <w:color w:val="auto"/>
              </w:rPr>
            </w:pPr>
          </w:p>
        </w:tc>
        <w:tc>
          <w:tcPr>
            <w:tcW w:w="464" w:type="pct"/>
            <w:tcBorders>
              <w:tl2br w:val="nil"/>
              <w:tr2bl w:val="nil"/>
            </w:tcBorders>
            <w:vAlign w:val="center"/>
          </w:tcPr>
          <w:p w14:paraId="0CE9483A">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AE82FB8">
            <w:pPr>
              <w:pStyle w:val="12"/>
              <w:bidi w:val="0"/>
              <w:rPr>
                <w:rFonts w:hint="default"/>
                <w:color w:val="auto"/>
                <w:lang w:val="en-US" w:eastAsia="zh-CN"/>
              </w:rPr>
            </w:pPr>
          </w:p>
        </w:tc>
        <w:tc>
          <w:tcPr>
            <w:tcW w:w="285" w:type="pct"/>
            <w:tcBorders>
              <w:tl2br w:val="nil"/>
              <w:tr2bl w:val="nil"/>
            </w:tcBorders>
            <w:vAlign w:val="center"/>
          </w:tcPr>
          <w:p w14:paraId="70109387">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180967FA">
            <w:pPr>
              <w:pStyle w:val="12"/>
              <w:pageBreakBefore w:val="0"/>
              <w:wordWrap/>
              <w:bidi w:val="0"/>
              <w:adjustRightInd/>
              <w:snapToGrid/>
              <w:rPr>
                <w:rFonts w:hint="eastAsia"/>
                <w:color w:val="auto"/>
                <w:lang w:val="en-US" w:eastAsia="zh-CN"/>
              </w:rPr>
            </w:pPr>
          </w:p>
        </w:tc>
      </w:tr>
      <w:tr w14:paraId="42E19D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9B8B10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32</w:t>
            </w:r>
          </w:p>
        </w:tc>
        <w:tc>
          <w:tcPr>
            <w:tcW w:w="189" w:type="pct"/>
            <w:tcBorders>
              <w:tl2br w:val="nil"/>
              <w:tr2bl w:val="nil"/>
            </w:tcBorders>
            <w:vAlign w:val="center"/>
          </w:tcPr>
          <w:p w14:paraId="5F686683">
            <w:pPr>
              <w:pStyle w:val="12"/>
              <w:pageBreakBefore w:val="0"/>
              <w:wordWrap/>
              <w:bidi w:val="0"/>
              <w:adjustRightInd/>
              <w:snapToGrid/>
              <w:ind w:left="0" w:leftChars="0" w:firstLine="0" w:firstLineChars="0"/>
              <w:rPr>
                <w:rFonts w:hint="eastAsia"/>
                <w:color w:val="auto"/>
                <w:lang w:val="en-US" w:eastAsia="zh-CN"/>
              </w:rPr>
            </w:pPr>
            <w:r>
              <w:rPr>
                <w:rFonts w:hint="eastAsia"/>
                <w:b w:val="0"/>
                <w:bCs w:val="0"/>
                <w:color w:val="auto"/>
                <w:lang w:eastAsia="zh-CN"/>
              </w:rPr>
              <w:t>污泥池</w:t>
            </w:r>
          </w:p>
        </w:tc>
        <w:tc>
          <w:tcPr>
            <w:tcW w:w="624" w:type="pct"/>
            <w:tcBorders>
              <w:tl2br w:val="nil"/>
              <w:tr2bl w:val="nil"/>
            </w:tcBorders>
            <w:vAlign w:val="center"/>
          </w:tcPr>
          <w:p w14:paraId="20CA6A5C">
            <w:pPr>
              <w:pStyle w:val="12"/>
              <w:pageBreakBefore w:val="0"/>
              <w:wordWrap/>
              <w:bidi w:val="0"/>
              <w:adjustRightInd/>
              <w:snapToGrid/>
              <w:ind w:left="0" w:leftChars="0" w:firstLine="0" w:firstLineChars="0"/>
              <w:rPr>
                <w:color w:val="auto"/>
              </w:rPr>
            </w:pPr>
            <w:r>
              <w:rPr>
                <w:color w:val="auto"/>
              </w:rPr>
              <w:t>浓缩脱水系统加药泵</w:t>
            </w:r>
          </w:p>
        </w:tc>
        <w:tc>
          <w:tcPr>
            <w:tcW w:w="286" w:type="pct"/>
            <w:tcBorders>
              <w:tl2br w:val="nil"/>
              <w:tr2bl w:val="nil"/>
            </w:tcBorders>
            <w:vAlign w:val="center"/>
          </w:tcPr>
          <w:p w14:paraId="7B983C46">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372" w:type="pct"/>
            <w:tcBorders>
              <w:tl2br w:val="nil"/>
              <w:tr2bl w:val="nil"/>
            </w:tcBorders>
            <w:vAlign w:val="center"/>
          </w:tcPr>
          <w:p w14:paraId="6E4A35D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6A44EAA">
            <w:pPr>
              <w:pStyle w:val="12"/>
              <w:pageBreakBefore w:val="0"/>
              <w:wordWrap/>
              <w:bidi w:val="0"/>
              <w:adjustRightInd/>
              <w:snapToGrid/>
              <w:rPr>
                <w:color w:val="auto"/>
              </w:rPr>
            </w:pPr>
          </w:p>
        </w:tc>
        <w:tc>
          <w:tcPr>
            <w:tcW w:w="213" w:type="pct"/>
            <w:tcBorders>
              <w:tl2br w:val="nil"/>
              <w:tr2bl w:val="nil"/>
            </w:tcBorders>
            <w:vAlign w:val="center"/>
          </w:tcPr>
          <w:p w14:paraId="037C978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118.9</w:t>
            </w:r>
          </w:p>
        </w:tc>
        <w:tc>
          <w:tcPr>
            <w:tcW w:w="212" w:type="pct"/>
            <w:tcBorders>
              <w:tl2br w:val="nil"/>
              <w:tr2bl w:val="nil"/>
            </w:tcBorders>
            <w:vAlign w:val="center"/>
          </w:tcPr>
          <w:p w14:paraId="7B51E1E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39</w:t>
            </w:r>
          </w:p>
        </w:tc>
        <w:tc>
          <w:tcPr>
            <w:tcW w:w="215" w:type="pct"/>
            <w:tcBorders>
              <w:tl2br w:val="nil"/>
              <w:tr2bl w:val="nil"/>
            </w:tcBorders>
            <w:vAlign w:val="center"/>
          </w:tcPr>
          <w:p w14:paraId="5E36C04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-5</w:t>
            </w:r>
          </w:p>
        </w:tc>
        <w:tc>
          <w:tcPr>
            <w:tcW w:w="336" w:type="pct"/>
            <w:tcBorders>
              <w:tl2br w:val="nil"/>
              <w:tr2bl w:val="nil"/>
            </w:tcBorders>
            <w:vAlign w:val="center"/>
          </w:tcPr>
          <w:p w14:paraId="6BC3B251">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72B5482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3CEF281A">
            <w:pPr>
              <w:pStyle w:val="12"/>
              <w:pageBreakBefore w:val="0"/>
              <w:wordWrap/>
              <w:bidi w:val="0"/>
              <w:adjustRightInd/>
              <w:snapToGrid/>
              <w:rPr>
                <w:color w:val="auto"/>
              </w:rPr>
            </w:pPr>
          </w:p>
        </w:tc>
        <w:tc>
          <w:tcPr>
            <w:tcW w:w="464" w:type="pct"/>
            <w:tcBorders>
              <w:tl2br w:val="nil"/>
              <w:tr2bl w:val="nil"/>
            </w:tcBorders>
            <w:vAlign w:val="center"/>
          </w:tcPr>
          <w:p w14:paraId="01E4AC2F">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643B3B63">
            <w:pPr>
              <w:pStyle w:val="12"/>
              <w:bidi w:val="0"/>
              <w:rPr>
                <w:rFonts w:hint="default"/>
                <w:color w:val="auto"/>
                <w:lang w:val="en-US" w:eastAsia="zh-CN"/>
              </w:rPr>
            </w:pPr>
          </w:p>
        </w:tc>
        <w:tc>
          <w:tcPr>
            <w:tcW w:w="285" w:type="pct"/>
            <w:tcBorders>
              <w:tl2br w:val="nil"/>
              <w:tr2bl w:val="nil"/>
            </w:tcBorders>
            <w:vAlign w:val="center"/>
          </w:tcPr>
          <w:p w14:paraId="5164391C">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0B8300E">
            <w:pPr>
              <w:pStyle w:val="12"/>
              <w:pageBreakBefore w:val="0"/>
              <w:wordWrap/>
              <w:bidi w:val="0"/>
              <w:adjustRightInd/>
              <w:snapToGrid/>
              <w:rPr>
                <w:rFonts w:hint="eastAsia"/>
                <w:color w:val="auto"/>
                <w:lang w:val="en-US" w:eastAsia="zh-CN"/>
              </w:rPr>
            </w:pPr>
          </w:p>
        </w:tc>
      </w:tr>
      <w:tr w14:paraId="2D5A979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1ABAB9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33</w:t>
            </w:r>
          </w:p>
        </w:tc>
        <w:tc>
          <w:tcPr>
            <w:tcW w:w="189" w:type="pct"/>
            <w:vMerge w:val="restart"/>
            <w:tcBorders>
              <w:tl2br w:val="nil"/>
              <w:tr2bl w:val="nil"/>
            </w:tcBorders>
            <w:vAlign w:val="center"/>
          </w:tcPr>
          <w:p w14:paraId="7598A617">
            <w:pPr>
              <w:pageBreakBefore w:val="0"/>
              <w:wordWrap/>
              <w:bidi w:val="0"/>
              <w:adjustRightInd/>
              <w:snapToGrid/>
              <w:spacing w:line="240" w:lineRule="auto"/>
              <w:ind w:firstLine="0" w:firstLineChars="0"/>
              <w:jc w:val="center"/>
              <w:rPr>
                <w:rFonts w:hint="eastAsia"/>
                <w:color w:val="auto"/>
                <w:lang w:val="en-US" w:eastAsia="zh-CN"/>
              </w:rPr>
            </w:pPr>
            <w:r>
              <w:rPr>
                <w:rFonts w:hint="eastAsia"/>
                <w:color w:val="auto"/>
                <w:sz w:val="21"/>
                <w:szCs w:val="21"/>
                <w:lang w:val="en-US" w:eastAsia="zh-CN"/>
              </w:rPr>
              <w:t>除臭系统</w:t>
            </w:r>
          </w:p>
        </w:tc>
        <w:tc>
          <w:tcPr>
            <w:tcW w:w="624" w:type="pct"/>
            <w:tcBorders>
              <w:tl2br w:val="nil"/>
              <w:tr2bl w:val="nil"/>
            </w:tcBorders>
            <w:vAlign w:val="center"/>
          </w:tcPr>
          <w:p w14:paraId="3C112499">
            <w:pPr>
              <w:pStyle w:val="12"/>
              <w:pageBreakBefore w:val="0"/>
              <w:wordWrap/>
              <w:bidi w:val="0"/>
              <w:adjustRightInd/>
              <w:snapToGrid/>
              <w:ind w:left="0" w:leftChars="0" w:firstLine="0" w:firstLineChars="0"/>
              <w:rPr>
                <w:color w:val="auto"/>
              </w:rPr>
            </w:pPr>
            <w:r>
              <w:rPr>
                <w:color w:val="auto"/>
              </w:rPr>
              <w:t>酸液洗涤塔</w:t>
            </w:r>
          </w:p>
        </w:tc>
        <w:tc>
          <w:tcPr>
            <w:tcW w:w="286" w:type="pct"/>
            <w:tcBorders>
              <w:tl2br w:val="nil"/>
              <w:tr2bl w:val="nil"/>
            </w:tcBorders>
            <w:vAlign w:val="center"/>
          </w:tcPr>
          <w:p w14:paraId="28BFDC71">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372" w:type="pct"/>
            <w:tcBorders>
              <w:tl2br w:val="nil"/>
              <w:tr2bl w:val="nil"/>
            </w:tcBorders>
            <w:vAlign w:val="center"/>
          </w:tcPr>
          <w:p w14:paraId="2BA1B6D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6CC33CEC">
            <w:pPr>
              <w:pStyle w:val="12"/>
              <w:pageBreakBefore w:val="0"/>
              <w:wordWrap/>
              <w:bidi w:val="0"/>
              <w:adjustRightInd/>
              <w:snapToGrid/>
              <w:rPr>
                <w:color w:val="auto"/>
              </w:rPr>
            </w:pPr>
          </w:p>
        </w:tc>
        <w:tc>
          <w:tcPr>
            <w:tcW w:w="213" w:type="pct"/>
            <w:tcBorders>
              <w:tl2br w:val="nil"/>
              <w:tr2bl w:val="nil"/>
            </w:tcBorders>
            <w:vAlign w:val="center"/>
          </w:tcPr>
          <w:p w14:paraId="1CFA4D7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w:t>
            </w:r>
          </w:p>
        </w:tc>
        <w:tc>
          <w:tcPr>
            <w:tcW w:w="212" w:type="pct"/>
            <w:tcBorders>
              <w:tl2br w:val="nil"/>
              <w:tr2bl w:val="nil"/>
            </w:tcBorders>
            <w:vAlign w:val="center"/>
          </w:tcPr>
          <w:p w14:paraId="54CE767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215" w:type="pct"/>
            <w:tcBorders>
              <w:tl2br w:val="nil"/>
              <w:tr2bl w:val="nil"/>
            </w:tcBorders>
            <w:vAlign w:val="center"/>
          </w:tcPr>
          <w:p w14:paraId="7A779A40">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4EC3EB22">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0A01098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75</w:t>
            </w:r>
          </w:p>
        </w:tc>
        <w:tc>
          <w:tcPr>
            <w:tcW w:w="263" w:type="pct"/>
            <w:vMerge w:val="continue"/>
            <w:tcBorders>
              <w:tl2br w:val="nil"/>
              <w:tr2bl w:val="nil"/>
            </w:tcBorders>
            <w:vAlign w:val="center"/>
          </w:tcPr>
          <w:p w14:paraId="4899C5B1">
            <w:pPr>
              <w:pStyle w:val="12"/>
              <w:pageBreakBefore w:val="0"/>
              <w:wordWrap/>
              <w:bidi w:val="0"/>
              <w:adjustRightInd/>
              <w:snapToGrid/>
              <w:rPr>
                <w:color w:val="auto"/>
              </w:rPr>
            </w:pPr>
          </w:p>
        </w:tc>
        <w:tc>
          <w:tcPr>
            <w:tcW w:w="464" w:type="pct"/>
            <w:tcBorders>
              <w:tl2br w:val="nil"/>
              <w:tr2bl w:val="nil"/>
            </w:tcBorders>
            <w:vAlign w:val="center"/>
          </w:tcPr>
          <w:p w14:paraId="065868BE">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1D6120FE">
            <w:pPr>
              <w:pStyle w:val="12"/>
              <w:bidi w:val="0"/>
              <w:rPr>
                <w:rFonts w:hint="default"/>
                <w:color w:val="auto"/>
                <w:lang w:val="en-US" w:eastAsia="zh-CN"/>
              </w:rPr>
            </w:pPr>
          </w:p>
        </w:tc>
        <w:tc>
          <w:tcPr>
            <w:tcW w:w="285" w:type="pct"/>
            <w:tcBorders>
              <w:tl2br w:val="nil"/>
              <w:tr2bl w:val="nil"/>
            </w:tcBorders>
            <w:vAlign w:val="center"/>
          </w:tcPr>
          <w:p w14:paraId="00B0FC7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53012F73">
            <w:pPr>
              <w:pStyle w:val="12"/>
              <w:pageBreakBefore w:val="0"/>
              <w:wordWrap/>
              <w:bidi w:val="0"/>
              <w:adjustRightInd/>
              <w:snapToGrid/>
              <w:rPr>
                <w:rFonts w:hint="eastAsia"/>
                <w:color w:val="auto"/>
                <w:lang w:val="en-US" w:eastAsia="zh-CN"/>
              </w:rPr>
            </w:pPr>
          </w:p>
        </w:tc>
      </w:tr>
      <w:tr w14:paraId="7D29DB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EAE7B7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34</w:t>
            </w:r>
          </w:p>
        </w:tc>
        <w:tc>
          <w:tcPr>
            <w:tcW w:w="189" w:type="pct"/>
            <w:vMerge w:val="continue"/>
            <w:tcBorders>
              <w:tl2br w:val="nil"/>
              <w:tr2bl w:val="nil"/>
            </w:tcBorders>
            <w:vAlign w:val="center"/>
          </w:tcPr>
          <w:p w14:paraId="4EDF09B3">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51FDAD4F">
            <w:pPr>
              <w:pStyle w:val="12"/>
              <w:pageBreakBefore w:val="0"/>
              <w:wordWrap/>
              <w:bidi w:val="0"/>
              <w:adjustRightInd/>
              <w:snapToGrid/>
              <w:ind w:left="0" w:leftChars="0" w:firstLine="0" w:firstLineChars="0"/>
              <w:rPr>
                <w:color w:val="auto"/>
              </w:rPr>
            </w:pPr>
            <w:r>
              <w:rPr>
                <w:color w:val="auto"/>
              </w:rPr>
              <w:t>循环泵</w:t>
            </w:r>
          </w:p>
        </w:tc>
        <w:tc>
          <w:tcPr>
            <w:tcW w:w="286" w:type="pct"/>
            <w:tcBorders>
              <w:tl2br w:val="nil"/>
              <w:tr2bl w:val="nil"/>
            </w:tcBorders>
            <w:vAlign w:val="center"/>
          </w:tcPr>
          <w:p w14:paraId="74029762">
            <w:pPr>
              <w:pStyle w:val="12"/>
              <w:pageBreakBefore w:val="0"/>
              <w:wordWrap/>
              <w:bidi w:val="0"/>
              <w:adjustRightInd/>
              <w:snapToGrid/>
              <w:ind w:left="0" w:leftChars="0" w:firstLine="0" w:firstLineChars="0"/>
              <w:rPr>
                <w:color w:val="auto"/>
              </w:rPr>
            </w:pPr>
            <w:r>
              <w:rPr>
                <w:color w:val="auto"/>
              </w:rPr>
              <w:t>2用</w:t>
            </w:r>
            <w:r>
              <w:rPr>
                <w:rFonts w:hint="eastAsia"/>
                <w:color w:val="auto"/>
                <w:lang w:val="en-US" w:eastAsia="zh-CN"/>
              </w:rPr>
              <w:t>2</w:t>
            </w:r>
            <w:r>
              <w:rPr>
                <w:color w:val="auto"/>
              </w:rPr>
              <w:t>备</w:t>
            </w:r>
          </w:p>
        </w:tc>
        <w:tc>
          <w:tcPr>
            <w:tcW w:w="372" w:type="pct"/>
            <w:tcBorders>
              <w:tl2br w:val="nil"/>
              <w:tr2bl w:val="nil"/>
            </w:tcBorders>
            <w:vAlign w:val="center"/>
          </w:tcPr>
          <w:p w14:paraId="71A9E72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70336992">
            <w:pPr>
              <w:pStyle w:val="12"/>
              <w:pageBreakBefore w:val="0"/>
              <w:wordWrap/>
              <w:bidi w:val="0"/>
              <w:adjustRightInd/>
              <w:snapToGrid/>
              <w:rPr>
                <w:color w:val="auto"/>
              </w:rPr>
            </w:pPr>
          </w:p>
        </w:tc>
        <w:tc>
          <w:tcPr>
            <w:tcW w:w="213" w:type="pct"/>
            <w:tcBorders>
              <w:tl2br w:val="nil"/>
              <w:tr2bl w:val="nil"/>
            </w:tcBorders>
            <w:vAlign w:val="center"/>
          </w:tcPr>
          <w:p w14:paraId="0BD5E26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w:t>
            </w:r>
          </w:p>
        </w:tc>
        <w:tc>
          <w:tcPr>
            <w:tcW w:w="212" w:type="pct"/>
            <w:tcBorders>
              <w:tl2br w:val="nil"/>
              <w:tr2bl w:val="nil"/>
            </w:tcBorders>
            <w:vAlign w:val="center"/>
          </w:tcPr>
          <w:p w14:paraId="622DD5C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215" w:type="pct"/>
            <w:tcBorders>
              <w:tl2br w:val="nil"/>
              <w:tr2bl w:val="nil"/>
            </w:tcBorders>
            <w:vAlign w:val="center"/>
          </w:tcPr>
          <w:p w14:paraId="6EB18E34">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616D7B76">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57C31CB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406AB1D6">
            <w:pPr>
              <w:pStyle w:val="12"/>
              <w:pageBreakBefore w:val="0"/>
              <w:wordWrap/>
              <w:bidi w:val="0"/>
              <w:adjustRightInd/>
              <w:snapToGrid/>
              <w:rPr>
                <w:color w:val="auto"/>
              </w:rPr>
            </w:pPr>
          </w:p>
        </w:tc>
        <w:tc>
          <w:tcPr>
            <w:tcW w:w="464" w:type="pct"/>
            <w:tcBorders>
              <w:tl2br w:val="nil"/>
              <w:tr2bl w:val="nil"/>
            </w:tcBorders>
            <w:vAlign w:val="center"/>
          </w:tcPr>
          <w:p w14:paraId="0A1BB3C4">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0ACAB2AE">
            <w:pPr>
              <w:pStyle w:val="12"/>
              <w:bidi w:val="0"/>
              <w:rPr>
                <w:rFonts w:hint="default"/>
                <w:color w:val="auto"/>
                <w:lang w:val="en-US" w:eastAsia="zh-CN"/>
              </w:rPr>
            </w:pPr>
          </w:p>
        </w:tc>
        <w:tc>
          <w:tcPr>
            <w:tcW w:w="285" w:type="pct"/>
            <w:tcBorders>
              <w:tl2br w:val="nil"/>
              <w:tr2bl w:val="nil"/>
            </w:tcBorders>
            <w:vAlign w:val="center"/>
          </w:tcPr>
          <w:p w14:paraId="041CF831">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16573658">
            <w:pPr>
              <w:pStyle w:val="12"/>
              <w:pageBreakBefore w:val="0"/>
              <w:wordWrap/>
              <w:bidi w:val="0"/>
              <w:adjustRightInd/>
              <w:snapToGrid/>
              <w:rPr>
                <w:rFonts w:hint="eastAsia"/>
                <w:color w:val="auto"/>
                <w:lang w:val="en-US" w:eastAsia="zh-CN"/>
              </w:rPr>
            </w:pPr>
          </w:p>
        </w:tc>
      </w:tr>
      <w:tr w14:paraId="33CC17D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331619A">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35</w:t>
            </w:r>
          </w:p>
        </w:tc>
        <w:tc>
          <w:tcPr>
            <w:tcW w:w="189" w:type="pct"/>
            <w:vMerge w:val="continue"/>
            <w:tcBorders>
              <w:tl2br w:val="nil"/>
              <w:tr2bl w:val="nil"/>
            </w:tcBorders>
            <w:vAlign w:val="center"/>
          </w:tcPr>
          <w:p w14:paraId="3D1AA914">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46F6DA03">
            <w:pPr>
              <w:pStyle w:val="12"/>
              <w:pageBreakBefore w:val="0"/>
              <w:wordWrap/>
              <w:bidi w:val="0"/>
              <w:adjustRightInd/>
              <w:snapToGrid/>
              <w:ind w:left="0" w:leftChars="0" w:firstLine="0" w:firstLineChars="0"/>
              <w:rPr>
                <w:color w:val="auto"/>
              </w:rPr>
            </w:pPr>
            <w:r>
              <w:rPr>
                <w:color w:val="auto"/>
              </w:rPr>
              <w:t>加药泵</w:t>
            </w:r>
          </w:p>
        </w:tc>
        <w:tc>
          <w:tcPr>
            <w:tcW w:w="286" w:type="pct"/>
            <w:tcBorders>
              <w:tl2br w:val="nil"/>
              <w:tr2bl w:val="nil"/>
            </w:tcBorders>
            <w:vAlign w:val="center"/>
          </w:tcPr>
          <w:p w14:paraId="545EBD6E">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372" w:type="pct"/>
            <w:tcBorders>
              <w:tl2br w:val="nil"/>
              <w:tr2bl w:val="nil"/>
            </w:tcBorders>
            <w:vAlign w:val="center"/>
          </w:tcPr>
          <w:p w14:paraId="321CE48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24BA9887">
            <w:pPr>
              <w:pStyle w:val="12"/>
              <w:pageBreakBefore w:val="0"/>
              <w:wordWrap/>
              <w:bidi w:val="0"/>
              <w:adjustRightInd/>
              <w:snapToGrid/>
              <w:rPr>
                <w:color w:val="auto"/>
              </w:rPr>
            </w:pPr>
          </w:p>
        </w:tc>
        <w:tc>
          <w:tcPr>
            <w:tcW w:w="213" w:type="pct"/>
            <w:tcBorders>
              <w:tl2br w:val="nil"/>
              <w:tr2bl w:val="nil"/>
            </w:tcBorders>
            <w:vAlign w:val="center"/>
          </w:tcPr>
          <w:p w14:paraId="68E35471">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w:t>
            </w:r>
          </w:p>
        </w:tc>
        <w:tc>
          <w:tcPr>
            <w:tcW w:w="212" w:type="pct"/>
            <w:tcBorders>
              <w:tl2br w:val="nil"/>
              <w:tr2bl w:val="nil"/>
            </w:tcBorders>
            <w:vAlign w:val="center"/>
          </w:tcPr>
          <w:p w14:paraId="7792E6CE">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215" w:type="pct"/>
            <w:tcBorders>
              <w:tl2br w:val="nil"/>
              <w:tr2bl w:val="nil"/>
            </w:tcBorders>
            <w:vAlign w:val="center"/>
          </w:tcPr>
          <w:p w14:paraId="341735D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3C40D5FE">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76F4EA1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7CFA19FD">
            <w:pPr>
              <w:pStyle w:val="12"/>
              <w:pageBreakBefore w:val="0"/>
              <w:wordWrap/>
              <w:bidi w:val="0"/>
              <w:adjustRightInd/>
              <w:snapToGrid/>
              <w:rPr>
                <w:color w:val="auto"/>
              </w:rPr>
            </w:pPr>
          </w:p>
        </w:tc>
        <w:tc>
          <w:tcPr>
            <w:tcW w:w="464" w:type="pct"/>
            <w:tcBorders>
              <w:tl2br w:val="nil"/>
              <w:tr2bl w:val="nil"/>
            </w:tcBorders>
            <w:vAlign w:val="center"/>
          </w:tcPr>
          <w:p w14:paraId="2146F1F4">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56359089">
            <w:pPr>
              <w:pStyle w:val="12"/>
              <w:bidi w:val="0"/>
              <w:rPr>
                <w:rFonts w:hint="default"/>
                <w:color w:val="auto"/>
                <w:lang w:val="en-US" w:eastAsia="zh-CN"/>
              </w:rPr>
            </w:pPr>
          </w:p>
        </w:tc>
        <w:tc>
          <w:tcPr>
            <w:tcW w:w="285" w:type="pct"/>
            <w:tcBorders>
              <w:tl2br w:val="nil"/>
              <w:tr2bl w:val="nil"/>
            </w:tcBorders>
            <w:vAlign w:val="center"/>
          </w:tcPr>
          <w:p w14:paraId="69EF18EA">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7836BA25">
            <w:pPr>
              <w:pStyle w:val="12"/>
              <w:pageBreakBefore w:val="0"/>
              <w:wordWrap/>
              <w:bidi w:val="0"/>
              <w:adjustRightInd/>
              <w:snapToGrid/>
              <w:rPr>
                <w:rFonts w:hint="eastAsia"/>
                <w:color w:val="auto"/>
                <w:lang w:val="en-US" w:eastAsia="zh-CN"/>
              </w:rPr>
            </w:pPr>
          </w:p>
        </w:tc>
      </w:tr>
      <w:tr w14:paraId="6914F8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A9FECC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36</w:t>
            </w:r>
          </w:p>
        </w:tc>
        <w:tc>
          <w:tcPr>
            <w:tcW w:w="189" w:type="pct"/>
            <w:vMerge w:val="continue"/>
            <w:tcBorders>
              <w:tl2br w:val="nil"/>
              <w:tr2bl w:val="nil"/>
            </w:tcBorders>
            <w:vAlign w:val="center"/>
          </w:tcPr>
          <w:p w14:paraId="18C7C2E9">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114DBE96">
            <w:pPr>
              <w:pStyle w:val="12"/>
              <w:pageBreakBefore w:val="0"/>
              <w:wordWrap/>
              <w:bidi w:val="0"/>
              <w:adjustRightInd/>
              <w:snapToGrid/>
              <w:ind w:left="0" w:leftChars="0" w:firstLine="0" w:firstLineChars="0"/>
              <w:rPr>
                <w:color w:val="auto"/>
              </w:rPr>
            </w:pPr>
            <w:r>
              <w:rPr>
                <w:color w:val="auto"/>
              </w:rPr>
              <w:t>离心风机</w:t>
            </w:r>
          </w:p>
        </w:tc>
        <w:tc>
          <w:tcPr>
            <w:tcW w:w="286" w:type="pct"/>
            <w:tcBorders>
              <w:tl2br w:val="nil"/>
              <w:tr2bl w:val="nil"/>
            </w:tcBorders>
            <w:vAlign w:val="center"/>
          </w:tcPr>
          <w:p w14:paraId="7A71217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372" w:type="pct"/>
            <w:tcBorders>
              <w:tl2br w:val="nil"/>
              <w:tr2bl w:val="nil"/>
            </w:tcBorders>
            <w:vAlign w:val="center"/>
          </w:tcPr>
          <w:p w14:paraId="64CCF578">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008B3A62">
            <w:pPr>
              <w:pStyle w:val="12"/>
              <w:pageBreakBefore w:val="0"/>
              <w:wordWrap/>
              <w:bidi w:val="0"/>
              <w:adjustRightInd/>
              <w:snapToGrid/>
              <w:rPr>
                <w:color w:val="auto"/>
              </w:rPr>
            </w:pPr>
          </w:p>
        </w:tc>
        <w:tc>
          <w:tcPr>
            <w:tcW w:w="213" w:type="pct"/>
            <w:tcBorders>
              <w:tl2br w:val="nil"/>
              <w:tr2bl w:val="nil"/>
            </w:tcBorders>
            <w:vAlign w:val="center"/>
          </w:tcPr>
          <w:p w14:paraId="5F6E5765">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w:t>
            </w:r>
          </w:p>
        </w:tc>
        <w:tc>
          <w:tcPr>
            <w:tcW w:w="212" w:type="pct"/>
            <w:tcBorders>
              <w:tl2br w:val="nil"/>
              <w:tr2bl w:val="nil"/>
            </w:tcBorders>
            <w:vAlign w:val="center"/>
          </w:tcPr>
          <w:p w14:paraId="37EBB18F">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215" w:type="pct"/>
            <w:tcBorders>
              <w:tl2br w:val="nil"/>
              <w:tr2bl w:val="nil"/>
            </w:tcBorders>
            <w:vAlign w:val="center"/>
          </w:tcPr>
          <w:p w14:paraId="78F0A4AD">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291750B0">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4B8D39C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80</w:t>
            </w:r>
          </w:p>
        </w:tc>
        <w:tc>
          <w:tcPr>
            <w:tcW w:w="263" w:type="pct"/>
            <w:vMerge w:val="continue"/>
            <w:tcBorders>
              <w:tl2br w:val="nil"/>
              <w:tr2bl w:val="nil"/>
            </w:tcBorders>
            <w:vAlign w:val="center"/>
          </w:tcPr>
          <w:p w14:paraId="5AA02020">
            <w:pPr>
              <w:pStyle w:val="12"/>
              <w:pageBreakBefore w:val="0"/>
              <w:wordWrap/>
              <w:bidi w:val="0"/>
              <w:adjustRightInd/>
              <w:snapToGrid/>
              <w:rPr>
                <w:color w:val="auto"/>
              </w:rPr>
            </w:pPr>
          </w:p>
        </w:tc>
        <w:tc>
          <w:tcPr>
            <w:tcW w:w="464" w:type="pct"/>
            <w:tcBorders>
              <w:tl2br w:val="nil"/>
              <w:tr2bl w:val="nil"/>
            </w:tcBorders>
            <w:vAlign w:val="center"/>
          </w:tcPr>
          <w:p w14:paraId="06172539">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06F9C601">
            <w:pPr>
              <w:pStyle w:val="12"/>
              <w:bidi w:val="0"/>
              <w:rPr>
                <w:rFonts w:hint="default"/>
                <w:color w:val="auto"/>
                <w:lang w:val="en-US" w:eastAsia="zh-CN"/>
              </w:rPr>
            </w:pPr>
          </w:p>
        </w:tc>
        <w:tc>
          <w:tcPr>
            <w:tcW w:w="285" w:type="pct"/>
            <w:tcBorders>
              <w:tl2br w:val="nil"/>
              <w:tr2bl w:val="nil"/>
            </w:tcBorders>
            <w:vAlign w:val="center"/>
          </w:tcPr>
          <w:p w14:paraId="6DB3F2B1">
            <w:pPr>
              <w:pStyle w:val="12"/>
              <w:pageBreakBefore w:val="0"/>
              <w:wordWrap/>
              <w:bidi w:val="0"/>
              <w:adjustRightInd/>
              <w:snapToGrid/>
              <w:ind w:left="0" w:leftChars="0" w:firstLine="0" w:firstLineChars="0"/>
              <w:rPr>
                <w:color w:val="auto"/>
              </w:rPr>
            </w:pPr>
            <w:r>
              <w:rPr>
                <w:color w:val="auto"/>
              </w:rPr>
              <w:t>1</w:t>
            </w:r>
          </w:p>
        </w:tc>
        <w:tc>
          <w:tcPr>
            <w:tcW w:w="281" w:type="pct"/>
            <w:vMerge w:val="continue"/>
            <w:tcBorders>
              <w:tl2br w:val="nil"/>
              <w:tr2bl w:val="nil"/>
            </w:tcBorders>
            <w:vAlign w:val="center"/>
          </w:tcPr>
          <w:p w14:paraId="6E7B4751">
            <w:pPr>
              <w:pStyle w:val="12"/>
              <w:pageBreakBefore w:val="0"/>
              <w:wordWrap/>
              <w:bidi w:val="0"/>
              <w:adjustRightInd/>
              <w:snapToGrid/>
              <w:rPr>
                <w:rFonts w:hint="eastAsia"/>
                <w:color w:val="auto"/>
                <w:lang w:val="en-US" w:eastAsia="zh-CN"/>
              </w:rPr>
            </w:pPr>
          </w:p>
        </w:tc>
      </w:tr>
      <w:tr w14:paraId="587A16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3E6FCF6">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189" w:type="pct"/>
            <w:vMerge w:val="continue"/>
            <w:tcBorders>
              <w:tl2br w:val="nil"/>
              <w:tr2bl w:val="nil"/>
            </w:tcBorders>
            <w:vAlign w:val="center"/>
          </w:tcPr>
          <w:p w14:paraId="0977401F">
            <w:pPr>
              <w:pageBreakBefore w:val="0"/>
              <w:wordWrap/>
              <w:bidi w:val="0"/>
              <w:adjustRightInd/>
              <w:snapToGrid/>
              <w:spacing w:line="240" w:lineRule="auto"/>
              <w:ind w:firstLine="0" w:firstLineChars="0"/>
              <w:jc w:val="center"/>
              <w:rPr>
                <w:rFonts w:hint="eastAsia"/>
                <w:color w:val="auto"/>
                <w:lang w:val="en-US" w:eastAsia="zh-CN"/>
              </w:rPr>
            </w:pPr>
          </w:p>
        </w:tc>
        <w:tc>
          <w:tcPr>
            <w:tcW w:w="624" w:type="pct"/>
            <w:tcBorders>
              <w:tl2br w:val="nil"/>
              <w:tr2bl w:val="nil"/>
            </w:tcBorders>
            <w:vAlign w:val="center"/>
          </w:tcPr>
          <w:p w14:paraId="3D60059D">
            <w:pPr>
              <w:pStyle w:val="12"/>
              <w:pageBreakBefore w:val="0"/>
              <w:wordWrap/>
              <w:bidi w:val="0"/>
              <w:adjustRightInd/>
              <w:snapToGrid/>
              <w:ind w:left="0" w:leftChars="0" w:firstLine="0" w:firstLineChars="0"/>
              <w:rPr>
                <w:color w:val="auto"/>
              </w:rPr>
            </w:pPr>
            <w:r>
              <w:rPr>
                <w:color w:val="auto"/>
              </w:rPr>
              <w:t>循环水泵</w:t>
            </w:r>
          </w:p>
        </w:tc>
        <w:tc>
          <w:tcPr>
            <w:tcW w:w="286" w:type="pct"/>
            <w:tcBorders>
              <w:tl2br w:val="nil"/>
              <w:tr2bl w:val="nil"/>
            </w:tcBorders>
            <w:vAlign w:val="center"/>
          </w:tcPr>
          <w:p w14:paraId="00C8F269">
            <w:pPr>
              <w:pStyle w:val="12"/>
              <w:pageBreakBefore w:val="0"/>
              <w:wordWrap/>
              <w:bidi w:val="0"/>
              <w:adjustRightInd/>
              <w:snapToGrid/>
              <w:ind w:left="0" w:leftChars="0" w:firstLine="0" w:firstLineChars="0"/>
              <w:rPr>
                <w:color w:val="auto"/>
              </w:rPr>
            </w:pPr>
            <w:r>
              <w:rPr>
                <w:color w:val="auto"/>
              </w:rPr>
              <w:t>2用</w:t>
            </w:r>
            <w:r>
              <w:rPr>
                <w:rFonts w:hint="eastAsia"/>
                <w:color w:val="auto"/>
                <w:lang w:eastAsia="zh-CN"/>
              </w:rPr>
              <w:t>1</w:t>
            </w:r>
            <w:r>
              <w:rPr>
                <w:color w:val="auto"/>
              </w:rPr>
              <w:t>备</w:t>
            </w:r>
          </w:p>
        </w:tc>
        <w:tc>
          <w:tcPr>
            <w:tcW w:w="372" w:type="pct"/>
            <w:tcBorders>
              <w:tl2br w:val="nil"/>
              <w:tr2bl w:val="nil"/>
            </w:tcBorders>
            <w:vAlign w:val="center"/>
          </w:tcPr>
          <w:p w14:paraId="4BA86E17">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54846F69">
            <w:pPr>
              <w:pStyle w:val="12"/>
              <w:pageBreakBefore w:val="0"/>
              <w:wordWrap/>
              <w:bidi w:val="0"/>
              <w:adjustRightInd/>
              <w:snapToGrid/>
              <w:rPr>
                <w:color w:val="auto"/>
              </w:rPr>
            </w:pPr>
          </w:p>
        </w:tc>
        <w:tc>
          <w:tcPr>
            <w:tcW w:w="213" w:type="pct"/>
            <w:tcBorders>
              <w:tl2br w:val="nil"/>
              <w:tr2bl w:val="nil"/>
            </w:tcBorders>
            <w:vAlign w:val="center"/>
          </w:tcPr>
          <w:p w14:paraId="5537AA5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49</w:t>
            </w:r>
          </w:p>
        </w:tc>
        <w:tc>
          <w:tcPr>
            <w:tcW w:w="212" w:type="pct"/>
            <w:tcBorders>
              <w:tl2br w:val="nil"/>
              <w:tr2bl w:val="nil"/>
            </w:tcBorders>
            <w:vAlign w:val="center"/>
          </w:tcPr>
          <w:p w14:paraId="6D55C0AB">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37</w:t>
            </w:r>
          </w:p>
        </w:tc>
        <w:tc>
          <w:tcPr>
            <w:tcW w:w="215" w:type="pct"/>
            <w:tcBorders>
              <w:tl2br w:val="nil"/>
              <w:tr2bl w:val="nil"/>
            </w:tcBorders>
            <w:vAlign w:val="center"/>
          </w:tcPr>
          <w:p w14:paraId="42DA2862">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1</w:t>
            </w:r>
          </w:p>
        </w:tc>
        <w:tc>
          <w:tcPr>
            <w:tcW w:w="336" w:type="pct"/>
            <w:tcBorders>
              <w:tl2br w:val="nil"/>
              <w:tr2bl w:val="nil"/>
            </w:tcBorders>
            <w:vAlign w:val="center"/>
          </w:tcPr>
          <w:p w14:paraId="5393FDDC">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436" w:type="pct"/>
            <w:tcBorders>
              <w:tl2br w:val="nil"/>
              <w:tr2bl w:val="nil"/>
            </w:tcBorders>
            <w:vAlign w:val="center"/>
          </w:tcPr>
          <w:p w14:paraId="7EEBB6E9">
            <w:pPr>
              <w:pStyle w:val="12"/>
              <w:pageBreakBefore w:val="0"/>
              <w:wordWrap/>
              <w:bidi w:val="0"/>
              <w:adjustRightInd/>
              <w:snapToGrid/>
              <w:ind w:left="0" w:leftChars="0" w:firstLine="0" w:firstLineChars="0"/>
              <w:rPr>
                <w:rFonts w:hint="eastAsia"/>
                <w:color w:val="auto"/>
                <w:lang w:val="en-US" w:eastAsia="zh-CN"/>
              </w:rPr>
            </w:pPr>
            <w:r>
              <w:rPr>
                <w:rFonts w:hint="eastAsia"/>
                <w:color w:val="auto"/>
                <w:lang w:val="en-US" w:eastAsia="zh-CN"/>
              </w:rPr>
              <w:t>85</w:t>
            </w:r>
          </w:p>
        </w:tc>
        <w:tc>
          <w:tcPr>
            <w:tcW w:w="263" w:type="pct"/>
            <w:vMerge w:val="continue"/>
            <w:tcBorders>
              <w:tl2br w:val="nil"/>
              <w:tr2bl w:val="nil"/>
            </w:tcBorders>
            <w:vAlign w:val="center"/>
          </w:tcPr>
          <w:p w14:paraId="7569FE7D">
            <w:pPr>
              <w:pStyle w:val="12"/>
              <w:pageBreakBefore w:val="0"/>
              <w:wordWrap/>
              <w:bidi w:val="0"/>
              <w:adjustRightInd/>
              <w:snapToGrid/>
              <w:rPr>
                <w:color w:val="auto"/>
              </w:rPr>
            </w:pPr>
          </w:p>
        </w:tc>
        <w:tc>
          <w:tcPr>
            <w:tcW w:w="464" w:type="pct"/>
            <w:tcBorders>
              <w:tl2br w:val="nil"/>
              <w:tr2bl w:val="nil"/>
            </w:tcBorders>
            <w:vAlign w:val="center"/>
          </w:tcPr>
          <w:p w14:paraId="3311892C">
            <w:pPr>
              <w:pStyle w:val="12"/>
              <w:bidi w:val="0"/>
              <w:ind w:left="0" w:leftChars="0" w:firstLine="0" w:firstLineChars="0"/>
              <w:rPr>
                <w:rFonts w:hint="eastAsia"/>
                <w:color w:val="auto"/>
                <w:lang w:val="en-US" w:eastAsia="zh-CN"/>
              </w:rPr>
            </w:pPr>
            <w:r>
              <w:rPr>
                <w:rFonts w:hint="eastAsia"/>
                <w:color w:val="auto"/>
                <w:lang w:val="en-US" w:eastAsia="zh-CN"/>
              </w:rPr>
              <w:t>44.8</w:t>
            </w:r>
          </w:p>
        </w:tc>
        <w:tc>
          <w:tcPr>
            <w:tcW w:w="283" w:type="pct"/>
            <w:tcBorders>
              <w:tl2br w:val="nil"/>
              <w:tr2bl w:val="nil"/>
            </w:tcBorders>
            <w:vAlign w:val="center"/>
          </w:tcPr>
          <w:p w14:paraId="7DB03085">
            <w:pPr>
              <w:pStyle w:val="12"/>
              <w:bidi w:val="0"/>
              <w:rPr>
                <w:rFonts w:hint="default"/>
                <w:color w:val="auto"/>
                <w:lang w:val="en-US" w:eastAsia="zh-CN"/>
              </w:rPr>
            </w:pPr>
          </w:p>
        </w:tc>
        <w:tc>
          <w:tcPr>
            <w:tcW w:w="285" w:type="pct"/>
            <w:tcBorders>
              <w:tl2br w:val="nil"/>
              <w:tr2bl w:val="nil"/>
            </w:tcBorders>
            <w:vAlign w:val="center"/>
          </w:tcPr>
          <w:p w14:paraId="23F9C3F5">
            <w:pPr>
              <w:pStyle w:val="12"/>
              <w:pageBreakBefore w:val="0"/>
              <w:wordWrap/>
              <w:bidi w:val="0"/>
              <w:adjustRightInd/>
              <w:snapToGrid/>
              <w:ind w:left="0" w:leftChars="0" w:firstLine="0" w:firstLineChars="0"/>
              <w:rPr>
                <w:color w:val="auto"/>
              </w:rPr>
            </w:pPr>
            <w:r>
              <w:rPr>
                <w:rFonts w:hint="eastAsia"/>
                <w:color w:val="auto"/>
                <w:lang w:val="en-US" w:eastAsia="zh-CN"/>
              </w:rPr>
              <w:t>1</w:t>
            </w:r>
          </w:p>
        </w:tc>
        <w:tc>
          <w:tcPr>
            <w:tcW w:w="281" w:type="pct"/>
            <w:vMerge w:val="continue"/>
            <w:tcBorders>
              <w:tl2br w:val="nil"/>
              <w:tr2bl w:val="nil"/>
            </w:tcBorders>
            <w:vAlign w:val="center"/>
          </w:tcPr>
          <w:p w14:paraId="2C8E0A69">
            <w:pPr>
              <w:pStyle w:val="12"/>
              <w:pageBreakBefore w:val="0"/>
              <w:wordWrap/>
              <w:bidi w:val="0"/>
              <w:adjustRightInd/>
              <w:snapToGrid/>
              <w:rPr>
                <w:rFonts w:hint="eastAsia"/>
                <w:color w:val="auto"/>
                <w:lang w:val="en-US" w:eastAsia="zh-CN"/>
              </w:rPr>
            </w:pPr>
          </w:p>
        </w:tc>
      </w:tr>
      <w:tr w14:paraId="29F7C0D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764216C">
            <w:pPr>
              <w:pStyle w:val="12"/>
              <w:pageBreakBefore w:val="0"/>
              <w:wordWrap/>
              <w:bidi w:val="0"/>
              <w:adjustRightInd/>
              <w:snapToGrid/>
              <w:rPr>
                <w:rFonts w:hint="default" w:eastAsia="宋体"/>
                <w:color w:val="auto"/>
                <w:lang w:val="en-US" w:eastAsia="zh-CN"/>
              </w:rPr>
            </w:pPr>
            <w:r>
              <w:rPr>
                <w:rFonts w:hint="eastAsia"/>
                <w:color w:val="auto"/>
                <w:lang w:val="en-US" w:eastAsia="zh-CN"/>
              </w:rPr>
              <w:t>38</w:t>
            </w:r>
          </w:p>
        </w:tc>
        <w:tc>
          <w:tcPr>
            <w:tcW w:w="189" w:type="pct"/>
            <w:vMerge w:val="restart"/>
            <w:tcBorders>
              <w:tl2br w:val="nil"/>
              <w:tr2bl w:val="nil"/>
            </w:tcBorders>
            <w:vAlign w:val="center"/>
          </w:tcPr>
          <w:p w14:paraId="21B93044">
            <w:pPr>
              <w:pStyle w:val="12"/>
              <w:pageBreakBefore w:val="0"/>
              <w:wordWrap/>
              <w:bidi w:val="0"/>
              <w:adjustRightInd/>
              <w:snapToGrid/>
              <w:rPr>
                <w:rFonts w:hint="default" w:eastAsia="宋体"/>
                <w:color w:val="auto"/>
                <w:lang w:val="en-US" w:eastAsia="zh-CN"/>
              </w:rPr>
            </w:pPr>
            <w:r>
              <w:rPr>
                <w:rFonts w:hint="eastAsia"/>
                <w:color w:val="auto"/>
                <w:lang w:val="en-US" w:eastAsia="zh-CN"/>
              </w:rPr>
              <w:t>污泥脱水车间</w:t>
            </w:r>
          </w:p>
        </w:tc>
        <w:tc>
          <w:tcPr>
            <w:tcW w:w="624" w:type="pct"/>
            <w:tcBorders>
              <w:tl2br w:val="nil"/>
              <w:tr2bl w:val="nil"/>
            </w:tcBorders>
            <w:vAlign w:val="center"/>
          </w:tcPr>
          <w:p w14:paraId="661BFE0A">
            <w:pPr>
              <w:pStyle w:val="12"/>
              <w:pageBreakBefore w:val="0"/>
              <w:wordWrap/>
              <w:bidi w:val="0"/>
              <w:adjustRightInd/>
              <w:snapToGrid/>
              <w:ind w:left="0" w:leftChars="0" w:firstLine="0" w:firstLineChars="0"/>
              <w:rPr>
                <w:color w:val="auto"/>
              </w:rPr>
            </w:pPr>
            <w:r>
              <w:rPr>
                <w:color w:val="auto"/>
              </w:rPr>
              <w:t>污泥进料螺杆泵</w:t>
            </w:r>
          </w:p>
        </w:tc>
        <w:tc>
          <w:tcPr>
            <w:tcW w:w="286" w:type="pct"/>
            <w:tcBorders>
              <w:tl2br w:val="nil"/>
              <w:tr2bl w:val="nil"/>
            </w:tcBorders>
            <w:vAlign w:val="center"/>
          </w:tcPr>
          <w:p w14:paraId="6879A8FA">
            <w:pPr>
              <w:pStyle w:val="12"/>
              <w:pageBreakBefore w:val="0"/>
              <w:wordWrap/>
              <w:bidi w:val="0"/>
              <w:adjustRightInd/>
              <w:snapToGrid/>
              <w:ind w:left="0" w:leftChars="0" w:firstLine="0" w:firstLineChars="0"/>
              <w:rPr>
                <w:color w:val="auto"/>
              </w:rPr>
            </w:pPr>
            <w:r>
              <w:rPr>
                <w:color w:val="auto"/>
              </w:rPr>
              <w:t>2用</w:t>
            </w:r>
            <w:r>
              <w:rPr>
                <w:rFonts w:hint="eastAsia"/>
                <w:color w:val="auto"/>
                <w:lang w:eastAsia="zh-CN"/>
              </w:rPr>
              <w:t>1</w:t>
            </w:r>
            <w:r>
              <w:rPr>
                <w:color w:val="auto"/>
              </w:rPr>
              <w:t>备</w:t>
            </w:r>
          </w:p>
        </w:tc>
        <w:tc>
          <w:tcPr>
            <w:tcW w:w="372" w:type="pct"/>
            <w:tcBorders>
              <w:tl2br w:val="nil"/>
              <w:tr2bl w:val="nil"/>
            </w:tcBorders>
            <w:vAlign w:val="center"/>
          </w:tcPr>
          <w:p w14:paraId="6E97DD41">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restart"/>
            <w:tcBorders>
              <w:tl2br w:val="nil"/>
              <w:tr2bl w:val="nil"/>
            </w:tcBorders>
            <w:vAlign w:val="center"/>
          </w:tcPr>
          <w:p w14:paraId="19175CC3">
            <w:pPr>
              <w:pStyle w:val="12"/>
              <w:pageBreakBefore w:val="0"/>
              <w:wordWrap/>
              <w:bidi w:val="0"/>
              <w:adjustRightInd/>
              <w:snapToGrid/>
              <w:rPr>
                <w:color w:val="auto"/>
              </w:rPr>
            </w:pPr>
            <w:r>
              <w:rPr>
                <w:color w:val="auto"/>
              </w:rPr>
              <w:t>选用低噪声设备；振动设备设减振器；总图合理布置，防止噪声叠加和干扰，利用距离衰减或减振装置</w:t>
            </w:r>
          </w:p>
        </w:tc>
        <w:tc>
          <w:tcPr>
            <w:tcW w:w="213" w:type="pct"/>
            <w:tcBorders>
              <w:tl2br w:val="nil"/>
              <w:tr2bl w:val="nil"/>
            </w:tcBorders>
            <w:vAlign w:val="center"/>
          </w:tcPr>
          <w:p w14:paraId="0493C34F">
            <w:pPr>
              <w:pStyle w:val="12"/>
              <w:pageBreakBefore w:val="0"/>
              <w:wordWrap/>
              <w:bidi w:val="0"/>
              <w:adjustRightInd/>
              <w:snapToGrid/>
              <w:rPr>
                <w:rFonts w:hint="default" w:eastAsia="宋体"/>
                <w:color w:val="auto"/>
                <w:lang w:val="en-US" w:eastAsia="zh-CN"/>
              </w:rPr>
            </w:pPr>
            <w:r>
              <w:rPr>
                <w:rFonts w:hint="eastAsia"/>
                <w:color w:val="auto"/>
                <w:lang w:val="en-US" w:eastAsia="zh-CN"/>
              </w:rPr>
              <w:t>151.5</w:t>
            </w:r>
          </w:p>
        </w:tc>
        <w:tc>
          <w:tcPr>
            <w:tcW w:w="212" w:type="pct"/>
            <w:tcBorders>
              <w:tl2br w:val="nil"/>
              <w:tr2bl w:val="nil"/>
            </w:tcBorders>
            <w:vAlign w:val="center"/>
          </w:tcPr>
          <w:p w14:paraId="63689C50">
            <w:pPr>
              <w:pStyle w:val="12"/>
              <w:pageBreakBefore w:val="0"/>
              <w:wordWrap/>
              <w:bidi w:val="0"/>
              <w:adjustRightInd/>
              <w:snapToGrid/>
              <w:rPr>
                <w:rFonts w:hint="default" w:eastAsia="宋体"/>
                <w:color w:val="auto"/>
                <w:lang w:val="en-US" w:eastAsia="zh-CN"/>
              </w:rPr>
            </w:pPr>
            <w:r>
              <w:rPr>
                <w:rFonts w:hint="eastAsia"/>
                <w:color w:val="auto"/>
                <w:lang w:val="en-US" w:eastAsia="zh-CN"/>
              </w:rPr>
              <w:t>12.4</w:t>
            </w:r>
          </w:p>
        </w:tc>
        <w:tc>
          <w:tcPr>
            <w:tcW w:w="215" w:type="pct"/>
            <w:tcBorders>
              <w:tl2br w:val="nil"/>
              <w:tr2bl w:val="nil"/>
            </w:tcBorders>
            <w:vAlign w:val="center"/>
          </w:tcPr>
          <w:p w14:paraId="771CE928">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5293DAD0">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77BEF10E">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restart"/>
            <w:tcBorders>
              <w:tl2br w:val="nil"/>
              <w:tr2bl w:val="nil"/>
            </w:tcBorders>
            <w:vAlign w:val="center"/>
          </w:tcPr>
          <w:p w14:paraId="54137753">
            <w:pPr>
              <w:pStyle w:val="12"/>
              <w:pageBreakBefore w:val="0"/>
              <w:wordWrap/>
              <w:bidi w:val="0"/>
              <w:adjustRightInd/>
              <w:snapToGrid/>
              <w:rPr>
                <w:color w:val="auto"/>
              </w:rPr>
            </w:pPr>
            <w:r>
              <w:rPr>
                <w:color w:val="auto"/>
              </w:rPr>
              <w:t>昼夜连 续运行</w:t>
            </w:r>
          </w:p>
        </w:tc>
        <w:tc>
          <w:tcPr>
            <w:tcW w:w="464" w:type="pct"/>
            <w:tcBorders>
              <w:tl2br w:val="nil"/>
              <w:tr2bl w:val="nil"/>
            </w:tcBorders>
            <w:vAlign w:val="center"/>
          </w:tcPr>
          <w:p w14:paraId="47104EBD">
            <w:pPr>
              <w:pStyle w:val="12"/>
              <w:pageBreakBefore w:val="0"/>
              <w:wordWrap/>
              <w:bidi w:val="0"/>
              <w:adjustRightInd/>
              <w:snapToGrid/>
              <w:ind w:left="0" w:leftChars="0" w:firstLine="0" w:firstLineChars="0"/>
              <w:rPr>
                <w:rFonts w:hint="default" w:eastAsia="宋体"/>
                <w:color w:val="auto"/>
                <w:lang w:val="en-US" w:eastAsia="zh-CN"/>
              </w:rPr>
            </w:pPr>
            <w:r>
              <w:rPr>
                <w:rFonts w:hint="eastAsia"/>
                <w:color w:val="auto"/>
                <w:lang w:val="en-US" w:eastAsia="zh-CN"/>
              </w:rPr>
              <w:t>44.8</w:t>
            </w:r>
          </w:p>
        </w:tc>
        <w:tc>
          <w:tcPr>
            <w:tcW w:w="283" w:type="pct"/>
            <w:tcBorders>
              <w:tl2br w:val="nil"/>
              <w:tr2bl w:val="nil"/>
            </w:tcBorders>
            <w:vAlign w:val="center"/>
          </w:tcPr>
          <w:p w14:paraId="77889481">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67B52E6E">
            <w:pPr>
              <w:pStyle w:val="12"/>
              <w:pageBreakBefore w:val="0"/>
              <w:wordWrap/>
              <w:bidi w:val="0"/>
              <w:adjustRightInd/>
              <w:snapToGrid/>
              <w:rPr>
                <w:color w:val="auto"/>
              </w:rPr>
            </w:pPr>
            <w:r>
              <w:rPr>
                <w:color w:val="auto"/>
              </w:rPr>
              <w:t>1</w:t>
            </w:r>
          </w:p>
        </w:tc>
        <w:tc>
          <w:tcPr>
            <w:tcW w:w="281" w:type="pct"/>
            <w:vMerge w:val="restart"/>
            <w:tcBorders>
              <w:tl2br w:val="nil"/>
              <w:tr2bl w:val="nil"/>
            </w:tcBorders>
            <w:vAlign w:val="center"/>
          </w:tcPr>
          <w:p w14:paraId="3DD08229">
            <w:pPr>
              <w:pStyle w:val="12"/>
              <w:pageBreakBefore w:val="0"/>
              <w:wordWrap/>
              <w:bidi w:val="0"/>
              <w:adjustRightInd/>
              <w:snapToGrid/>
              <w:rPr>
                <w:rFonts w:hint="eastAsia" w:eastAsia="宋体"/>
                <w:color w:val="auto"/>
                <w:lang w:val="en-US" w:eastAsia="zh-CN"/>
              </w:rPr>
            </w:pPr>
            <w:r>
              <w:rPr>
                <w:rFonts w:hint="eastAsia"/>
                <w:color w:val="auto"/>
                <w:lang w:val="en-US" w:eastAsia="zh-CN"/>
              </w:rPr>
              <w:t>新增</w:t>
            </w:r>
          </w:p>
        </w:tc>
      </w:tr>
      <w:tr w14:paraId="3B40AAB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7E2A4A7">
            <w:pPr>
              <w:pStyle w:val="12"/>
              <w:pageBreakBefore w:val="0"/>
              <w:wordWrap/>
              <w:bidi w:val="0"/>
              <w:adjustRightInd/>
              <w:snapToGrid/>
              <w:rPr>
                <w:rFonts w:hint="default" w:eastAsia="宋体"/>
                <w:color w:val="auto"/>
                <w:lang w:val="en-US" w:eastAsia="zh-CN"/>
              </w:rPr>
            </w:pPr>
            <w:r>
              <w:rPr>
                <w:rFonts w:hint="eastAsia"/>
                <w:color w:val="auto"/>
                <w:lang w:val="en-US" w:eastAsia="zh-CN"/>
              </w:rPr>
              <w:t>39</w:t>
            </w:r>
          </w:p>
        </w:tc>
        <w:tc>
          <w:tcPr>
            <w:tcW w:w="189" w:type="pct"/>
            <w:vMerge w:val="continue"/>
            <w:tcBorders>
              <w:tl2br w:val="nil"/>
              <w:tr2bl w:val="nil"/>
            </w:tcBorders>
            <w:vAlign w:val="center"/>
          </w:tcPr>
          <w:p w14:paraId="7DD8D708">
            <w:pPr>
              <w:pStyle w:val="12"/>
              <w:pageBreakBefore w:val="0"/>
              <w:wordWrap/>
              <w:bidi w:val="0"/>
              <w:adjustRightInd/>
              <w:snapToGrid/>
              <w:rPr>
                <w:color w:val="auto"/>
              </w:rPr>
            </w:pPr>
          </w:p>
        </w:tc>
        <w:tc>
          <w:tcPr>
            <w:tcW w:w="624" w:type="pct"/>
            <w:tcBorders>
              <w:tl2br w:val="nil"/>
              <w:tr2bl w:val="nil"/>
            </w:tcBorders>
            <w:vAlign w:val="center"/>
          </w:tcPr>
          <w:p w14:paraId="1116A6D8">
            <w:pPr>
              <w:pStyle w:val="12"/>
              <w:pageBreakBefore w:val="0"/>
              <w:wordWrap/>
              <w:bidi w:val="0"/>
              <w:adjustRightInd/>
              <w:snapToGrid/>
              <w:ind w:left="0" w:leftChars="0" w:firstLine="0" w:firstLineChars="0"/>
              <w:rPr>
                <w:color w:val="auto"/>
              </w:rPr>
            </w:pPr>
            <w:r>
              <w:rPr>
                <w:color w:val="auto"/>
              </w:rPr>
              <w:t>转鼓浓缩机</w:t>
            </w:r>
          </w:p>
        </w:tc>
        <w:tc>
          <w:tcPr>
            <w:tcW w:w="286" w:type="pct"/>
            <w:tcBorders>
              <w:tl2br w:val="nil"/>
              <w:tr2bl w:val="nil"/>
            </w:tcBorders>
            <w:vAlign w:val="center"/>
          </w:tcPr>
          <w:p w14:paraId="1FB6C96F">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4C907FA2">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6802F70E">
            <w:pPr>
              <w:pStyle w:val="12"/>
              <w:pageBreakBefore w:val="0"/>
              <w:wordWrap/>
              <w:bidi w:val="0"/>
              <w:adjustRightInd/>
              <w:snapToGrid/>
              <w:rPr>
                <w:color w:val="auto"/>
              </w:rPr>
            </w:pPr>
          </w:p>
        </w:tc>
        <w:tc>
          <w:tcPr>
            <w:tcW w:w="213" w:type="pct"/>
            <w:tcBorders>
              <w:tl2br w:val="nil"/>
              <w:tr2bl w:val="nil"/>
            </w:tcBorders>
            <w:vAlign w:val="center"/>
          </w:tcPr>
          <w:p w14:paraId="1418E734">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0140A9EA">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1293980F">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1CD93B71">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2BB988CB">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7AC51B43">
            <w:pPr>
              <w:pStyle w:val="12"/>
              <w:pageBreakBefore w:val="0"/>
              <w:wordWrap/>
              <w:bidi w:val="0"/>
              <w:adjustRightInd/>
              <w:snapToGrid/>
              <w:rPr>
                <w:color w:val="auto"/>
              </w:rPr>
            </w:pPr>
          </w:p>
        </w:tc>
        <w:tc>
          <w:tcPr>
            <w:tcW w:w="464" w:type="pct"/>
            <w:tcBorders>
              <w:tl2br w:val="nil"/>
              <w:tr2bl w:val="nil"/>
            </w:tcBorders>
            <w:vAlign w:val="center"/>
          </w:tcPr>
          <w:p w14:paraId="50849432">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02DA1317">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27D8AEDB">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79F39A67">
            <w:pPr>
              <w:pStyle w:val="12"/>
              <w:pageBreakBefore w:val="0"/>
              <w:wordWrap/>
              <w:bidi w:val="0"/>
              <w:adjustRightInd/>
              <w:snapToGrid/>
              <w:rPr>
                <w:color w:val="auto"/>
              </w:rPr>
            </w:pPr>
          </w:p>
        </w:tc>
      </w:tr>
      <w:tr w14:paraId="3FAAE6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AA573AE">
            <w:pPr>
              <w:pStyle w:val="12"/>
              <w:pageBreakBefore w:val="0"/>
              <w:wordWrap/>
              <w:bidi w:val="0"/>
              <w:adjustRightInd/>
              <w:snapToGrid/>
              <w:rPr>
                <w:rFonts w:hint="default" w:eastAsia="宋体"/>
                <w:color w:val="auto"/>
                <w:lang w:val="en-US" w:eastAsia="zh-CN"/>
              </w:rPr>
            </w:pPr>
            <w:r>
              <w:rPr>
                <w:rFonts w:hint="eastAsia"/>
                <w:color w:val="auto"/>
                <w:lang w:val="en-US" w:eastAsia="zh-CN"/>
              </w:rPr>
              <w:t>40</w:t>
            </w:r>
          </w:p>
        </w:tc>
        <w:tc>
          <w:tcPr>
            <w:tcW w:w="189" w:type="pct"/>
            <w:vMerge w:val="continue"/>
            <w:tcBorders>
              <w:tl2br w:val="nil"/>
              <w:tr2bl w:val="nil"/>
            </w:tcBorders>
            <w:vAlign w:val="center"/>
          </w:tcPr>
          <w:p w14:paraId="7C082102">
            <w:pPr>
              <w:pStyle w:val="12"/>
              <w:pageBreakBefore w:val="0"/>
              <w:wordWrap/>
              <w:bidi w:val="0"/>
              <w:adjustRightInd/>
              <w:snapToGrid/>
              <w:rPr>
                <w:color w:val="auto"/>
              </w:rPr>
            </w:pPr>
          </w:p>
        </w:tc>
        <w:tc>
          <w:tcPr>
            <w:tcW w:w="624" w:type="pct"/>
            <w:tcBorders>
              <w:tl2br w:val="nil"/>
              <w:tr2bl w:val="nil"/>
            </w:tcBorders>
            <w:vAlign w:val="center"/>
          </w:tcPr>
          <w:p w14:paraId="5A86ADE7">
            <w:pPr>
              <w:pStyle w:val="12"/>
              <w:pageBreakBefore w:val="0"/>
              <w:wordWrap/>
              <w:bidi w:val="0"/>
              <w:adjustRightInd/>
              <w:snapToGrid/>
              <w:ind w:left="0" w:leftChars="0" w:firstLine="0" w:firstLineChars="0"/>
              <w:rPr>
                <w:color w:val="auto"/>
              </w:rPr>
            </w:pPr>
            <w:r>
              <w:rPr>
                <w:color w:val="auto"/>
              </w:rPr>
              <w:t>高压进料泵</w:t>
            </w:r>
          </w:p>
        </w:tc>
        <w:tc>
          <w:tcPr>
            <w:tcW w:w="286" w:type="pct"/>
            <w:tcBorders>
              <w:tl2br w:val="nil"/>
              <w:tr2bl w:val="nil"/>
            </w:tcBorders>
            <w:vAlign w:val="center"/>
          </w:tcPr>
          <w:p w14:paraId="5BAB992B">
            <w:pPr>
              <w:pStyle w:val="12"/>
              <w:pageBreakBefore w:val="0"/>
              <w:wordWrap/>
              <w:bidi w:val="0"/>
              <w:adjustRightInd/>
              <w:snapToGrid/>
              <w:ind w:left="0" w:leftChars="0" w:firstLine="0" w:firstLineChars="0"/>
              <w:rPr>
                <w:color w:val="auto"/>
              </w:rPr>
            </w:pPr>
            <w:r>
              <w:rPr>
                <w:color w:val="auto"/>
              </w:rPr>
              <w:t>2用</w:t>
            </w:r>
            <w:r>
              <w:rPr>
                <w:rFonts w:hint="eastAsia"/>
                <w:color w:val="auto"/>
                <w:lang w:eastAsia="zh-CN"/>
              </w:rPr>
              <w:t>1</w:t>
            </w:r>
            <w:r>
              <w:rPr>
                <w:color w:val="auto"/>
              </w:rPr>
              <w:t>备</w:t>
            </w:r>
          </w:p>
        </w:tc>
        <w:tc>
          <w:tcPr>
            <w:tcW w:w="372" w:type="pct"/>
            <w:tcBorders>
              <w:tl2br w:val="nil"/>
              <w:tr2bl w:val="nil"/>
            </w:tcBorders>
            <w:vAlign w:val="center"/>
          </w:tcPr>
          <w:p w14:paraId="102C757B">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512EC665">
            <w:pPr>
              <w:pStyle w:val="12"/>
              <w:pageBreakBefore w:val="0"/>
              <w:wordWrap/>
              <w:bidi w:val="0"/>
              <w:adjustRightInd/>
              <w:snapToGrid/>
              <w:rPr>
                <w:color w:val="auto"/>
              </w:rPr>
            </w:pPr>
          </w:p>
        </w:tc>
        <w:tc>
          <w:tcPr>
            <w:tcW w:w="213" w:type="pct"/>
            <w:tcBorders>
              <w:tl2br w:val="nil"/>
              <w:tr2bl w:val="nil"/>
            </w:tcBorders>
            <w:vAlign w:val="center"/>
          </w:tcPr>
          <w:p w14:paraId="5E3CABE2">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29037444">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5BD82892">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69595F4F">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451D09A7">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0372FCC2">
            <w:pPr>
              <w:pStyle w:val="12"/>
              <w:pageBreakBefore w:val="0"/>
              <w:wordWrap/>
              <w:bidi w:val="0"/>
              <w:adjustRightInd/>
              <w:snapToGrid/>
              <w:rPr>
                <w:color w:val="auto"/>
              </w:rPr>
            </w:pPr>
          </w:p>
        </w:tc>
        <w:tc>
          <w:tcPr>
            <w:tcW w:w="464" w:type="pct"/>
            <w:tcBorders>
              <w:tl2br w:val="nil"/>
              <w:tr2bl w:val="nil"/>
            </w:tcBorders>
            <w:vAlign w:val="center"/>
          </w:tcPr>
          <w:p w14:paraId="64FF3ECE">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2459834">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9ABE5FE">
            <w:pPr>
              <w:pStyle w:val="12"/>
              <w:pageBreakBefore w:val="0"/>
              <w:wordWrap/>
              <w:bidi w:val="0"/>
              <w:adjustRightInd/>
              <w:snapToGrid/>
              <w:rPr>
                <w:rFonts w:hint="default"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3872A40A">
            <w:pPr>
              <w:pStyle w:val="12"/>
              <w:pageBreakBefore w:val="0"/>
              <w:wordWrap/>
              <w:bidi w:val="0"/>
              <w:adjustRightInd/>
              <w:snapToGrid/>
              <w:rPr>
                <w:color w:val="auto"/>
              </w:rPr>
            </w:pPr>
          </w:p>
        </w:tc>
      </w:tr>
      <w:tr w14:paraId="4F6824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577D1AD">
            <w:pPr>
              <w:pStyle w:val="12"/>
              <w:pageBreakBefore w:val="0"/>
              <w:wordWrap/>
              <w:bidi w:val="0"/>
              <w:adjustRightInd/>
              <w:snapToGrid/>
              <w:rPr>
                <w:rFonts w:hint="default" w:eastAsia="宋体"/>
                <w:color w:val="auto"/>
                <w:lang w:val="en-US" w:eastAsia="zh-CN"/>
              </w:rPr>
            </w:pPr>
            <w:r>
              <w:rPr>
                <w:rFonts w:hint="eastAsia"/>
                <w:color w:val="auto"/>
                <w:lang w:val="en-US" w:eastAsia="zh-CN"/>
              </w:rPr>
              <w:t>41</w:t>
            </w:r>
          </w:p>
        </w:tc>
        <w:tc>
          <w:tcPr>
            <w:tcW w:w="189" w:type="pct"/>
            <w:vMerge w:val="continue"/>
            <w:tcBorders>
              <w:tl2br w:val="nil"/>
              <w:tr2bl w:val="nil"/>
            </w:tcBorders>
            <w:vAlign w:val="center"/>
          </w:tcPr>
          <w:p w14:paraId="78524890">
            <w:pPr>
              <w:pStyle w:val="12"/>
              <w:pageBreakBefore w:val="0"/>
              <w:wordWrap/>
              <w:bidi w:val="0"/>
              <w:adjustRightInd/>
              <w:snapToGrid/>
              <w:rPr>
                <w:color w:val="auto"/>
              </w:rPr>
            </w:pPr>
          </w:p>
        </w:tc>
        <w:tc>
          <w:tcPr>
            <w:tcW w:w="624" w:type="pct"/>
            <w:tcBorders>
              <w:tl2br w:val="nil"/>
              <w:tr2bl w:val="nil"/>
            </w:tcBorders>
            <w:vAlign w:val="center"/>
          </w:tcPr>
          <w:p w14:paraId="649E6D86">
            <w:pPr>
              <w:pStyle w:val="12"/>
              <w:pageBreakBefore w:val="0"/>
              <w:wordWrap/>
              <w:bidi w:val="0"/>
              <w:adjustRightInd/>
              <w:snapToGrid/>
              <w:ind w:left="0" w:leftChars="0" w:firstLine="0" w:firstLineChars="0"/>
              <w:rPr>
                <w:color w:val="auto"/>
              </w:rPr>
            </w:pPr>
            <w:r>
              <w:rPr>
                <w:color w:val="auto"/>
              </w:rPr>
              <w:t>隔膜式板框压滤机</w:t>
            </w:r>
          </w:p>
        </w:tc>
        <w:tc>
          <w:tcPr>
            <w:tcW w:w="286" w:type="pct"/>
            <w:tcBorders>
              <w:tl2br w:val="nil"/>
              <w:tr2bl w:val="nil"/>
            </w:tcBorders>
            <w:vAlign w:val="center"/>
          </w:tcPr>
          <w:p w14:paraId="3A4474D9">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35DFFF0A">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28E26EA9">
            <w:pPr>
              <w:pStyle w:val="12"/>
              <w:pageBreakBefore w:val="0"/>
              <w:wordWrap/>
              <w:bidi w:val="0"/>
              <w:adjustRightInd/>
              <w:snapToGrid/>
              <w:rPr>
                <w:color w:val="auto"/>
              </w:rPr>
            </w:pPr>
          </w:p>
        </w:tc>
        <w:tc>
          <w:tcPr>
            <w:tcW w:w="213" w:type="pct"/>
            <w:tcBorders>
              <w:tl2br w:val="nil"/>
              <w:tr2bl w:val="nil"/>
            </w:tcBorders>
            <w:vAlign w:val="center"/>
          </w:tcPr>
          <w:p w14:paraId="0AE3B2BC">
            <w:pPr>
              <w:pStyle w:val="12"/>
              <w:pageBreakBefore w:val="0"/>
              <w:wordWrap/>
              <w:bidi w:val="0"/>
              <w:adjustRightInd/>
              <w:snapToGrid/>
              <w:rPr>
                <w:rFonts w:hint="default" w:eastAsia="宋体"/>
                <w:color w:val="auto"/>
                <w:lang w:val="en-US" w:eastAsia="zh-CN"/>
              </w:rPr>
            </w:pPr>
            <w:r>
              <w:rPr>
                <w:rFonts w:hint="eastAsia"/>
                <w:color w:val="auto"/>
                <w:lang w:val="en-US" w:eastAsia="zh-CN"/>
              </w:rPr>
              <w:t>143.8</w:t>
            </w:r>
          </w:p>
        </w:tc>
        <w:tc>
          <w:tcPr>
            <w:tcW w:w="212" w:type="pct"/>
            <w:tcBorders>
              <w:tl2br w:val="nil"/>
              <w:tr2bl w:val="nil"/>
            </w:tcBorders>
            <w:vAlign w:val="center"/>
          </w:tcPr>
          <w:p w14:paraId="4D18F9FD">
            <w:pPr>
              <w:pStyle w:val="12"/>
              <w:pageBreakBefore w:val="0"/>
              <w:wordWrap/>
              <w:bidi w:val="0"/>
              <w:adjustRightInd/>
              <w:snapToGrid/>
              <w:rPr>
                <w:rFonts w:hint="default" w:eastAsia="宋体"/>
                <w:color w:val="auto"/>
                <w:lang w:val="en-US" w:eastAsia="zh-CN"/>
              </w:rPr>
            </w:pPr>
            <w:r>
              <w:rPr>
                <w:rFonts w:hint="eastAsia"/>
                <w:color w:val="auto"/>
                <w:lang w:val="en-US" w:eastAsia="zh-CN"/>
              </w:rPr>
              <w:t>18.5</w:t>
            </w:r>
          </w:p>
        </w:tc>
        <w:tc>
          <w:tcPr>
            <w:tcW w:w="215" w:type="pct"/>
            <w:tcBorders>
              <w:tl2br w:val="nil"/>
              <w:tr2bl w:val="nil"/>
            </w:tcBorders>
            <w:vAlign w:val="center"/>
          </w:tcPr>
          <w:p w14:paraId="4F899EBA">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619319DF">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58D50F99">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3B83F045">
            <w:pPr>
              <w:pStyle w:val="12"/>
              <w:pageBreakBefore w:val="0"/>
              <w:wordWrap/>
              <w:bidi w:val="0"/>
              <w:adjustRightInd/>
              <w:snapToGrid/>
              <w:rPr>
                <w:color w:val="auto"/>
              </w:rPr>
            </w:pPr>
          </w:p>
        </w:tc>
        <w:tc>
          <w:tcPr>
            <w:tcW w:w="464" w:type="pct"/>
            <w:tcBorders>
              <w:tl2br w:val="nil"/>
              <w:tr2bl w:val="nil"/>
            </w:tcBorders>
            <w:vAlign w:val="center"/>
          </w:tcPr>
          <w:p w14:paraId="264CBFA4">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433C45F3">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BB23896">
            <w:pPr>
              <w:pStyle w:val="12"/>
              <w:pageBreakBefore w:val="0"/>
              <w:wordWrap/>
              <w:bidi w:val="0"/>
              <w:adjustRightInd/>
              <w:snapToGrid/>
              <w:rPr>
                <w:rFonts w:hint="default"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1FEABBE9">
            <w:pPr>
              <w:pStyle w:val="12"/>
              <w:pageBreakBefore w:val="0"/>
              <w:wordWrap/>
              <w:bidi w:val="0"/>
              <w:adjustRightInd/>
              <w:snapToGrid/>
              <w:rPr>
                <w:color w:val="auto"/>
              </w:rPr>
            </w:pPr>
          </w:p>
        </w:tc>
      </w:tr>
      <w:tr w14:paraId="46F1F3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502A55D">
            <w:pPr>
              <w:pStyle w:val="12"/>
              <w:pageBreakBefore w:val="0"/>
              <w:wordWrap/>
              <w:bidi w:val="0"/>
              <w:adjustRightInd/>
              <w:snapToGrid/>
              <w:rPr>
                <w:rFonts w:hint="default" w:eastAsia="宋体"/>
                <w:color w:val="auto"/>
                <w:lang w:val="en-US" w:eastAsia="zh-CN"/>
              </w:rPr>
            </w:pPr>
            <w:r>
              <w:rPr>
                <w:rFonts w:hint="eastAsia"/>
                <w:color w:val="auto"/>
                <w:lang w:val="en-US" w:eastAsia="zh-CN"/>
              </w:rPr>
              <w:t>42</w:t>
            </w:r>
          </w:p>
        </w:tc>
        <w:tc>
          <w:tcPr>
            <w:tcW w:w="189" w:type="pct"/>
            <w:vMerge w:val="continue"/>
            <w:tcBorders>
              <w:tl2br w:val="nil"/>
              <w:tr2bl w:val="nil"/>
            </w:tcBorders>
            <w:vAlign w:val="center"/>
          </w:tcPr>
          <w:p w14:paraId="2D1C8D6C">
            <w:pPr>
              <w:pStyle w:val="12"/>
              <w:pageBreakBefore w:val="0"/>
              <w:wordWrap/>
              <w:bidi w:val="0"/>
              <w:adjustRightInd/>
              <w:snapToGrid/>
              <w:rPr>
                <w:color w:val="auto"/>
              </w:rPr>
            </w:pPr>
          </w:p>
        </w:tc>
        <w:tc>
          <w:tcPr>
            <w:tcW w:w="624" w:type="pct"/>
            <w:tcBorders>
              <w:tl2br w:val="nil"/>
              <w:tr2bl w:val="nil"/>
            </w:tcBorders>
            <w:vAlign w:val="center"/>
          </w:tcPr>
          <w:p w14:paraId="4B48BA0E">
            <w:pPr>
              <w:pStyle w:val="12"/>
              <w:pageBreakBefore w:val="0"/>
              <w:wordWrap/>
              <w:bidi w:val="0"/>
              <w:adjustRightInd/>
              <w:snapToGrid/>
              <w:ind w:left="0" w:leftChars="0" w:firstLine="0" w:firstLineChars="0"/>
              <w:rPr>
                <w:color w:val="auto"/>
              </w:rPr>
            </w:pPr>
            <w:r>
              <w:rPr>
                <w:color w:val="auto"/>
              </w:rPr>
              <w:t>电动单梁悬挂起重机</w:t>
            </w:r>
          </w:p>
        </w:tc>
        <w:tc>
          <w:tcPr>
            <w:tcW w:w="286" w:type="pct"/>
            <w:tcBorders>
              <w:tl2br w:val="nil"/>
              <w:tr2bl w:val="nil"/>
            </w:tcBorders>
            <w:vAlign w:val="center"/>
          </w:tcPr>
          <w:p w14:paraId="4DCCAA4B">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4A3AE222">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D5C2FCF">
            <w:pPr>
              <w:pStyle w:val="12"/>
              <w:pageBreakBefore w:val="0"/>
              <w:wordWrap/>
              <w:bidi w:val="0"/>
              <w:adjustRightInd/>
              <w:snapToGrid/>
              <w:rPr>
                <w:color w:val="auto"/>
              </w:rPr>
            </w:pPr>
          </w:p>
        </w:tc>
        <w:tc>
          <w:tcPr>
            <w:tcW w:w="213" w:type="pct"/>
            <w:tcBorders>
              <w:tl2br w:val="nil"/>
              <w:tr2bl w:val="nil"/>
            </w:tcBorders>
            <w:vAlign w:val="center"/>
          </w:tcPr>
          <w:p w14:paraId="73A056B3">
            <w:pPr>
              <w:pStyle w:val="12"/>
              <w:pageBreakBefore w:val="0"/>
              <w:wordWrap/>
              <w:bidi w:val="0"/>
              <w:adjustRightInd/>
              <w:snapToGrid/>
              <w:rPr>
                <w:rFonts w:hint="default" w:eastAsia="宋体"/>
                <w:color w:val="auto"/>
                <w:lang w:val="en-US" w:eastAsia="zh-CN"/>
              </w:rPr>
            </w:pPr>
            <w:r>
              <w:rPr>
                <w:rFonts w:hint="eastAsia"/>
                <w:color w:val="auto"/>
                <w:lang w:val="en-US" w:eastAsia="zh-CN"/>
              </w:rPr>
              <w:t>136.4</w:t>
            </w:r>
          </w:p>
        </w:tc>
        <w:tc>
          <w:tcPr>
            <w:tcW w:w="212" w:type="pct"/>
            <w:tcBorders>
              <w:tl2br w:val="nil"/>
              <w:tr2bl w:val="nil"/>
            </w:tcBorders>
            <w:vAlign w:val="center"/>
          </w:tcPr>
          <w:p w14:paraId="6B20CE92">
            <w:pPr>
              <w:pStyle w:val="12"/>
              <w:pageBreakBefore w:val="0"/>
              <w:wordWrap/>
              <w:bidi w:val="0"/>
              <w:adjustRightInd/>
              <w:snapToGrid/>
              <w:rPr>
                <w:rFonts w:hint="default" w:eastAsia="宋体"/>
                <w:color w:val="auto"/>
                <w:lang w:val="en-US" w:eastAsia="zh-CN"/>
              </w:rPr>
            </w:pPr>
            <w:r>
              <w:rPr>
                <w:rFonts w:hint="eastAsia"/>
                <w:color w:val="auto"/>
                <w:lang w:val="en-US" w:eastAsia="zh-CN"/>
              </w:rPr>
              <w:t>23</w:t>
            </w:r>
          </w:p>
        </w:tc>
        <w:tc>
          <w:tcPr>
            <w:tcW w:w="215" w:type="pct"/>
            <w:tcBorders>
              <w:tl2br w:val="nil"/>
              <w:tr2bl w:val="nil"/>
            </w:tcBorders>
            <w:vAlign w:val="center"/>
          </w:tcPr>
          <w:p w14:paraId="23BB44A6">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36" w:type="pct"/>
            <w:tcBorders>
              <w:tl2br w:val="nil"/>
              <w:tr2bl w:val="nil"/>
            </w:tcBorders>
            <w:vAlign w:val="center"/>
          </w:tcPr>
          <w:p w14:paraId="3F3DB138">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2B090F8D">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2EF37F04">
            <w:pPr>
              <w:pStyle w:val="12"/>
              <w:pageBreakBefore w:val="0"/>
              <w:wordWrap/>
              <w:bidi w:val="0"/>
              <w:adjustRightInd/>
              <w:snapToGrid/>
              <w:rPr>
                <w:color w:val="auto"/>
              </w:rPr>
            </w:pPr>
          </w:p>
        </w:tc>
        <w:tc>
          <w:tcPr>
            <w:tcW w:w="464" w:type="pct"/>
            <w:tcBorders>
              <w:tl2br w:val="nil"/>
              <w:tr2bl w:val="nil"/>
            </w:tcBorders>
            <w:vAlign w:val="center"/>
          </w:tcPr>
          <w:p w14:paraId="61105B46">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E9B626D">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17E7AACB">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40596AAF">
            <w:pPr>
              <w:pStyle w:val="12"/>
              <w:pageBreakBefore w:val="0"/>
              <w:wordWrap/>
              <w:bidi w:val="0"/>
              <w:adjustRightInd/>
              <w:snapToGrid/>
              <w:rPr>
                <w:color w:val="auto"/>
              </w:rPr>
            </w:pPr>
          </w:p>
        </w:tc>
      </w:tr>
      <w:tr w14:paraId="39272F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3023ABD">
            <w:pPr>
              <w:pStyle w:val="12"/>
              <w:pageBreakBefore w:val="0"/>
              <w:wordWrap/>
              <w:bidi w:val="0"/>
              <w:adjustRightInd/>
              <w:snapToGrid/>
              <w:rPr>
                <w:rFonts w:hint="default" w:eastAsia="宋体"/>
                <w:color w:val="auto"/>
                <w:lang w:val="en-US" w:eastAsia="zh-CN"/>
              </w:rPr>
            </w:pPr>
            <w:r>
              <w:rPr>
                <w:rFonts w:hint="eastAsia"/>
                <w:color w:val="auto"/>
                <w:lang w:val="en-US" w:eastAsia="zh-CN"/>
              </w:rPr>
              <w:t>43</w:t>
            </w:r>
          </w:p>
        </w:tc>
        <w:tc>
          <w:tcPr>
            <w:tcW w:w="189" w:type="pct"/>
            <w:vMerge w:val="continue"/>
            <w:tcBorders>
              <w:tl2br w:val="nil"/>
              <w:tr2bl w:val="nil"/>
            </w:tcBorders>
            <w:vAlign w:val="center"/>
          </w:tcPr>
          <w:p w14:paraId="4B0956E7">
            <w:pPr>
              <w:pStyle w:val="12"/>
              <w:pageBreakBefore w:val="0"/>
              <w:wordWrap/>
              <w:bidi w:val="0"/>
              <w:adjustRightInd/>
              <w:snapToGrid/>
              <w:rPr>
                <w:color w:val="auto"/>
              </w:rPr>
            </w:pPr>
          </w:p>
        </w:tc>
        <w:tc>
          <w:tcPr>
            <w:tcW w:w="624" w:type="pct"/>
            <w:tcBorders>
              <w:tl2br w:val="nil"/>
              <w:tr2bl w:val="nil"/>
            </w:tcBorders>
            <w:vAlign w:val="center"/>
          </w:tcPr>
          <w:p w14:paraId="38666C34">
            <w:pPr>
              <w:pStyle w:val="12"/>
              <w:pageBreakBefore w:val="0"/>
              <w:wordWrap/>
              <w:bidi w:val="0"/>
              <w:adjustRightInd/>
              <w:snapToGrid/>
              <w:ind w:left="0" w:leftChars="0" w:firstLine="0" w:firstLineChars="0"/>
              <w:rPr>
                <w:color w:val="auto"/>
              </w:rPr>
            </w:pPr>
            <w:r>
              <w:rPr>
                <w:color w:val="auto"/>
              </w:rPr>
              <w:t>电动葫芦</w:t>
            </w:r>
          </w:p>
        </w:tc>
        <w:tc>
          <w:tcPr>
            <w:tcW w:w="286" w:type="pct"/>
            <w:tcBorders>
              <w:tl2br w:val="nil"/>
              <w:tr2bl w:val="nil"/>
            </w:tcBorders>
            <w:vAlign w:val="center"/>
          </w:tcPr>
          <w:p w14:paraId="09810ABF">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44953B0F">
            <w:pPr>
              <w:pStyle w:val="12"/>
              <w:pageBreakBefore w:val="0"/>
              <w:wordWrap/>
              <w:bidi w:val="0"/>
              <w:adjustRightInd/>
              <w:snapToGrid/>
              <w:rPr>
                <w:rFonts w:hint="default" w:eastAsia="宋体"/>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6D32C538">
            <w:pPr>
              <w:pStyle w:val="12"/>
              <w:pageBreakBefore w:val="0"/>
              <w:wordWrap/>
              <w:bidi w:val="0"/>
              <w:adjustRightInd/>
              <w:snapToGrid/>
              <w:rPr>
                <w:color w:val="auto"/>
              </w:rPr>
            </w:pPr>
          </w:p>
        </w:tc>
        <w:tc>
          <w:tcPr>
            <w:tcW w:w="213" w:type="pct"/>
            <w:tcBorders>
              <w:tl2br w:val="nil"/>
              <w:tr2bl w:val="nil"/>
            </w:tcBorders>
            <w:vAlign w:val="center"/>
          </w:tcPr>
          <w:p w14:paraId="5699008A">
            <w:pPr>
              <w:pStyle w:val="12"/>
              <w:pageBreakBefore w:val="0"/>
              <w:wordWrap/>
              <w:bidi w:val="0"/>
              <w:adjustRightInd/>
              <w:snapToGrid/>
              <w:rPr>
                <w:rFonts w:hint="default" w:eastAsia="宋体"/>
                <w:color w:val="auto"/>
                <w:lang w:val="en-US" w:eastAsia="zh-CN"/>
              </w:rPr>
            </w:pPr>
            <w:r>
              <w:rPr>
                <w:rFonts w:hint="eastAsia"/>
                <w:color w:val="auto"/>
                <w:lang w:val="en-US" w:eastAsia="zh-CN"/>
              </w:rPr>
              <w:t>155.7</w:t>
            </w:r>
          </w:p>
        </w:tc>
        <w:tc>
          <w:tcPr>
            <w:tcW w:w="212" w:type="pct"/>
            <w:tcBorders>
              <w:tl2br w:val="nil"/>
              <w:tr2bl w:val="nil"/>
            </w:tcBorders>
            <w:vAlign w:val="center"/>
          </w:tcPr>
          <w:p w14:paraId="4EF03691">
            <w:pPr>
              <w:pStyle w:val="12"/>
              <w:pageBreakBefore w:val="0"/>
              <w:wordWrap/>
              <w:bidi w:val="0"/>
              <w:adjustRightInd/>
              <w:snapToGrid/>
              <w:rPr>
                <w:rFonts w:hint="default" w:eastAsia="宋体"/>
                <w:color w:val="auto"/>
                <w:lang w:val="en-US" w:eastAsia="zh-CN"/>
              </w:rPr>
            </w:pPr>
            <w:r>
              <w:rPr>
                <w:rFonts w:hint="eastAsia"/>
                <w:color w:val="auto"/>
                <w:lang w:val="en-US" w:eastAsia="zh-CN"/>
              </w:rPr>
              <w:t>19.5</w:t>
            </w:r>
          </w:p>
        </w:tc>
        <w:tc>
          <w:tcPr>
            <w:tcW w:w="215" w:type="pct"/>
            <w:tcBorders>
              <w:tl2br w:val="nil"/>
              <w:tr2bl w:val="nil"/>
            </w:tcBorders>
            <w:vAlign w:val="center"/>
          </w:tcPr>
          <w:p w14:paraId="07B97873">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36" w:type="pct"/>
            <w:tcBorders>
              <w:tl2br w:val="nil"/>
              <w:tr2bl w:val="nil"/>
            </w:tcBorders>
            <w:vAlign w:val="center"/>
          </w:tcPr>
          <w:p w14:paraId="3ACACC65">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59A926D5">
            <w:pPr>
              <w:pStyle w:val="12"/>
              <w:pageBreakBefore w:val="0"/>
              <w:wordWrap/>
              <w:bidi w:val="0"/>
              <w:adjustRightInd/>
              <w:snapToGrid/>
              <w:ind w:left="0" w:leftChars="0" w:firstLine="0" w:firstLineChars="0"/>
              <w:rPr>
                <w:color w:val="auto"/>
              </w:rPr>
            </w:pPr>
            <w:r>
              <w:rPr>
                <w:rFonts w:hint="eastAsia"/>
                <w:color w:val="auto"/>
                <w:lang w:val="en-US" w:eastAsia="zh-CN"/>
              </w:rPr>
              <w:t>75</w:t>
            </w:r>
          </w:p>
        </w:tc>
        <w:tc>
          <w:tcPr>
            <w:tcW w:w="263" w:type="pct"/>
            <w:vMerge w:val="continue"/>
            <w:tcBorders>
              <w:tl2br w:val="nil"/>
              <w:tr2bl w:val="nil"/>
            </w:tcBorders>
            <w:vAlign w:val="center"/>
          </w:tcPr>
          <w:p w14:paraId="323B8C5E">
            <w:pPr>
              <w:pStyle w:val="12"/>
              <w:pageBreakBefore w:val="0"/>
              <w:wordWrap/>
              <w:bidi w:val="0"/>
              <w:adjustRightInd/>
              <w:snapToGrid/>
              <w:rPr>
                <w:color w:val="auto"/>
              </w:rPr>
            </w:pPr>
          </w:p>
        </w:tc>
        <w:tc>
          <w:tcPr>
            <w:tcW w:w="464" w:type="pct"/>
            <w:tcBorders>
              <w:tl2br w:val="nil"/>
              <w:tr2bl w:val="nil"/>
            </w:tcBorders>
            <w:vAlign w:val="center"/>
          </w:tcPr>
          <w:p w14:paraId="6CB356AF">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0626BE4D">
            <w:pPr>
              <w:pStyle w:val="12"/>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6A41FF5B">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28F29BC6">
            <w:pPr>
              <w:pStyle w:val="12"/>
              <w:pageBreakBefore w:val="0"/>
              <w:wordWrap/>
              <w:bidi w:val="0"/>
              <w:adjustRightInd/>
              <w:snapToGrid/>
              <w:rPr>
                <w:color w:val="auto"/>
              </w:rPr>
            </w:pPr>
          </w:p>
        </w:tc>
      </w:tr>
      <w:tr w14:paraId="35002A0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3876A8F">
            <w:pPr>
              <w:pStyle w:val="12"/>
              <w:pageBreakBefore w:val="0"/>
              <w:wordWrap/>
              <w:bidi w:val="0"/>
              <w:adjustRightInd/>
              <w:snapToGrid/>
              <w:rPr>
                <w:rFonts w:hint="default" w:eastAsia="宋体"/>
                <w:color w:val="auto"/>
                <w:lang w:val="en-US" w:eastAsia="zh-CN"/>
              </w:rPr>
            </w:pPr>
            <w:r>
              <w:rPr>
                <w:rFonts w:hint="eastAsia"/>
                <w:color w:val="auto"/>
                <w:lang w:val="en-US" w:eastAsia="zh-CN"/>
              </w:rPr>
              <w:t>44</w:t>
            </w:r>
          </w:p>
        </w:tc>
        <w:tc>
          <w:tcPr>
            <w:tcW w:w="189" w:type="pct"/>
            <w:vMerge w:val="continue"/>
            <w:tcBorders>
              <w:tl2br w:val="nil"/>
              <w:tr2bl w:val="nil"/>
            </w:tcBorders>
            <w:vAlign w:val="center"/>
          </w:tcPr>
          <w:p w14:paraId="2FA7E464">
            <w:pPr>
              <w:pStyle w:val="12"/>
              <w:pageBreakBefore w:val="0"/>
              <w:wordWrap/>
              <w:bidi w:val="0"/>
              <w:adjustRightInd/>
              <w:snapToGrid/>
              <w:rPr>
                <w:color w:val="auto"/>
              </w:rPr>
            </w:pPr>
          </w:p>
        </w:tc>
        <w:tc>
          <w:tcPr>
            <w:tcW w:w="624" w:type="pct"/>
            <w:tcBorders>
              <w:tl2br w:val="nil"/>
              <w:tr2bl w:val="nil"/>
            </w:tcBorders>
            <w:vAlign w:val="center"/>
          </w:tcPr>
          <w:p w14:paraId="0DFDDDB9">
            <w:pPr>
              <w:pStyle w:val="12"/>
              <w:pageBreakBefore w:val="0"/>
              <w:wordWrap/>
              <w:bidi w:val="0"/>
              <w:adjustRightInd/>
              <w:snapToGrid/>
              <w:ind w:left="0" w:leftChars="0" w:firstLine="0" w:firstLineChars="0"/>
              <w:rPr>
                <w:color w:val="auto"/>
              </w:rPr>
            </w:pPr>
            <w:r>
              <w:rPr>
                <w:color w:val="auto"/>
              </w:rPr>
              <w:t>挤压水泵</w:t>
            </w:r>
          </w:p>
        </w:tc>
        <w:tc>
          <w:tcPr>
            <w:tcW w:w="286" w:type="pct"/>
            <w:tcBorders>
              <w:tl2br w:val="nil"/>
              <w:tr2bl w:val="nil"/>
            </w:tcBorders>
            <w:vAlign w:val="center"/>
          </w:tcPr>
          <w:p w14:paraId="4CE831D6">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1DD62ABD">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4A4C7589">
            <w:pPr>
              <w:pStyle w:val="12"/>
              <w:pageBreakBefore w:val="0"/>
              <w:wordWrap/>
              <w:bidi w:val="0"/>
              <w:adjustRightInd/>
              <w:snapToGrid/>
              <w:rPr>
                <w:color w:val="auto"/>
              </w:rPr>
            </w:pPr>
          </w:p>
        </w:tc>
        <w:tc>
          <w:tcPr>
            <w:tcW w:w="213" w:type="pct"/>
            <w:tcBorders>
              <w:tl2br w:val="nil"/>
              <w:tr2bl w:val="nil"/>
            </w:tcBorders>
            <w:vAlign w:val="center"/>
          </w:tcPr>
          <w:p w14:paraId="4247BFED">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3509CF9E">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47E76319">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6915468D">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0A5F93E5">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6292993F">
            <w:pPr>
              <w:pStyle w:val="12"/>
              <w:pageBreakBefore w:val="0"/>
              <w:wordWrap/>
              <w:bidi w:val="0"/>
              <w:adjustRightInd/>
              <w:snapToGrid/>
              <w:rPr>
                <w:color w:val="auto"/>
              </w:rPr>
            </w:pPr>
          </w:p>
        </w:tc>
        <w:tc>
          <w:tcPr>
            <w:tcW w:w="464" w:type="pct"/>
            <w:tcBorders>
              <w:tl2br w:val="nil"/>
              <w:tr2bl w:val="nil"/>
            </w:tcBorders>
            <w:vAlign w:val="center"/>
          </w:tcPr>
          <w:p w14:paraId="50635023">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21CF26A0">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F482A1A">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306EE9F6">
            <w:pPr>
              <w:pStyle w:val="12"/>
              <w:pageBreakBefore w:val="0"/>
              <w:wordWrap/>
              <w:bidi w:val="0"/>
              <w:adjustRightInd/>
              <w:snapToGrid/>
              <w:rPr>
                <w:color w:val="auto"/>
              </w:rPr>
            </w:pPr>
          </w:p>
        </w:tc>
      </w:tr>
      <w:tr w14:paraId="1916BB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41D1DA4">
            <w:pPr>
              <w:pStyle w:val="12"/>
              <w:pageBreakBefore w:val="0"/>
              <w:wordWrap/>
              <w:bidi w:val="0"/>
              <w:adjustRightInd/>
              <w:snapToGrid/>
              <w:rPr>
                <w:rFonts w:hint="default" w:eastAsia="宋体"/>
                <w:color w:val="auto"/>
                <w:lang w:val="en-US" w:eastAsia="zh-CN"/>
              </w:rPr>
            </w:pPr>
            <w:r>
              <w:rPr>
                <w:rFonts w:hint="eastAsia"/>
                <w:color w:val="auto"/>
                <w:lang w:val="en-US" w:eastAsia="zh-CN"/>
              </w:rPr>
              <w:t>45</w:t>
            </w:r>
          </w:p>
        </w:tc>
        <w:tc>
          <w:tcPr>
            <w:tcW w:w="189" w:type="pct"/>
            <w:vMerge w:val="continue"/>
            <w:tcBorders>
              <w:tl2br w:val="nil"/>
              <w:tr2bl w:val="nil"/>
            </w:tcBorders>
            <w:vAlign w:val="center"/>
          </w:tcPr>
          <w:p w14:paraId="23576034">
            <w:pPr>
              <w:pStyle w:val="12"/>
              <w:pageBreakBefore w:val="0"/>
              <w:wordWrap/>
              <w:bidi w:val="0"/>
              <w:adjustRightInd/>
              <w:snapToGrid/>
              <w:rPr>
                <w:color w:val="auto"/>
              </w:rPr>
            </w:pPr>
          </w:p>
        </w:tc>
        <w:tc>
          <w:tcPr>
            <w:tcW w:w="624" w:type="pct"/>
            <w:tcBorders>
              <w:tl2br w:val="nil"/>
              <w:tr2bl w:val="nil"/>
            </w:tcBorders>
            <w:vAlign w:val="center"/>
          </w:tcPr>
          <w:p w14:paraId="1E5BAC2A">
            <w:pPr>
              <w:pStyle w:val="12"/>
              <w:pageBreakBefore w:val="0"/>
              <w:wordWrap/>
              <w:bidi w:val="0"/>
              <w:adjustRightInd/>
              <w:snapToGrid/>
              <w:ind w:left="0" w:leftChars="0" w:firstLine="0" w:firstLineChars="0"/>
              <w:rPr>
                <w:color w:val="auto"/>
              </w:rPr>
            </w:pPr>
            <w:r>
              <w:rPr>
                <w:color w:val="auto"/>
              </w:rPr>
              <w:t>水洗高压柱塞泵</w:t>
            </w:r>
          </w:p>
        </w:tc>
        <w:tc>
          <w:tcPr>
            <w:tcW w:w="286" w:type="pct"/>
            <w:tcBorders>
              <w:tl2br w:val="nil"/>
              <w:tr2bl w:val="nil"/>
            </w:tcBorders>
            <w:vAlign w:val="center"/>
          </w:tcPr>
          <w:p w14:paraId="1C6422AC">
            <w:pPr>
              <w:pStyle w:val="12"/>
              <w:pageBreakBefore w:val="0"/>
              <w:wordWrap/>
              <w:bidi w:val="0"/>
              <w:adjustRightInd/>
              <w:snapToGrid/>
              <w:ind w:left="0" w:leftChars="0" w:firstLine="0" w:firstLineChars="0"/>
              <w:rPr>
                <w:color w:val="auto"/>
              </w:rPr>
            </w:pPr>
            <w:r>
              <w:rPr>
                <w:rFonts w:hint="eastAsia"/>
                <w:color w:val="auto"/>
                <w:lang w:val="en-US"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263A4E8F">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72CF779E">
            <w:pPr>
              <w:pStyle w:val="12"/>
              <w:pageBreakBefore w:val="0"/>
              <w:wordWrap/>
              <w:bidi w:val="0"/>
              <w:adjustRightInd/>
              <w:snapToGrid/>
              <w:rPr>
                <w:color w:val="auto"/>
              </w:rPr>
            </w:pPr>
          </w:p>
        </w:tc>
        <w:tc>
          <w:tcPr>
            <w:tcW w:w="213" w:type="pct"/>
            <w:tcBorders>
              <w:tl2br w:val="nil"/>
              <w:tr2bl w:val="nil"/>
            </w:tcBorders>
            <w:vAlign w:val="center"/>
          </w:tcPr>
          <w:p w14:paraId="5D3972A8">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7F425D9F">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79A29869">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4C32E066">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51783C26">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725B7463">
            <w:pPr>
              <w:pStyle w:val="12"/>
              <w:pageBreakBefore w:val="0"/>
              <w:wordWrap/>
              <w:bidi w:val="0"/>
              <w:adjustRightInd/>
              <w:snapToGrid/>
              <w:rPr>
                <w:color w:val="auto"/>
              </w:rPr>
            </w:pPr>
          </w:p>
        </w:tc>
        <w:tc>
          <w:tcPr>
            <w:tcW w:w="464" w:type="pct"/>
            <w:tcBorders>
              <w:tl2br w:val="nil"/>
              <w:tr2bl w:val="nil"/>
            </w:tcBorders>
            <w:vAlign w:val="center"/>
          </w:tcPr>
          <w:p w14:paraId="3A262EA2">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090203D9">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F8EFD29">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6191E52F">
            <w:pPr>
              <w:pStyle w:val="12"/>
              <w:pageBreakBefore w:val="0"/>
              <w:wordWrap/>
              <w:bidi w:val="0"/>
              <w:adjustRightInd/>
              <w:snapToGrid/>
              <w:rPr>
                <w:color w:val="auto"/>
              </w:rPr>
            </w:pPr>
          </w:p>
        </w:tc>
      </w:tr>
      <w:tr w14:paraId="7ACB3F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855F22F">
            <w:pPr>
              <w:pStyle w:val="12"/>
              <w:pageBreakBefore w:val="0"/>
              <w:wordWrap/>
              <w:bidi w:val="0"/>
              <w:adjustRightInd/>
              <w:snapToGrid/>
              <w:rPr>
                <w:rFonts w:hint="default" w:eastAsia="宋体"/>
                <w:color w:val="auto"/>
                <w:lang w:val="en-US" w:eastAsia="zh-CN"/>
              </w:rPr>
            </w:pPr>
            <w:r>
              <w:rPr>
                <w:rFonts w:hint="eastAsia"/>
                <w:color w:val="auto"/>
                <w:lang w:val="en-US" w:eastAsia="zh-CN"/>
              </w:rPr>
              <w:t>46</w:t>
            </w:r>
          </w:p>
        </w:tc>
        <w:tc>
          <w:tcPr>
            <w:tcW w:w="189" w:type="pct"/>
            <w:vMerge w:val="continue"/>
            <w:tcBorders>
              <w:tl2br w:val="nil"/>
              <w:tr2bl w:val="nil"/>
            </w:tcBorders>
            <w:vAlign w:val="center"/>
          </w:tcPr>
          <w:p w14:paraId="3DBB5215">
            <w:pPr>
              <w:pStyle w:val="12"/>
              <w:pageBreakBefore w:val="0"/>
              <w:wordWrap/>
              <w:bidi w:val="0"/>
              <w:adjustRightInd/>
              <w:snapToGrid/>
              <w:rPr>
                <w:color w:val="auto"/>
              </w:rPr>
            </w:pPr>
          </w:p>
        </w:tc>
        <w:tc>
          <w:tcPr>
            <w:tcW w:w="624" w:type="pct"/>
            <w:tcBorders>
              <w:tl2br w:val="nil"/>
              <w:tr2bl w:val="nil"/>
            </w:tcBorders>
            <w:vAlign w:val="center"/>
          </w:tcPr>
          <w:p w14:paraId="21DF4F7C">
            <w:pPr>
              <w:pStyle w:val="12"/>
              <w:pageBreakBefore w:val="0"/>
              <w:wordWrap/>
              <w:bidi w:val="0"/>
              <w:adjustRightInd/>
              <w:snapToGrid/>
              <w:ind w:left="0" w:leftChars="0" w:firstLine="0" w:firstLineChars="0"/>
              <w:rPr>
                <w:color w:val="auto"/>
              </w:rPr>
            </w:pPr>
            <w:r>
              <w:rPr>
                <w:color w:val="auto"/>
              </w:rPr>
              <w:t>冲洗水泵</w:t>
            </w:r>
          </w:p>
        </w:tc>
        <w:tc>
          <w:tcPr>
            <w:tcW w:w="286" w:type="pct"/>
            <w:tcBorders>
              <w:tl2br w:val="nil"/>
              <w:tr2bl w:val="nil"/>
            </w:tcBorders>
            <w:vAlign w:val="center"/>
          </w:tcPr>
          <w:p w14:paraId="2C31C224">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1FFA236F">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530DB540">
            <w:pPr>
              <w:pStyle w:val="12"/>
              <w:pageBreakBefore w:val="0"/>
              <w:wordWrap/>
              <w:bidi w:val="0"/>
              <w:adjustRightInd/>
              <w:snapToGrid/>
              <w:rPr>
                <w:color w:val="auto"/>
              </w:rPr>
            </w:pPr>
          </w:p>
        </w:tc>
        <w:tc>
          <w:tcPr>
            <w:tcW w:w="213" w:type="pct"/>
            <w:tcBorders>
              <w:tl2br w:val="nil"/>
              <w:tr2bl w:val="nil"/>
            </w:tcBorders>
            <w:vAlign w:val="center"/>
          </w:tcPr>
          <w:p w14:paraId="78E24817">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699998AA">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15E53BDA">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0BFC2670">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03AD6A06">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76009870">
            <w:pPr>
              <w:pStyle w:val="12"/>
              <w:pageBreakBefore w:val="0"/>
              <w:wordWrap/>
              <w:bidi w:val="0"/>
              <w:adjustRightInd/>
              <w:snapToGrid/>
              <w:rPr>
                <w:color w:val="auto"/>
              </w:rPr>
            </w:pPr>
          </w:p>
        </w:tc>
        <w:tc>
          <w:tcPr>
            <w:tcW w:w="464" w:type="pct"/>
            <w:tcBorders>
              <w:tl2br w:val="nil"/>
              <w:tr2bl w:val="nil"/>
            </w:tcBorders>
            <w:vAlign w:val="center"/>
          </w:tcPr>
          <w:p w14:paraId="036C2F96">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6CBE5DB">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84C7AD3">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3CBB2291">
            <w:pPr>
              <w:pStyle w:val="12"/>
              <w:pageBreakBefore w:val="0"/>
              <w:wordWrap/>
              <w:bidi w:val="0"/>
              <w:adjustRightInd/>
              <w:snapToGrid/>
              <w:rPr>
                <w:color w:val="auto"/>
              </w:rPr>
            </w:pPr>
          </w:p>
        </w:tc>
      </w:tr>
      <w:tr w14:paraId="71814F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64D617B">
            <w:pPr>
              <w:pStyle w:val="12"/>
              <w:pageBreakBefore w:val="0"/>
              <w:wordWrap/>
              <w:bidi w:val="0"/>
              <w:adjustRightInd/>
              <w:snapToGrid/>
              <w:rPr>
                <w:rFonts w:hint="default" w:eastAsia="宋体"/>
                <w:color w:val="auto"/>
                <w:lang w:val="en-US" w:eastAsia="zh-CN"/>
              </w:rPr>
            </w:pPr>
            <w:r>
              <w:rPr>
                <w:rFonts w:hint="eastAsia"/>
                <w:color w:val="auto"/>
                <w:lang w:val="en-US" w:eastAsia="zh-CN"/>
              </w:rPr>
              <w:t>47</w:t>
            </w:r>
          </w:p>
        </w:tc>
        <w:tc>
          <w:tcPr>
            <w:tcW w:w="189" w:type="pct"/>
            <w:vMerge w:val="continue"/>
            <w:tcBorders>
              <w:tl2br w:val="nil"/>
              <w:tr2bl w:val="nil"/>
            </w:tcBorders>
            <w:vAlign w:val="center"/>
          </w:tcPr>
          <w:p w14:paraId="13141CA5">
            <w:pPr>
              <w:pStyle w:val="12"/>
              <w:pageBreakBefore w:val="0"/>
              <w:wordWrap/>
              <w:bidi w:val="0"/>
              <w:adjustRightInd/>
              <w:snapToGrid/>
              <w:rPr>
                <w:color w:val="auto"/>
              </w:rPr>
            </w:pPr>
          </w:p>
        </w:tc>
        <w:tc>
          <w:tcPr>
            <w:tcW w:w="624" w:type="pct"/>
            <w:tcBorders>
              <w:tl2br w:val="nil"/>
              <w:tr2bl w:val="nil"/>
            </w:tcBorders>
            <w:vAlign w:val="center"/>
          </w:tcPr>
          <w:p w14:paraId="5F4969D8">
            <w:pPr>
              <w:pStyle w:val="12"/>
              <w:pageBreakBefore w:val="0"/>
              <w:wordWrap/>
              <w:bidi w:val="0"/>
              <w:adjustRightInd/>
              <w:snapToGrid/>
              <w:ind w:left="0" w:leftChars="0" w:firstLine="0" w:firstLineChars="0"/>
              <w:rPr>
                <w:color w:val="auto"/>
              </w:rPr>
            </w:pPr>
            <w:r>
              <w:rPr>
                <w:color w:val="auto"/>
              </w:rPr>
              <w:t>絮凝剂投加泵</w:t>
            </w:r>
          </w:p>
        </w:tc>
        <w:tc>
          <w:tcPr>
            <w:tcW w:w="286" w:type="pct"/>
            <w:tcBorders>
              <w:tl2br w:val="nil"/>
              <w:tr2bl w:val="nil"/>
            </w:tcBorders>
            <w:vAlign w:val="center"/>
          </w:tcPr>
          <w:p w14:paraId="548C1C69">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1AF5B661">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4CB811E6">
            <w:pPr>
              <w:pStyle w:val="12"/>
              <w:pageBreakBefore w:val="0"/>
              <w:wordWrap/>
              <w:bidi w:val="0"/>
              <w:adjustRightInd/>
              <w:snapToGrid/>
              <w:rPr>
                <w:color w:val="auto"/>
              </w:rPr>
            </w:pPr>
          </w:p>
        </w:tc>
        <w:tc>
          <w:tcPr>
            <w:tcW w:w="213" w:type="pct"/>
            <w:tcBorders>
              <w:tl2br w:val="nil"/>
              <w:tr2bl w:val="nil"/>
            </w:tcBorders>
            <w:vAlign w:val="center"/>
          </w:tcPr>
          <w:p w14:paraId="5469DA0E">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05A15481">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3EFA1EE1">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62ABBFCC">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60628CDC">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074BD871">
            <w:pPr>
              <w:pStyle w:val="12"/>
              <w:pageBreakBefore w:val="0"/>
              <w:wordWrap/>
              <w:bidi w:val="0"/>
              <w:adjustRightInd/>
              <w:snapToGrid/>
              <w:rPr>
                <w:color w:val="auto"/>
              </w:rPr>
            </w:pPr>
          </w:p>
        </w:tc>
        <w:tc>
          <w:tcPr>
            <w:tcW w:w="464" w:type="pct"/>
            <w:tcBorders>
              <w:tl2br w:val="nil"/>
              <w:tr2bl w:val="nil"/>
            </w:tcBorders>
            <w:vAlign w:val="center"/>
          </w:tcPr>
          <w:p w14:paraId="4F369D7B">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21357CA">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82E9C34">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0FE8C9DF">
            <w:pPr>
              <w:pStyle w:val="12"/>
              <w:pageBreakBefore w:val="0"/>
              <w:wordWrap/>
              <w:bidi w:val="0"/>
              <w:adjustRightInd/>
              <w:snapToGrid/>
              <w:rPr>
                <w:color w:val="auto"/>
              </w:rPr>
            </w:pPr>
          </w:p>
        </w:tc>
      </w:tr>
      <w:tr w14:paraId="5CE2B7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BDD5E70">
            <w:pPr>
              <w:pStyle w:val="12"/>
              <w:pageBreakBefore w:val="0"/>
              <w:wordWrap/>
              <w:bidi w:val="0"/>
              <w:adjustRightInd/>
              <w:snapToGrid/>
              <w:rPr>
                <w:rFonts w:hint="default" w:eastAsia="宋体"/>
                <w:color w:val="auto"/>
                <w:lang w:val="en-US" w:eastAsia="zh-CN"/>
              </w:rPr>
            </w:pPr>
            <w:r>
              <w:rPr>
                <w:rFonts w:hint="eastAsia"/>
                <w:color w:val="auto"/>
                <w:lang w:val="en-US" w:eastAsia="zh-CN"/>
              </w:rPr>
              <w:t>48</w:t>
            </w:r>
          </w:p>
        </w:tc>
        <w:tc>
          <w:tcPr>
            <w:tcW w:w="189" w:type="pct"/>
            <w:vMerge w:val="continue"/>
            <w:tcBorders>
              <w:tl2br w:val="nil"/>
              <w:tr2bl w:val="nil"/>
            </w:tcBorders>
            <w:vAlign w:val="center"/>
          </w:tcPr>
          <w:p w14:paraId="37C27508">
            <w:pPr>
              <w:pStyle w:val="12"/>
              <w:pageBreakBefore w:val="0"/>
              <w:wordWrap/>
              <w:bidi w:val="0"/>
              <w:adjustRightInd/>
              <w:snapToGrid/>
              <w:rPr>
                <w:color w:val="auto"/>
              </w:rPr>
            </w:pPr>
          </w:p>
        </w:tc>
        <w:tc>
          <w:tcPr>
            <w:tcW w:w="624" w:type="pct"/>
            <w:tcBorders>
              <w:tl2br w:val="nil"/>
              <w:tr2bl w:val="nil"/>
            </w:tcBorders>
            <w:vAlign w:val="center"/>
          </w:tcPr>
          <w:p w14:paraId="0B95D79E">
            <w:pPr>
              <w:pStyle w:val="12"/>
              <w:pageBreakBefore w:val="0"/>
              <w:wordWrap/>
              <w:bidi w:val="0"/>
              <w:adjustRightInd/>
              <w:snapToGrid/>
              <w:ind w:left="0" w:leftChars="0" w:firstLine="0" w:firstLineChars="0"/>
              <w:rPr>
                <w:color w:val="auto"/>
              </w:rPr>
            </w:pPr>
            <w:r>
              <w:rPr>
                <w:color w:val="auto"/>
              </w:rPr>
              <w:t>倾斜螺旋输送机</w:t>
            </w:r>
          </w:p>
        </w:tc>
        <w:tc>
          <w:tcPr>
            <w:tcW w:w="286" w:type="pct"/>
            <w:tcBorders>
              <w:tl2br w:val="nil"/>
              <w:tr2bl w:val="nil"/>
            </w:tcBorders>
            <w:vAlign w:val="center"/>
          </w:tcPr>
          <w:p w14:paraId="6CC48764">
            <w:pPr>
              <w:pStyle w:val="12"/>
              <w:pageBreakBefore w:val="0"/>
              <w:wordWrap/>
              <w:bidi w:val="0"/>
              <w:adjustRightInd/>
              <w:snapToGrid/>
              <w:ind w:left="0" w:leftChars="0" w:firstLine="0" w:firstLineChars="0"/>
              <w:rPr>
                <w:color w:val="auto"/>
              </w:rPr>
            </w:pPr>
            <w:r>
              <w:rPr>
                <w:rFonts w:hint="eastAsia"/>
                <w:color w:val="auto"/>
                <w:sz w:val="21"/>
                <w:szCs w:val="21"/>
                <w:lang w:val="en-US" w:eastAsia="zh-CN"/>
              </w:rPr>
              <w:t>1</w:t>
            </w:r>
          </w:p>
        </w:tc>
        <w:tc>
          <w:tcPr>
            <w:tcW w:w="372" w:type="pct"/>
            <w:tcBorders>
              <w:tl2br w:val="nil"/>
              <w:tr2bl w:val="nil"/>
            </w:tcBorders>
            <w:vAlign w:val="center"/>
          </w:tcPr>
          <w:p w14:paraId="25E3177B">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B32BD04">
            <w:pPr>
              <w:pStyle w:val="12"/>
              <w:pageBreakBefore w:val="0"/>
              <w:wordWrap/>
              <w:bidi w:val="0"/>
              <w:adjustRightInd/>
              <w:snapToGrid/>
              <w:rPr>
                <w:color w:val="auto"/>
              </w:rPr>
            </w:pPr>
          </w:p>
        </w:tc>
        <w:tc>
          <w:tcPr>
            <w:tcW w:w="213" w:type="pct"/>
            <w:tcBorders>
              <w:tl2br w:val="nil"/>
              <w:tr2bl w:val="nil"/>
            </w:tcBorders>
            <w:vAlign w:val="center"/>
          </w:tcPr>
          <w:p w14:paraId="022E1FCE">
            <w:pPr>
              <w:pStyle w:val="12"/>
              <w:pageBreakBefore w:val="0"/>
              <w:wordWrap/>
              <w:bidi w:val="0"/>
              <w:adjustRightInd/>
              <w:snapToGrid/>
              <w:rPr>
                <w:rFonts w:hint="default" w:eastAsia="宋体"/>
                <w:color w:val="auto"/>
                <w:lang w:val="en-US" w:eastAsia="zh-CN"/>
              </w:rPr>
            </w:pPr>
            <w:r>
              <w:rPr>
                <w:rFonts w:hint="eastAsia"/>
                <w:color w:val="auto"/>
                <w:lang w:val="en-US" w:eastAsia="zh-CN"/>
              </w:rPr>
              <w:t>133.5</w:t>
            </w:r>
          </w:p>
        </w:tc>
        <w:tc>
          <w:tcPr>
            <w:tcW w:w="212" w:type="pct"/>
            <w:tcBorders>
              <w:tl2br w:val="nil"/>
              <w:tr2bl w:val="nil"/>
            </w:tcBorders>
            <w:vAlign w:val="center"/>
          </w:tcPr>
          <w:p w14:paraId="5C8CC4DD">
            <w:pPr>
              <w:pStyle w:val="12"/>
              <w:pageBreakBefore w:val="0"/>
              <w:wordWrap/>
              <w:bidi w:val="0"/>
              <w:adjustRightInd/>
              <w:snapToGrid/>
              <w:rPr>
                <w:rFonts w:hint="default" w:eastAsia="宋体"/>
                <w:color w:val="auto"/>
                <w:lang w:val="en-US" w:eastAsia="zh-CN"/>
              </w:rPr>
            </w:pPr>
            <w:r>
              <w:rPr>
                <w:rFonts w:hint="eastAsia"/>
                <w:color w:val="auto"/>
                <w:lang w:val="en-US" w:eastAsia="zh-CN"/>
              </w:rPr>
              <w:t>19</w:t>
            </w:r>
          </w:p>
        </w:tc>
        <w:tc>
          <w:tcPr>
            <w:tcW w:w="215" w:type="pct"/>
            <w:tcBorders>
              <w:tl2br w:val="nil"/>
              <w:tr2bl w:val="nil"/>
            </w:tcBorders>
            <w:vAlign w:val="center"/>
          </w:tcPr>
          <w:p w14:paraId="5CB254CB">
            <w:pPr>
              <w:pStyle w:val="12"/>
              <w:pageBreakBefore w:val="0"/>
              <w:wordWrap/>
              <w:bidi w:val="0"/>
              <w:adjustRightInd/>
              <w:snapToGrid/>
              <w:rPr>
                <w:rFonts w:hint="default"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30B460F4">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33D800AD">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08F4965C">
            <w:pPr>
              <w:pStyle w:val="12"/>
              <w:pageBreakBefore w:val="0"/>
              <w:wordWrap/>
              <w:bidi w:val="0"/>
              <w:adjustRightInd/>
              <w:snapToGrid/>
              <w:rPr>
                <w:color w:val="auto"/>
              </w:rPr>
            </w:pPr>
          </w:p>
        </w:tc>
        <w:tc>
          <w:tcPr>
            <w:tcW w:w="464" w:type="pct"/>
            <w:tcBorders>
              <w:tl2br w:val="nil"/>
              <w:tr2bl w:val="nil"/>
            </w:tcBorders>
            <w:vAlign w:val="center"/>
          </w:tcPr>
          <w:p w14:paraId="596C5151">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1ECFC8A0">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2D362711">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55901477">
            <w:pPr>
              <w:pStyle w:val="12"/>
              <w:pageBreakBefore w:val="0"/>
              <w:wordWrap/>
              <w:bidi w:val="0"/>
              <w:adjustRightInd/>
              <w:snapToGrid/>
              <w:rPr>
                <w:color w:val="auto"/>
              </w:rPr>
            </w:pPr>
          </w:p>
        </w:tc>
      </w:tr>
      <w:tr w14:paraId="2CC3B7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A511FD5">
            <w:pPr>
              <w:pStyle w:val="12"/>
              <w:pageBreakBefore w:val="0"/>
              <w:wordWrap/>
              <w:bidi w:val="0"/>
              <w:adjustRightInd/>
              <w:snapToGrid/>
              <w:rPr>
                <w:rFonts w:hint="default" w:eastAsia="宋体"/>
                <w:color w:val="auto"/>
                <w:lang w:val="en-US" w:eastAsia="zh-CN"/>
              </w:rPr>
            </w:pPr>
            <w:r>
              <w:rPr>
                <w:rFonts w:hint="eastAsia"/>
                <w:color w:val="auto"/>
                <w:lang w:val="en-US" w:eastAsia="zh-CN"/>
              </w:rPr>
              <w:t>49</w:t>
            </w:r>
          </w:p>
        </w:tc>
        <w:tc>
          <w:tcPr>
            <w:tcW w:w="189" w:type="pct"/>
            <w:vMerge w:val="continue"/>
            <w:tcBorders>
              <w:tl2br w:val="nil"/>
              <w:tr2bl w:val="nil"/>
            </w:tcBorders>
            <w:vAlign w:val="center"/>
          </w:tcPr>
          <w:p w14:paraId="0F0699C2">
            <w:pPr>
              <w:pStyle w:val="12"/>
              <w:pageBreakBefore w:val="0"/>
              <w:wordWrap/>
              <w:bidi w:val="0"/>
              <w:adjustRightInd/>
              <w:snapToGrid/>
              <w:rPr>
                <w:color w:val="auto"/>
              </w:rPr>
            </w:pPr>
          </w:p>
        </w:tc>
        <w:tc>
          <w:tcPr>
            <w:tcW w:w="624" w:type="pct"/>
            <w:tcBorders>
              <w:tl2br w:val="nil"/>
              <w:tr2bl w:val="nil"/>
            </w:tcBorders>
            <w:vAlign w:val="center"/>
          </w:tcPr>
          <w:p w14:paraId="05775189">
            <w:pPr>
              <w:pStyle w:val="12"/>
              <w:pageBreakBefore w:val="0"/>
              <w:wordWrap/>
              <w:bidi w:val="0"/>
              <w:adjustRightInd/>
              <w:snapToGrid/>
              <w:ind w:left="0" w:leftChars="0" w:firstLine="0" w:firstLineChars="0"/>
              <w:rPr>
                <w:color w:val="auto"/>
              </w:rPr>
            </w:pPr>
            <w:r>
              <w:rPr>
                <w:color w:val="auto"/>
              </w:rPr>
              <w:t>石灰乳泵</w:t>
            </w:r>
          </w:p>
        </w:tc>
        <w:tc>
          <w:tcPr>
            <w:tcW w:w="286" w:type="pct"/>
            <w:tcBorders>
              <w:tl2br w:val="nil"/>
              <w:tr2bl w:val="nil"/>
            </w:tcBorders>
            <w:vAlign w:val="center"/>
          </w:tcPr>
          <w:p w14:paraId="4427F46C">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5B79A908">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2448C81E">
            <w:pPr>
              <w:pStyle w:val="12"/>
              <w:pageBreakBefore w:val="0"/>
              <w:wordWrap/>
              <w:bidi w:val="0"/>
              <w:adjustRightInd/>
              <w:snapToGrid/>
              <w:rPr>
                <w:color w:val="auto"/>
              </w:rPr>
            </w:pPr>
          </w:p>
        </w:tc>
        <w:tc>
          <w:tcPr>
            <w:tcW w:w="213" w:type="pct"/>
            <w:tcBorders>
              <w:tl2br w:val="nil"/>
              <w:tr2bl w:val="nil"/>
            </w:tcBorders>
            <w:vAlign w:val="center"/>
          </w:tcPr>
          <w:p w14:paraId="7E709C60">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1DD09B8C">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337C047F">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44BE8B09">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35442E26">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69EB4C54">
            <w:pPr>
              <w:pStyle w:val="12"/>
              <w:pageBreakBefore w:val="0"/>
              <w:wordWrap/>
              <w:bidi w:val="0"/>
              <w:adjustRightInd/>
              <w:snapToGrid/>
              <w:rPr>
                <w:color w:val="auto"/>
              </w:rPr>
            </w:pPr>
          </w:p>
        </w:tc>
        <w:tc>
          <w:tcPr>
            <w:tcW w:w="464" w:type="pct"/>
            <w:tcBorders>
              <w:tl2br w:val="nil"/>
              <w:tr2bl w:val="nil"/>
            </w:tcBorders>
            <w:vAlign w:val="center"/>
          </w:tcPr>
          <w:p w14:paraId="7845ADF9">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02F9009">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5D2E6C4">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1FDFD034">
            <w:pPr>
              <w:pStyle w:val="12"/>
              <w:pageBreakBefore w:val="0"/>
              <w:wordWrap/>
              <w:bidi w:val="0"/>
              <w:adjustRightInd/>
              <w:snapToGrid/>
              <w:rPr>
                <w:color w:val="auto"/>
              </w:rPr>
            </w:pPr>
          </w:p>
        </w:tc>
      </w:tr>
      <w:tr w14:paraId="333DA50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2693D4E">
            <w:pPr>
              <w:pStyle w:val="12"/>
              <w:pageBreakBefore w:val="0"/>
              <w:wordWrap/>
              <w:bidi w:val="0"/>
              <w:adjustRightInd/>
              <w:snapToGrid/>
              <w:rPr>
                <w:rFonts w:hint="default" w:eastAsia="宋体"/>
                <w:color w:val="auto"/>
                <w:lang w:val="en-US" w:eastAsia="zh-CN"/>
              </w:rPr>
            </w:pPr>
            <w:r>
              <w:rPr>
                <w:rFonts w:hint="eastAsia"/>
                <w:color w:val="auto"/>
                <w:lang w:val="en-US" w:eastAsia="zh-CN"/>
              </w:rPr>
              <w:t>50</w:t>
            </w:r>
          </w:p>
        </w:tc>
        <w:tc>
          <w:tcPr>
            <w:tcW w:w="189" w:type="pct"/>
            <w:vMerge w:val="continue"/>
            <w:tcBorders>
              <w:tl2br w:val="nil"/>
              <w:tr2bl w:val="nil"/>
            </w:tcBorders>
            <w:vAlign w:val="center"/>
          </w:tcPr>
          <w:p w14:paraId="00F0E2F9">
            <w:pPr>
              <w:pStyle w:val="12"/>
              <w:pageBreakBefore w:val="0"/>
              <w:wordWrap/>
              <w:bidi w:val="0"/>
              <w:adjustRightInd/>
              <w:snapToGrid/>
              <w:rPr>
                <w:color w:val="auto"/>
              </w:rPr>
            </w:pPr>
          </w:p>
        </w:tc>
        <w:tc>
          <w:tcPr>
            <w:tcW w:w="624" w:type="pct"/>
            <w:tcBorders>
              <w:tl2br w:val="nil"/>
              <w:tr2bl w:val="nil"/>
            </w:tcBorders>
            <w:vAlign w:val="center"/>
          </w:tcPr>
          <w:p w14:paraId="3D01CDB0">
            <w:pPr>
              <w:pStyle w:val="12"/>
              <w:pageBreakBefore w:val="0"/>
              <w:wordWrap/>
              <w:bidi w:val="0"/>
              <w:adjustRightInd/>
              <w:snapToGrid/>
              <w:ind w:left="0" w:leftChars="0" w:firstLine="0" w:firstLineChars="0"/>
              <w:rPr>
                <w:color w:val="auto"/>
              </w:rPr>
            </w:pPr>
            <w:r>
              <w:rPr>
                <w:color w:val="auto"/>
              </w:rPr>
              <w:t>铁盐计量泵</w:t>
            </w:r>
          </w:p>
        </w:tc>
        <w:tc>
          <w:tcPr>
            <w:tcW w:w="286" w:type="pct"/>
            <w:tcBorders>
              <w:tl2br w:val="nil"/>
              <w:tr2bl w:val="nil"/>
            </w:tcBorders>
            <w:vAlign w:val="center"/>
          </w:tcPr>
          <w:p w14:paraId="4CFBF256">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2AE8D550">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213F97A3">
            <w:pPr>
              <w:pStyle w:val="12"/>
              <w:pageBreakBefore w:val="0"/>
              <w:wordWrap/>
              <w:bidi w:val="0"/>
              <w:adjustRightInd/>
              <w:snapToGrid/>
              <w:rPr>
                <w:color w:val="auto"/>
              </w:rPr>
            </w:pPr>
          </w:p>
        </w:tc>
        <w:tc>
          <w:tcPr>
            <w:tcW w:w="213" w:type="pct"/>
            <w:tcBorders>
              <w:tl2br w:val="nil"/>
              <w:tr2bl w:val="nil"/>
            </w:tcBorders>
            <w:vAlign w:val="center"/>
          </w:tcPr>
          <w:p w14:paraId="067DF1EA">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09F3A6D8">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678EF2DA">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47576A15">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436" w:type="pct"/>
            <w:tcBorders>
              <w:tl2br w:val="nil"/>
              <w:tr2bl w:val="nil"/>
            </w:tcBorders>
            <w:vAlign w:val="center"/>
          </w:tcPr>
          <w:p w14:paraId="74DD1630">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594B4F20">
            <w:pPr>
              <w:pStyle w:val="12"/>
              <w:pageBreakBefore w:val="0"/>
              <w:wordWrap/>
              <w:bidi w:val="0"/>
              <w:adjustRightInd/>
              <w:snapToGrid/>
              <w:rPr>
                <w:color w:val="auto"/>
              </w:rPr>
            </w:pPr>
          </w:p>
        </w:tc>
        <w:tc>
          <w:tcPr>
            <w:tcW w:w="464" w:type="pct"/>
            <w:tcBorders>
              <w:tl2br w:val="nil"/>
              <w:tr2bl w:val="nil"/>
            </w:tcBorders>
            <w:vAlign w:val="center"/>
          </w:tcPr>
          <w:p w14:paraId="48098620">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ADA8AF7">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12B7A755">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281" w:type="pct"/>
            <w:vMerge w:val="continue"/>
            <w:tcBorders>
              <w:tl2br w:val="nil"/>
              <w:tr2bl w:val="nil"/>
            </w:tcBorders>
            <w:vAlign w:val="center"/>
          </w:tcPr>
          <w:p w14:paraId="0896DCA1">
            <w:pPr>
              <w:pStyle w:val="12"/>
              <w:pageBreakBefore w:val="0"/>
              <w:wordWrap/>
              <w:bidi w:val="0"/>
              <w:adjustRightInd/>
              <w:snapToGrid/>
              <w:rPr>
                <w:color w:val="auto"/>
              </w:rPr>
            </w:pPr>
          </w:p>
        </w:tc>
      </w:tr>
      <w:tr w14:paraId="6C50B0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AF77E39">
            <w:pPr>
              <w:pStyle w:val="12"/>
              <w:pageBreakBefore w:val="0"/>
              <w:wordWrap/>
              <w:bidi w:val="0"/>
              <w:adjustRightInd/>
              <w:snapToGrid/>
              <w:rPr>
                <w:rFonts w:hint="default" w:eastAsia="宋体"/>
                <w:color w:val="auto"/>
                <w:lang w:val="en-US" w:eastAsia="zh-CN"/>
              </w:rPr>
            </w:pPr>
            <w:r>
              <w:rPr>
                <w:rFonts w:hint="eastAsia"/>
                <w:color w:val="auto"/>
                <w:lang w:val="en-US" w:eastAsia="zh-CN"/>
              </w:rPr>
              <w:t>51</w:t>
            </w:r>
          </w:p>
        </w:tc>
        <w:tc>
          <w:tcPr>
            <w:tcW w:w="189" w:type="pct"/>
            <w:vMerge w:val="continue"/>
            <w:tcBorders>
              <w:tl2br w:val="nil"/>
              <w:tr2bl w:val="nil"/>
            </w:tcBorders>
            <w:vAlign w:val="center"/>
          </w:tcPr>
          <w:p w14:paraId="6AD9114C">
            <w:pPr>
              <w:pStyle w:val="12"/>
              <w:pageBreakBefore w:val="0"/>
              <w:wordWrap/>
              <w:bidi w:val="0"/>
              <w:adjustRightInd/>
              <w:snapToGrid/>
              <w:rPr>
                <w:color w:val="auto"/>
              </w:rPr>
            </w:pPr>
          </w:p>
        </w:tc>
        <w:tc>
          <w:tcPr>
            <w:tcW w:w="624" w:type="pct"/>
            <w:tcBorders>
              <w:tl2br w:val="nil"/>
              <w:tr2bl w:val="nil"/>
            </w:tcBorders>
            <w:vAlign w:val="center"/>
          </w:tcPr>
          <w:p w14:paraId="72B69F3E">
            <w:pPr>
              <w:pStyle w:val="12"/>
              <w:pageBreakBefore w:val="0"/>
              <w:wordWrap/>
              <w:bidi w:val="0"/>
              <w:adjustRightInd/>
              <w:snapToGrid/>
              <w:ind w:left="0" w:leftChars="0" w:firstLine="0" w:firstLineChars="0"/>
              <w:rPr>
                <w:color w:val="auto"/>
              </w:rPr>
            </w:pPr>
            <w:r>
              <w:rPr>
                <w:color w:val="auto"/>
              </w:rPr>
              <w:t>铁盐卸药泵</w:t>
            </w:r>
          </w:p>
        </w:tc>
        <w:tc>
          <w:tcPr>
            <w:tcW w:w="286" w:type="pct"/>
            <w:tcBorders>
              <w:tl2br w:val="nil"/>
              <w:tr2bl w:val="nil"/>
            </w:tcBorders>
            <w:vAlign w:val="center"/>
          </w:tcPr>
          <w:p w14:paraId="22452B29">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1CF18C99">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6794B8A3">
            <w:pPr>
              <w:pStyle w:val="12"/>
              <w:pageBreakBefore w:val="0"/>
              <w:wordWrap/>
              <w:bidi w:val="0"/>
              <w:adjustRightInd/>
              <w:snapToGrid/>
              <w:rPr>
                <w:color w:val="auto"/>
              </w:rPr>
            </w:pPr>
          </w:p>
        </w:tc>
        <w:tc>
          <w:tcPr>
            <w:tcW w:w="213" w:type="pct"/>
            <w:tcBorders>
              <w:tl2br w:val="nil"/>
              <w:tr2bl w:val="nil"/>
            </w:tcBorders>
            <w:vAlign w:val="center"/>
          </w:tcPr>
          <w:p w14:paraId="340EF8C8">
            <w:pPr>
              <w:pStyle w:val="12"/>
              <w:pageBreakBefore w:val="0"/>
              <w:wordWrap/>
              <w:bidi w:val="0"/>
              <w:adjustRightInd/>
              <w:snapToGrid/>
              <w:ind w:left="0" w:leftChars="0" w:firstLine="0" w:firstLineChars="0"/>
              <w:rPr>
                <w:color w:val="auto"/>
              </w:rPr>
            </w:pPr>
            <w:r>
              <w:rPr>
                <w:rFonts w:hint="eastAsia"/>
                <w:color w:val="auto"/>
                <w:lang w:val="en-US" w:eastAsia="zh-CN"/>
              </w:rPr>
              <w:t>151.5</w:t>
            </w:r>
          </w:p>
        </w:tc>
        <w:tc>
          <w:tcPr>
            <w:tcW w:w="212" w:type="pct"/>
            <w:tcBorders>
              <w:tl2br w:val="nil"/>
              <w:tr2bl w:val="nil"/>
            </w:tcBorders>
            <w:vAlign w:val="center"/>
          </w:tcPr>
          <w:p w14:paraId="18AB07B6">
            <w:pPr>
              <w:pStyle w:val="12"/>
              <w:pageBreakBefore w:val="0"/>
              <w:wordWrap/>
              <w:bidi w:val="0"/>
              <w:adjustRightInd/>
              <w:snapToGrid/>
              <w:ind w:left="0" w:leftChars="0" w:firstLine="0" w:firstLineChars="0"/>
              <w:rPr>
                <w:color w:val="auto"/>
              </w:rPr>
            </w:pPr>
            <w:r>
              <w:rPr>
                <w:rFonts w:hint="eastAsia"/>
                <w:color w:val="auto"/>
                <w:lang w:val="en-US" w:eastAsia="zh-CN"/>
              </w:rPr>
              <w:t>12.4</w:t>
            </w:r>
          </w:p>
        </w:tc>
        <w:tc>
          <w:tcPr>
            <w:tcW w:w="215" w:type="pct"/>
            <w:tcBorders>
              <w:tl2br w:val="nil"/>
              <w:tr2bl w:val="nil"/>
            </w:tcBorders>
            <w:vAlign w:val="center"/>
          </w:tcPr>
          <w:p w14:paraId="641D2985">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0A93C481">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081179CC">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09D69A19">
            <w:pPr>
              <w:pStyle w:val="12"/>
              <w:pageBreakBefore w:val="0"/>
              <w:wordWrap/>
              <w:bidi w:val="0"/>
              <w:adjustRightInd/>
              <w:snapToGrid/>
              <w:rPr>
                <w:color w:val="auto"/>
              </w:rPr>
            </w:pPr>
          </w:p>
        </w:tc>
        <w:tc>
          <w:tcPr>
            <w:tcW w:w="464" w:type="pct"/>
            <w:tcBorders>
              <w:tl2br w:val="nil"/>
              <w:tr2bl w:val="nil"/>
            </w:tcBorders>
            <w:vAlign w:val="center"/>
          </w:tcPr>
          <w:p w14:paraId="6270C45E">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61EA30F9">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57FB6C4">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7673F00C">
            <w:pPr>
              <w:pStyle w:val="12"/>
              <w:pageBreakBefore w:val="0"/>
              <w:wordWrap/>
              <w:bidi w:val="0"/>
              <w:adjustRightInd/>
              <w:snapToGrid/>
              <w:rPr>
                <w:color w:val="auto"/>
              </w:rPr>
            </w:pPr>
          </w:p>
        </w:tc>
      </w:tr>
      <w:tr w14:paraId="47258D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7B23A66">
            <w:pPr>
              <w:pStyle w:val="12"/>
              <w:pageBreakBefore w:val="0"/>
              <w:wordWrap/>
              <w:bidi w:val="0"/>
              <w:adjustRightInd/>
              <w:snapToGrid/>
              <w:rPr>
                <w:rFonts w:hint="default" w:eastAsia="宋体"/>
                <w:color w:val="auto"/>
                <w:lang w:val="en-US" w:eastAsia="zh-CN"/>
              </w:rPr>
            </w:pPr>
            <w:r>
              <w:rPr>
                <w:rFonts w:hint="eastAsia"/>
                <w:color w:val="auto"/>
                <w:lang w:val="en-US" w:eastAsia="zh-CN"/>
              </w:rPr>
              <w:t>52</w:t>
            </w:r>
          </w:p>
        </w:tc>
        <w:tc>
          <w:tcPr>
            <w:tcW w:w="189" w:type="pct"/>
            <w:vMerge w:val="continue"/>
            <w:tcBorders>
              <w:tl2br w:val="nil"/>
              <w:tr2bl w:val="nil"/>
            </w:tcBorders>
            <w:vAlign w:val="center"/>
          </w:tcPr>
          <w:p w14:paraId="0898A18C">
            <w:pPr>
              <w:pStyle w:val="12"/>
              <w:pageBreakBefore w:val="0"/>
              <w:wordWrap/>
              <w:bidi w:val="0"/>
              <w:adjustRightInd/>
              <w:snapToGrid/>
              <w:rPr>
                <w:color w:val="auto"/>
              </w:rPr>
            </w:pPr>
          </w:p>
        </w:tc>
        <w:tc>
          <w:tcPr>
            <w:tcW w:w="624" w:type="pct"/>
            <w:tcBorders>
              <w:tl2br w:val="nil"/>
              <w:tr2bl w:val="nil"/>
            </w:tcBorders>
            <w:vAlign w:val="center"/>
          </w:tcPr>
          <w:p w14:paraId="55D650EE">
            <w:pPr>
              <w:pStyle w:val="12"/>
              <w:pageBreakBefore w:val="0"/>
              <w:wordWrap/>
              <w:bidi w:val="0"/>
              <w:adjustRightInd/>
              <w:snapToGrid/>
              <w:ind w:left="0" w:leftChars="0" w:firstLine="0" w:firstLineChars="0"/>
              <w:rPr>
                <w:color w:val="auto"/>
              </w:rPr>
            </w:pPr>
            <w:r>
              <w:rPr>
                <w:color w:val="auto"/>
              </w:rPr>
              <w:t>空气压缩机</w:t>
            </w:r>
          </w:p>
        </w:tc>
        <w:tc>
          <w:tcPr>
            <w:tcW w:w="286" w:type="pct"/>
            <w:tcBorders>
              <w:tl2br w:val="nil"/>
              <w:tr2bl w:val="nil"/>
            </w:tcBorders>
            <w:vAlign w:val="center"/>
          </w:tcPr>
          <w:p w14:paraId="054BF4C7">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29636768">
            <w:pPr>
              <w:pStyle w:val="12"/>
              <w:pageBreakBefore w:val="0"/>
              <w:wordWrap/>
              <w:bidi w:val="0"/>
              <w:adjustRightInd/>
              <w:snapToGrid/>
              <w:rPr>
                <w:rFonts w:hint="default" w:eastAsia="宋体"/>
                <w:color w:val="auto"/>
                <w:lang w:val="en-US" w:eastAsia="zh-CN"/>
              </w:rPr>
            </w:pPr>
            <w:r>
              <w:rPr>
                <w:rFonts w:hint="eastAsia"/>
                <w:color w:val="auto"/>
                <w:lang w:val="en-US" w:eastAsia="zh-CN"/>
              </w:rPr>
              <w:t>90</w:t>
            </w:r>
          </w:p>
        </w:tc>
        <w:tc>
          <w:tcPr>
            <w:tcW w:w="372" w:type="pct"/>
            <w:vMerge w:val="continue"/>
            <w:tcBorders>
              <w:tl2br w:val="nil"/>
              <w:tr2bl w:val="nil"/>
            </w:tcBorders>
            <w:vAlign w:val="center"/>
          </w:tcPr>
          <w:p w14:paraId="4F3E6233">
            <w:pPr>
              <w:pStyle w:val="12"/>
              <w:pageBreakBefore w:val="0"/>
              <w:wordWrap/>
              <w:bidi w:val="0"/>
              <w:adjustRightInd/>
              <w:snapToGrid/>
              <w:rPr>
                <w:color w:val="auto"/>
              </w:rPr>
            </w:pPr>
          </w:p>
        </w:tc>
        <w:tc>
          <w:tcPr>
            <w:tcW w:w="213" w:type="pct"/>
            <w:tcBorders>
              <w:tl2br w:val="nil"/>
              <w:tr2bl w:val="nil"/>
            </w:tcBorders>
            <w:vAlign w:val="center"/>
          </w:tcPr>
          <w:p w14:paraId="61A307EB">
            <w:pPr>
              <w:pStyle w:val="12"/>
              <w:pageBreakBefore w:val="0"/>
              <w:wordWrap/>
              <w:bidi w:val="0"/>
              <w:adjustRightInd/>
              <w:snapToGrid/>
              <w:rPr>
                <w:rFonts w:hint="default" w:eastAsia="宋体"/>
                <w:color w:val="auto"/>
                <w:lang w:val="en-US" w:eastAsia="zh-CN"/>
              </w:rPr>
            </w:pPr>
            <w:r>
              <w:rPr>
                <w:rFonts w:hint="eastAsia"/>
                <w:color w:val="auto"/>
                <w:lang w:val="en-US" w:eastAsia="zh-CN"/>
              </w:rPr>
              <w:t>151.5</w:t>
            </w:r>
          </w:p>
        </w:tc>
        <w:tc>
          <w:tcPr>
            <w:tcW w:w="212" w:type="pct"/>
            <w:tcBorders>
              <w:tl2br w:val="nil"/>
              <w:tr2bl w:val="nil"/>
            </w:tcBorders>
            <w:vAlign w:val="center"/>
          </w:tcPr>
          <w:p w14:paraId="0E0E00DB">
            <w:pPr>
              <w:pStyle w:val="12"/>
              <w:pageBreakBefore w:val="0"/>
              <w:wordWrap/>
              <w:bidi w:val="0"/>
              <w:adjustRightInd/>
              <w:snapToGrid/>
              <w:rPr>
                <w:rFonts w:hint="default" w:eastAsia="宋体"/>
                <w:color w:val="auto"/>
                <w:lang w:val="en-US" w:eastAsia="zh-CN"/>
              </w:rPr>
            </w:pPr>
            <w:r>
              <w:rPr>
                <w:rFonts w:hint="eastAsia"/>
                <w:color w:val="auto"/>
                <w:lang w:val="en-US" w:eastAsia="zh-CN"/>
              </w:rPr>
              <w:t>13</w:t>
            </w:r>
          </w:p>
        </w:tc>
        <w:tc>
          <w:tcPr>
            <w:tcW w:w="215" w:type="pct"/>
            <w:tcBorders>
              <w:tl2br w:val="nil"/>
              <w:tr2bl w:val="nil"/>
            </w:tcBorders>
            <w:vAlign w:val="center"/>
          </w:tcPr>
          <w:p w14:paraId="72250EC1">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043A945F">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4A98DA73">
            <w:pPr>
              <w:pStyle w:val="12"/>
              <w:pageBreakBefore w:val="0"/>
              <w:wordWrap/>
              <w:bidi w:val="0"/>
              <w:adjustRightInd/>
              <w:snapToGrid/>
              <w:ind w:left="0" w:leftChars="0" w:firstLine="0" w:firstLineChars="0"/>
              <w:rPr>
                <w:color w:val="auto"/>
              </w:rPr>
            </w:pPr>
            <w:r>
              <w:rPr>
                <w:rFonts w:hint="eastAsia"/>
                <w:color w:val="auto"/>
                <w:lang w:val="en-US" w:eastAsia="zh-CN"/>
              </w:rPr>
              <w:t>90</w:t>
            </w:r>
          </w:p>
        </w:tc>
        <w:tc>
          <w:tcPr>
            <w:tcW w:w="263" w:type="pct"/>
            <w:vMerge w:val="continue"/>
            <w:tcBorders>
              <w:tl2br w:val="nil"/>
              <w:tr2bl w:val="nil"/>
            </w:tcBorders>
            <w:vAlign w:val="center"/>
          </w:tcPr>
          <w:p w14:paraId="25738B2E">
            <w:pPr>
              <w:pStyle w:val="12"/>
              <w:pageBreakBefore w:val="0"/>
              <w:wordWrap/>
              <w:bidi w:val="0"/>
              <w:adjustRightInd/>
              <w:snapToGrid/>
              <w:rPr>
                <w:color w:val="auto"/>
              </w:rPr>
            </w:pPr>
          </w:p>
        </w:tc>
        <w:tc>
          <w:tcPr>
            <w:tcW w:w="464" w:type="pct"/>
            <w:tcBorders>
              <w:tl2br w:val="nil"/>
              <w:tr2bl w:val="nil"/>
            </w:tcBorders>
            <w:vAlign w:val="center"/>
          </w:tcPr>
          <w:p w14:paraId="75EA7EE2">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4EBF8E89">
            <w:pPr>
              <w:pStyle w:val="12"/>
              <w:bidi w:val="0"/>
              <w:rPr>
                <w:rFonts w:hint="default"/>
                <w:color w:val="auto"/>
                <w:lang w:val="en-US" w:eastAsia="zh-CN"/>
              </w:rPr>
            </w:pPr>
            <w:r>
              <w:rPr>
                <w:rFonts w:hint="default"/>
                <w:color w:val="auto"/>
                <w:lang w:val="en-US" w:eastAsia="zh-CN"/>
              </w:rPr>
              <w:t>45.2</w:t>
            </w:r>
          </w:p>
        </w:tc>
        <w:tc>
          <w:tcPr>
            <w:tcW w:w="285" w:type="pct"/>
            <w:tcBorders>
              <w:tl2br w:val="nil"/>
              <w:tr2bl w:val="nil"/>
            </w:tcBorders>
            <w:vAlign w:val="center"/>
          </w:tcPr>
          <w:p w14:paraId="7987C975">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7034AE0B">
            <w:pPr>
              <w:pStyle w:val="12"/>
              <w:pageBreakBefore w:val="0"/>
              <w:wordWrap/>
              <w:bidi w:val="0"/>
              <w:adjustRightInd/>
              <w:snapToGrid/>
              <w:rPr>
                <w:color w:val="auto"/>
              </w:rPr>
            </w:pPr>
          </w:p>
        </w:tc>
      </w:tr>
      <w:tr w14:paraId="315BB42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7058383">
            <w:pPr>
              <w:pStyle w:val="12"/>
              <w:pageBreakBefore w:val="0"/>
              <w:wordWrap/>
              <w:bidi w:val="0"/>
              <w:adjustRightInd/>
              <w:snapToGrid/>
              <w:rPr>
                <w:rFonts w:hint="default" w:eastAsia="宋体"/>
                <w:color w:val="auto"/>
                <w:lang w:val="en-US" w:eastAsia="zh-CN"/>
              </w:rPr>
            </w:pPr>
            <w:r>
              <w:rPr>
                <w:rFonts w:hint="eastAsia"/>
                <w:color w:val="auto"/>
                <w:lang w:val="en-US" w:eastAsia="zh-CN"/>
              </w:rPr>
              <w:t>53</w:t>
            </w:r>
          </w:p>
        </w:tc>
        <w:tc>
          <w:tcPr>
            <w:tcW w:w="189" w:type="pct"/>
            <w:vMerge w:val="continue"/>
            <w:tcBorders>
              <w:tl2br w:val="nil"/>
              <w:tr2bl w:val="nil"/>
            </w:tcBorders>
            <w:vAlign w:val="center"/>
          </w:tcPr>
          <w:p w14:paraId="60CB0FE6">
            <w:pPr>
              <w:pStyle w:val="12"/>
              <w:pageBreakBefore w:val="0"/>
              <w:wordWrap/>
              <w:bidi w:val="0"/>
              <w:adjustRightInd/>
              <w:snapToGrid/>
              <w:rPr>
                <w:color w:val="auto"/>
              </w:rPr>
            </w:pPr>
          </w:p>
        </w:tc>
        <w:tc>
          <w:tcPr>
            <w:tcW w:w="624" w:type="pct"/>
            <w:tcBorders>
              <w:tl2br w:val="nil"/>
              <w:tr2bl w:val="nil"/>
            </w:tcBorders>
            <w:vAlign w:val="center"/>
          </w:tcPr>
          <w:p w14:paraId="582A89E7">
            <w:pPr>
              <w:pStyle w:val="12"/>
              <w:pageBreakBefore w:val="0"/>
              <w:wordWrap/>
              <w:bidi w:val="0"/>
              <w:adjustRightInd/>
              <w:snapToGrid/>
              <w:ind w:left="0" w:leftChars="0" w:firstLine="0" w:firstLineChars="0"/>
              <w:rPr>
                <w:color w:val="auto"/>
              </w:rPr>
            </w:pPr>
            <w:r>
              <w:rPr>
                <w:color w:val="auto"/>
              </w:rPr>
              <w:t>冷干机</w:t>
            </w:r>
          </w:p>
        </w:tc>
        <w:tc>
          <w:tcPr>
            <w:tcW w:w="286" w:type="pct"/>
            <w:tcBorders>
              <w:tl2br w:val="nil"/>
              <w:tr2bl w:val="nil"/>
            </w:tcBorders>
            <w:vAlign w:val="center"/>
          </w:tcPr>
          <w:p w14:paraId="2E84DDA0">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1861D227">
            <w:pPr>
              <w:pStyle w:val="12"/>
              <w:pageBreakBefore w:val="0"/>
              <w:wordWrap/>
              <w:bidi w:val="0"/>
              <w:adjustRightInd/>
              <w:snapToGrid/>
              <w:rPr>
                <w:rFonts w:hint="default" w:eastAsia="宋体"/>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4A4024C9">
            <w:pPr>
              <w:pStyle w:val="12"/>
              <w:pageBreakBefore w:val="0"/>
              <w:wordWrap/>
              <w:bidi w:val="0"/>
              <w:adjustRightInd/>
              <w:snapToGrid/>
              <w:rPr>
                <w:color w:val="auto"/>
              </w:rPr>
            </w:pPr>
          </w:p>
        </w:tc>
        <w:tc>
          <w:tcPr>
            <w:tcW w:w="213" w:type="pct"/>
            <w:tcBorders>
              <w:tl2br w:val="nil"/>
              <w:tr2bl w:val="nil"/>
            </w:tcBorders>
            <w:vAlign w:val="center"/>
          </w:tcPr>
          <w:p w14:paraId="5A16A844">
            <w:pPr>
              <w:pStyle w:val="12"/>
              <w:pageBreakBefore w:val="0"/>
              <w:wordWrap/>
              <w:bidi w:val="0"/>
              <w:adjustRightInd/>
              <w:snapToGrid/>
              <w:rPr>
                <w:rFonts w:hint="default" w:eastAsia="宋体"/>
                <w:color w:val="auto"/>
                <w:lang w:val="en-US" w:eastAsia="zh-CN"/>
              </w:rPr>
            </w:pPr>
            <w:r>
              <w:rPr>
                <w:rFonts w:hint="eastAsia"/>
                <w:color w:val="auto"/>
                <w:lang w:val="en-US" w:eastAsia="zh-CN"/>
              </w:rPr>
              <w:t>151.5</w:t>
            </w:r>
          </w:p>
        </w:tc>
        <w:tc>
          <w:tcPr>
            <w:tcW w:w="212" w:type="pct"/>
            <w:tcBorders>
              <w:tl2br w:val="nil"/>
              <w:tr2bl w:val="nil"/>
            </w:tcBorders>
            <w:vAlign w:val="center"/>
          </w:tcPr>
          <w:p w14:paraId="4C0CE8A6">
            <w:pPr>
              <w:pStyle w:val="12"/>
              <w:pageBreakBefore w:val="0"/>
              <w:wordWrap/>
              <w:bidi w:val="0"/>
              <w:adjustRightInd/>
              <w:snapToGrid/>
              <w:rPr>
                <w:rFonts w:hint="default" w:eastAsia="宋体"/>
                <w:color w:val="auto"/>
                <w:lang w:val="en-US" w:eastAsia="zh-CN"/>
              </w:rPr>
            </w:pPr>
            <w:r>
              <w:rPr>
                <w:rFonts w:hint="eastAsia"/>
                <w:color w:val="auto"/>
                <w:lang w:val="en-US" w:eastAsia="zh-CN"/>
              </w:rPr>
              <w:t>13</w:t>
            </w:r>
          </w:p>
        </w:tc>
        <w:tc>
          <w:tcPr>
            <w:tcW w:w="215" w:type="pct"/>
            <w:tcBorders>
              <w:tl2br w:val="nil"/>
              <w:tr2bl w:val="nil"/>
            </w:tcBorders>
            <w:vAlign w:val="center"/>
          </w:tcPr>
          <w:p w14:paraId="4CB8632C">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00540657">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7306A813">
            <w:pPr>
              <w:pStyle w:val="12"/>
              <w:pageBreakBefore w:val="0"/>
              <w:wordWrap/>
              <w:bidi w:val="0"/>
              <w:adjustRightInd/>
              <w:snapToGrid/>
              <w:ind w:left="0" w:leftChars="0" w:firstLine="0" w:firstLineChars="0"/>
              <w:rPr>
                <w:color w:val="auto"/>
              </w:rPr>
            </w:pPr>
            <w:r>
              <w:rPr>
                <w:rFonts w:hint="eastAsia"/>
                <w:color w:val="auto"/>
                <w:lang w:val="en-US" w:eastAsia="zh-CN"/>
              </w:rPr>
              <w:t>75</w:t>
            </w:r>
          </w:p>
        </w:tc>
        <w:tc>
          <w:tcPr>
            <w:tcW w:w="263" w:type="pct"/>
            <w:vMerge w:val="continue"/>
            <w:tcBorders>
              <w:tl2br w:val="nil"/>
              <w:tr2bl w:val="nil"/>
            </w:tcBorders>
            <w:vAlign w:val="center"/>
          </w:tcPr>
          <w:p w14:paraId="20DB145C">
            <w:pPr>
              <w:pStyle w:val="12"/>
              <w:pageBreakBefore w:val="0"/>
              <w:wordWrap/>
              <w:bidi w:val="0"/>
              <w:adjustRightInd/>
              <w:snapToGrid/>
              <w:rPr>
                <w:color w:val="auto"/>
              </w:rPr>
            </w:pPr>
          </w:p>
        </w:tc>
        <w:tc>
          <w:tcPr>
            <w:tcW w:w="464" w:type="pct"/>
            <w:tcBorders>
              <w:tl2br w:val="nil"/>
              <w:tr2bl w:val="nil"/>
            </w:tcBorders>
            <w:vAlign w:val="center"/>
          </w:tcPr>
          <w:p w14:paraId="3410D806">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C6CA618">
            <w:pPr>
              <w:pStyle w:val="12"/>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3714291F">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24F4C6B8">
            <w:pPr>
              <w:pStyle w:val="12"/>
              <w:pageBreakBefore w:val="0"/>
              <w:wordWrap/>
              <w:bidi w:val="0"/>
              <w:adjustRightInd/>
              <w:snapToGrid/>
              <w:rPr>
                <w:color w:val="auto"/>
              </w:rPr>
            </w:pPr>
          </w:p>
        </w:tc>
      </w:tr>
      <w:tr w14:paraId="384F82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F143F9F">
            <w:pPr>
              <w:pStyle w:val="12"/>
              <w:pageBreakBefore w:val="0"/>
              <w:wordWrap/>
              <w:bidi w:val="0"/>
              <w:adjustRightInd/>
              <w:snapToGrid/>
              <w:rPr>
                <w:rFonts w:hint="default" w:eastAsia="宋体"/>
                <w:color w:val="auto"/>
                <w:lang w:val="en-US" w:eastAsia="zh-CN"/>
              </w:rPr>
            </w:pPr>
            <w:r>
              <w:rPr>
                <w:rFonts w:hint="eastAsia"/>
                <w:color w:val="auto"/>
                <w:lang w:val="en-US" w:eastAsia="zh-CN"/>
              </w:rPr>
              <w:t>54</w:t>
            </w:r>
          </w:p>
        </w:tc>
        <w:tc>
          <w:tcPr>
            <w:tcW w:w="189" w:type="pct"/>
            <w:vMerge w:val="continue"/>
            <w:tcBorders>
              <w:tl2br w:val="nil"/>
              <w:tr2bl w:val="nil"/>
            </w:tcBorders>
            <w:vAlign w:val="center"/>
          </w:tcPr>
          <w:p w14:paraId="56B9C9CC">
            <w:pPr>
              <w:pStyle w:val="12"/>
              <w:pageBreakBefore w:val="0"/>
              <w:wordWrap/>
              <w:bidi w:val="0"/>
              <w:adjustRightInd/>
              <w:snapToGrid/>
              <w:rPr>
                <w:color w:val="auto"/>
              </w:rPr>
            </w:pPr>
          </w:p>
        </w:tc>
        <w:tc>
          <w:tcPr>
            <w:tcW w:w="624" w:type="pct"/>
            <w:tcBorders>
              <w:tl2br w:val="nil"/>
              <w:tr2bl w:val="nil"/>
            </w:tcBorders>
            <w:vAlign w:val="center"/>
          </w:tcPr>
          <w:p w14:paraId="702534EF">
            <w:pPr>
              <w:pStyle w:val="12"/>
              <w:pageBreakBefore w:val="0"/>
              <w:wordWrap/>
              <w:bidi w:val="0"/>
              <w:adjustRightInd/>
              <w:snapToGrid/>
              <w:ind w:left="0" w:leftChars="0" w:firstLine="0" w:firstLineChars="0"/>
              <w:rPr>
                <w:color w:val="auto"/>
              </w:rPr>
            </w:pPr>
            <w:r>
              <w:rPr>
                <w:color w:val="auto"/>
              </w:rPr>
              <w:t>调理池搅拌机</w:t>
            </w:r>
          </w:p>
        </w:tc>
        <w:tc>
          <w:tcPr>
            <w:tcW w:w="286" w:type="pct"/>
            <w:tcBorders>
              <w:tl2br w:val="nil"/>
              <w:tr2bl w:val="nil"/>
            </w:tcBorders>
            <w:vAlign w:val="center"/>
          </w:tcPr>
          <w:p w14:paraId="7BB39E11">
            <w:pPr>
              <w:pStyle w:val="12"/>
              <w:pageBreakBefore w:val="0"/>
              <w:wordWrap/>
              <w:bidi w:val="0"/>
              <w:adjustRightInd/>
              <w:snapToGrid/>
              <w:ind w:left="0" w:leftChars="0" w:firstLine="0" w:firstLineChars="0"/>
              <w:rPr>
                <w:color w:val="auto"/>
              </w:rPr>
            </w:pPr>
            <w:r>
              <w:rPr>
                <w:color w:val="auto"/>
              </w:rPr>
              <w:t>2</w:t>
            </w:r>
          </w:p>
        </w:tc>
        <w:tc>
          <w:tcPr>
            <w:tcW w:w="372" w:type="pct"/>
            <w:tcBorders>
              <w:tl2br w:val="nil"/>
              <w:tr2bl w:val="nil"/>
            </w:tcBorders>
            <w:vAlign w:val="center"/>
          </w:tcPr>
          <w:p w14:paraId="0E0B5498">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F37B635">
            <w:pPr>
              <w:pStyle w:val="12"/>
              <w:pageBreakBefore w:val="0"/>
              <w:wordWrap/>
              <w:bidi w:val="0"/>
              <w:adjustRightInd/>
              <w:snapToGrid/>
              <w:rPr>
                <w:color w:val="auto"/>
              </w:rPr>
            </w:pPr>
          </w:p>
        </w:tc>
        <w:tc>
          <w:tcPr>
            <w:tcW w:w="213" w:type="pct"/>
            <w:tcBorders>
              <w:tl2br w:val="nil"/>
              <w:tr2bl w:val="nil"/>
            </w:tcBorders>
            <w:vAlign w:val="center"/>
          </w:tcPr>
          <w:p w14:paraId="35CD4A25">
            <w:pPr>
              <w:pStyle w:val="12"/>
              <w:pageBreakBefore w:val="0"/>
              <w:wordWrap/>
              <w:bidi w:val="0"/>
              <w:adjustRightInd/>
              <w:snapToGrid/>
              <w:rPr>
                <w:rFonts w:hint="default" w:eastAsia="宋体"/>
                <w:color w:val="auto"/>
                <w:lang w:val="en-US" w:eastAsia="zh-CN"/>
              </w:rPr>
            </w:pPr>
            <w:r>
              <w:rPr>
                <w:rFonts w:hint="eastAsia"/>
                <w:color w:val="auto"/>
                <w:lang w:val="en-US" w:eastAsia="zh-CN"/>
              </w:rPr>
              <w:t>143.5</w:t>
            </w:r>
          </w:p>
        </w:tc>
        <w:tc>
          <w:tcPr>
            <w:tcW w:w="212" w:type="pct"/>
            <w:tcBorders>
              <w:tl2br w:val="nil"/>
              <w:tr2bl w:val="nil"/>
            </w:tcBorders>
            <w:vAlign w:val="center"/>
          </w:tcPr>
          <w:p w14:paraId="726F86A7">
            <w:pPr>
              <w:pStyle w:val="12"/>
              <w:pageBreakBefore w:val="0"/>
              <w:wordWrap/>
              <w:bidi w:val="0"/>
              <w:adjustRightInd/>
              <w:snapToGrid/>
              <w:rPr>
                <w:rFonts w:hint="default" w:eastAsia="宋体"/>
                <w:color w:val="auto"/>
                <w:lang w:val="en-US" w:eastAsia="zh-CN"/>
              </w:rPr>
            </w:pPr>
            <w:r>
              <w:rPr>
                <w:rFonts w:hint="eastAsia"/>
                <w:color w:val="auto"/>
                <w:lang w:val="en-US" w:eastAsia="zh-CN"/>
              </w:rPr>
              <w:t>16.7</w:t>
            </w:r>
          </w:p>
        </w:tc>
        <w:tc>
          <w:tcPr>
            <w:tcW w:w="215" w:type="pct"/>
            <w:tcBorders>
              <w:tl2br w:val="nil"/>
              <w:tr2bl w:val="nil"/>
            </w:tcBorders>
            <w:vAlign w:val="center"/>
          </w:tcPr>
          <w:p w14:paraId="507669B7">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061AAFC7">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4D0EDF32">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2C4C725C">
            <w:pPr>
              <w:pStyle w:val="12"/>
              <w:pageBreakBefore w:val="0"/>
              <w:wordWrap/>
              <w:bidi w:val="0"/>
              <w:adjustRightInd/>
              <w:snapToGrid/>
              <w:rPr>
                <w:color w:val="auto"/>
              </w:rPr>
            </w:pPr>
          </w:p>
        </w:tc>
        <w:tc>
          <w:tcPr>
            <w:tcW w:w="464" w:type="pct"/>
            <w:tcBorders>
              <w:tl2br w:val="nil"/>
              <w:tr2bl w:val="nil"/>
            </w:tcBorders>
            <w:vAlign w:val="center"/>
          </w:tcPr>
          <w:p w14:paraId="7C7F2C8F">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07BDA3D0">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40C6DA90">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6F6944D4">
            <w:pPr>
              <w:pStyle w:val="12"/>
              <w:pageBreakBefore w:val="0"/>
              <w:wordWrap/>
              <w:bidi w:val="0"/>
              <w:adjustRightInd/>
              <w:snapToGrid/>
              <w:rPr>
                <w:color w:val="auto"/>
              </w:rPr>
            </w:pPr>
          </w:p>
        </w:tc>
      </w:tr>
      <w:tr w14:paraId="75D3AB3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2838974">
            <w:pPr>
              <w:pStyle w:val="12"/>
              <w:pageBreakBefore w:val="0"/>
              <w:wordWrap/>
              <w:bidi w:val="0"/>
              <w:adjustRightInd/>
              <w:snapToGrid/>
              <w:rPr>
                <w:rFonts w:hint="default" w:eastAsia="宋体"/>
                <w:color w:val="auto"/>
                <w:lang w:val="en-US" w:eastAsia="zh-CN"/>
              </w:rPr>
            </w:pPr>
            <w:r>
              <w:rPr>
                <w:rFonts w:hint="eastAsia"/>
                <w:color w:val="auto"/>
                <w:lang w:val="en-US" w:eastAsia="zh-CN"/>
              </w:rPr>
              <w:t>55</w:t>
            </w:r>
          </w:p>
        </w:tc>
        <w:tc>
          <w:tcPr>
            <w:tcW w:w="189" w:type="pct"/>
            <w:vMerge w:val="continue"/>
            <w:tcBorders>
              <w:tl2br w:val="nil"/>
              <w:tr2bl w:val="nil"/>
            </w:tcBorders>
            <w:vAlign w:val="center"/>
          </w:tcPr>
          <w:p w14:paraId="34E57350">
            <w:pPr>
              <w:pStyle w:val="12"/>
              <w:pageBreakBefore w:val="0"/>
              <w:wordWrap/>
              <w:bidi w:val="0"/>
              <w:adjustRightInd/>
              <w:snapToGrid/>
              <w:rPr>
                <w:color w:val="auto"/>
              </w:rPr>
            </w:pPr>
          </w:p>
        </w:tc>
        <w:tc>
          <w:tcPr>
            <w:tcW w:w="624" w:type="pct"/>
            <w:tcBorders>
              <w:tl2br w:val="nil"/>
              <w:tr2bl w:val="nil"/>
            </w:tcBorders>
            <w:vAlign w:val="center"/>
          </w:tcPr>
          <w:p w14:paraId="243EFF83">
            <w:pPr>
              <w:pStyle w:val="12"/>
              <w:pageBreakBefore w:val="0"/>
              <w:wordWrap/>
              <w:bidi w:val="0"/>
              <w:adjustRightInd/>
              <w:snapToGrid/>
              <w:ind w:left="0" w:leftChars="0" w:firstLine="0" w:firstLineChars="0"/>
              <w:rPr>
                <w:color w:val="auto"/>
              </w:rPr>
            </w:pPr>
            <w:r>
              <w:rPr>
                <w:color w:val="auto"/>
              </w:rPr>
              <w:t>电动单梁悬挂起重机</w:t>
            </w:r>
          </w:p>
        </w:tc>
        <w:tc>
          <w:tcPr>
            <w:tcW w:w="286" w:type="pct"/>
            <w:tcBorders>
              <w:tl2br w:val="nil"/>
              <w:tr2bl w:val="nil"/>
            </w:tcBorders>
            <w:vAlign w:val="center"/>
          </w:tcPr>
          <w:p w14:paraId="162C26DD">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5CFC2DF0">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6936439D">
            <w:pPr>
              <w:pStyle w:val="12"/>
              <w:pageBreakBefore w:val="0"/>
              <w:wordWrap/>
              <w:bidi w:val="0"/>
              <w:adjustRightInd/>
              <w:snapToGrid/>
              <w:rPr>
                <w:color w:val="auto"/>
              </w:rPr>
            </w:pPr>
          </w:p>
        </w:tc>
        <w:tc>
          <w:tcPr>
            <w:tcW w:w="213" w:type="pct"/>
            <w:tcBorders>
              <w:tl2br w:val="nil"/>
              <w:tr2bl w:val="nil"/>
            </w:tcBorders>
            <w:vAlign w:val="center"/>
          </w:tcPr>
          <w:p w14:paraId="1474C98D">
            <w:pPr>
              <w:pStyle w:val="12"/>
              <w:pageBreakBefore w:val="0"/>
              <w:wordWrap/>
              <w:bidi w:val="0"/>
              <w:adjustRightInd/>
              <w:snapToGrid/>
              <w:ind w:left="0" w:leftChars="0" w:firstLine="0" w:firstLineChars="0"/>
              <w:rPr>
                <w:color w:val="auto"/>
              </w:rPr>
            </w:pPr>
            <w:r>
              <w:rPr>
                <w:rFonts w:hint="eastAsia"/>
                <w:color w:val="auto"/>
                <w:lang w:val="en-US" w:eastAsia="zh-CN"/>
              </w:rPr>
              <w:t>136.4</w:t>
            </w:r>
          </w:p>
        </w:tc>
        <w:tc>
          <w:tcPr>
            <w:tcW w:w="212" w:type="pct"/>
            <w:tcBorders>
              <w:tl2br w:val="nil"/>
              <w:tr2bl w:val="nil"/>
            </w:tcBorders>
            <w:vAlign w:val="center"/>
          </w:tcPr>
          <w:p w14:paraId="073A5732">
            <w:pPr>
              <w:pStyle w:val="12"/>
              <w:pageBreakBefore w:val="0"/>
              <w:wordWrap/>
              <w:bidi w:val="0"/>
              <w:adjustRightInd/>
              <w:snapToGrid/>
              <w:ind w:left="0" w:leftChars="0" w:firstLine="0" w:firstLineChars="0"/>
              <w:rPr>
                <w:color w:val="auto"/>
              </w:rPr>
            </w:pPr>
            <w:r>
              <w:rPr>
                <w:rFonts w:hint="eastAsia"/>
                <w:color w:val="auto"/>
                <w:lang w:val="en-US" w:eastAsia="zh-CN"/>
              </w:rPr>
              <w:t>23</w:t>
            </w:r>
          </w:p>
        </w:tc>
        <w:tc>
          <w:tcPr>
            <w:tcW w:w="215" w:type="pct"/>
            <w:tcBorders>
              <w:tl2br w:val="nil"/>
              <w:tr2bl w:val="nil"/>
            </w:tcBorders>
            <w:vAlign w:val="center"/>
          </w:tcPr>
          <w:p w14:paraId="563CCC46">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36" w:type="pct"/>
            <w:tcBorders>
              <w:tl2br w:val="nil"/>
              <w:tr2bl w:val="nil"/>
            </w:tcBorders>
            <w:vAlign w:val="center"/>
          </w:tcPr>
          <w:p w14:paraId="3D646C5B">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086EA422">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20C227BC">
            <w:pPr>
              <w:pStyle w:val="12"/>
              <w:pageBreakBefore w:val="0"/>
              <w:wordWrap/>
              <w:bidi w:val="0"/>
              <w:adjustRightInd/>
              <w:snapToGrid/>
              <w:rPr>
                <w:color w:val="auto"/>
              </w:rPr>
            </w:pPr>
          </w:p>
        </w:tc>
        <w:tc>
          <w:tcPr>
            <w:tcW w:w="464" w:type="pct"/>
            <w:tcBorders>
              <w:tl2br w:val="nil"/>
              <w:tr2bl w:val="nil"/>
            </w:tcBorders>
            <w:vAlign w:val="center"/>
          </w:tcPr>
          <w:p w14:paraId="0D03D54A">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6F30AF5A">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13E19CB6">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341D65C8">
            <w:pPr>
              <w:pStyle w:val="12"/>
              <w:pageBreakBefore w:val="0"/>
              <w:wordWrap/>
              <w:bidi w:val="0"/>
              <w:adjustRightInd/>
              <w:snapToGrid/>
              <w:rPr>
                <w:color w:val="auto"/>
              </w:rPr>
            </w:pPr>
          </w:p>
        </w:tc>
      </w:tr>
      <w:tr w14:paraId="73C4CF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4D1A87B">
            <w:pPr>
              <w:pStyle w:val="12"/>
              <w:pageBreakBefore w:val="0"/>
              <w:wordWrap/>
              <w:bidi w:val="0"/>
              <w:adjustRightInd/>
              <w:snapToGrid/>
              <w:rPr>
                <w:rFonts w:hint="default" w:eastAsia="宋体"/>
                <w:color w:val="auto"/>
                <w:lang w:val="en-US" w:eastAsia="zh-CN"/>
              </w:rPr>
            </w:pPr>
            <w:r>
              <w:rPr>
                <w:rFonts w:hint="eastAsia"/>
                <w:color w:val="auto"/>
                <w:lang w:val="en-US" w:eastAsia="zh-CN"/>
              </w:rPr>
              <w:t>56</w:t>
            </w:r>
          </w:p>
        </w:tc>
        <w:tc>
          <w:tcPr>
            <w:tcW w:w="189" w:type="pct"/>
            <w:vMerge w:val="continue"/>
            <w:tcBorders>
              <w:tl2br w:val="nil"/>
              <w:tr2bl w:val="nil"/>
            </w:tcBorders>
            <w:vAlign w:val="center"/>
          </w:tcPr>
          <w:p w14:paraId="6B9AF405">
            <w:pPr>
              <w:pStyle w:val="12"/>
              <w:pageBreakBefore w:val="0"/>
              <w:wordWrap/>
              <w:bidi w:val="0"/>
              <w:adjustRightInd/>
              <w:snapToGrid/>
              <w:rPr>
                <w:color w:val="auto"/>
              </w:rPr>
            </w:pPr>
          </w:p>
        </w:tc>
        <w:tc>
          <w:tcPr>
            <w:tcW w:w="624" w:type="pct"/>
            <w:tcBorders>
              <w:tl2br w:val="nil"/>
              <w:tr2bl w:val="nil"/>
            </w:tcBorders>
            <w:vAlign w:val="center"/>
          </w:tcPr>
          <w:p w14:paraId="02F2CF39">
            <w:pPr>
              <w:pStyle w:val="12"/>
              <w:pageBreakBefore w:val="0"/>
              <w:wordWrap/>
              <w:bidi w:val="0"/>
              <w:adjustRightInd/>
              <w:snapToGrid/>
              <w:ind w:left="0" w:leftChars="0" w:firstLine="0" w:firstLineChars="0"/>
              <w:rPr>
                <w:color w:val="auto"/>
              </w:rPr>
            </w:pPr>
            <w:r>
              <w:rPr>
                <w:color w:val="auto"/>
              </w:rPr>
              <w:t>电动葫芦</w:t>
            </w:r>
          </w:p>
        </w:tc>
        <w:tc>
          <w:tcPr>
            <w:tcW w:w="286" w:type="pct"/>
            <w:tcBorders>
              <w:tl2br w:val="nil"/>
              <w:tr2bl w:val="nil"/>
            </w:tcBorders>
            <w:vAlign w:val="center"/>
          </w:tcPr>
          <w:p w14:paraId="037BF219">
            <w:pPr>
              <w:pStyle w:val="12"/>
              <w:pageBreakBefore w:val="0"/>
              <w:wordWrap/>
              <w:bidi w:val="0"/>
              <w:adjustRightInd/>
              <w:snapToGrid/>
              <w:ind w:left="0" w:leftChars="0" w:firstLine="0" w:firstLineChars="0"/>
              <w:rPr>
                <w:color w:val="auto"/>
              </w:rPr>
            </w:pPr>
            <w:r>
              <w:rPr>
                <w:color w:val="auto"/>
              </w:rPr>
              <w:t>1</w:t>
            </w:r>
          </w:p>
        </w:tc>
        <w:tc>
          <w:tcPr>
            <w:tcW w:w="372" w:type="pct"/>
            <w:tcBorders>
              <w:tl2br w:val="nil"/>
              <w:tr2bl w:val="nil"/>
            </w:tcBorders>
            <w:vAlign w:val="center"/>
          </w:tcPr>
          <w:p w14:paraId="0522961E">
            <w:pPr>
              <w:pStyle w:val="12"/>
              <w:pageBreakBefore w:val="0"/>
              <w:wordWrap/>
              <w:bidi w:val="0"/>
              <w:adjustRightInd/>
              <w:snapToGrid/>
              <w:rPr>
                <w:rFonts w:hint="default" w:eastAsia="宋体"/>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61EAC00B">
            <w:pPr>
              <w:pStyle w:val="12"/>
              <w:pageBreakBefore w:val="0"/>
              <w:wordWrap/>
              <w:bidi w:val="0"/>
              <w:adjustRightInd/>
              <w:snapToGrid/>
              <w:rPr>
                <w:color w:val="auto"/>
              </w:rPr>
            </w:pPr>
          </w:p>
        </w:tc>
        <w:tc>
          <w:tcPr>
            <w:tcW w:w="213" w:type="pct"/>
            <w:tcBorders>
              <w:tl2br w:val="nil"/>
              <w:tr2bl w:val="nil"/>
            </w:tcBorders>
            <w:vAlign w:val="center"/>
          </w:tcPr>
          <w:p w14:paraId="4EE70002">
            <w:pPr>
              <w:pStyle w:val="12"/>
              <w:pageBreakBefore w:val="0"/>
              <w:wordWrap/>
              <w:bidi w:val="0"/>
              <w:adjustRightInd/>
              <w:snapToGrid/>
              <w:ind w:left="0" w:leftChars="0" w:firstLine="0" w:firstLineChars="0"/>
              <w:rPr>
                <w:color w:val="auto"/>
              </w:rPr>
            </w:pPr>
            <w:r>
              <w:rPr>
                <w:rFonts w:hint="eastAsia"/>
                <w:color w:val="auto"/>
                <w:lang w:val="en-US" w:eastAsia="zh-CN"/>
              </w:rPr>
              <w:t>155.7</w:t>
            </w:r>
          </w:p>
        </w:tc>
        <w:tc>
          <w:tcPr>
            <w:tcW w:w="212" w:type="pct"/>
            <w:tcBorders>
              <w:tl2br w:val="nil"/>
              <w:tr2bl w:val="nil"/>
            </w:tcBorders>
            <w:vAlign w:val="center"/>
          </w:tcPr>
          <w:p w14:paraId="6A21479D">
            <w:pPr>
              <w:pStyle w:val="12"/>
              <w:pageBreakBefore w:val="0"/>
              <w:wordWrap/>
              <w:bidi w:val="0"/>
              <w:adjustRightInd/>
              <w:snapToGrid/>
              <w:ind w:left="0" w:leftChars="0" w:firstLine="0" w:firstLineChars="0"/>
              <w:rPr>
                <w:color w:val="auto"/>
              </w:rPr>
            </w:pPr>
            <w:r>
              <w:rPr>
                <w:rFonts w:hint="eastAsia"/>
                <w:color w:val="auto"/>
                <w:lang w:val="en-US" w:eastAsia="zh-CN"/>
              </w:rPr>
              <w:t>19.5</w:t>
            </w:r>
          </w:p>
        </w:tc>
        <w:tc>
          <w:tcPr>
            <w:tcW w:w="215" w:type="pct"/>
            <w:tcBorders>
              <w:tl2br w:val="nil"/>
              <w:tr2bl w:val="nil"/>
            </w:tcBorders>
            <w:vAlign w:val="center"/>
          </w:tcPr>
          <w:p w14:paraId="68D928E3">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7B671D5C">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2C0401E9">
            <w:pPr>
              <w:pStyle w:val="12"/>
              <w:pageBreakBefore w:val="0"/>
              <w:wordWrap/>
              <w:bidi w:val="0"/>
              <w:adjustRightInd/>
              <w:snapToGrid/>
              <w:ind w:left="0" w:leftChars="0" w:firstLine="0" w:firstLineChars="0"/>
              <w:rPr>
                <w:color w:val="auto"/>
              </w:rPr>
            </w:pPr>
            <w:r>
              <w:rPr>
                <w:rFonts w:hint="eastAsia"/>
                <w:color w:val="auto"/>
                <w:lang w:val="en-US" w:eastAsia="zh-CN"/>
              </w:rPr>
              <w:t>75</w:t>
            </w:r>
          </w:p>
        </w:tc>
        <w:tc>
          <w:tcPr>
            <w:tcW w:w="263" w:type="pct"/>
            <w:vMerge w:val="continue"/>
            <w:tcBorders>
              <w:tl2br w:val="nil"/>
              <w:tr2bl w:val="nil"/>
            </w:tcBorders>
            <w:vAlign w:val="center"/>
          </w:tcPr>
          <w:p w14:paraId="24A772F5">
            <w:pPr>
              <w:pStyle w:val="12"/>
              <w:pageBreakBefore w:val="0"/>
              <w:wordWrap/>
              <w:bidi w:val="0"/>
              <w:adjustRightInd/>
              <w:snapToGrid/>
              <w:rPr>
                <w:color w:val="auto"/>
              </w:rPr>
            </w:pPr>
          </w:p>
        </w:tc>
        <w:tc>
          <w:tcPr>
            <w:tcW w:w="464" w:type="pct"/>
            <w:tcBorders>
              <w:tl2br w:val="nil"/>
              <w:tr2bl w:val="nil"/>
            </w:tcBorders>
            <w:vAlign w:val="center"/>
          </w:tcPr>
          <w:p w14:paraId="6CDE35D0">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45DE3B5A">
            <w:pPr>
              <w:pStyle w:val="12"/>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66EC2B6C">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760D5407">
            <w:pPr>
              <w:pStyle w:val="12"/>
              <w:pageBreakBefore w:val="0"/>
              <w:wordWrap/>
              <w:bidi w:val="0"/>
              <w:adjustRightInd/>
              <w:snapToGrid/>
              <w:rPr>
                <w:color w:val="auto"/>
              </w:rPr>
            </w:pPr>
          </w:p>
        </w:tc>
      </w:tr>
      <w:tr w14:paraId="2AE5321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B37B040">
            <w:pPr>
              <w:pStyle w:val="12"/>
              <w:pageBreakBefore w:val="0"/>
              <w:wordWrap/>
              <w:bidi w:val="0"/>
              <w:adjustRightInd/>
              <w:snapToGrid/>
              <w:rPr>
                <w:rFonts w:hint="default" w:eastAsia="宋体"/>
                <w:color w:val="auto"/>
                <w:lang w:val="en-US" w:eastAsia="zh-CN"/>
              </w:rPr>
            </w:pPr>
            <w:r>
              <w:rPr>
                <w:rFonts w:hint="eastAsia"/>
                <w:color w:val="auto"/>
                <w:lang w:val="en-US" w:eastAsia="zh-CN"/>
              </w:rPr>
              <w:t>57</w:t>
            </w:r>
          </w:p>
        </w:tc>
        <w:tc>
          <w:tcPr>
            <w:tcW w:w="189" w:type="pct"/>
            <w:vMerge w:val="restart"/>
            <w:tcBorders>
              <w:tl2br w:val="nil"/>
              <w:tr2bl w:val="nil"/>
            </w:tcBorders>
            <w:vAlign w:val="center"/>
          </w:tcPr>
          <w:p w14:paraId="1736F00A">
            <w:pPr>
              <w:pStyle w:val="12"/>
              <w:pageBreakBefore w:val="0"/>
              <w:wordWrap/>
              <w:bidi w:val="0"/>
              <w:adjustRightInd/>
              <w:snapToGrid/>
              <w:rPr>
                <w:rFonts w:hint="default" w:eastAsia="宋体"/>
                <w:color w:val="auto"/>
                <w:lang w:val="en-US" w:eastAsia="zh-CN"/>
              </w:rPr>
            </w:pPr>
            <w:r>
              <w:rPr>
                <w:rFonts w:hint="eastAsia"/>
                <w:color w:val="auto"/>
                <w:lang w:val="en-US" w:eastAsia="zh-CN"/>
              </w:rPr>
              <w:t>回用泵房</w:t>
            </w:r>
          </w:p>
        </w:tc>
        <w:tc>
          <w:tcPr>
            <w:tcW w:w="624" w:type="pct"/>
            <w:tcBorders>
              <w:tl2br w:val="nil"/>
              <w:tr2bl w:val="nil"/>
            </w:tcBorders>
            <w:vAlign w:val="center"/>
          </w:tcPr>
          <w:p w14:paraId="10777E4D">
            <w:pPr>
              <w:pStyle w:val="12"/>
              <w:pageBreakBefore w:val="0"/>
              <w:wordWrap/>
              <w:bidi w:val="0"/>
              <w:adjustRightInd/>
              <w:snapToGrid/>
              <w:ind w:left="0" w:leftChars="0" w:firstLine="0" w:firstLineChars="0"/>
              <w:rPr>
                <w:color w:val="auto"/>
              </w:rPr>
            </w:pPr>
            <w:r>
              <w:rPr>
                <w:color w:val="auto"/>
              </w:rPr>
              <w:t>单级单吸立式离心泵</w:t>
            </w:r>
          </w:p>
        </w:tc>
        <w:tc>
          <w:tcPr>
            <w:tcW w:w="286" w:type="pct"/>
            <w:tcBorders>
              <w:tl2br w:val="nil"/>
              <w:tr2bl w:val="nil"/>
            </w:tcBorders>
            <w:vAlign w:val="center"/>
          </w:tcPr>
          <w:p w14:paraId="4F6FC8EB">
            <w:pPr>
              <w:pStyle w:val="12"/>
              <w:pageBreakBefore w:val="0"/>
              <w:wordWrap/>
              <w:bidi w:val="0"/>
              <w:adjustRightInd/>
              <w:snapToGrid/>
              <w:ind w:left="0" w:leftChars="0" w:firstLine="0" w:firstLineChars="0"/>
              <w:rPr>
                <w:color w:val="auto"/>
              </w:rPr>
            </w:pPr>
            <w:r>
              <w:rPr>
                <w:color w:val="auto"/>
              </w:rPr>
              <w:t>2用</w:t>
            </w:r>
            <w:r>
              <w:rPr>
                <w:rFonts w:hint="eastAsia"/>
                <w:color w:val="auto"/>
                <w:lang w:eastAsia="zh-CN"/>
              </w:rPr>
              <w:t>1</w:t>
            </w:r>
            <w:r>
              <w:rPr>
                <w:color w:val="auto"/>
              </w:rPr>
              <w:t>备</w:t>
            </w:r>
          </w:p>
        </w:tc>
        <w:tc>
          <w:tcPr>
            <w:tcW w:w="372" w:type="pct"/>
            <w:tcBorders>
              <w:tl2br w:val="nil"/>
              <w:tr2bl w:val="nil"/>
            </w:tcBorders>
            <w:vAlign w:val="center"/>
          </w:tcPr>
          <w:p w14:paraId="4507F450">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42BDB13F">
            <w:pPr>
              <w:pStyle w:val="12"/>
              <w:pageBreakBefore w:val="0"/>
              <w:wordWrap/>
              <w:bidi w:val="0"/>
              <w:adjustRightInd/>
              <w:snapToGrid/>
              <w:rPr>
                <w:color w:val="auto"/>
              </w:rPr>
            </w:pPr>
          </w:p>
        </w:tc>
        <w:tc>
          <w:tcPr>
            <w:tcW w:w="213" w:type="pct"/>
            <w:tcBorders>
              <w:tl2br w:val="nil"/>
              <w:tr2bl w:val="nil"/>
            </w:tcBorders>
            <w:vAlign w:val="center"/>
          </w:tcPr>
          <w:p w14:paraId="30F25150">
            <w:pPr>
              <w:pStyle w:val="12"/>
              <w:pageBreakBefore w:val="0"/>
              <w:wordWrap/>
              <w:bidi w:val="0"/>
              <w:adjustRightInd/>
              <w:snapToGrid/>
              <w:rPr>
                <w:rFonts w:hint="default" w:eastAsia="宋体"/>
                <w:color w:val="auto"/>
                <w:lang w:val="en-US" w:eastAsia="zh-CN"/>
              </w:rPr>
            </w:pPr>
            <w:r>
              <w:rPr>
                <w:rFonts w:hint="eastAsia"/>
                <w:color w:val="auto"/>
                <w:lang w:val="en-US" w:eastAsia="zh-CN"/>
              </w:rPr>
              <w:t>44</w:t>
            </w:r>
          </w:p>
        </w:tc>
        <w:tc>
          <w:tcPr>
            <w:tcW w:w="212" w:type="pct"/>
            <w:tcBorders>
              <w:tl2br w:val="nil"/>
              <w:tr2bl w:val="nil"/>
            </w:tcBorders>
            <w:vAlign w:val="center"/>
          </w:tcPr>
          <w:p w14:paraId="3D52805F">
            <w:pPr>
              <w:pStyle w:val="12"/>
              <w:pageBreakBefore w:val="0"/>
              <w:wordWrap/>
              <w:bidi w:val="0"/>
              <w:adjustRightInd/>
              <w:snapToGrid/>
              <w:rPr>
                <w:rFonts w:hint="default" w:eastAsia="宋体"/>
                <w:color w:val="auto"/>
                <w:lang w:val="en-US" w:eastAsia="zh-CN"/>
              </w:rPr>
            </w:pPr>
            <w:r>
              <w:rPr>
                <w:rFonts w:hint="eastAsia"/>
                <w:color w:val="auto"/>
                <w:lang w:val="en-US" w:eastAsia="zh-CN"/>
              </w:rPr>
              <w:t>67.3</w:t>
            </w:r>
          </w:p>
        </w:tc>
        <w:tc>
          <w:tcPr>
            <w:tcW w:w="215" w:type="pct"/>
            <w:tcBorders>
              <w:tl2br w:val="nil"/>
              <w:tr2bl w:val="nil"/>
            </w:tcBorders>
            <w:vAlign w:val="center"/>
          </w:tcPr>
          <w:p w14:paraId="29DED3A7">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1A4A174C">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4975B247">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49B3848F">
            <w:pPr>
              <w:pStyle w:val="12"/>
              <w:pageBreakBefore w:val="0"/>
              <w:wordWrap/>
              <w:bidi w:val="0"/>
              <w:adjustRightInd/>
              <w:snapToGrid/>
              <w:rPr>
                <w:color w:val="auto"/>
              </w:rPr>
            </w:pPr>
          </w:p>
        </w:tc>
        <w:tc>
          <w:tcPr>
            <w:tcW w:w="464" w:type="pct"/>
            <w:tcBorders>
              <w:tl2br w:val="nil"/>
              <w:tr2bl w:val="nil"/>
            </w:tcBorders>
            <w:vAlign w:val="center"/>
          </w:tcPr>
          <w:p w14:paraId="3CE7108C">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12A852B">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0D52187">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742D2527">
            <w:pPr>
              <w:pStyle w:val="12"/>
              <w:pageBreakBefore w:val="0"/>
              <w:wordWrap/>
              <w:bidi w:val="0"/>
              <w:adjustRightInd/>
              <w:snapToGrid/>
              <w:rPr>
                <w:color w:val="auto"/>
              </w:rPr>
            </w:pPr>
          </w:p>
        </w:tc>
      </w:tr>
      <w:tr w14:paraId="0E3E031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5419119">
            <w:pPr>
              <w:pStyle w:val="12"/>
              <w:pageBreakBefore w:val="0"/>
              <w:wordWrap/>
              <w:bidi w:val="0"/>
              <w:adjustRightInd/>
              <w:snapToGrid/>
              <w:rPr>
                <w:rFonts w:hint="default" w:eastAsia="宋体"/>
                <w:color w:val="auto"/>
                <w:lang w:val="en-US" w:eastAsia="zh-CN"/>
              </w:rPr>
            </w:pPr>
            <w:r>
              <w:rPr>
                <w:rFonts w:hint="eastAsia"/>
                <w:color w:val="auto"/>
                <w:lang w:val="en-US" w:eastAsia="zh-CN"/>
              </w:rPr>
              <w:t>58</w:t>
            </w:r>
          </w:p>
        </w:tc>
        <w:tc>
          <w:tcPr>
            <w:tcW w:w="189" w:type="pct"/>
            <w:vMerge w:val="continue"/>
            <w:tcBorders>
              <w:tl2br w:val="nil"/>
              <w:tr2bl w:val="nil"/>
            </w:tcBorders>
            <w:vAlign w:val="center"/>
          </w:tcPr>
          <w:p w14:paraId="75A1B30B">
            <w:pPr>
              <w:pStyle w:val="12"/>
              <w:pageBreakBefore w:val="0"/>
              <w:wordWrap/>
              <w:bidi w:val="0"/>
              <w:adjustRightInd/>
              <w:snapToGrid/>
              <w:rPr>
                <w:color w:val="auto"/>
              </w:rPr>
            </w:pPr>
          </w:p>
        </w:tc>
        <w:tc>
          <w:tcPr>
            <w:tcW w:w="624" w:type="pct"/>
            <w:tcBorders>
              <w:tl2br w:val="nil"/>
              <w:tr2bl w:val="nil"/>
            </w:tcBorders>
            <w:vAlign w:val="center"/>
          </w:tcPr>
          <w:p w14:paraId="37127A26">
            <w:pPr>
              <w:pStyle w:val="12"/>
              <w:pageBreakBefore w:val="0"/>
              <w:wordWrap/>
              <w:bidi w:val="0"/>
              <w:adjustRightInd/>
              <w:snapToGrid/>
              <w:ind w:left="0" w:leftChars="0" w:firstLine="0" w:firstLineChars="0"/>
              <w:rPr>
                <w:color w:val="auto"/>
              </w:rPr>
            </w:pPr>
            <w:r>
              <w:rPr>
                <w:color w:val="auto"/>
              </w:rPr>
              <w:t>加药计量泵</w:t>
            </w:r>
          </w:p>
        </w:tc>
        <w:tc>
          <w:tcPr>
            <w:tcW w:w="286" w:type="pct"/>
            <w:tcBorders>
              <w:tl2br w:val="nil"/>
              <w:tr2bl w:val="nil"/>
            </w:tcBorders>
            <w:vAlign w:val="center"/>
          </w:tcPr>
          <w:p w14:paraId="40C5E7AE">
            <w:pPr>
              <w:pStyle w:val="12"/>
              <w:pageBreakBefore w:val="0"/>
              <w:wordWrap/>
              <w:bidi w:val="0"/>
              <w:adjustRightInd/>
              <w:snapToGrid/>
              <w:ind w:left="0" w:leftChars="0" w:firstLine="0" w:firstLineChars="0"/>
              <w:rPr>
                <w:color w:val="auto"/>
              </w:rPr>
            </w:pPr>
            <w:r>
              <w:rPr>
                <w:rFonts w:hint="eastAsia"/>
                <w:color w:val="auto"/>
                <w:lang w:val="en-US" w:eastAsia="zh-CN"/>
              </w:rPr>
              <w:t>1</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7F097A74">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4955046F">
            <w:pPr>
              <w:pStyle w:val="12"/>
              <w:pageBreakBefore w:val="0"/>
              <w:wordWrap/>
              <w:bidi w:val="0"/>
              <w:adjustRightInd/>
              <w:snapToGrid/>
              <w:rPr>
                <w:color w:val="auto"/>
              </w:rPr>
            </w:pPr>
          </w:p>
        </w:tc>
        <w:tc>
          <w:tcPr>
            <w:tcW w:w="213" w:type="pct"/>
            <w:tcBorders>
              <w:tl2br w:val="nil"/>
              <w:tr2bl w:val="nil"/>
            </w:tcBorders>
            <w:vAlign w:val="center"/>
          </w:tcPr>
          <w:p w14:paraId="1DFA8392">
            <w:pPr>
              <w:pStyle w:val="12"/>
              <w:pageBreakBefore w:val="0"/>
              <w:wordWrap/>
              <w:bidi w:val="0"/>
              <w:adjustRightInd/>
              <w:snapToGrid/>
              <w:ind w:left="0" w:leftChars="0" w:firstLine="0" w:firstLineChars="0"/>
              <w:rPr>
                <w:color w:val="auto"/>
              </w:rPr>
            </w:pPr>
            <w:r>
              <w:rPr>
                <w:rFonts w:hint="eastAsia"/>
                <w:color w:val="auto"/>
                <w:lang w:val="en-US" w:eastAsia="zh-CN"/>
              </w:rPr>
              <w:t>44</w:t>
            </w:r>
          </w:p>
        </w:tc>
        <w:tc>
          <w:tcPr>
            <w:tcW w:w="212" w:type="pct"/>
            <w:tcBorders>
              <w:tl2br w:val="nil"/>
              <w:tr2bl w:val="nil"/>
            </w:tcBorders>
            <w:vAlign w:val="center"/>
          </w:tcPr>
          <w:p w14:paraId="115714AF">
            <w:pPr>
              <w:pStyle w:val="12"/>
              <w:pageBreakBefore w:val="0"/>
              <w:wordWrap/>
              <w:bidi w:val="0"/>
              <w:adjustRightInd/>
              <w:snapToGrid/>
              <w:ind w:left="0" w:leftChars="0" w:firstLine="0" w:firstLineChars="0"/>
              <w:rPr>
                <w:color w:val="auto"/>
              </w:rPr>
            </w:pPr>
            <w:r>
              <w:rPr>
                <w:rFonts w:hint="eastAsia"/>
                <w:color w:val="auto"/>
                <w:lang w:val="en-US" w:eastAsia="zh-CN"/>
              </w:rPr>
              <w:t>67.3</w:t>
            </w:r>
          </w:p>
        </w:tc>
        <w:tc>
          <w:tcPr>
            <w:tcW w:w="215" w:type="pct"/>
            <w:tcBorders>
              <w:tl2br w:val="nil"/>
              <w:tr2bl w:val="nil"/>
            </w:tcBorders>
            <w:vAlign w:val="center"/>
          </w:tcPr>
          <w:p w14:paraId="6D52CF45">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1F57F96E">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1F8718E6">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0661A541">
            <w:pPr>
              <w:pStyle w:val="12"/>
              <w:pageBreakBefore w:val="0"/>
              <w:wordWrap/>
              <w:bidi w:val="0"/>
              <w:adjustRightInd/>
              <w:snapToGrid/>
              <w:rPr>
                <w:color w:val="auto"/>
              </w:rPr>
            </w:pPr>
          </w:p>
        </w:tc>
        <w:tc>
          <w:tcPr>
            <w:tcW w:w="464" w:type="pct"/>
            <w:tcBorders>
              <w:tl2br w:val="nil"/>
              <w:tr2bl w:val="nil"/>
            </w:tcBorders>
            <w:vAlign w:val="center"/>
          </w:tcPr>
          <w:p w14:paraId="5F5C1D82">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65867FC1">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996EADB">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570D57BB">
            <w:pPr>
              <w:pStyle w:val="12"/>
              <w:pageBreakBefore w:val="0"/>
              <w:wordWrap/>
              <w:bidi w:val="0"/>
              <w:adjustRightInd/>
              <w:snapToGrid/>
              <w:rPr>
                <w:color w:val="auto"/>
              </w:rPr>
            </w:pPr>
          </w:p>
        </w:tc>
      </w:tr>
      <w:tr w14:paraId="600BEFB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22209B6">
            <w:pPr>
              <w:pStyle w:val="12"/>
              <w:pageBreakBefore w:val="0"/>
              <w:wordWrap/>
              <w:bidi w:val="0"/>
              <w:adjustRightInd/>
              <w:snapToGrid/>
              <w:rPr>
                <w:rFonts w:hint="default" w:eastAsia="宋体"/>
                <w:color w:val="auto"/>
                <w:lang w:val="en-US" w:eastAsia="zh-CN"/>
              </w:rPr>
            </w:pPr>
            <w:r>
              <w:rPr>
                <w:rFonts w:hint="eastAsia"/>
                <w:color w:val="auto"/>
                <w:lang w:val="en-US" w:eastAsia="zh-CN"/>
              </w:rPr>
              <w:t>59</w:t>
            </w:r>
          </w:p>
        </w:tc>
        <w:tc>
          <w:tcPr>
            <w:tcW w:w="189" w:type="pct"/>
            <w:vMerge w:val="continue"/>
            <w:tcBorders>
              <w:tl2br w:val="nil"/>
              <w:tr2bl w:val="nil"/>
            </w:tcBorders>
            <w:vAlign w:val="center"/>
          </w:tcPr>
          <w:p w14:paraId="01E24320">
            <w:pPr>
              <w:pStyle w:val="12"/>
              <w:pageBreakBefore w:val="0"/>
              <w:wordWrap/>
              <w:bidi w:val="0"/>
              <w:adjustRightInd/>
              <w:snapToGrid/>
              <w:rPr>
                <w:color w:val="auto"/>
              </w:rPr>
            </w:pPr>
          </w:p>
        </w:tc>
        <w:tc>
          <w:tcPr>
            <w:tcW w:w="624" w:type="pct"/>
            <w:tcBorders>
              <w:tl2br w:val="nil"/>
              <w:tr2bl w:val="nil"/>
            </w:tcBorders>
            <w:vAlign w:val="center"/>
          </w:tcPr>
          <w:p w14:paraId="77AA1D45">
            <w:pPr>
              <w:pStyle w:val="12"/>
              <w:pageBreakBefore w:val="0"/>
              <w:wordWrap/>
              <w:bidi w:val="0"/>
              <w:adjustRightInd/>
              <w:snapToGrid/>
              <w:ind w:left="0" w:leftChars="0" w:firstLine="0" w:firstLineChars="0"/>
              <w:rPr>
                <w:color w:val="auto"/>
              </w:rPr>
            </w:pPr>
            <w:r>
              <w:rPr>
                <w:color w:val="auto"/>
              </w:rPr>
              <w:t>轴流风机</w:t>
            </w:r>
          </w:p>
        </w:tc>
        <w:tc>
          <w:tcPr>
            <w:tcW w:w="286" w:type="pct"/>
            <w:tcBorders>
              <w:tl2br w:val="nil"/>
              <w:tr2bl w:val="nil"/>
            </w:tcBorders>
            <w:vAlign w:val="center"/>
          </w:tcPr>
          <w:p w14:paraId="7F1AE0B0">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72" w:type="pct"/>
            <w:tcBorders>
              <w:tl2br w:val="nil"/>
              <w:tr2bl w:val="nil"/>
            </w:tcBorders>
            <w:vAlign w:val="center"/>
          </w:tcPr>
          <w:p w14:paraId="21CAE40F">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6AF6B835">
            <w:pPr>
              <w:pStyle w:val="12"/>
              <w:pageBreakBefore w:val="0"/>
              <w:wordWrap/>
              <w:bidi w:val="0"/>
              <w:adjustRightInd/>
              <w:snapToGrid/>
              <w:rPr>
                <w:color w:val="auto"/>
              </w:rPr>
            </w:pPr>
          </w:p>
        </w:tc>
        <w:tc>
          <w:tcPr>
            <w:tcW w:w="213" w:type="pct"/>
            <w:tcBorders>
              <w:tl2br w:val="nil"/>
              <w:tr2bl w:val="nil"/>
            </w:tcBorders>
            <w:vAlign w:val="center"/>
          </w:tcPr>
          <w:p w14:paraId="3CF3BC46">
            <w:pPr>
              <w:pStyle w:val="12"/>
              <w:pageBreakBefore w:val="0"/>
              <w:wordWrap/>
              <w:bidi w:val="0"/>
              <w:adjustRightInd/>
              <w:snapToGrid/>
              <w:ind w:left="0" w:leftChars="0" w:firstLine="0" w:firstLineChars="0"/>
              <w:rPr>
                <w:color w:val="auto"/>
              </w:rPr>
            </w:pPr>
            <w:r>
              <w:rPr>
                <w:rFonts w:hint="eastAsia"/>
                <w:color w:val="auto"/>
                <w:lang w:val="en-US" w:eastAsia="zh-CN"/>
              </w:rPr>
              <w:t>44</w:t>
            </w:r>
          </w:p>
        </w:tc>
        <w:tc>
          <w:tcPr>
            <w:tcW w:w="212" w:type="pct"/>
            <w:tcBorders>
              <w:tl2br w:val="nil"/>
              <w:tr2bl w:val="nil"/>
            </w:tcBorders>
            <w:vAlign w:val="center"/>
          </w:tcPr>
          <w:p w14:paraId="73667F3D">
            <w:pPr>
              <w:pStyle w:val="12"/>
              <w:pageBreakBefore w:val="0"/>
              <w:wordWrap/>
              <w:bidi w:val="0"/>
              <w:adjustRightInd/>
              <w:snapToGrid/>
              <w:ind w:left="0" w:leftChars="0" w:firstLine="0" w:firstLineChars="0"/>
              <w:rPr>
                <w:color w:val="auto"/>
              </w:rPr>
            </w:pPr>
            <w:r>
              <w:rPr>
                <w:rFonts w:hint="eastAsia"/>
                <w:color w:val="auto"/>
                <w:lang w:val="en-US" w:eastAsia="zh-CN"/>
              </w:rPr>
              <w:t>67.3</w:t>
            </w:r>
          </w:p>
        </w:tc>
        <w:tc>
          <w:tcPr>
            <w:tcW w:w="215" w:type="pct"/>
            <w:tcBorders>
              <w:tl2br w:val="nil"/>
              <w:tr2bl w:val="nil"/>
            </w:tcBorders>
            <w:vAlign w:val="center"/>
          </w:tcPr>
          <w:p w14:paraId="58FEE2E6">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42DB6115">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681FAE1A">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4721152D">
            <w:pPr>
              <w:pStyle w:val="12"/>
              <w:pageBreakBefore w:val="0"/>
              <w:wordWrap/>
              <w:bidi w:val="0"/>
              <w:adjustRightInd/>
              <w:snapToGrid/>
              <w:rPr>
                <w:color w:val="auto"/>
              </w:rPr>
            </w:pPr>
          </w:p>
        </w:tc>
        <w:tc>
          <w:tcPr>
            <w:tcW w:w="464" w:type="pct"/>
            <w:tcBorders>
              <w:tl2br w:val="nil"/>
              <w:tr2bl w:val="nil"/>
            </w:tcBorders>
            <w:vAlign w:val="center"/>
          </w:tcPr>
          <w:p w14:paraId="3A8DF297">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2479422">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AD9B720">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3F03FD36">
            <w:pPr>
              <w:pStyle w:val="12"/>
              <w:pageBreakBefore w:val="0"/>
              <w:wordWrap/>
              <w:bidi w:val="0"/>
              <w:adjustRightInd/>
              <w:snapToGrid/>
              <w:rPr>
                <w:color w:val="auto"/>
              </w:rPr>
            </w:pPr>
          </w:p>
        </w:tc>
      </w:tr>
      <w:tr w14:paraId="097058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18E82E2">
            <w:pPr>
              <w:pStyle w:val="12"/>
              <w:pageBreakBefore w:val="0"/>
              <w:wordWrap/>
              <w:bidi w:val="0"/>
              <w:adjustRightInd/>
              <w:snapToGrid/>
              <w:rPr>
                <w:rFonts w:hint="default" w:eastAsia="宋体"/>
                <w:color w:val="auto"/>
                <w:lang w:val="en-US" w:eastAsia="zh-CN"/>
              </w:rPr>
            </w:pPr>
            <w:r>
              <w:rPr>
                <w:rFonts w:hint="eastAsia"/>
                <w:color w:val="auto"/>
                <w:lang w:val="en-US" w:eastAsia="zh-CN"/>
              </w:rPr>
              <w:t>60</w:t>
            </w:r>
          </w:p>
        </w:tc>
        <w:tc>
          <w:tcPr>
            <w:tcW w:w="189" w:type="pct"/>
            <w:vMerge w:val="restart"/>
            <w:tcBorders>
              <w:tl2br w:val="nil"/>
              <w:tr2bl w:val="nil"/>
            </w:tcBorders>
            <w:vAlign w:val="center"/>
          </w:tcPr>
          <w:p w14:paraId="4BDA1DB3">
            <w:pPr>
              <w:pStyle w:val="12"/>
              <w:pageBreakBefore w:val="0"/>
              <w:wordWrap/>
              <w:bidi w:val="0"/>
              <w:adjustRightInd/>
              <w:snapToGrid/>
              <w:rPr>
                <w:rFonts w:hint="eastAsia" w:eastAsia="宋体"/>
                <w:color w:val="auto"/>
                <w:lang w:val="en-US" w:eastAsia="zh-CN"/>
              </w:rPr>
            </w:pPr>
            <w:r>
              <w:rPr>
                <w:rFonts w:hint="eastAsia"/>
                <w:color w:val="auto"/>
                <w:lang w:val="en-US" w:eastAsia="zh-CN"/>
              </w:rPr>
              <w:t>风机房</w:t>
            </w:r>
          </w:p>
        </w:tc>
        <w:tc>
          <w:tcPr>
            <w:tcW w:w="624" w:type="pct"/>
            <w:tcBorders>
              <w:tl2br w:val="nil"/>
              <w:tr2bl w:val="nil"/>
            </w:tcBorders>
            <w:vAlign w:val="center"/>
          </w:tcPr>
          <w:p w14:paraId="0AE6BDC2">
            <w:pPr>
              <w:pStyle w:val="12"/>
              <w:pageBreakBefore w:val="0"/>
              <w:wordWrap/>
              <w:bidi w:val="0"/>
              <w:adjustRightInd/>
              <w:snapToGrid/>
              <w:ind w:left="0" w:leftChars="0" w:firstLine="0" w:firstLineChars="0"/>
              <w:rPr>
                <w:color w:val="auto"/>
              </w:rPr>
            </w:pPr>
            <w:r>
              <w:rPr>
                <w:color w:val="auto"/>
              </w:rPr>
              <w:t>空气悬浮鼓风机</w:t>
            </w:r>
          </w:p>
        </w:tc>
        <w:tc>
          <w:tcPr>
            <w:tcW w:w="286" w:type="pct"/>
            <w:tcBorders>
              <w:tl2br w:val="nil"/>
              <w:tr2bl w:val="nil"/>
            </w:tcBorders>
            <w:vAlign w:val="center"/>
          </w:tcPr>
          <w:p w14:paraId="6816957B">
            <w:pPr>
              <w:pStyle w:val="12"/>
              <w:pageBreakBefore w:val="0"/>
              <w:wordWrap/>
              <w:bidi w:val="0"/>
              <w:adjustRightInd/>
              <w:snapToGrid/>
              <w:rPr>
                <w:color w:val="auto"/>
              </w:rPr>
            </w:pPr>
            <w:r>
              <w:rPr>
                <w:rFonts w:hint="eastAsia"/>
                <w:color w:val="auto"/>
                <w:lang w:val="en-US" w:eastAsia="zh-CN"/>
              </w:rPr>
              <w:t>3</w:t>
            </w:r>
            <w:r>
              <w:rPr>
                <w:color w:val="auto"/>
              </w:rPr>
              <w:t>用</w:t>
            </w:r>
            <w:r>
              <w:rPr>
                <w:rFonts w:hint="eastAsia"/>
                <w:color w:val="auto"/>
                <w:lang w:eastAsia="zh-CN"/>
              </w:rPr>
              <w:t>1</w:t>
            </w:r>
            <w:r>
              <w:rPr>
                <w:color w:val="auto"/>
              </w:rPr>
              <w:t>备</w:t>
            </w:r>
          </w:p>
        </w:tc>
        <w:tc>
          <w:tcPr>
            <w:tcW w:w="372" w:type="pct"/>
            <w:tcBorders>
              <w:tl2br w:val="nil"/>
              <w:tr2bl w:val="nil"/>
            </w:tcBorders>
            <w:vAlign w:val="center"/>
          </w:tcPr>
          <w:p w14:paraId="49D3A578">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66F3F124">
            <w:pPr>
              <w:pStyle w:val="12"/>
              <w:pageBreakBefore w:val="0"/>
              <w:wordWrap/>
              <w:bidi w:val="0"/>
              <w:adjustRightInd/>
              <w:snapToGrid/>
              <w:rPr>
                <w:color w:val="auto"/>
              </w:rPr>
            </w:pPr>
          </w:p>
        </w:tc>
        <w:tc>
          <w:tcPr>
            <w:tcW w:w="213" w:type="pct"/>
            <w:tcBorders>
              <w:tl2br w:val="nil"/>
              <w:tr2bl w:val="nil"/>
            </w:tcBorders>
            <w:vAlign w:val="center"/>
          </w:tcPr>
          <w:p w14:paraId="242948CC">
            <w:pPr>
              <w:pStyle w:val="12"/>
              <w:pageBreakBefore w:val="0"/>
              <w:wordWrap/>
              <w:bidi w:val="0"/>
              <w:adjustRightInd/>
              <w:snapToGrid/>
              <w:rPr>
                <w:rFonts w:hint="default" w:eastAsia="宋体"/>
                <w:color w:val="auto"/>
                <w:lang w:val="en-US" w:eastAsia="zh-CN"/>
              </w:rPr>
            </w:pPr>
            <w:r>
              <w:rPr>
                <w:rFonts w:hint="eastAsia"/>
                <w:color w:val="auto"/>
                <w:lang w:val="en-US" w:eastAsia="zh-CN"/>
              </w:rPr>
              <w:t>164.7</w:t>
            </w:r>
          </w:p>
        </w:tc>
        <w:tc>
          <w:tcPr>
            <w:tcW w:w="212" w:type="pct"/>
            <w:tcBorders>
              <w:tl2br w:val="nil"/>
              <w:tr2bl w:val="nil"/>
            </w:tcBorders>
            <w:vAlign w:val="center"/>
          </w:tcPr>
          <w:p w14:paraId="11C67D30">
            <w:pPr>
              <w:pStyle w:val="12"/>
              <w:pageBreakBefore w:val="0"/>
              <w:wordWrap/>
              <w:bidi w:val="0"/>
              <w:adjustRightInd/>
              <w:snapToGrid/>
              <w:rPr>
                <w:rFonts w:hint="default" w:eastAsia="宋体"/>
                <w:color w:val="auto"/>
                <w:lang w:val="en-US" w:eastAsia="zh-CN"/>
              </w:rPr>
            </w:pPr>
            <w:r>
              <w:rPr>
                <w:rFonts w:hint="eastAsia"/>
                <w:color w:val="auto"/>
                <w:lang w:val="en-US" w:eastAsia="zh-CN"/>
              </w:rPr>
              <w:t>-2</w:t>
            </w:r>
          </w:p>
        </w:tc>
        <w:tc>
          <w:tcPr>
            <w:tcW w:w="215" w:type="pct"/>
            <w:tcBorders>
              <w:tl2br w:val="nil"/>
              <w:tr2bl w:val="nil"/>
            </w:tcBorders>
            <w:vAlign w:val="center"/>
          </w:tcPr>
          <w:p w14:paraId="2247062B">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74FE4267">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00B421FB">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restart"/>
            <w:tcBorders>
              <w:tl2br w:val="nil"/>
              <w:tr2bl w:val="nil"/>
            </w:tcBorders>
            <w:vAlign w:val="center"/>
          </w:tcPr>
          <w:p w14:paraId="228F27B0">
            <w:pPr>
              <w:pStyle w:val="12"/>
              <w:pageBreakBefore w:val="0"/>
              <w:wordWrap/>
              <w:bidi w:val="0"/>
              <w:adjustRightInd/>
              <w:snapToGrid/>
              <w:rPr>
                <w:color w:val="auto"/>
              </w:rPr>
            </w:pPr>
          </w:p>
        </w:tc>
        <w:tc>
          <w:tcPr>
            <w:tcW w:w="464" w:type="pct"/>
            <w:tcBorders>
              <w:tl2br w:val="nil"/>
              <w:tr2bl w:val="nil"/>
            </w:tcBorders>
            <w:vAlign w:val="center"/>
          </w:tcPr>
          <w:p w14:paraId="38E2C689">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2BCD1E52">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370A815">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66E1A187">
            <w:pPr>
              <w:pStyle w:val="12"/>
              <w:pageBreakBefore w:val="0"/>
              <w:wordWrap/>
              <w:bidi w:val="0"/>
              <w:adjustRightInd/>
              <w:snapToGrid/>
              <w:rPr>
                <w:color w:val="auto"/>
              </w:rPr>
            </w:pPr>
          </w:p>
        </w:tc>
      </w:tr>
      <w:tr w14:paraId="01D9A4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B20396D">
            <w:pPr>
              <w:pStyle w:val="12"/>
              <w:pageBreakBefore w:val="0"/>
              <w:wordWrap/>
              <w:bidi w:val="0"/>
              <w:adjustRightInd/>
              <w:snapToGrid/>
              <w:rPr>
                <w:rFonts w:hint="default" w:eastAsia="宋体"/>
                <w:color w:val="auto"/>
                <w:lang w:val="en-US" w:eastAsia="zh-CN"/>
              </w:rPr>
            </w:pPr>
            <w:r>
              <w:rPr>
                <w:rFonts w:hint="eastAsia"/>
                <w:color w:val="auto"/>
                <w:lang w:val="en-US" w:eastAsia="zh-CN"/>
              </w:rPr>
              <w:t>61</w:t>
            </w:r>
          </w:p>
        </w:tc>
        <w:tc>
          <w:tcPr>
            <w:tcW w:w="189" w:type="pct"/>
            <w:vMerge w:val="continue"/>
            <w:tcBorders>
              <w:tl2br w:val="nil"/>
              <w:tr2bl w:val="nil"/>
            </w:tcBorders>
            <w:vAlign w:val="center"/>
          </w:tcPr>
          <w:p w14:paraId="3785790B">
            <w:pPr>
              <w:pStyle w:val="12"/>
              <w:pageBreakBefore w:val="0"/>
              <w:wordWrap/>
              <w:bidi w:val="0"/>
              <w:adjustRightInd/>
              <w:snapToGrid/>
              <w:rPr>
                <w:color w:val="auto"/>
              </w:rPr>
            </w:pPr>
          </w:p>
        </w:tc>
        <w:tc>
          <w:tcPr>
            <w:tcW w:w="624" w:type="pct"/>
            <w:tcBorders>
              <w:tl2br w:val="nil"/>
              <w:tr2bl w:val="nil"/>
            </w:tcBorders>
            <w:vAlign w:val="center"/>
          </w:tcPr>
          <w:p w14:paraId="56D2E2C6">
            <w:pPr>
              <w:pStyle w:val="12"/>
              <w:pageBreakBefore w:val="0"/>
              <w:wordWrap/>
              <w:bidi w:val="0"/>
              <w:adjustRightInd/>
              <w:snapToGrid/>
              <w:ind w:left="0" w:leftChars="0" w:firstLine="0" w:firstLineChars="0"/>
              <w:rPr>
                <w:color w:val="auto"/>
              </w:rPr>
            </w:pPr>
            <w:r>
              <w:rPr>
                <w:color w:val="auto"/>
              </w:rPr>
              <w:t>轴流通风机</w:t>
            </w:r>
          </w:p>
        </w:tc>
        <w:tc>
          <w:tcPr>
            <w:tcW w:w="286" w:type="pct"/>
            <w:tcBorders>
              <w:tl2br w:val="nil"/>
              <w:tr2bl w:val="nil"/>
            </w:tcBorders>
            <w:vAlign w:val="center"/>
          </w:tcPr>
          <w:p w14:paraId="22740AFC">
            <w:pPr>
              <w:pStyle w:val="12"/>
              <w:pageBreakBefore w:val="0"/>
              <w:wordWrap/>
              <w:bidi w:val="0"/>
              <w:adjustRightInd/>
              <w:snapToGrid/>
              <w:rPr>
                <w:rFonts w:hint="eastAsia" w:eastAsia="宋体"/>
                <w:color w:val="auto"/>
                <w:lang w:val="en-US" w:eastAsia="zh-CN"/>
              </w:rPr>
            </w:pPr>
            <w:r>
              <w:rPr>
                <w:rFonts w:hint="eastAsia"/>
                <w:color w:val="auto"/>
                <w:lang w:val="en-US" w:eastAsia="zh-CN"/>
              </w:rPr>
              <w:t>8</w:t>
            </w:r>
          </w:p>
        </w:tc>
        <w:tc>
          <w:tcPr>
            <w:tcW w:w="372" w:type="pct"/>
            <w:tcBorders>
              <w:tl2br w:val="nil"/>
              <w:tr2bl w:val="nil"/>
            </w:tcBorders>
            <w:vAlign w:val="center"/>
          </w:tcPr>
          <w:p w14:paraId="04691D23">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27DA0820">
            <w:pPr>
              <w:pStyle w:val="12"/>
              <w:pageBreakBefore w:val="0"/>
              <w:wordWrap/>
              <w:bidi w:val="0"/>
              <w:adjustRightInd/>
              <w:snapToGrid/>
              <w:rPr>
                <w:color w:val="auto"/>
              </w:rPr>
            </w:pPr>
          </w:p>
        </w:tc>
        <w:tc>
          <w:tcPr>
            <w:tcW w:w="213" w:type="pct"/>
            <w:tcBorders>
              <w:tl2br w:val="nil"/>
              <w:tr2bl w:val="nil"/>
            </w:tcBorders>
            <w:vAlign w:val="center"/>
          </w:tcPr>
          <w:p w14:paraId="67A99EDA">
            <w:pPr>
              <w:pStyle w:val="12"/>
              <w:pageBreakBefore w:val="0"/>
              <w:wordWrap/>
              <w:bidi w:val="0"/>
              <w:adjustRightInd/>
              <w:snapToGrid/>
              <w:ind w:left="0" w:leftChars="0" w:firstLine="0" w:firstLineChars="0"/>
              <w:rPr>
                <w:color w:val="auto"/>
              </w:rPr>
            </w:pPr>
            <w:r>
              <w:rPr>
                <w:rFonts w:hint="eastAsia"/>
                <w:color w:val="auto"/>
                <w:lang w:val="en-US" w:eastAsia="zh-CN"/>
              </w:rPr>
              <w:t>164.7</w:t>
            </w:r>
          </w:p>
        </w:tc>
        <w:tc>
          <w:tcPr>
            <w:tcW w:w="212" w:type="pct"/>
            <w:tcBorders>
              <w:tl2br w:val="nil"/>
              <w:tr2bl w:val="nil"/>
            </w:tcBorders>
            <w:vAlign w:val="center"/>
          </w:tcPr>
          <w:p w14:paraId="3AA75A63">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215" w:type="pct"/>
            <w:tcBorders>
              <w:tl2br w:val="nil"/>
              <w:tr2bl w:val="nil"/>
            </w:tcBorders>
            <w:vAlign w:val="center"/>
          </w:tcPr>
          <w:p w14:paraId="245A49A6">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206CC1DF">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07CB3B09">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6184FC63">
            <w:pPr>
              <w:pStyle w:val="12"/>
              <w:pageBreakBefore w:val="0"/>
              <w:wordWrap/>
              <w:bidi w:val="0"/>
              <w:adjustRightInd/>
              <w:snapToGrid/>
              <w:rPr>
                <w:color w:val="auto"/>
              </w:rPr>
            </w:pPr>
          </w:p>
        </w:tc>
        <w:tc>
          <w:tcPr>
            <w:tcW w:w="464" w:type="pct"/>
            <w:tcBorders>
              <w:tl2br w:val="nil"/>
              <w:tr2bl w:val="nil"/>
            </w:tcBorders>
            <w:vAlign w:val="center"/>
          </w:tcPr>
          <w:p w14:paraId="4CDBDA80">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19F33598">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011103D">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32662B8A">
            <w:pPr>
              <w:pStyle w:val="12"/>
              <w:pageBreakBefore w:val="0"/>
              <w:wordWrap/>
              <w:bidi w:val="0"/>
              <w:adjustRightInd/>
              <w:snapToGrid/>
              <w:rPr>
                <w:color w:val="auto"/>
              </w:rPr>
            </w:pPr>
          </w:p>
        </w:tc>
      </w:tr>
      <w:tr w14:paraId="27B568F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B981BFA">
            <w:pPr>
              <w:pStyle w:val="12"/>
              <w:pageBreakBefore w:val="0"/>
              <w:wordWrap/>
              <w:bidi w:val="0"/>
              <w:adjustRightInd/>
              <w:snapToGrid/>
              <w:rPr>
                <w:rFonts w:hint="default" w:eastAsia="宋体"/>
                <w:color w:val="auto"/>
                <w:lang w:val="en-US" w:eastAsia="zh-CN"/>
              </w:rPr>
            </w:pPr>
            <w:r>
              <w:rPr>
                <w:rFonts w:hint="eastAsia"/>
                <w:color w:val="auto"/>
                <w:lang w:val="en-US" w:eastAsia="zh-CN"/>
              </w:rPr>
              <w:t>62</w:t>
            </w:r>
          </w:p>
        </w:tc>
        <w:tc>
          <w:tcPr>
            <w:tcW w:w="189" w:type="pct"/>
            <w:vMerge w:val="continue"/>
            <w:tcBorders>
              <w:tl2br w:val="nil"/>
              <w:tr2bl w:val="nil"/>
            </w:tcBorders>
            <w:vAlign w:val="center"/>
          </w:tcPr>
          <w:p w14:paraId="000644F2">
            <w:pPr>
              <w:pStyle w:val="12"/>
              <w:pageBreakBefore w:val="0"/>
              <w:wordWrap/>
              <w:bidi w:val="0"/>
              <w:adjustRightInd/>
              <w:snapToGrid/>
              <w:rPr>
                <w:color w:val="auto"/>
              </w:rPr>
            </w:pPr>
          </w:p>
        </w:tc>
        <w:tc>
          <w:tcPr>
            <w:tcW w:w="624" w:type="pct"/>
            <w:tcBorders>
              <w:tl2br w:val="nil"/>
              <w:tr2bl w:val="nil"/>
            </w:tcBorders>
            <w:vAlign w:val="center"/>
          </w:tcPr>
          <w:p w14:paraId="45AE79AB">
            <w:pPr>
              <w:pStyle w:val="12"/>
              <w:pageBreakBefore w:val="0"/>
              <w:wordWrap/>
              <w:bidi w:val="0"/>
              <w:adjustRightInd/>
              <w:snapToGrid/>
              <w:ind w:left="0" w:leftChars="0" w:firstLine="0" w:firstLineChars="0"/>
              <w:rPr>
                <w:color w:val="auto"/>
              </w:rPr>
            </w:pPr>
            <w:r>
              <w:rPr>
                <w:color w:val="auto"/>
              </w:rPr>
              <w:t>电动单梁悬挂起重机</w:t>
            </w:r>
          </w:p>
        </w:tc>
        <w:tc>
          <w:tcPr>
            <w:tcW w:w="286" w:type="pct"/>
            <w:tcBorders>
              <w:tl2br w:val="nil"/>
              <w:tr2bl w:val="nil"/>
            </w:tcBorders>
            <w:vAlign w:val="center"/>
          </w:tcPr>
          <w:p w14:paraId="4F291CE8">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72" w:type="pct"/>
            <w:tcBorders>
              <w:tl2br w:val="nil"/>
              <w:tr2bl w:val="nil"/>
            </w:tcBorders>
            <w:vAlign w:val="center"/>
          </w:tcPr>
          <w:p w14:paraId="499B0EFA">
            <w:pPr>
              <w:pStyle w:val="12"/>
              <w:pageBreakBefore w:val="0"/>
              <w:wordWrap/>
              <w:bidi w:val="0"/>
              <w:adjustRightInd/>
              <w:snapToGrid/>
              <w:rPr>
                <w:rFonts w:hint="default" w:eastAsia="宋体"/>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775E3A5B">
            <w:pPr>
              <w:pStyle w:val="12"/>
              <w:pageBreakBefore w:val="0"/>
              <w:wordWrap/>
              <w:bidi w:val="0"/>
              <w:adjustRightInd/>
              <w:snapToGrid/>
              <w:rPr>
                <w:color w:val="auto"/>
              </w:rPr>
            </w:pPr>
          </w:p>
        </w:tc>
        <w:tc>
          <w:tcPr>
            <w:tcW w:w="213" w:type="pct"/>
            <w:tcBorders>
              <w:tl2br w:val="nil"/>
              <w:tr2bl w:val="nil"/>
            </w:tcBorders>
            <w:vAlign w:val="center"/>
          </w:tcPr>
          <w:p w14:paraId="6F3A1F77">
            <w:pPr>
              <w:pStyle w:val="12"/>
              <w:pageBreakBefore w:val="0"/>
              <w:wordWrap/>
              <w:bidi w:val="0"/>
              <w:adjustRightInd/>
              <w:snapToGrid/>
              <w:ind w:left="0" w:leftChars="0" w:firstLine="0" w:firstLineChars="0"/>
              <w:rPr>
                <w:color w:val="auto"/>
              </w:rPr>
            </w:pPr>
            <w:r>
              <w:rPr>
                <w:rFonts w:hint="eastAsia"/>
                <w:color w:val="auto"/>
                <w:lang w:val="en-US" w:eastAsia="zh-CN"/>
              </w:rPr>
              <w:t>164.7</w:t>
            </w:r>
          </w:p>
        </w:tc>
        <w:tc>
          <w:tcPr>
            <w:tcW w:w="212" w:type="pct"/>
            <w:tcBorders>
              <w:tl2br w:val="nil"/>
              <w:tr2bl w:val="nil"/>
            </w:tcBorders>
            <w:vAlign w:val="center"/>
          </w:tcPr>
          <w:p w14:paraId="5959A289">
            <w:pPr>
              <w:pStyle w:val="12"/>
              <w:pageBreakBefore w:val="0"/>
              <w:wordWrap/>
              <w:bidi w:val="0"/>
              <w:adjustRightInd/>
              <w:snapToGrid/>
              <w:ind w:left="0" w:leftChars="0" w:firstLine="0" w:firstLineChars="0"/>
              <w:rPr>
                <w:color w:val="auto"/>
              </w:rPr>
            </w:pPr>
            <w:r>
              <w:rPr>
                <w:rFonts w:hint="eastAsia"/>
                <w:color w:val="auto"/>
                <w:lang w:val="en-US" w:eastAsia="zh-CN"/>
              </w:rPr>
              <w:t>-2</w:t>
            </w:r>
          </w:p>
        </w:tc>
        <w:tc>
          <w:tcPr>
            <w:tcW w:w="215" w:type="pct"/>
            <w:tcBorders>
              <w:tl2br w:val="nil"/>
              <w:tr2bl w:val="nil"/>
            </w:tcBorders>
            <w:vAlign w:val="center"/>
          </w:tcPr>
          <w:p w14:paraId="0875114D">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36" w:type="pct"/>
            <w:tcBorders>
              <w:tl2br w:val="nil"/>
              <w:tr2bl w:val="nil"/>
            </w:tcBorders>
            <w:vAlign w:val="center"/>
          </w:tcPr>
          <w:p w14:paraId="66CD35A9">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6C763868">
            <w:pPr>
              <w:pStyle w:val="12"/>
              <w:pageBreakBefore w:val="0"/>
              <w:wordWrap/>
              <w:bidi w:val="0"/>
              <w:adjustRightInd/>
              <w:snapToGrid/>
              <w:ind w:left="0" w:leftChars="0" w:firstLine="0" w:firstLineChars="0"/>
              <w:rPr>
                <w:color w:val="auto"/>
              </w:rPr>
            </w:pPr>
            <w:r>
              <w:rPr>
                <w:rFonts w:hint="eastAsia"/>
                <w:color w:val="auto"/>
                <w:lang w:val="en-US" w:eastAsia="zh-CN"/>
              </w:rPr>
              <w:t>75</w:t>
            </w:r>
          </w:p>
        </w:tc>
        <w:tc>
          <w:tcPr>
            <w:tcW w:w="263" w:type="pct"/>
            <w:vMerge w:val="continue"/>
            <w:tcBorders>
              <w:tl2br w:val="nil"/>
              <w:tr2bl w:val="nil"/>
            </w:tcBorders>
            <w:vAlign w:val="center"/>
          </w:tcPr>
          <w:p w14:paraId="09AF7453">
            <w:pPr>
              <w:pStyle w:val="12"/>
              <w:pageBreakBefore w:val="0"/>
              <w:wordWrap/>
              <w:bidi w:val="0"/>
              <w:adjustRightInd/>
              <w:snapToGrid/>
              <w:rPr>
                <w:color w:val="auto"/>
              </w:rPr>
            </w:pPr>
          </w:p>
        </w:tc>
        <w:tc>
          <w:tcPr>
            <w:tcW w:w="464" w:type="pct"/>
            <w:tcBorders>
              <w:tl2br w:val="nil"/>
              <w:tr2bl w:val="nil"/>
            </w:tcBorders>
            <w:vAlign w:val="center"/>
          </w:tcPr>
          <w:p w14:paraId="34F83DDD">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5F456804">
            <w:pPr>
              <w:pStyle w:val="12"/>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36F286BE">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74B8E51D">
            <w:pPr>
              <w:pStyle w:val="12"/>
              <w:pageBreakBefore w:val="0"/>
              <w:wordWrap/>
              <w:bidi w:val="0"/>
              <w:adjustRightInd/>
              <w:snapToGrid/>
              <w:rPr>
                <w:color w:val="auto"/>
              </w:rPr>
            </w:pPr>
          </w:p>
        </w:tc>
      </w:tr>
      <w:tr w14:paraId="43E0FD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8EA184C">
            <w:pPr>
              <w:pStyle w:val="12"/>
              <w:pageBreakBefore w:val="0"/>
              <w:wordWrap/>
              <w:bidi w:val="0"/>
              <w:adjustRightInd/>
              <w:snapToGrid/>
              <w:rPr>
                <w:rFonts w:hint="default" w:eastAsia="宋体"/>
                <w:color w:val="auto"/>
                <w:lang w:val="en-US" w:eastAsia="zh-CN"/>
              </w:rPr>
            </w:pPr>
            <w:r>
              <w:rPr>
                <w:rFonts w:hint="eastAsia"/>
                <w:color w:val="auto"/>
                <w:lang w:val="en-US" w:eastAsia="zh-CN"/>
              </w:rPr>
              <w:t>63</w:t>
            </w:r>
          </w:p>
        </w:tc>
        <w:tc>
          <w:tcPr>
            <w:tcW w:w="189" w:type="pct"/>
            <w:vMerge w:val="restart"/>
            <w:tcBorders>
              <w:tl2br w:val="nil"/>
              <w:tr2bl w:val="nil"/>
            </w:tcBorders>
            <w:vAlign w:val="center"/>
          </w:tcPr>
          <w:p w14:paraId="342A390E">
            <w:pPr>
              <w:pageBreakBefore w:val="0"/>
              <w:wordWrap/>
              <w:bidi w:val="0"/>
              <w:adjustRightInd/>
              <w:snapToGrid/>
              <w:spacing w:line="240" w:lineRule="auto"/>
              <w:ind w:firstLine="0" w:firstLineChars="0"/>
              <w:jc w:val="center"/>
              <w:rPr>
                <w:color w:val="auto"/>
              </w:rPr>
            </w:pPr>
            <w:r>
              <w:rPr>
                <w:b w:val="0"/>
                <w:bCs w:val="0"/>
                <w:color w:val="auto"/>
              </w:rPr>
              <w:t>机修危废间</w:t>
            </w:r>
          </w:p>
        </w:tc>
        <w:tc>
          <w:tcPr>
            <w:tcW w:w="624" w:type="pct"/>
            <w:tcBorders>
              <w:tl2br w:val="nil"/>
              <w:tr2bl w:val="nil"/>
            </w:tcBorders>
            <w:vAlign w:val="center"/>
          </w:tcPr>
          <w:p w14:paraId="4C2A1D42">
            <w:pPr>
              <w:pStyle w:val="12"/>
              <w:pageBreakBefore w:val="0"/>
              <w:wordWrap/>
              <w:bidi w:val="0"/>
              <w:adjustRightInd/>
              <w:snapToGrid/>
              <w:ind w:left="0" w:leftChars="0" w:firstLine="0" w:firstLineChars="0"/>
              <w:rPr>
                <w:color w:val="auto"/>
              </w:rPr>
            </w:pPr>
            <w:r>
              <w:rPr>
                <w:color w:val="auto"/>
              </w:rPr>
              <w:t>电动单梁悬挂起重机</w:t>
            </w:r>
          </w:p>
        </w:tc>
        <w:tc>
          <w:tcPr>
            <w:tcW w:w="286" w:type="pct"/>
            <w:tcBorders>
              <w:tl2br w:val="nil"/>
              <w:tr2bl w:val="nil"/>
            </w:tcBorders>
            <w:vAlign w:val="center"/>
          </w:tcPr>
          <w:p w14:paraId="6125B816">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72" w:type="pct"/>
            <w:tcBorders>
              <w:tl2br w:val="nil"/>
              <w:tr2bl w:val="nil"/>
            </w:tcBorders>
            <w:vAlign w:val="center"/>
          </w:tcPr>
          <w:p w14:paraId="5C546876">
            <w:pPr>
              <w:pStyle w:val="12"/>
              <w:pageBreakBefore w:val="0"/>
              <w:wordWrap/>
              <w:bidi w:val="0"/>
              <w:adjustRightInd/>
              <w:snapToGrid/>
              <w:rPr>
                <w:rFonts w:hint="default" w:eastAsia="宋体"/>
                <w:color w:val="auto"/>
                <w:lang w:val="en-US" w:eastAsia="zh-CN"/>
              </w:rPr>
            </w:pPr>
            <w:r>
              <w:rPr>
                <w:rFonts w:hint="eastAsia"/>
                <w:color w:val="auto"/>
                <w:lang w:val="en-US" w:eastAsia="zh-CN"/>
              </w:rPr>
              <w:t>75</w:t>
            </w:r>
          </w:p>
        </w:tc>
        <w:tc>
          <w:tcPr>
            <w:tcW w:w="372" w:type="pct"/>
            <w:vMerge w:val="continue"/>
            <w:tcBorders>
              <w:tl2br w:val="nil"/>
              <w:tr2bl w:val="nil"/>
            </w:tcBorders>
            <w:vAlign w:val="center"/>
          </w:tcPr>
          <w:p w14:paraId="6FA2A993">
            <w:pPr>
              <w:pStyle w:val="12"/>
              <w:pageBreakBefore w:val="0"/>
              <w:wordWrap/>
              <w:bidi w:val="0"/>
              <w:adjustRightInd/>
              <w:snapToGrid/>
              <w:rPr>
                <w:color w:val="auto"/>
              </w:rPr>
            </w:pPr>
          </w:p>
        </w:tc>
        <w:tc>
          <w:tcPr>
            <w:tcW w:w="213" w:type="pct"/>
            <w:tcBorders>
              <w:tl2br w:val="nil"/>
              <w:tr2bl w:val="nil"/>
            </w:tcBorders>
            <w:vAlign w:val="center"/>
          </w:tcPr>
          <w:p w14:paraId="676C7045">
            <w:pPr>
              <w:pStyle w:val="12"/>
              <w:pageBreakBefore w:val="0"/>
              <w:wordWrap/>
              <w:bidi w:val="0"/>
              <w:adjustRightInd/>
              <w:snapToGrid/>
              <w:rPr>
                <w:rFonts w:hint="default" w:eastAsia="宋体"/>
                <w:color w:val="auto"/>
                <w:lang w:val="en-US" w:eastAsia="zh-CN"/>
              </w:rPr>
            </w:pPr>
            <w:r>
              <w:rPr>
                <w:rFonts w:hint="eastAsia"/>
                <w:color w:val="auto"/>
                <w:lang w:val="en-US" w:eastAsia="zh-CN"/>
              </w:rPr>
              <w:t>188</w:t>
            </w:r>
          </w:p>
        </w:tc>
        <w:tc>
          <w:tcPr>
            <w:tcW w:w="212" w:type="pct"/>
            <w:tcBorders>
              <w:tl2br w:val="nil"/>
              <w:tr2bl w:val="nil"/>
            </w:tcBorders>
            <w:vAlign w:val="center"/>
          </w:tcPr>
          <w:p w14:paraId="39564A27">
            <w:pPr>
              <w:pStyle w:val="12"/>
              <w:pageBreakBefore w:val="0"/>
              <w:wordWrap/>
              <w:bidi w:val="0"/>
              <w:adjustRightInd/>
              <w:snapToGrid/>
              <w:rPr>
                <w:rFonts w:hint="default" w:eastAsia="宋体"/>
                <w:color w:val="auto"/>
                <w:lang w:val="en-US" w:eastAsia="zh-CN"/>
              </w:rPr>
            </w:pPr>
            <w:r>
              <w:rPr>
                <w:rFonts w:hint="eastAsia"/>
                <w:color w:val="auto"/>
                <w:lang w:val="en-US" w:eastAsia="zh-CN"/>
              </w:rPr>
              <w:t>0.7</w:t>
            </w:r>
          </w:p>
        </w:tc>
        <w:tc>
          <w:tcPr>
            <w:tcW w:w="215" w:type="pct"/>
            <w:tcBorders>
              <w:tl2br w:val="nil"/>
              <w:tr2bl w:val="nil"/>
            </w:tcBorders>
            <w:vAlign w:val="center"/>
          </w:tcPr>
          <w:p w14:paraId="651B7C4E">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36" w:type="pct"/>
            <w:tcBorders>
              <w:tl2br w:val="nil"/>
              <w:tr2bl w:val="nil"/>
            </w:tcBorders>
            <w:vAlign w:val="center"/>
          </w:tcPr>
          <w:p w14:paraId="366B0210">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39F1EA0B">
            <w:pPr>
              <w:pStyle w:val="12"/>
              <w:pageBreakBefore w:val="0"/>
              <w:wordWrap/>
              <w:bidi w:val="0"/>
              <w:adjustRightInd/>
              <w:snapToGrid/>
              <w:ind w:left="0" w:leftChars="0" w:firstLine="0" w:firstLineChars="0"/>
              <w:rPr>
                <w:color w:val="auto"/>
              </w:rPr>
            </w:pPr>
            <w:r>
              <w:rPr>
                <w:rFonts w:hint="eastAsia"/>
                <w:color w:val="auto"/>
                <w:lang w:val="en-US" w:eastAsia="zh-CN"/>
              </w:rPr>
              <w:t>75</w:t>
            </w:r>
          </w:p>
        </w:tc>
        <w:tc>
          <w:tcPr>
            <w:tcW w:w="263" w:type="pct"/>
            <w:vMerge w:val="continue"/>
            <w:tcBorders>
              <w:tl2br w:val="nil"/>
              <w:tr2bl w:val="nil"/>
            </w:tcBorders>
            <w:vAlign w:val="center"/>
          </w:tcPr>
          <w:p w14:paraId="6E916C9B">
            <w:pPr>
              <w:pStyle w:val="12"/>
              <w:pageBreakBefore w:val="0"/>
              <w:wordWrap/>
              <w:bidi w:val="0"/>
              <w:adjustRightInd/>
              <w:snapToGrid/>
              <w:rPr>
                <w:color w:val="auto"/>
              </w:rPr>
            </w:pPr>
          </w:p>
        </w:tc>
        <w:tc>
          <w:tcPr>
            <w:tcW w:w="464" w:type="pct"/>
            <w:tcBorders>
              <w:tl2br w:val="nil"/>
              <w:tr2bl w:val="nil"/>
            </w:tcBorders>
            <w:vAlign w:val="center"/>
          </w:tcPr>
          <w:p w14:paraId="7095137C">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76C5C91A">
            <w:pPr>
              <w:pStyle w:val="12"/>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64833FFF">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2645A7FC">
            <w:pPr>
              <w:pStyle w:val="12"/>
              <w:pageBreakBefore w:val="0"/>
              <w:wordWrap/>
              <w:bidi w:val="0"/>
              <w:adjustRightInd/>
              <w:snapToGrid/>
              <w:rPr>
                <w:color w:val="auto"/>
              </w:rPr>
            </w:pPr>
          </w:p>
        </w:tc>
      </w:tr>
      <w:tr w14:paraId="11E9F4B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8C7915C">
            <w:pPr>
              <w:pStyle w:val="12"/>
              <w:pageBreakBefore w:val="0"/>
              <w:wordWrap/>
              <w:bidi w:val="0"/>
              <w:adjustRightInd/>
              <w:snapToGrid/>
              <w:rPr>
                <w:rFonts w:hint="default" w:eastAsia="宋体"/>
                <w:color w:val="auto"/>
                <w:lang w:val="en-US" w:eastAsia="zh-CN"/>
              </w:rPr>
            </w:pPr>
            <w:r>
              <w:rPr>
                <w:rFonts w:hint="eastAsia"/>
                <w:color w:val="auto"/>
                <w:lang w:val="en-US" w:eastAsia="zh-CN"/>
              </w:rPr>
              <w:t>64</w:t>
            </w:r>
          </w:p>
        </w:tc>
        <w:tc>
          <w:tcPr>
            <w:tcW w:w="189" w:type="pct"/>
            <w:vMerge w:val="continue"/>
            <w:tcBorders>
              <w:tl2br w:val="nil"/>
              <w:tr2bl w:val="nil"/>
            </w:tcBorders>
            <w:vAlign w:val="center"/>
          </w:tcPr>
          <w:p w14:paraId="74CEC9C9">
            <w:pPr>
              <w:pageBreakBefore w:val="0"/>
              <w:wordWrap/>
              <w:bidi w:val="0"/>
              <w:adjustRightInd/>
              <w:snapToGrid/>
              <w:spacing w:line="240" w:lineRule="auto"/>
              <w:ind w:firstLine="0" w:firstLineChars="0"/>
              <w:jc w:val="center"/>
              <w:rPr>
                <w:color w:val="auto"/>
              </w:rPr>
            </w:pPr>
          </w:p>
        </w:tc>
        <w:tc>
          <w:tcPr>
            <w:tcW w:w="624" w:type="pct"/>
            <w:tcBorders>
              <w:tl2br w:val="nil"/>
              <w:tr2bl w:val="nil"/>
            </w:tcBorders>
            <w:vAlign w:val="center"/>
          </w:tcPr>
          <w:p w14:paraId="49E15224">
            <w:pPr>
              <w:pStyle w:val="12"/>
              <w:pageBreakBefore w:val="0"/>
              <w:wordWrap/>
              <w:bidi w:val="0"/>
              <w:adjustRightInd/>
              <w:snapToGrid/>
              <w:ind w:left="0" w:leftChars="0" w:firstLine="0" w:firstLineChars="0"/>
              <w:rPr>
                <w:color w:val="auto"/>
              </w:rPr>
            </w:pPr>
            <w:r>
              <w:rPr>
                <w:color w:val="auto"/>
              </w:rPr>
              <w:t>玻璃钢轴流通风机</w:t>
            </w:r>
          </w:p>
        </w:tc>
        <w:tc>
          <w:tcPr>
            <w:tcW w:w="286" w:type="pct"/>
            <w:tcBorders>
              <w:tl2br w:val="nil"/>
              <w:tr2bl w:val="nil"/>
            </w:tcBorders>
            <w:vAlign w:val="center"/>
          </w:tcPr>
          <w:p w14:paraId="4C29FF64">
            <w:pPr>
              <w:pStyle w:val="12"/>
              <w:pageBreakBefore w:val="0"/>
              <w:wordWrap/>
              <w:bidi w:val="0"/>
              <w:adjustRightInd/>
              <w:snapToGrid/>
              <w:rPr>
                <w:rFonts w:hint="eastAsia" w:eastAsia="宋体"/>
                <w:color w:val="auto"/>
                <w:lang w:val="en-US" w:eastAsia="zh-CN"/>
              </w:rPr>
            </w:pPr>
            <w:r>
              <w:rPr>
                <w:rFonts w:hint="eastAsia"/>
                <w:color w:val="auto"/>
                <w:lang w:val="en-US" w:eastAsia="zh-CN"/>
              </w:rPr>
              <w:t>8</w:t>
            </w:r>
          </w:p>
        </w:tc>
        <w:tc>
          <w:tcPr>
            <w:tcW w:w="372" w:type="pct"/>
            <w:tcBorders>
              <w:tl2br w:val="nil"/>
              <w:tr2bl w:val="nil"/>
            </w:tcBorders>
            <w:vAlign w:val="center"/>
          </w:tcPr>
          <w:p w14:paraId="2F2C835A">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052955E7">
            <w:pPr>
              <w:pStyle w:val="12"/>
              <w:pageBreakBefore w:val="0"/>
              <w:wordWrap/>
              <w:bidi w:val="0"/>
              <w:adjustRightInd/>
              <w:snapToGrid/>
              <w:rPr>
                <w:color w:val="auto"/>
              </w:rPr>
            </w:pPr>
          </w:p>
        </w:tc>
        <w:tc>
          <w:tcPr>
            <w:tcW w:w="213" w:type="pct"/>
            <w:tcBorders>
              <w:tl2br w:val="nil"/>
              <w:tr2bl w:val="nil"/>
            </w:tcBorders>
            <w:vAlign w:val="center"/>
          </w:tcPr>
          <w:p w14:paraId="0A6C5463">
            <w:pPr>
              <w:pStyle w:val="12"/>
              <w:pageBreakBefore w:val="0"/>
              <w:wordWrap/>
              <w:bidi w:val="0"/>
              <w:adjustRightInd/>
              <w:snapToGrid/>
              <w:ind w:left="0" w:leftChars="0" w:firstLine="0" w:firstLineChars="0"/>
              <w:rPr>
                <w:color w:val="auto"/>
              </w:rPr>
            </w:pPr>
            <w:r>
              <w:rPr>
                <w:rFonts w:hint="eastAsia"/>
                <w:color w:val="auto"/>
                <w:lang w:val="en-US" w:eastAsia="zh-CN"/>
              </w:rPr>
              <w:t>188</w:t>
            </w:r>
          </w:p>
        </w:tc>
        <w:tc>
          <w:tcPr>
            <w:tcW w:w="212" w:type="pct"/>
            <w:tcBorders>
              <w:tl2br w:val="nil"/>
              <w:tr2bl w:val="nil"/>
            </w:tcBorders>
            <w:vAlign w:val="center"/>
          </w:tcPr>
          <w:p w14:paraId="0A880712">
            <w:pPr>
              <w:pStyle w:val="12"/>
              <w:pageBreakBefore w:val="0"/>
              <w:wordWrap/>
              <w:bidi w:val="0"/>
              <w:adjustRightInd/>
              <w:snapToGrid/>
              <w:ind w:left="0" w:leftChars="0" w:firstLine="0" w:firstLineChars="0"/>
              <w:rPr>
                <w:color w:val="auto"/>
              </w:rPr>
            </w:pPr>
            <w:r>
              <w:rPr>
                <w:rFonts w:hint="eastAsia"/>
                <w:color w:val="auto"/>
                <w:lang w:val="en-US" w:eastAsia="zh-CN"/>
              </w:rPr>
              <w:t>0.7</w:t>
            </w:r>
          </w:p>
        </w:tc>
        <w:tc>
          <w:tcPr>
            <w:tcW w:w="215" w:type="pct"/>
            <w:tcBorders>
              <w:tl2br w:val="nil"/>
              <w:tr2bl w:val="nil"/>
            </w:tcBorders>
            <w:vAlign w:val="center"/>
          </w:tcPr>
          <w:p w14:paraId="25EAF221">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59C25B35">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2EAB405A">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4DD90393">
            <w:pPr>
              <w:pStyle w:val="12"/>
              <w:pageBreakBefore w:val="0"/>
              <w:wordWrap/>
              <w:bidi w:val="0"/>
              <w:adjustRightInd/>
              <w:snapToGrid/>
              <w:rPr>
                <w:color w:val="auto"/>
              </w:rPr>
            </w:pPr>
          </w:p>
        </w:tc>
        <w:tc>
          <w:tcPr>
            <w:tcW w:w="464" w:type="pct"/>
            <w:tcBorders>
              <w:tl2br w:val="nil"/>
              <w:tr2bl w:val="nil"/>
            </w:tcBorders>
            <w:vAlign w:val="center"/>
          </w:tcPr>
          <w:p w14:paraId="2CC28836">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86735ED">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52FF03D9">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50711A8D">
            <w:pPr>
              <w:pStyle w:val="12"/>
              <w:pageBreakBefore w:val="0"/>
              <w:wordWrap/>
              <w:bidi w:val="0"/>
              <w:adjustRightInd/>
              <w:snapToGrid/>
              <w:rPr>
                <w:color w:val="auto"/>
              </w:rPr>
            </w:pPr>
          </w:p>
        </w:tc>
      </w:tr>
      <w:tr w14:paraId="72AC2F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FE8AF8B">
            <w:pPr>
              <w:pStyle w:val="12"/>
              <w:pageBreakBefore w:val="0"/>
              <w:wordWrap/>
              <w:bidi w:val="0"/>
              <w:adjustRightInd/>
              <w:snapToGrid/>
              <w:rPr>
                <w:rFonts w:hint="default" w:eastAsia="宋体"/>
                <w:color w:val="auto"/>
                <w:lang w:val="en-US" w:eastAsia="zh-CN"/>
              </w:rPr>
            </w:pPr>
            <w:r>
              <w:rPr>
                <w:rFonts w:hint="eastAsia"/>
                <w:color w:val="auto"/>
                <w:lang w:val="en-US" w:eastAsia="zh-CN"/>
              </w:rPr>
              <w:t>65</w:t>
            </w:r>
          </w:p>
        </w:tc>
        <w:tc>
          <w:tcPr>
            <w:tcW w:w="189" w:type="pct"/>
            <w:vMerge w:val="restart"/>
            <w:tcBorders>
              <w:tl2br w:val="nil"/>
              <w:tr2bl w:val="nil"/>
            </w:tcBorders>
            <w:vAlign w:val="center"/>
          </w:tcPr>
          <w:p w14:paraId="35DBAB36">
            <w:pPr>
              <w:pageBreakBefore w:val="0"/>
              <w:wordWrap/>
              <w:bidi w:val="0"/>
              <w:adjustRightInd/>
              <w:snapToGrid/>
              <w:spacing w:line="240" w:lineRule="auto"/>
              <w:ind w:firstLine="0" w:firstLineChars="0"/>
              <w:jc w:val="center"/>
              <w:rPr>
                <w:color w:val="auto"/>
              </w:rPr>
            </w:pPr>
            <w:r>
              <w:rPr>
                <w:b w:val="0"/>
                <w:bCs w:val="0"/>
                <w:color w:val="auto"/>
              </w:rPr>
              <w:t>在线监测间</w:t>
            </w:r>
          </w:p>
        </w:tc>
        <w:tc>
          <w:tcPr>
            <w:tcW w:w="624" w:type="pct"/>
            <w:tcBorders>
              <w:tl2br w:val="nil"/>
              <w:tr2bl w:val="nil"/>
            </w:tcBorders>
            <w:vAlign w:val="center"/>
          </w:tcPr>
          <w:p w14:paraId="25C800EC">
            <w:pPr>
              <w:pStyle w:val="12"/>
              <w:pageBreakBefore w:val="0"/>
              <w:wordWrap/>
              <w:bidi w:val="0"/>
              <w:adjustRightInd/>
              <w:snapToGrid/>
              <w:ind w:left="0" w:leftChars="0" w:firstLine="0" w:firstLineChars="0"/>
              <w:rPr>
                <w:color w:val="auto"/>
              </w:rPr>
            </w:pPr>
            <w:r>
              <w:rPr>
                <w:color w:val="auto"/>
              </w:rPr>
              <w:t>轴流通风机</w:t>
            </w:r>
          </w:p>
        </w:tc>
        <w:tc>
          <w:tcPr>
            <w:tcW w:w="286" w:type="pct"/>
            <w:tcBorders>
              <w:tl2br w:val="nil"/>
              <w:tr2bl w:val="nil"/>
            </w:tcBorders>
            <w:vAlign w:val="center"/>
          </w:tcPr>
          <w:p w14:paraId="1C209BC5">
            <w:pPr>
              <w:pStyle w:val="12"/>
              <w:pageBreakBefore w:val="0"/>
              <w:wordWrap/>
              <w:bidi w:val="0"/>
              <w:adjustRightInd/>
              <w:snapToGrid/>
              <w:rPr>
                <w:rFonts w:hint="eastAsia" w:eastAsia="宋体"/>
                <w:color w:val="auto"/>
                <w:lang w:val="en-US" w:eastAsia="zh-CN"/>
              </w:rPr>
            </w:pPr>
            <w:r>
              <w:rPr>
                <w:rFonts w:hint="eastAsia"/>
                <w:color w:val="auto"/>
                <w:lang w:val="en-US" w:eastAsia="zh-CN"/>
              </w:rPr>
              <w:t>2</w:t>
            </w:r>
          </w:p>
        </w:tc>
        <w:tc>
          <w:tcPr>
            <w:tcW w:w="372" w:type="pct"/>
            <w:tcBorders>
              <w:tl2br w:val="nil"/>
              <w:tr2bl w:val="nil"/>
            </w:tcBorders>
            <w:vAlign w:val="center"/>
          </w:tcPr>
          <w:p w14:paraId="0695F188">
            <w:pPr>
              <w:pStyle w:val="12"/>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372" w:type="pct"/>
            <w:vMerge w:val="continue"/>
            <w:tcBorders>
              <w:tl2br w:val="nil"/>
              <w:tr2bl w:val="nil"/>
            </w:tcBorders>
            <w:vAlign w:val="center"/>
          </w:tcPr>
          <w:p w14:paraId="5FF1F113">
            <w:pPr>
              <w:pStyle w:val="12"/>
              <w:pageBreakBefore w:val="0"/>
              <w:wordWrap/>
              <w:bidi w:val="0"/>
              <w:adjustRightInd/>
              <w:snapToGrid/>
              <w:rPr>
                <w:color w:val="auto"/>
              </w:rPr>
            </w:pPr>
          </w:p>
        </w:tc>
        <w:tc>
          <w:tcPr>
            <w:tcW w:w="213" w:type="pct"/>
            <w:tcBorders>
              <w:tl2br w:val="nil"/>
              <w:tr2bl w:val="nil"/>
            </w:tcBorders>
            <w:vAlign w:val="center"/>
          </w:tcPr>
          <w:p w14:paraId="5D86AE47">
            <w:pPr>
              <w:pStyle w:val="12"/>
              <w:pageBreakBefore w:val="0"/>
              <w:wordWrap/>
              <w:bidi w:val="0"/>
              <w:adjustRightInd/>
              <w:snapToGrid/>
              <w:rPr>
                <w:rFonts w:hint="default" w:eastAsia="宋体"/>
                <w:color w:val="auto"/>
                <w:lang w:val="en-US" w:eastAsia="zh-CN"/>
              </w:rPr>
            </w:pPr>
            <w:r>
              <w:rPr>
                <w:rFonts w:hint="eastAsia"/>
                <w:color w:val="auto"/>
                <w:lang w:val="en-US" w:eastAsia="zh-CN"/>
              </w:rPr>
              <w:t>18.8</w:t>
            </w:r>
          </w:p>
        </w:tc>
        <w:tc>
          <w:tcPr>
            <w:tcW w:w="212" w:type="pct"/>
            <w:tcBorders>
              <w:tl2br w:val="nil"/>
              <w:tr2bl w:val="nil"/>
            </w:tcBorders>
            <w:vAlign w:val="center"/>
          </w:tcPr>
          <w:p w14:paraId="3FAF69E2">
            <w:pPr>
              <w:pStyle w:val="12"/>
              <w:pageBreakBefore w:val="0"/>
              <w:wordWrap/>
              <w:bidi w:val="0"/>
              <w:adjustRightInd/>
              <w:snapToGrid/>
              <w:rPr>
                <w:rFonts w:hint="default" w:eastAsia="宋体"/>
                <w:color w:val="auto"/>
                <w:lang w:val="en-US" w:eastAsia="zh-CN"/>
              </w:rPr>
            </w:pPr>
            <w:r>
              <w:rPr>
                <w:rFonts w:hint="eastAsia"/>
                <w:color w:val="auto"/>
                <w:lang w:val="en-US" w:eastAsia="zh-CN"/>
              </w:rPr>
              <w:t>6.8</w:t>
            </w:r>
          </w:p>
        </w:tc>
        <w:tc>
          <w:tcPr>
            <w:tcW w:w="215" w:type="pct"/>
            <w:tcBorders>
              <w:tl2br w:val="nil"/>
              <w:tr2bl w:val="nil"/>
            </w:tcBorders>
            <w:vAlign w:val="center"/>
          </w:tcPr>
          <w:p w14:paraId="7435D2FB">
            <w:pPr>
              <w:pStyle w:val="12"/>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336" w:type="pct"/>
            <w:tcBorders>
              <w:tl2br w:val="nil"/>
              <w:tr2bl w:val="nil"/>
            </w:tcBorders>
            <w:vAlign w:val="center"/>
          </w:tcPr>
          <w:p w14:paraId="73C89708">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3A87C04D">
            <w:pPr>
              <w:pStyle w:val="12"/>
              <w:pageBreakBefore w:val="0"/>
              <w:wordWrap/>
              <w:bidi w:val="0"/>
              <w:adjustRightInd/>
              <w:snapToGrid/>
              <w:ind w:left="0" w:leftChars="0" w:firstLine="0" w:firstLineChars="0"/>
              <w:rPr>
                <w:color w:val="auto"/>
              </w:rPr>
            </w:pPr>
            <w:r>
              <w:rPr>
                <w:rFonts w:hint="eastAsia"/>
                <w:color w:val="auto"/>
                <w:lang w:val="en-US" w:eastAsia="zh-CN"/>
              </w:rPr>
              <w:t>80</w:t>
            </w:r>
          </w:p>
        </w:tc>
        <w:tc>
          <w:tcPr>
            <w:tcW w:w="263" w:type="pct"/>
            <w:vMerge w:val="continue"/>
            <w:tcBorders>
              <w:tl2br w:val="nil"/>
              <w:tr2bl w:val="nil"/>
            </w:tcBorders>
            <w:vAlign w:val="center"/>
          </w:tcPr>
          <w:p w14:paraId="1450C30A">
            <w:pPr>
              <w:pStyle w:val="12"/>
              <w:pageBreakBefore w:val="0"/>
              <w:wordWrap/>
              <w:bidi w:val="0"/>
              <w:adjustRightInd/>
              <w:snapToGrid/>
              <w:rPr>
                <w:color w:val="auto"/>
              </w:rPr>
            </w:pPr>
          </w:p>
        </w:tc>
        <w:tc>
          <w:tcPr>
            <w:tcW w:w="464" w:type="pct"/>
            <w:tcBorders>
              <w:tl2br w:val="nil"/>
              <w:tr2bl w:val="nil"/>
            </w:tcBorders>
            <w:vAlign w:val="center"/>
          </w:tcPr>
          <w:p w14:paraId="74F2841B">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3000D0BC">
            <w:pPr>
              <w:pStyle w:val="12"/>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7AB955B9">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5754A206">
            <w:pPr>
              <w:pStyle w:val="12"/>
              <w:pageBreakBefore w:val="0"/>
              <w:wordWrap/>
              <w:bidi w:val="0"/>
              <w:adjustRightInd/>
              <w:snapToGrid/>
              <w:rPr>
                <w:color w:val="auto"/>
              </w:rPr>
            </w:pPr>
          </w:p>
        </w:tc>
      </w:tr>
      <w:tr w14:paraId="5E778EF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DD95F14">
            <w:pPr>
              <w:pStyle w:val="12"/>
              <w:pageBreakBefore w:val="0"/>
              <w:wordWrap/>
              <w:bidi w:val="0"/>
              <w:adjustRightInd/>
              <w:snapToGrid/>
              <w:rPr>
                <w:rFonts w:hint="default" w:eastAsia="宋体"/>
                <w:color w:val="auto"/>
                <w:lang w:val="en-US" w:eastAsia="zh-CN"/>
              </w:rPr>
            </w:pPr>
            <w:r>
              <w:rPr>
                <w:rFonts w:hint="eastAsia"/>
                <w:color w:val="auto"/>
                <w:lang w:val="en-US" w:eastAsia="zh-CN"/>
              </w:rPr>
              <w:t>66</w:t>
            </w:r>
          </w:p>
        </w:tc>
        <w:tc>
          <w:tcPr>
            <w:tcW w:w="189" w:type="pct"/>
            <w:vMerge w:val="continue"/>
            <w:tcBorders>
              <w:tl2br w:val="nil"/>
              <w:tr2bl w:val="nil"/>
            </w:tcBorders>
            <w:vAlign w:val="center"/>
          </w:tcPr>
          <w:p w14:paraId="1CBEFB26">
            <w:pPr>
              <w:pageBreakBefore w:val="0"/>
              <w:wordWrap/>
              <w:bidi w:val="0"/>
              <w:adjustRightInd/>
              <w:snapToGrid/>
              <w:spacing w:line="240" w:lineRule="auto"/>
              <w:ind w:firstLine="0" w:firstLineChars="0"/>
              <w:jc w:val="center"/>
              <w:rPr>
                <w:color w:val="auto"/>
              </w:rPr>
            </w:pPr>
          </w:p>
        </w:tc>
        <w:tc>
          <w:tcPr>
            <w:tcW w:w="624" w:type="pct"/>
            <w:tcBorders>
              <w:tl2br w:val="nil"/>
              <w:tr2bl w:val="nil"/>
            </w:tcBorders>
            <w:vAlign w:val="center"/>
          </w:tcPr>
          <w:p w14:paraId="5F9F8DE2">
            <w:pPr>
              <w:pStyle w:val="12"/>
              <w:pageBreakBefore w:val="0"/>
              <w:wordWrap/>
              <w:bidi w:val="0"/>
              <w:adjustRightInd/>
              <w:snapToGrid/>
              <w:ind w:left="0" w:leftChars="0" w:firstLine="0" w:firstLineChars="0"/>
              <w:rPr>
                <w:color w:val="auto"/>
              </w:rPr>
            </w:pPr>
            <w:r>
              <w:rPr>
                <w:color w:val="auto"/>
              </w:rPr>
              <w:t>取样泵</w:t>
            </w:r>
          </w:p>
        </w:tc>
        <w:tc>
          <w:tcPr>
            <w:tcW w:w="286" w:type="pct"/>
            <w:tcBorders>
              <w:tl2br w:val="nil"/>
              <w:tr2bl w:val="nil"/>
            </w:tcBorders>
            <w:vAlign w:val="center"/>
          </w:tcPr>
          <w:p w14:paraId="516F1C47">
            <w:pPr>
              <w:pStyle w:val="12"/>
              <w:pageBreakBefore w:val="0"/>
              <w:wordWrap/>
              <w:bidi w:val="0"/>
              <w:adjustRightInd/>
              <w:snapToGrid/>
              <w:rPr>
                <w:color w:val="auto"/>
              </w:rPr>
            </w:pPr>
            <w:r>
              <w:rPr>
                <w:color w:val="auto"/>
              </w:rPr>
              <w:t>2用</w:t>
            </w:r>
            <w:r>
              <w:rPr>
                <w:rFonts w:hint="eastAsia"/>
                <w:color w:val="auto"/>
                <w:lang w:val="en-US" w:eastAsia="zh-CN"/>
              </w:rPr>
              <w:t>2</w:t>
            </w:r>
            <w:r>
              <w:rPr>
                <w:color w:val="auto"/>
              </w:rPr>
              <w:t>备</w:t>
            </w:r>
          </w:p>
        </w:tc>
        <w:tc>
          <w:tcPr>
            <w:tcW w:w="372" w:type="pct"/>
            <w:tcBorders>
              <w:tl2br w:val="nil"/>
              <w:tr2bl w:val="nil"/>
            </w:tcBorders>
            <w:vAlign w:val="center"/>
          </w:tcPr>
          <w:p w14:paraId="0AF8CF52">
            <w:pPr>
              <w:pStyle w:val="12"/>
              <w:pageBreakBefore w:val="0"/>
              <w:wordWrap/>
              <w:bidi w:val="0"/>
              <w:adjustRightInd/>
              <w:snapToGrid/>
              <w:rPr>
                <w:rFonts w:hint="default" w:eastAsia="宋体"/>
                <w:color w:val="auto"/>
                <w:lang w:val="en-US" w:eastAsia="zh-CN"/>
              </w:rPr>
            </w:pPr>
            <w:r>
              <w:rPr>
                <w:rFonts w:hint="eastAsia"/>
                <w:color w:val="auto"/>
                <w:lang w:val="en-US" w:eastAsia="zh-CN"/>
              </w:rPr>
              <w:t>85</w:t>
            </w:r>
          </w:p>
        </w:tc>
        <w:tc>
          <w:tcPr>
            <w:tcW w:w="372" w:type="pct"/>
            <w:vMerge w:val="continue"/>
            <w:tcBorders>
              <w:tl2br w:val="nil"/>
              <w:tr2bl w:val="nil"/>
            </w:tcBorders>
            <w:vAlign w:val="center"/>
          </w:tcPr>
          <w:p w14:paraId="39CFC6C6">
            <w:pPr>
              <w:pStyle w:val="12"/>
              <w:pageBreakBefore w:val="0"/>
              <w:wordWrap/>
              <w:bidi w:val="0"/>
              <w:adjustRightInd/>
              <w:snapToGrid/>
              <w:rPr>
                <w:color w:val="auto"/>
              </w:rPr>
            </w:pPr>
          </w:p>
        </w:tc>
        <w:tc>
          <w:tcPr>
            <w:tcW w:w="213" w:type="pct"/>
            <w:tcBorders>
              <w:tl2br w:val="nil"/>
              <w:tr2bl w:val="nil"/>
            </w:tcBorders>
            <w:vAlign w:val="center"/>
          </w:tcPr>
          <w:p w14:paraId="0CA3048A">
            <w:pPr>
              <w:pStyle w:val="12"/>
              <w:pageBreakBefore w:val="0"/>
              <w:wordWrap/>
              <w:bidi w:val="0"/>
              <w:adjustRightInd/>
              <w:snapToGrid/>
              <w:ind w:left="0" w:leftChars="0" w:firstLine="0" w:firstLineChars="0"/>
              <w:rPr>
                <w:color w:val="auto"/>
              </w:rPr>
            </w:pPr>
            <w:r>
              <w:rPr>
                <w:rFonts w:hint="eastAsia"/>
                <w:color w:val="auto"/>
                <w:lang w:val="en-US" w:eastAsia="zh-CN"/>
              </w:rPr>
              <w:t>18.8</w:t>
            </w:r>
          </w:p>
        </w:tc>
        <w:tc>
          <w:tcPr>
            <w:tcW w:w="212" w:type="pct"/>
            <w:tcBorders>
              <w:tl2br w:val="nil"/>
              <w:tr2bl w:val="nil"/>
            </w:tcBorders>
            <w:vAlign w:val="center"/>
          </w:tcPr>
          <w:p w14:paraId="4E56BC9A">
            <w:pPr>
              <w:pStyle w:val="12"/>
              <w:pageBreakBefore w:val="0"/>
              <w:wordWrap/>
              <w:bidi w:val="0"/>
              <w:adjustRightInd/>
              <w:snapToGrid/>
              <w:ind w:left="0" w:leftChars="0" w:firstLine="0" w:firstLineChars="0"/>
              <w:rPr>
                <w:color w:val="auto"/>
              </w:rPr>
            </w:pPr>
            <w:r>
              <w:rPr>
                <w:rFonts w:hint="eastAsia"/>
                <w:color w:val="auto"/>
                <w:lang w:val="en-US" w:eastAsia="zh-CN"/>
              </w:rPr>
              <w:t>6.8</w:t>
            </w:r>
          </w:p>
        </w:tc>
        <w:tc>
          <w:tcPr>
            <w:tcW w:w="215" w:type="pct"/>
            <w:tcBorders>
              <w:tl2br w:val="nil"/>
              <w:tr2bl w:val="nil"/>
            </w:tcBorders>
            <w:vAlign w:val="center"/>
          </w:tcPr>
          <w:p w14:paraId="03326F07">
            <w:pPr>
              <w:pStyle w:val="12"/>
              <w:pageBreakBefore w:val="0"/>
              <w:wordWrap/>
              <w:bidi w:val="0"/>
              <w:adjustRightInd/>
              <w:snapToGrid/>
              <w:rPr>
                <w:rFonts w:hint="default" w:eastAsia="宋体"/>
                <w:color w:val="auto"/>
                <w:lang w:val="en-US" w:eastAsia="zh-CN"/>
              </w:rPr>
            </w:pPr>
            <w:r>
              <w:rPr>
                <w:rFonts w:hint="eastAsia"/>
                <w:color w:val="auto"/>
                <w:lang w:val="en-US" w:eastAsia="zh-CN"/>
              </w:rPr>
              <w:t>0.5</w:t>
            </w:r>
          </w:p>
        </w:tc>
        <w:tc>
          <w:tcPr>
            <w:tcW w:w="336" w:type="pct"/>
            <w:tcBorders>
              <w:tl2br w:val="nil"/>
              <w:tr2bl w:val="nil"/>
            </w:tcBorders>
            <w:vAlign w:val="center"/>
          </w:tcPr>
          <w:p w14:paraId="4A6A162D">
            <w:pPr>
              <w:pStyle w:val="12"/>
              <w:pageBreakBefore w:val="0"/>
              <w:wordWrap/>
              <w:bidi w:val="0"/>
              <w:adjustRightInd/>
              <w:snapToGrid/>
              <w:rPr>
                <w:color w:val="auto"/>
              </w:rPr>
            </w:pPr>
            <w:r>
              <w:rPr>
                <w:color w:val="auto"/>
              </w:rPr>
              <w:t>1</w:t>
            </w:r>
          </w:p>
        </w:tc>
        <w:tc>
          <w:tcPr>
            <w:tcW w:w="436" w:type="pct"/>
            <w:tcBorders>
              <w:tl2br w:val="nil"/>
              <w:tr2bl w:val="nil"/>
            </w:tcBorders>
            <w:vAlign w:val="center"/>
          </w:tcPr>
          <w:p w14:paraId="12B01FBA">
            <w:pPr>
              <w:pStyle w:val="12"/>
              <w:pageBreakBefore w:val="0"/>
              <w:wordWrap/>
              <w:bidi w:val="0"/>
              <w:adjustRightInd/>
              <w:snapToGrid/>
              <w:ind w:left="0" w:leftChars="0" w:firstLine="0" w:firstLineChars="0"/>
              <w:rPr>
                <w:color w:val="auto"/>
              </w:rPr>
            </w:pPr>
            <w:r>
              <w:rPr>
                <w:rFonts w:hint="eastAsia"/>
                <w:color w:val="auto"/>
                <w:lang w:val="en-US" w:eastAsia="zh-CN"/>
              </w:rPr>
              <w:t>85</w:t>
            </w:r>
          </w:p>
        </w:tc>
        <w:tc>
          <w:tcPr>
            <w:tcW w:w="263" w:type="pct"/>
            <w:vMerge w:val="continue"/>
            <w:tcBorders>
              <w:tl2br w:val="nil"/>
              <w:tr2bl w:val="nil"/>
            </w:tcBorders>
            <w:vAlign w:val="center"/>
          </w:tcPr>
          <w:p w14:paraId="7B7A650A">
            <w:pPr>
              <w:pStyle w:val="12"/>
              <w:pageBreakBefore w:val="0"/>
              <w:wordWrap/>
              <w:bidi w:val="0"/>
              <w:adjustRightInd/>
              <w:snapToGrid/>
              <w:rPr>
                <w:color w:val="auto"/>
              </w:rPr>
            </w:pPr>
          </w:p>
        </w:tc>
        <w:tc>
          <w:tcPr>
            <w:tcW w:w="464" w:type="pct"/>
            <w:tcBorders>
              <w:tl2br w:val="nil"/>
              <w:tr2bl w:val="nil"/>
            </w:tcBorders>
            <w:vAlign w:val="center"/>
          </w:tcPr>
          <w:p w14:paraId="5CE334D9">
            <w:pPr>
              <w:pStyle w:val="12"/>
              <w:bidi w:val="0"/>
              <w:rPr>
                <w:color w:val="auto"/>
              </w:rPr>
            </w:pPr>
            <w:r>
              <w:rPr>
                <w:rFonts w:hint="eastAsia"/>
                <w:color w:val="auto"/>
                <w:lang w:val="en-US" w:eastAsia="zh-CN"/>
              </w:rPr>
              <w:t>44.8</w:t>
            </w:r>
          </w:p>
        </w:tc>
        <w:tc>
          <w:tcPr>
            <w:tcW w:w="283" w:type="pct"/>
            <w:tcBorders>
              <w:tl2br w:val="nil"/>
              <w:tr2bl w:val="nil"/>
            </w:tcBorders>
            <w:vAlign w:val="center"/>
          </w:tcPr>
          <w:p w14:paraId="4C9D3F59">
            <w:pPr>
              <w:pStyle w:val="12"/>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A0D8F2A">
            <w:pPr>
              <w:pStyle w:val="12"/>
              <w:pageBreakBefore w:val="0"/>
              <w:wordWrap/>
              <w:bidi w:val="0"/>
              <w:adjustRightInd/>
              <w:snapToGrid/>
              <w:rPr>
                <w:color w:val="auto"/>
              </w:rPr>
            </w:pPr>
            <w:r>
              <w:rPr>
                <w:color w:val="auto"/>
              </w:rPr>
              <w:t>1</w:t>
            </w:r>
          </w:p>
        </w:tc>
        <w:tc>
          <w:tcPr>
            <w:tcW w:w="281" w:type="pct"/>
            <w:vMerge w:val="continue"/>
            <w:tcBorders>
              <w:tl2br w:val="nil"/>
              <w:tr2bl w:val="nil"/>
            </w:tcBorders>
            <w:vAlign w:val="center"/>
          </w:tcPr>
          <w:p w14:paraId="3365D8FE">
            <w:pPr>
              <w:pStyle w:val="12"/>
              <w:pageBreakBefore w:val="0"/>
              <w:wordWrap/>
              <w:bidi w:val="0"/>
              <w:adjustRightInd/>
              <w:snapToGrid/>
              <w:rPr>
                <w:color w:val="auto"/>
              </w:rPr>
            </w:pPr>
          </w:p>
        </w:tc>
      </w:tr>
    </w:tbl>
    <w:p w14:paraId="3317C8B1">
      <w:pPr>
        <w:pStyle w:val="13"/>
        <w:keepNext w:val="0"/>
        <w:keepLines w:val="0"/>
        <w:pageBreakBefore w:val="0"/>
        <w:widowControl w:val="0"/>
        <w:kinsoku/>
        <w:wordWrap/>
        <w:overflowPunct/>
        <w:topLinePunct w:val="0"/>
        <w:autoSpaceDE/>
        <w:autoSpaceDN/>
        <w:bidi w:val="0"/>
        <w:adjustRightInd/>
        <w:snapToGrid/>
        <w:spacing w:before="144" w:beforeLines="50"/>
        <w:jc w:val="left"/>
        <w:textAlignment w:val="auto"/>
        <w:rPr>
          <w:rFonts w:hint="default" w:eastAsia="宋体"/>
          <w:color w:val="auto"/>
          <w:lang w:val="en-US" w:eastAsia="zh-CN"/>
        </w:rPr>
      </w:pPr>
      <w:r>
        <w:rPr>
          <w:rFonts w:hint="eastAsia"/>
          <w:color w:val="auto"/>
          <w:lang w:val="en-US" w:eastAsia="zh-CN"/>
        </w:rPr>
        <w:t>注：本项目以西南侧边界角作为坐标原点，Z值负数代表设备位于地面以下。</w:t>
      </w:r>
    </w:p>
    <w:p w14:paraId="5D0E39FA">
      <w:pPr>
        <w:pStyle w:val="13"/>
        <w:pageBreakBefore w:val="0"/>
        <w:wordWrap/>
        <w:bidi w:val="0"/>
        <w:adjustRightInd/>
        <w:snapToGrid/>
        <w:rPr>
          <w:color w:val="auto"/>
        </w:rPr>
      </w:pPr>
    </w:p>
    <w:p w14:paraId="4F1A7DD9">
      <w:pPr>
        <w:pStyle w:val="13"/>
        <w:pageBreakBefore w:val="0"/>
        <w:wordWrap/>
        <w:bidi w:val="0"/>
        <w:adjustRightInd/>
        <w:snapToGrid/>
        <w:rPr>
          <w:color w:val="auto"/>
        </w:rPr>
      </w:pPr>
    </w:p>
    <w:p w14:paraId="2D793EF3">
      <w:pPr>
        <w:pStyle w:val="13"/>
        <w:pageBreakBefore w:val="0"/>
        <w:wordWrap/>
        <w:bidi w:val="0"/>
        <w:adjustRightInd/>
        <w:snapToGrid/>
        <w:rPr>
          <w:color w:val="auto"/>
        </w:rPr>
      </w:pPr>
    </w:p>
    <w:p w14:paraId="64D741D6">
      <w:pPr>
        <w:pageBreakBefore w:val="0"/>
        <w:wordWrap/>
        <w:bidi w:val="0"/>
        <w:adjustRightInd/>
        <w:snapToGrid/>
        <w:spacing w:line="20" w:lineRule="exact"/>
        <w:ind w:firstLine="40"/>
        <w:jc w:val="left"/>
        <w:rPr>
          <w:color w:val="auto"/>
          <w:kern w:val="0"/>
          <w:sz w:val="2"/>
          <w:szCs w:val="2"/>
        </w:rPr>
      </w:pPr>
    </w:p>
    <w:p w14:paraId="25FD073E">
      <w:pPr>
        <w:pStyle w:val="5"/>
        <w:pageBreakBefore w:val="0"/>
        <w:numPr>
          <w:ilvl w:val="2"/>
          <w:numId w:val="0"/>
        </w:numPr>
        <w:wordWrap/>
        <w:bidi w:val="0"/>
        <w:adjustRightInd/>
        <w:snapToGrid/>
        <w:spacing w:before="48" w:after="48"/>
        <w:rPr>
          <w:rFonts w:eastAsia="宋体"/>
          <w:color w:val="auto"/>
        </w:rPr>
        <w:sectPr>
          <w:headerReference r:id="rId19" w:type="default"/>
          <w:footerReference r:id="rId20" w:type="default"/>
          <w:pgSz w:w="16838" w:h="11906" w:orient="landscape"/>
          <w:pgMar w:top="1588" w:right="1440" w:bottom="1588" w:left="1440" w:header="720" w:footer="720" w:gutter="0"/>
          <w:pgBorders>
            <w:top w:val="none" w:sz="0" w:space="0"/>
            <w:left w:val="none" w:sz="0" w:space="0"/>
            <w:bottom w:val="none" w:sz="0" w:space="0"/>
            <w:right w:val="none" w:sz="0" w:space="0"/>
          </w:pgBorders>
          <w:pgNumType w:fmt="decimal"/>
          <w:cols w:space="720" w:num="1"/>
          <w:docGrid w:linePitch="286" w:charSpace="0"/>
        </w:sectPr>
      </w:pPr>
    </w:p>
    <w:p w14:paraId="694F63F4">
      <w:pPr>
        <w:pageBreakBefore w:val="0"/>
        <w:wordWrap/>
        <w:bidi w:val="0"/>
        <w:adjustRightInd/>
        <w:snapToGrid/>
        <w:rPr>
          <w:color w:val="auto"/>
        </w:rPr>
      </w:pPr>
      <w:r>
        <w:rPr>
          <w:color w:val="auto"/>
        </w:rPr>
        <w:t>项目拟采取的具体噪声控制措施如下：</w:t>
      </w:r>
    </w:p>
    <w:p w14:paraId="086FE856">
      <w:pPr>
        <w:pageBreakBefore w:val="0"/>
        <w:wordWrap/>
        <w:bidi w:val="0"/>
        <w:adjustRightInd/>
        <w:snapToGrid/>
        <w:rPr>
          <w:color w:val="auto"/>
        </w:rPr>
      </w:pPr>
      <w:r>
        <w:rPr>
          <w:color w:val="auto"/>
        </w:rPr>
        <w:t>（1）合理布局：将高噪声设备布置于专门的设备房内，如鼓风机，隔声量大于15dB（A）；同时，本环评要求在布设噪声设备时，注意尽量将设备集中布置，并尽可能靠近厂区中部位置进行布设，以有效利用噪声距离衰减作用；</w:t>
      </w:r>
    </w:p>
    <w:p w14:paraId="1D445F37">
      <w:pPr>
        <w:pageBreakBefore w:val="0"/>
        <w:wordWrap/>
        <w:bidi w:val="0"/>
        <w:adjustRightInd/>
        <w:snapToGrid/>
        <w:rPr>
          <w:color w:val="auto"/>
        </w:rPr>
      </w:pPr>
      <w:r>
        <w:rPr>
          <w:color w:val="auto"/>
        </w:rPr>
        <w:t>（2）选用低噪声设备：项目设备选型时应优先选用先进的低噪设备，并通过提高生产设备的安装质量和精度，从源头减轻设备的噪声量；</w:t>
      </w:r>
    </w:p>
    <w:p w14:paraId="5DBA2956">
      <w:pPr>
        <w:pageBreakBefore w:val="0"/>
        <w:wordWrap/>
        <w:bidi w:val="0"/>
        <w:adjustRightInd/>
        <w:snapToGrid/>
        <w:rPr>
          <w:color w:val="auto"/>
        </w:rPr>
      </w:pPr>
      <w:r>
        <w:rPr>
          <w:color w:val="auto"/>
        </w:rPr>
        <w:t>（3）采取相应的降噪措施，设备安装基础</w:t>
      </w:r>
      <w:r>
        <w:rPr>
          <w:rFonts w:hint="eastAsia"/>
          <w:color w:val="auto"/>
          <w:lang w:eastAsia="zh-CN"/>
        </w:rPr>
        <w:t>减振</w:t>
      </w:r>
      <w:r>
        <w:rPr>
          <w:color w:val="auto"/>
        </w:rPr>
        <w:t>，风机设备安装消声器。</w:t>
      </w:r>
    </w:p>
    <w:p w14:paraId="243145E4">
      <w:pPr>
        <w:pageBreakBefore w:val="0"/>
        <w:wordWrap/>
        <w:bidi w:val="0"/>
        <w:adjustRightInd/>
        <w:snapToGrid/>
        <w:rPr>
          <w:color w:val="auto"/>
        </w:rPr>
      </w:pPr>
      <w:r>
        <w:rPr>
          <w:color w:val="auto"/>
        </w:rPr>
        <w:t>（4）企业应注意维护各种机械设备的正常运转，加强对主要产噪设备的维护保养，确保各生产设备均处于良好的运转状态，杜绝因设备不正常运转时产生的高噪声现象；</w:t>
      </w:r>
    </w:p>
    <w:p w14:paraId="685CA8D6">
      <w:pPr>
        <w:pageBreakBefore w:val="0"/>
        <w:wordWrap/>
        <w:bidi w:val="0"/>
        <w:adjustRightInd/>
        <w:snapToGrid/>
        <w:rPr>
          <w:color w:val="auto"/>
        </w:rPr>
      </w:pPr>
      <w:r>
        <w:rPr>
          <w:color w:val="auto"/>
        </w:rPr>
        <w:t>（5）项目厂界围墙采用实体墙体，同时在厂区内种植</w:t>
      </w:r>
      <w:r>
        <w:rPr>
          <w:rFonts w:hint="eastAsia"/>
          <w:color w:val="auto"/>
          <w:lang w:eastAsia="zh-CN"/>
        </w:rPr>
        <w:t>常</w:t>
      </w:r>
      <w:r>
        <w:rPr>
          <w:color w:val="auto"/>
        </w:rPr>
        <w:t>绿乔木构成隔声绿化带，以减轻设备运行噪声对外环境的影响。</w:t>
      </w:r>
    </w:p>
    <w:p w14:paraId="5166DDBA">
      <w:pPr>
        <w:pageBreakBefore w:val="0"/>
        <w:wordWrap/>
        <w:bidi w:val="0"/>
        <w:adjustRightInd/>
        <w:snapToGrid/>
        <w:rPr>
          <w:color w:val="auto"/>
        </w:rPr>
      </w:pPr>
      <w:r>
        <w:rPr>
          <w:color w:val="auto"/>
        </w:rPr>
        <w:t>根据本次评价</w:t>
      </w:r>
      <w:r>
        <w:rPr>
          <w:rFonts w:hint="eastAsia"/>
          <w:color w:val="auto"/>
          <w:lang w:val="en-US" w:eastAsia="zh-CN"/>
        </w:rPr>
        <w:t>4.2.3</w:t>
      </w:r>
      <w:r>
        <w:rPr>
          <w:color w:val="auto"/>
        </w:rPr>
        <w:t>营运期声环境影响分析结果，本项目建成后厂界噪声达标，敏感点噪声达标。因此建设单位只要严格采取降噪、隔声等措施，设备噪声可实现达标排放，不会改变评价区域声环境质量功能，可做到噪声不扰民，不存在需要补充完善的措施。</w:t>
      </w:r>
    </w:p>
    <w:p w14:paraId="218A5BF1">
      <w:pPr>
        <w:pStyle w:val="5"/>
        <w:pageBreakBefore w:val="0"/>
        <w:wordWrap/>
        <w:bidi w:val="0"/>
        <w:adjustRightInd/>
        <w:snapToGrid/>
        <w:spacing w:before="48" w:after="48"/>
        <w:ind w:left="0"/>
        <w:rPr>
          <w:rFonts w:eastAsia="宋体"/>
          <w:color w:val="auto"/>
        </w:rPr>
      </w:pPr>
      <w:r>
        <w:rPr>
          <w:rFonts w:hint="eastAsia"/>
          <w:color w:val="auto"/>
          <w:lang w:val="en-US" w:eastAsia="zh-CN"/>
        </w:rPr>
        <w:t xml:space="preserve"> </w:t>
      </w:r>
      <w:r>
        <w:rPr>
          <w:rFonts w:eastAsia="宋体"/>
          <w:color w:val="auto"/>
        </w:rPr>
        <w:t>营运期固体废弃物产生及治理措施</w:t>
      </w:r>
    </w:p>
    <w:p w14:paraId="2E393B63">
      <w:pPr>
        <w:pageBreakBefore w:val="0"/>
        <w:wordWrap/>
        <w:bidi w:val="0"/>
        <w:adjustRightInd/>
        <w:snapToGrid/>
        <w:rPr>
          <w:color w:val="auto"/>
        </w:rPr>
      </w:pPr>
      <w:r>
        <w:rPr>
          <w:color w:val="auto"/>
        </w:rPr>
        <w:t>本项目营运期间固体废物主要是格栅产生的栅渣，水解酸化池、</w:t>
      </w:r>
      <w:r>
        <w:rPr>
          <w:rFonts w:hint="eastAsia"/>
          <w:color w:val="auto"/>
          <w:lang w:val="en-US" w:eastAsia="zh-CN"/>
        </w:rPr>
        <w:t>磁混凝沉淀池</w:t>
      </w:r>
      <w:r>
        <w:rPr>
          <w:color w:val="auto"/>
        </w:rPr>
        <w:t>、</w:t>
      </w:r>
      <w:r>
        <w:rPr>
          <w:rFonts w:hint="eastAsia"/>
          <w:color w:val="auto"/>
          <w:lang w:val="en-US" w:eastAsia="zh-CN"/>
        </w:rPr>
        <w:t>生化池等产生</w:t>
      </w:r>
      <w:r>
        <w:rPr>
          <w:color w:val="auto"/>
        </w:rPr>
        <w:t>的污泥，生物除臭系统废弃填料，维修产生的废矿物油，化验室废液，废包装材料和员工生活垃圾。</w:t>
      </w:r>
    </w:p>
    <w:p w14:paraId="5ACF3160">
      <w:pPr>
        <w:pageBreakBefore w:val="0"/>
        <w:wordWrap/>
        <w:bidi w:val="0"/>
        <w:adjustRightInd/>
        <w:snapToGrid/>
        <w:ind w:firstLine="480"/>
        <w:rPr>
          <w:rFonts w:hint="default" w:eastAsia="宋体"/>
          <w:b/>
          <w:bCs/>
          <w:color w:val="auto"/>
          <w:lang w:val="en-US" w:eastAsia="zh-CN"/>
        </w:rPr>
      </w:pPr>
      <w:r>
        <w:rPr>
          <w:rFonts w:hint="eastAsia"/>
          <w:b/>
          <w:bCs/>
          <w:color w:val="auto"/>
          <w:lang w:val="en-US" w:eastAsia="zh-CN"/>
        </w:rPr>
        <w:t>（一）一般固废</w:t>
      </w:r>
    </w:p>
    <w:p w14:paraId="154300C4">
      <w:pPr>
        <w:pageBreakBefore w:val="0"/>
        <w:wordWrap/>
        <w:bidi w:val="0"/>
        <w:adjustRightInd/>
        <w:snapToGrid/>
        <w:ind w:firstLine="480"/>
        <w:rPr>
          <w:b/>
          <w:bCs/>
          <w:color w:val="auto"/>
        </w:rPr>
      </w:pPr>
      <w:r>
        <w:rPr>
          <w:b/>
          <w:bCs/>
          <w:color w:val="auto"/>
        </w:rPr>
        <w:t>（</w:t>
      </w:r>
      <w:r>
        <w:rPr>
          <w:rFonts w:hint="eastAsia"/>
          <w:b/>
          <w:bCs/>
          <w:color w:val="auto"/>
          <w:lang w:val="en-US" w:eastAsia="zh-CN"/>
        </w:rPr>
        <w:t>1</w:t>
      </w:r>
      <w:r>
        <w:rPr>
          <w:b/>
          <w:bCs/>
          <w:color w:val="auto"/>
        </w:rPr>
        <w:t>）生活垃圾</w:t>
      </w:r>
    </w:p>
    <w:p w14:paraId="68F1EF86">
      <w:pPr>
        <w:pageBreakBefore w:val="0"/>
        <w:wordWrap/>
        <w:bidi w:val="0"/>
        <w:adjustRightInd/>
        <w:snapToGrid/>
        <w:ind w:firstLine="480"/>
        <w:rPr>
          <w:color w:val="auto"/>
        </w:rPr>
      </w:pPr>
      <w:r>
        <w:rPr>
          <w:color w:val="auto"/>
        </w:rPr>
        <w:t>项目污水处理厂劳动定员</w:t>
      </w:r>
      <w:r>
        <w:rPr>
          <w:rFonts w:hint="eastAsia"/>
          <w:color w:val="auto"/>
          <w:lang w:val="en-US" w:eastAsia="zh-CN"/>
        </w:rPr>
        <w:t>18</w:t>
      </w:r>
      <w:r>
        <w:rPr>
          <w:color w:val="auto"/>
        </w:rPr>
        <w:t>人，生活垃圾产生量按0.5kg/人·d计，为</w:t>
      </w:r>
      <w:r>
        <w:rPr>
          <w:rFonts w:hint="eastAsia"/>
          <w:color w:val="auto"/>
          <w:lang w:val="en-US" w:eastAsia="zh-CN"/>
        </w:rPr>
        <w:t>9</w:t>
      </w:r>
      <w:r>
        <w:rPr>
          <w:color w:val="auto"/>
        </w:rPr>
        <w:t>kg/d，年工作时间约365d，故生活垃圾产生量约为</w:t>
      </w:r>
      <w:r>
        <w:rPr>
          <w:rFonts w:hint="eastAsia"/>
          <w:color w:val="auto"/>
          <w:lang w:val="en-US" w:eastAsia="zh-CN"/>
        </w:rPr>
        <w:t>3.285</w:t>
      </w:r>
      <w:r>
        <w:rPr>
          <w:color w:val="auto"/>
        </w:rPr>
        <w:t>t/a。生活垃圾经分类收集后，由当地环卫部门统一收集后处置。</w:t>
      </w:r>
    </w:p>
    <w:p w14:paraId="04961636">
      <w:pPr>
        <w:pageBreakBefore w:val="0"/>
        <w:kinsoku/>
        <w:wordWrap/>
        <w:overflowPunct/>
        <w:bidi w:val="0"/>
        <w:adjustRightInd/>
        <w:snapToGrid/>
        <w:ind w:firstLine="482"/>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食堂餐厨垃圾</w:t>
      </w:r>
    </w:p>
    <w:p w14:paraId="011C75B8">
      <w:pPr>
        <w:pStyle w:val="705"/>
        <w:pageBreakBefore w:val="0"/>
        <w:kinsoku/>
        <w:wordWrap/>
        <w:overflowPunct/>
        <w:bidi w:val="0"/>
        <w:adjustRightInd/>
        <w:snapToGrid/>
        <w:ind w:firstLine="480"/>
        <w:rPr>
          <w:color w:val="auto"/>
        </w:rPr>
      </w:pPr>
      <w:r>
        <w:rPr>
          <w:color w:val="auto"/>
        </w:rPr>
        <w:t>项目食堂营运过程中会产生一定量的餐厨垃圾及隔油池浮油，本项目每天食堂就餐人数为</w:t>
      </w:r>
      <w:r>
        <w:rPr>
          <w:rFonts w:hint="eastAsia"/>
          <w:color w:val="auto"/>
          <w:lang w:val="en-US" w:eastAsia="zh-CN"/>
        </w:rPr>
        <w:t>18</w:t>
      </w:r>
      <w:r>
        <w:rPr>
          <w:color w:val="auto"/>
        </w:rPr>
        <w:t>人，餐厨垃圾及隔油池浮油按照每天0.2kg/人计，则项目产生的餐厨垃圾及隔油池浮油量为</w:t>
      </w:r>
      <w:r>
        <w:rPr>
          <w:rFonts w:hint="eastAsia"/>
          <w:color w:val="auto"/>
          <w:lang w:val="en-US" w:eastAsia="zh-CN"/>
        </w:rPr>
        <w:t>1.314</w:t>
      </w:r>
      <w:r>
        <w:rPr>
          <w:color w:val="auto"/>
        </w:rPr>
        <w:t>t/a。</w:t>
      </w:r>
      <w:r>
        <w:rPr>
          <w:color w:val="auto"/>
          <w:kern w:val="0"/>
        </w:rPr>
        <w:t>采用塑料桶收集后</w:t>
      </w:r>
      <w:r>
        <w:rPr>
          <w:color w:val="auto"/>
        </w:rPr>
        <w:t>定期交由有相应处理能力的单位清运处置。</w:t>
      </w:r>
    </w:p>
    <w:p w14:paraId="30F7346F">
      <w:pPr>
        <w:pageBreakBefore w:val="0"/>
        <w:wordWrap/>
        <w:bidi w:val="0"/>
        <w:adjustRightInd/>
        <w:snapToGrid/>
        <w:rPr>
          <w:rFonts w:hint="default"/>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废包装材料</w:t>
      </w:r>
    </w:p>
    <w:p w14:paraId="32214B60">
      <w:pPr>
        <w:pageBreakBefore w:val="0"/>
        <w:wordWrap/>
        <w:bidi w:val="0"/>
        <w:adjustRightInd/>
        <w:snapToGrid/>
        <w:rPr>
          <w:rFonts w:hint="default" w:eastAsia="宋体"/>
          <w:color w:val="auto"/>
          <w:lang w:val="en-US" w:eastAsia="zh-CN"/>
        </w:rPr>
      </w:pPr>
      <w:r>
        <w:rPr>
          <w:rFonts w:hint="eastAsia"/>
          <w:color w:val="auto"/>
          <w:lang w:val="en-US" w:eastAsia="zh-CN"/>
        </w:rPr>
        <w:t>本项目PAC、PAM等原辅料药剂会产生废包装材料，产生量约0.5t/a。集中收集后暂存于一般固废暂存间，定期外售废品回收站。</w:t>
      </w:r>
    </w:p>
    <w:p w14:paraId="161FDB76">
      <w:pPr>
        <w:pageBreakBefore w:val="0"/>
        <w:wordWrap/>
        <w:bidi w:val="0"/>
        <w:adjustRightInd/>
        <w:snapToGrid/>
        <w:rPr>
          <w:b/>
          <w:bCs/>
          <w:color w:val="auto"/>
        </w:rPr>
      </w:pPr>
      <w:r>
        <w:rPr>
          <w:b/>
          <w:bCs/>
          <w:color w:val="auto"/>
        </w:rPr>
        <w:t>（</w:t>
      </w:r>
      <w:r>
        <w:rPr>
          <w:rFonts w:hint="eastAsia"/>
          <w:b/>
          <w:bCs/>
          <w:color w:val="auto"/>
          <w:lang w:val="en-US" w:eastAsia="zh-CN"/>
        </w:rPr>
        <w:t>4</w:t>
      </w:r>
      <w:r>
        <w:rPr>
          <w:b/>
          <w:bCs/>
          <w:color w:val="auto"/>
        </w:rPr>
        <w:t>）栅渣</w:t>
      </w:r>
    </w:p>
    <w:p w14:paraId="7DA84249">
      <w:pPr>
        <w:pageBreakBefore w:val="0"/>
        <w:wordWrap/>
        <w:bidi w:val="0"/>
        <w:adjustRightInd/>
        <w:snapToGrid/>
        <w:rPr>
          <w:color w:val="auto"/>
        </w:rPr>
      </w:pPr>
      <w:r>
        <w:rPr>
          <w:color w:val="auto"/>
        </w:rPr>
        <w:t>污水预处理阶段，由格栅井分离出一定量的栅渣，主要是较大块状物、枝状物、软性物质和软塑料等粗、细垃圾和悬浮或</w:t>
      </w:r>
      <w:r>
        <w:rPr>
          <w:rFonts w:hint="eastAsia"/>
          <w:color w:val="auto"/>
          <w:lang w:eastAsia="zh-CN"/>
        </w:rPr>
        <w:t>漂浮</w:t>
      </w:r>
      <w:r>
        <w:rPr>
          <w:color w:val="auto"/>
        </w:rPr>
        <w:t>状态的杂物，性状类似生活垃圾。</w:t>
      </w:r>
    </w:p>
    <w:p w14:paraId="2598955D">
      <w:pPr>
        <w:pageBreakBefore w:val="0"/>
        <w:wordWrap/>
        <w:bidi w:val="0"/>
        <w:adjustRightInd/>
        <w:snapToGrid/>
        <w:rPr>
          <w:color w:val="auto"/>
        </w:rPr>
      </w:pPr>
      <w:r>
        <w:rPr>
          <w:color w:val="auto"/>
        </w:rPr>
        <w:t>本项目需经格栅处理的为经预处理后的一般工业废水和</w:t>
      </w:r>
      <w:r>
        <w:rPr>
          <w:rFonts w:hint="eastAsia"/>
          <w:color w:val="auto"/>
          <w:lang w:eastAsia="zh-CN"/>
        </w:rPr>
        <w:t>生活污水</w:t>
      </w:r>
      <w:r>
        <w:rPr>
          <w:color w:val="auto"/>
        </w:rPr>
        <w:t>，废水量为</w:t>
      </w:r>
      <w:r>
        <w:rPr>
          <w:rFonts w:hint="eastAsia"/>
          <w:color w:val="auto"/>
          <w:lang w:val="en-US" w:eastAsia="zh-CN"/>
        </w:rPr>
        <w:t>3</w:t>
      </w:r>
      <w:r>
        <w:rPr>
          <w:color w:val="auto"/>
        </w:rPr>
        <w:t>000</w:t>
      </w:r>
      <w:r>
        <w:rPr>
          <w:rFonts w:hint="eastAsia"/>
          <w:color w:val="auto"/>
          <w:lang w:val="en-US" w:eastAsia="zh-CN"/>
        </w:rPr>
        <w:t>m³</w:t>
      </w:r>
      <w:r>
        <w:rPr>
          <w:color w:val="auto"/>
        </w:rPr>
        <w:t>/d，通过类比同类污水厂，经格栅间隔分离出来的滤渣量，栅渣产生量约 0.03</w:t>
      </w:r>
      <w:r>
        <w:rPr>
          <w:rFonts w:hint="eastAsia"/>
          <w:color w:val="auto"/>
          <w:lang w:eastAsia="zh-CN"/>
        </w:rPr>
        <w:t>m³</w:t>
      </w:r>
      <w:r>
        <w:rPr>
          <w:color w:val="auto"/>
        </w:rPr>
        <w:t>/1000</w:t>
      </w:r>
      <w:r>
        <w:rPr>
          <w:rFonts w:hint="eastAsia"/>
          <w:color w:val="auto"/>
          <w:lang w:eastAsia="zh-CN"/>
        </w:rPr>
        <w:t>m³</w:t>
      </w:r>
      <w:r>
        <w:rPr>
          <w:color w:val="auto"/>
        </w:rPr>
        <w:t>，含水率80%，容重960kg/</w:t>
      </w:r>
      <w:r>
        <w:rPr>
          <w:rFonts w:hint="eastAsia"/>
          <w:color w:val="auto"/>
          <w:lang w:eastAsia="zh-CN"/>
        </w:rPr>
        <w:t>m³</w:t>
      </w:r>
      <w:r>
        <w:rPr>
          <w:color w:val="auto"/>
        </w:rPr>
        <w:t>。按此估算，则本项目近期预计产生栅渣0.</w:t>
      </w:r>
      <w:r>
        <w:rPr>
          <w:rFonts w:hint="eastAsia"/>
          <w:color w:val="auto"/>
          <w:lang w:val="en-US" w:eastAsia="zh-CN"/>
        </w:rPr>
        <w:t>0864</w:t>
      </w:r>
      <w:r>
        <w:rPr>
          <w:color w:val="auto"/>
        </w:rPr>
        <w:t>t/d（</w:t>
      </w:r>
      <w:r>
        <w:rPr>
          <w:rFonts w:hint="eastAsia"/>
          <w:color w:val="auto"/>
          <w:lang w:val="en-US" w:eastAsia="zh-CN"/>
        </w:rPr>
        <w:t>31.536</w:t>
      </w:r>
      <w:r>
        <w:rPr>
          <w:color w:val="auto"/>
        </w:rPr>
        <w:t>t/a）。</w:t>
      </w:r>
    </w:p>
    <w:p w14:paraId="774087A0">
      <w:pPr>
        <w:pageBreakBefore w:val="0"/>
        <w:wordWrap/>
        <w:bidi w:val="0"/>
        <w:adjustRightInd/>
        <w:snapToGrid/>
        <w:rPr>
          <w:rFonts w:hint="eastAsia" w:eastAsia="宋体"/>
          <w:color w:val="auto"/>
          <w:lang w:eastAsia="zh-CN"/>
        </w:rPr>
      </w:pPr>
      <w:r>
        <w:rPr>
          <w:rFonts w:hint="eastAsia"/>
          <w:color w:val="auto"/>
          <w:lang w:val="en-US" w:eastAsia="zh-CN"/>
        </w:rPr>
        <w:t>栅渣</w:t>
      </w:r>
      <w:r>
        <w:rPr>
          <w:color w:val="auto"/>
        </w:rPr>
        <w:t>属一般固体废物，经收集、简单脱水处理后，暂存于厂内的固废暂存区，</w:t>
      </w:r>
      <w:r>
        <w:rPr>
          <w:rFonts w:hint="eastAsia"/>
          <w:color w:val="auto"/>
          <w:lang w:val="en-US" w:eastAsia="zh-CN"/>
        </w:rPr>
        <w:t>由市政环卫部门</w:t>
      </w:r>
      <w:r>
        <w:rPr>
          <w:color w:val="auto"/>
        </w:rPr>
        <w:t>定期</w:t>
      </w:r>
      <w:r>
        <w:rPr>
          <w:rFonts w:hint="eastAsia"/>
          <w:color w:val="auto"/>
        </w:rPr>
        <w:t>送至</w:t>
      </w:r>
      <w:r>
        <w:rPr>
          <w:rFonts w:ascii="宋体" w:hAnsi="宋体" w:eastAsia="宋体" w:cs="宋体"/>
          <w:color w:val="auto"/>
          <w:spacing w:val="-3"/>
          <w:sz w:val="24"/>
          <w:szCs w:val="24"/>
        </w:rPr>
        <w:t>当地政府</w:t>
      </w:r>
      <w:r>
        <w:rPr>
          <w:rFonts w:ascii="宋体" w:hAnsi="宋体" w:eastAsia="宋体" w:cs="宋体"/>
          <w:color w:val="auto"/>
          <w:spacing w:val="-2"/>
          <w:sz w:val="24"/>
          <w:szCs w:val="24"/>
        </w:rPr>
        <w:t>指定处理场所进行妥善处理，例如垃圾填埋场</w:t>
      </w:r>
      <w:r>
        <w:rPr>
          <w:rFonts w:ascii="宋体" w:hAnsi="宋体" w:eastAsia="宋体" w:cs="宋体"/>
          <w:color w:val="auto"/>
          <w:spacing w:val="-3"/>
          <w:sz w:val="24"/>
          <w:szCs w:val="24"/>
        </w:rPr>
        <w:t>等</w:t>
      </w:r>
      <w:r>
        <w:rPr>
          <w:rFonts w:hint="eastAsia" w:ascii="宋体" w:hAnsi="宋体" w:eastAsia="宋体" w:cs="宋体"/>
          <w:color w:val="auto"/>
          <w:spacing w:val="-3"/>
          <w:sz w:val="24"/>
          <w:szCs w:val="24"/>
          <w:lang w:eastAsia="zh-CN"/>
        </w:rPr>
        <w:t>。</w:t>
      </w:r>
    </w:p>
    <w:p w14:paraId="4FB0153E">
      <w:pPr>
        <w:pageBreakBefore w:val="0"/>
        <w:wordWrap/>
        <w:bidi w:val="0"/>
        <w:adjustRightInd/>
        <w:snapToGrid/>
        <w:ind w:firstLine="480"/>
        <w:rPr>
          <w:b/>
          <w:bCs/>
          <w:color w:val="auto"/>
        </w:rPr>
      </w:pPr>
      <w:r>
        <w:rPr>
          <w:b/>
          <w:bCs/>
          <w:color w:val="auto"/>
        </w:rPr>
        <w:t>（</w:t>
      </w:r>
      <w:r>
        <w:rPr>
          <w:rFonts w:hint="eastAsia"/>
          <w:b/>
          <w:bCs/>
          <w:color w:val="auto"/>
          <w:lang w:val="en-US" w:eastAsia="zh-CN"/>
        </w:rPr>
        <w:t>5</w:t>
      </w:r>
      <w:r>
        <w:rPr>
          <w:b/>
          <w:bCs/>
          <w:color w:val="auto"/>
        </w:rPr>
        <w:t>）污泥</w:t>
      </w:r>
    </w:p>
    <w:p w14:paraId="43FAB3AA">
      <w:pPr>
        <w:pageBreakBefore w:val="0"/>
        <w:wordWrap/>
        <w:bidi w:val="0"/>
        <w:adjustRightInd/>
        <w:snapToGrid/>
        <w:ind w:firstLine="480"/>
        <w:rPr>
          <w:color w:val="auto"/>
        </w:rPr>
      </w:pPr>
      <w:r>
        <w:rPr>
          <w:rFonts w:hint="eastAsia"/>
          <w:color w:val="auto"/>
          <w:lang w:val="en-US" w:eastAsia="zh-CN"/>
        </w:rPr>
        <w:t>本项目污泥主要来源于水解酸化池、生化池和沉淀池，</w:t>
      </w:r>
      <w:r>
        <w:rPr>
          <w:color w:val="auto"/>
        </w:rPr>
        <w:t>经收集、脱水处理后，暂存于厂区污泥料仓，按照工业污水处理厂污泥管理办法进行分批抽样检测，根据鉴别结果确定去向，妥善处置。</w:t>
      </w:r>
    </w:p>
    <w:p w14:paraId="0E46F036">
      <w:pPr>
        <w:pageBreakBefore w:val="0"/>
        <w:wordWrap/>
        <w:bidi w:val="0"/>
        <w:adjustRightInd/>
        <w:snapToGrid/>
        <w:ind w:firstLine="480"/>
        <w:rPr>
          <w:color w:val="auto"/>
        </w:rPr>
      </w:pPr>
      <w:r>
        <w:rPr>
          <w:color w:val="auto"/>
        </w:rPr>
        <w:t>根据《室外给水设计规范（GB50013-2016）》，干污泥量估算采用如下公式：</w:t>
      </w:r>
    </w:p>
    <w:p w14:paraId="099C4458">
      <w:pPr>
        <w:pStyle w:val="705"/>
        <w:pageBreakBefore w:val="0"/>
        <w:kinsoku/>
        <w:wordWrap/>
        <w:overflowPunct/>
        <w:bidi w:val="0"/>
        <w:adjustRightInd/>
        <w:snapToGrid/>
        <w:ind w:firstLine="480"/>
        <w:jc w:val="center"/>
        <w:rPr>
          <w:color w:val="auto"/>
        </w:rPr>
      </w:pPr>
      <w:r>
        <w:rPr>
          <w:color w:val="auto"/>
        </w:rPr>
        <w:t>S=（K</w:t>
      </w:r>
      <w:r>
        <w:rPr>
          <w:color w:val="auto"/>
          <w:vertAlign w:val="subscript"/>
        </w:rPr>
        <w:t>1</w:t>
      </w:r>
      <w:r>
        <w:rPr>
          <w:color w:val="auto"/>
        </w:rPr>
        <w:t>C</w:t>
      </w:r>
      <w:r>
        <w:rPr>
          <w:color w:val="auto"/>
          <w:vertAlign w:val="subscript"/>
        </w:rPr>
        <w:t>0</w:t>
      </w:r>
      <w:r>
        <w:rPr>
          <w:color w:val="auto"/>
        </w:rPr>
        <w:t>+K</w:t>
      </w:r>
      <w:r>
        <w:rPr>
          <w:color w:val="auto"/>
          <w:vertAlign w:val="subscript"/>
        </w:rPr>
        <w:t>2</w:t>
      </w:r>
      <w:r>
        <w:rPr>
          <w:color w:val="auto"/>
        </w:rPr>
        <w:t>D）×Q×10</w:t>
      </w:r>
      <w:r>
        <w:rPr>
          <w:color w:val="auto"/>
          <w:vertAlign w:val="superscript"/>
        </w:rPr>
        <w:t>-6</w:t>
      </w:r>
    </w:p>
    <w:p w14:paraId="22BF94DF">
      <w:pPr>
        <w:pStyle w:val="705"/>
        <w:pageBreakBefore w:val="0"/>
        <w:kinsoku/>
        <w:wordWrap/>
        <w:overflowPunct/>
        <w:bidi w:val="0"/>
        <w:adjustRightInd/>
        <w:snapToGrid/>
        <w:ind w:firstLine="480"/>
        <w:rPr>
          <w:color w:val="auto"/>
        </w:rPr>
      </w:pPr>
      <w:r>
        <w:rPr>
          <w:color w:val="auto"/>
        </w:rPr>
        <w:t>其中：S</w:t>
      </w:r>
      <w:r>
        <w:rPr>
          <w:color w:val="auto"/>
          <w:vertAlign w:val="subscript"/>
        </w:rPr>
        <w:t>1</w:t>
      </w:r>
      <w:r>
        <w:rPr>
          <w:color w:val="auto"/>
        </w:rPr>
        <w:t>-干污泥量（t/d）</w:t>
      </w:r>
    </w:p>
    <w:p w14:paraId="4BEB503B">
      <w:pPr>
        <w:pStyle w:val="705"/>
        <w:pageBreakBefore w:val="0"/>
        <w:kinsoku/>
        <w:wordWrap/>
        <w:overflowPunct/>
        <w:bidi w:val="0"/>
        <w:adjustRightInd/>
        <w:snapToGrid/>
        <w:ind w:firstLine="1200" w:firstLineChars="500"/>
        <w:rPr>
          <w:color w:val="auto"/>
        </w:rPr>
      </w:pPr>
      <w:r>
        <w:rPr>
          <w:color w:val="auto"/>
        </w:rPr>
        <w:t>K</w:t>
      </w:r>
      <w:r>
        <w:rPr>
          <w:color w:val="auto"/>
          <w:vertAlign w:val="subscript"/>
        </w:rPr>
        <w:t>1</w:t>
      </w:r>
      <w:r>
        <w:rPr>
          <w:color w:val="auto"/>
        </w:rPr>
        <w:t>-原水浊度单位NTU与悬浮物单位mg/L的换算系数（取值1.2）</w:t>
      </w:r>
    </w:p>
    <w:p w14:paraId="27362F75">
      <w:pPr>
        <w:pStyle w:val="705"/>
        <w:pageBreakBefore w:val="0"/>
        <w:kinsoku/>
        <w:wordWrap/>
        <w:overflowPunct/>
        <w:bidi w:val="0"/>
        <w:adjustRightInd/>
        <w:snapToGrid/>
        <w:ind w:firstLine="1200" w:firstLineChars="500"/>
        <w:rPr>
          <w:color w:val="auto"/>
        </w:rPr>
      </w:pPr>
      <w:r>
        <w:rPr>
          <w:color w:val="auto"/>
        </w:rPr>
        <w:t>C</w:t>
      </w:r>
      <w:r>
        <w:rPr>
          <w:color w:val="auto"/>
          <w:vertAlign w:val="subscript"/>
        </w:rPr>
        <w:t>0</w:t>
      </w:r>
      <w:r>
        <w:rPr>
          <w:color w:val="auto"/>
        </w:rPr>
        <w:t>-原水浊度设计取值（取值15NTU）</w:t>
      </w:r>
    </w:p>
    <w:p w14:paraId="051477DE">
      <w:pPr>
        <w:pStyle w:val="705"/>
        <w:pageBreakBefore w:val="0"/>
        <w:kinsoku/>
        <w:wordWrap/>
        <w:overflowPunct/>
        <w:bidi w:val="0"/>
        <w:adjustRightInd/>
        <w:snapToGrid/>
        <w:ind w:firstLine="1200" w:firstLineChars="500"/>
        <w:rPr>
          <w:color w:val="auto"/>
        </w:rPr>
      </w:pPr>
      <w:r>
        <w:rPr>
          <w:color w:val="auto"/>
        </w:rPr>
        <w:t>D-药剂投加量（</w:t>
      </w:r>
      <w:r>
        <w:rPr>
          <w:rFonts w:hint="eastAsia"/>
          <w:color w:val="auto"/>
          <w:lang w:val="en-US" w:eastAsia="zh-CN"/>
        </w:rPr>
        <w:t>40</w:t>
      </w:r>
      <w:r>
        <w:rPr>
          <w:color w:val="auto"/>
        </w:rPr>
        <w:t>mg/L）</w:t>
      </w:r>
    </w:p>
    <w:p w14:paraId="2A30349B">
      <w:pPr>
        <w:pStyle w:val="705"/>
        <w:pageBreakBefore w:val="0"/>
        <w:kinsoku/>
        <w:wordWrap/>
        <w:overflowPunct/>
        <w:bidi w:val="0"/>
        <w:adjustRightInd/>
        <w:snapToGrid/>
        <w:ind w:firstLine="1200" w:firstLineChars="500"/>
        <w:rPr>
          <w:color w:val="auto"/>
        </w:rPr>
      </w:pPr>
      <w:r>
        <w:rPr>
          <w:color w:val="auto"/>
        </w:rPr>
        <w:t>K</w:t>
      </w:r>
      <w:r>
        <w:rPr>
          <w:color w:val="auto"/>
          <w:vertAlign w:val="subscript"/>
        </w:rPr>
        <w:t>2</w:t>
      </w:r>
      <w:r>
        <w:rPr>
          <w:color w:val="auto"/>
        </w:rPr>
        <w:t>-药剂转化成泥量</w:t>
      </w:r>
      <w:r>
        <w:rPr>
          <w:rFonts w:hint="eastAsia"/>
          <w:color w:val="auto"/>
          <w:lang w:eastAsia="zh-CN"/>
        </w:rPr>
        <w:t>的</w:t>
      </w:r>
      <w:r>
        <w:rPr>
          <w:color w:val="auto"/>
        </w:rPr>
        <w:t>系数（取值7.53）</w:t>
      </w:r>
    </w:p>
    <w:p w14:paraId="5AD4CCC3">
      <w:pPr>
        <w:pStyle w:val="705"/>
        <w:pageBreakBefore w:val="0"/>
        <w:kinsoku/>
        <w:wordWrap/>
        <w:overflowPunct/>
        <w:bidi w:val="0"/>
        <w:adjustRightInd/>
        <w:snapToGrid/>
        <w:ind w:firstLine="1200" w:firstLineChars="500"/>
        <w:rPr>
          <w:color w:val="auto"/>
        </w:rPr>
      </w:pPr>
      <w:r>
        <w:rPr>
          <w:color w:val="auto"/>
        </w:rPr>
        <w:t>Q-原水流量（</w:t>
      </w:r>
      <w:r>
        <w:rPr>
          <w:rFonts w:hint="eastAsia"/>
          <w:color w:val="auto"/>
          <w:lang w:val="en-US" w:eastAsia="zh-CN"/>
        </w:rPr>
        <w:t>3000</w:t>
      </w:r>
      <w:r>
        <w:rPr>
          <w:rFonts w:hint="eastAsia"/>
          <w:color w:val="auto"/>
          <w:lang w:eastAsia="zh-CN"/>
        </w:rPr>
        <w:t>m³</w:t>
      </w:r>
      <w:r>
        <w:rPr>
          <w:color w:val="auto"/>
        </w:rPr>
        <w:t>/d）</w:t>
      </w:r>
    </w:p>
    <w:p w14:paraId="7A288A17">
      <w:pPr>
        <w:pageBreakBefore w:val="0"/>
        <w:wordWrap/>
        <w:bidi w:val="0"/>
        <w:adjustRightInd/>
        <w:snapToGrid/>
        <w:ind w:firstLine="480"/>
        <w:rPr>
          <w:rFonts w:hint="eastAsia"/>
          <w:color w:val="auto"/>
        </w:rPr>
      </w:pPr>
      <w:r>
        <w:rPr>
          <w:color w:val="auto"/>
        </w:rPr>
        <w:t>由上式计算可知，本项目原水中干污泥量为</w:t>
      </w:r>
      <w:r>
        <w:rPr>
          <w:rFonts w:hint="eastAsia"/>
          <w:color w:val="auto"/>
          <w:lang w:val="en-US" w:eastAsia="zh-CN"/>
        </w:rPr>
        <w:t>0.9576</w:t>
      </w:r>
      <w:r>
        <w:rPr>
          <w:color w:val="auto"/>
        </w:rPr>
        <w:t>t/d，经压滤机脱水后污泥含水率为60%，则本项目污泥产生量为</w:t>
      </w:r>
      <w:r>
        <w:rPr>
          <w:rFonts w:hint="eastAsia"/>
          <w:color w:val="auto"/>
          <w:lang w:val="en-US" w:eastAsia="zh-CN"/>
        </w:rPr>
        <w:t>1.596</w:t>
      </w:r>
      <w:r>
        <w:rPr>
          <w:color w:val="auto"/>
        </w:rPr>
        <w:t>t/d，</w:t>
      </w:r>
      <w:r>
        <w:rPr>
          <w:rFonts w:hint="eastAsia"/>
          <w:color w:val="auto"/>
          <w:lang w:val="en-US" w:eastAsia="zh-CN"/>
        </w:rPr>
        <w:t>582.54</w:t>
      </w:r>
      <w:r>
        <w:rPr>
          <w:color w:val="auto"/>
        </w:rPr>
        <w:t>t/a</w:t>
      </w:r>
      <w:r>
        <w:rPr>
          <w:rFonts w:hint="eastAsia"/>
          <w:color w:val="auto"/>
          <w:lang w:eastAsia="zh-CN"/>
        </w:rPr>
        <w:t>。</w:t>
      </w:r>
    </w:p>
    <w:p w14:paraId="1B3A5175">
      <w:pPr>
        <w:pageBreakBefore w:val="0"/>
        <w:wordWrap/>
        <w:bidi w:val="0"/>
        <w:adjustRightInd/>
        <w:snapToGrid/>
        <w:rPr>
          <w:rFonts w:hint="eastAsia"/>
          <w:color w:val="auto"/>
        </w:rPr>
      </w:pPr>
      <w:r>
        <w:rPr>
          <w:rFonts w:hint="eastAsia"/>
          <w:b/>
          <w:bCs/>
          <w:color w:val="auto"/>
        </w:rPr>
        <w:t>治理措施</w:t>
      </w:r>
      <w:r>
        <w:rPr>
          <w:rFonts w:hint="eastAsia"/>
          <w:b/>
          <w:bCs/>
          <w:color w:val="auto"/>
          <w:lang w:eastAsia="zh-CN"/>
        </w:rPr>
        <w:t>：</w:t>
      </w:r>
      <w:r>
        <w:rPr>
          <w:rFonts w:hint="eastAsia"/>
          <w:color w:val="auto"/>
        </w:rPr>
        <w:t>根据《关于污</w:t>
      </w:r>
      <w:r>
        <w:rPr>
          <w:rFonts w:hint="eastAsia"/>
          <w:color w:val="auto"/>
          <w:lang w:eastAsia="zh-CN"/>
        </w:rPr>
        <w:t>（</w:t>
      </w:r>
      <w:r>
        <w:rPr>
          <w:rFonts w:hint="eastAsia"/>
          <w:color w:val="auto"/>
        </w:rPr>
        <w:t>废</w:t>
      </w:r>
      <w:r>
        <w:rPr>
          <w:rFonts w:hint="eastAsia"/>
          <w:color w:val="auto"/>
          <w:lang w:eastAsia="zh-CN"/>
        </w:rPr>
        <w:t>）</w:t>
      </w:r>
      <w:r>
        <w:rPr>
          <w:rFonts w:hint="eastAsia"/>
          <w:color w:val="auto"/>
        </w:rPr>
        <w:t>水处理设施产生污泥危险特性鉴别有关意见的函》</w:t>
      </w:r>
      <w:r>
        <w:rPr>
          <w:rFonts w:hint="eastAsia"/>
          <w:color w:val="auto"/>
          <w:lang w:eastAsia="zh-CN"/>
        </w:rPr>
        <w:t>（</w:t>
      </w:r>
      <w:r>
        <w:rPr>
          <w:rFonts w:hint="eastAsia"/>
          <w:color w:val="auto"/>
        </w:rPr>
        <w:t>环境保护部，环函[2010]129号</w:t>
      </w:r>
      <w:r>
        <w:rPr>
          <w:rFonts w:hint="eastAsia"/>
          <w:color w:val="auto"/>
          <w:lang w:eastAsia="zh-CN"/>
        </w:rPr>
        <w:t>）：</w:t>
      </w:r>
      <w:r>
        <w:rPr>
          <w:rFonts w:hint="eastAsia"/>
          <w:color w:val="auto"/>
        </w:rPr>
        <w:t>“二、专门处理工业废水</w:t>
      </w:r>
      <w:r>
        <w:rPr>
          <w:rFonts w:hint="eastAsia"/>
          <w:color w:val="auto"/>
          <w:lang w:eastAsia="zh-CN"/>
        </w:rPr>
        <w:t>（</w:t>
      </w:r>
      <w:r>
        <w:rPr>
          <w:rFonts w:hint="eastAsia"/>
          <w:color w:val="auto"/>
        </w:rPr>
        <w:t>或同时处理少量生活污水</w:t>
      </w:r>
      <w:r>
        <w:rPr>
          <w:rFonts w:hint="eastAsia"/>
          <w:color w:val="auto"/>
          <w:lang w:eastAsia="zh-CN"/>
        </w:rPr>
        <w:t>）</w:t>
      </w:r>
      <w:r>
        <w:rPr>
          <w:rFonts w:hint="eastAsia"/>
          <w:color w:val="auto"/>
        </w:rPr>
        <w:t>的处理设施产生的污泥，可能具有危险特性，应按《国家危险废物名录》、国家环境保护标准《危险废物鉴别技术规范》</w:t>
      </w:r>
      <w:r>
        <w:rPr>
          <w:rFonts w:hint="eastAsia"/>
          <w:color w:val="auto"/>
          <w:lang w:eastAsia="zh-CN"/>
        </w:rPr>
        <w:t>（</w:t>
      </w:r>
      <w:r>
        <w:rPr>
          <w:rFonts w:hint="eastAsia"/>
          <w:color w:val="auto"/>
        </w:rPr>
        <w:t>HJT298-2007</w:t>
      </w:r>
      <w:r>
        <w:rPr>
          <w:rFonts w:hint="eastAsia"/>
          <w:color w:val="auto"/>
          <w:lang w:eastAsia="zh-CN"/>
        </w:rPr>
        <w:t>）</w:t>
      </w:r>
      <w:r>
        <w:rPr>
          <w:rFonts w:hint="eastAsia"/>
          <w:color w:val="auto"/>
        </w:rPr>
        <w:t>和危险废物鉴别标准的规定，对污泥进行危险特性鉴别。”本项目剩余污泥经浓缩后进入污泥脱水机房，污泥脱水后暂存于</w:t>
      </w:r>
      <w:r>
        <w:rPr>
          <w:rFonts w:hint="eastAsia"/>
          <w:color w:val="auto"/>
          <w:lang w:val="en-US" w:eastAsia="zh-CN"/>
        </w:rPr>
        <w:t>污泥池</w:t>
      </w:r>
      <w:r>
        <w:rPr>
          <w:rFonts w:hint="eastAsia"/>
          <w:color w:val="auto"/>
        </w:rPr>
        <w:t>内，泥饼先按照《危险废物鉴别标准》</w:t>
      </w:r>
      <w:r>
        <w:rPr>
          <w:rFonts w:hint="eastAsia"/>
          <w:color w:val="auto"/>
          <w:lang w:eastAsia="zh-CN"/>
        </w:rPr>
        <w:t>（</w:t>
      </w:r>
      <w:r>
        <w:rPr>
          <w:rFonts w:hint="eastAsia"/>
          <w:color w:val="auto"/>
        </w:rPr>
        <w:t>GB5085-2007</w:t>
      </w:r>
      <w:r>
        <w:rPr>
          <w:rFonts w:hint="eastAsia"/>
          <w:color w:val="auto"/>
          <w:lang w:eastAsia="zh-CN"/>
        </w:rPr>
        <w:t>）</w:t>
      </w:r>
      <w:r>
        <w:rPr>
          <w:rFonts w:hint="eastAsia"/>
          <w:color w:val="auto"/>
        </w:rPr>
        <w:t>进行鉴定，如属于危险废物，则运至危废处置单位进行集中处置</w:t>
      </w:r>
      <w:r>
        <w:rPr>
          <w:rFonts w:hint="eastAsia"/>
          <w:color w:val="auto"/>
          <w:lang w:eastAsia="zh-CN"/>
        </w:rPr>
        <w:t>；</w:t>
      </w:r>
      <w:r>
        <w:rPr>
          <w:rFonts w:hint="eastAsia"/>
          <w:color w:val="auto"/>
        </w:rPr>
        <w:t>如经鉴定污泥不具有危险特性，则外运至运送</w:t>
      </w:r>
      <w:r>
        <w:rPr>
          <w:rFonts w:hint="eastAsia"/>
          <w:color w:val="auto"/>
          <w:lang w:val="en-US" w:eastAsia="zh-CN"/>
        </w:rPr>
        <w:t>填埋场处置或水泥厂</w:t>
      </w:r>
      <w:r>
        <w:rPr>
          <w:rFonts w:hint="eastAsia"/>
          <w:color w:val="auto"/>
        </w:rPr>
        <w:t>协同处理。</w:t>
      </w:r>
    </w:p>
    <w:p w14:paraId="2CB7C990">
      <w:pPr>
        <w:pageBreakBefore w:val="0"/>
        <w:wordWrap/>
        <w:bidi w:val="0"/>
        <w:adjustRightInd/>
        <w:snapToGrid/>
        <w:ind w:firstLine="480"/>
        <w:rPr>
          <w:color w:val="auto"/>
        </w:rPr>
      </w:pPr>
      <w:r>
        <w:rPr>
          <w:rFonts w:hint="eastAsia"/>
          <w:b/>
          <w:bCs/>
          <w:color w:val="auto"/>
        </w:rPr>
        <w:t>环评要求：</w:t>
      </w:r>
      <w:r>
        <w:rPr>
          <w:rFonts w:hint="eastAsia"/>
          <w:color w:val="auto"/>
        </w:rPr>
        <w:t>①在污泥脱水间等室内部分，考虑采用机械通风的方式，减少臭气影响；②运输车辆密闭，避开运输高峰期，尽量减少臭气对运输线路附近大气环境的影响；③采取必要的减臭措施，污泥处理设施应设在非完全敞开式的建筑内；④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lang w:eastAsia="zh-CN"/>
        </w:rPr>
        <w:t>采取</w:t>
      </w:r>
      <w:r>
        <w:rPr>
          <w:rFonts w:hint="eastAsia"/>
          <w:color w:val="auto"/>
        </w:rPr>
        <w:t>及时清除积泥的措施来防止臭气的影响；⑥项目厂区需设置绿化带。以上措施属目前污水处理厂恶臭处理的主要措施，在大、中、小型污水处理厂（站）均得到广泛应用，取得良好的效果。</w:t>
      </w:r>
    </w:p>
    <w:p w14:paraId="351230FC">
      <w:pPr>
        <w:pageBreakBefore w:val="0"/>
        <w:wordWrap/>
        <w:bidi w:val="0"/>
        <w:adjustRightInd/>
        <w:snapToGrid/>
        <w:ind w:firstLine="480"/>
        <w:rPr>
          <w:b/>
          <w:bCs/>
          <w:color w:val="auto"/>
        </w:rPr>
      </w:pPr>
      <w:r>
        <w:rPr>
          <w:b/>
          <w:bCs/>
          <w:color w:val="auto"/>
        </w:rPr>
        <w:t>（</w:t>
      </w:r>
      <w:r>
        <w:rPr>
          <w:rFonts w:hint="eastAsia"/>
          <w:b/>
          <w:bCs/>
          <w:color w:val="auto"/>
          <w:lang w:val="en-US" w:eastAsia="zh-CN"/>
        </w:rPr>
        <w:t>5</w:t>
      </w:r>
      <w:r>
        <w:rPr>
          <w:b/>
          <w:bCs/>
          <w:color w:val="auto"/>
        </w:rPr>
        <w:t>）生物除臭系统废弃生物填料</w:t>
      </w:r>
    </w:p>
    <w:p w14:paraId="201816AC">
      <w:pPr>
        <w:pageBreakBefore w:val="0"/>
        <w:wordWrap/>
        <w:bidi w:val="0"/>
        <w:adjustRightInd/>
        <w:snapToGrid/>
        <w:ind w:firstLine="480"/>
        <w:rPr>
          <w:rFonts w:hint="default" w:eastAsia="宋体"/>
          <w:color w:val="auto"/>
          <w:lang w:val="en-US" w:eastAsia="zh-CN"/>
        </w:rPr>
      </w:pPr>
      <w:r>
        <w:rPr>
          <w:color w:val="auto"/>
        </w:rPr>
        <w:t>项目生物除臭系统每隔3</w:t>
      </w:r>
      <w:r>
        <w:rPr>
          <w:rFonts w:hint="eastAsia"/>
          <w:color w:val="auto"/>
          <w:lang w:eastAsia="zh-CN"/>
        </w:rPr>
        <w:t>～</w:t>
      </w:r>
      <w:r>
        <w:rPr>
          <w:color w:val="auto"/>
        </w:rPr>
        <w:t>5年更换填料，产生的废弃填料主要成分为树皮、珍珠岩、沸石等，根据其他</w:t>
      </w:r>
      <w:r>
        <w:rPr>
          <w:rFonts w:hint="eastAsia"/>
          <w:color w:val="auto"/>
          <w:lang w:eastAsia="zh-CN"/>
        </w:rPr>
        <w:t>污水处理厂</w:t>
      </w:r>
      <w:r>
        <w:rPr>
          <w:color w:val="auto"/>
        </w:rPr>
        <w:t>实际运行情况的类比分析，该生物系统废弃填料产生量约为4.6t/a，属一般固体废物</w:t>
      </w:r>
      <w:r>
        <w:rPr>
          <w:rFonts w:hint="eastAsia"/>
          <w:color w:val="auto"/>
          <w:lang w:eastAsia="zh-CN"/>
        </w:rPr>
        <w:t>，</w:t>
      </w:r>
      <w:r>
        <w:rPr>
          <w:rFonts w:hint="eastAsia"/>
          <w:color w:val="auto"/>
          <w:lang w:val="en-US" w:eastAsia="zh-CN"/>
        </w:rPr>
        <w:t>一般由生产厂家统一回收，不在厂内暂存。</w:t>
      </w:r>
    </w:p>
    <w:p w14:paraId="1BAACE48">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二</w:t>
      </w:r>
      <w:r>
        <w:rPr>
          <w:rFonts w:hint="eastAsia"/>
          <w:b/>
          <w:bCs/>
          <w:color w:val="auto"/>
          <w:lang w:eastAsia="zh-CN"/>
        </w:rPr>
        <w:t>）</w:t>
      </w:r>
      <w:r>
        <w:rPr>
          <w:rFonts w:hint="eastAsia"/>
          <w:b/>
          <w:bCs/>
          <w:color w:val="auto"/>
          <w:lang w:val="en-US" w:eastAsia="zh-CN"/>
        </w:rPr>
        <w:t>危险废物</w:t>
      </w:r>
    </w:p>
    <w:p w14:paraId="7D9D4FD7">
      <w:pPr>
        <w:pageBreakBefore w:val="0"/>
        <w:wordWrap/>
        <w:bidi w:val="0"/>
        <w:adjustRightInd/>
        <w:snapToGrid/>
        <w:ind w:firstLine="480"/>
        <w:rPr>
          <w:rFonts w:hint="eastAsia"/>
          <w:b/>
          <w:bCs/>
          <w:color w:val="auto"/>
          <w:lang w:val="en-US" w:eastAsia="zh-CN"/>
        </w:rPr>
      </w:pPr>
      <w:r>
        <w:rPr>
          <w:b/>
          <w:bCs/>
          <w:color w:val="auto"/>
        </w:rPr>
        <w:t>（</w:t>
      </w:r>
      <w:r>
        <w:rPr>
          <w:rFonts w:hint="eastAsia"/>
          <w:b/>
          <w:bCs/>
          <w:color w:val="auto"/>
          <w:lang w:val="en-US" w:eastAsia="zh-CN"/>
        </w:rPr>
        <w:t>1</w:t>
      </w:r>
      <w:r>
        <w:rPr>
          <w:b/>
          <w:bCs/>
          <w:color w:val="auto"/>
        </w:rPr>
        <w:t>）</w:t>
      </w:r>
      <w:r>
        <w:rPr>
          <w:rFonts w:hint="eastAsia"/>
          <w:b/>
          <w:bCs/>
          <w:color w:val="auto"/>
          <w:lang w:val="en-US" w:eastAsia="zh-CN"/>
        </w:rPr>
        <w:t>机修间废机油</w:t>
      </w:r>
    </w:p>
    <w:p w14:paraId="74DADE87">
      <w:pPr>
        <w:pageBreakBefore w:val="0"/>
        <w:wordWrap/>
        <w:bidi w:val="0"/>
        <w:adjustRightInd/>
        <w:snapToGrid/>
        <w:ind w:firstLine="480"/>
        <w:rPr>
          <w:color w:val="auto"/>
        </w:rPr>
      </w:pPr>
      <w:r>
        <w:rPr>
          <w:color w:val="auto"/>
        </w:rPr>
        <w:t>项目</w:t>
      </w:r>
      <w:r>
        <w:rPr>
          <w:rFonts w:hint="eastAsia"/>
          <w:color w:val="auto"/>
          <w:lang w:val="en-US" w:eastAsia="zh-CN"/>
        </w:rPr>
        <w:t>设置机修间，</w:t>
      </w:r>
      <w:r>
        <w:rPr>
          <w:color w:val="auto"/>
        </w:rPr>
        <w:t>正常运行过程中为了维持工况良好、正常，</w:t>
      </w:r>
      <w:r>
        <w:rPr>
          <w:rFonts w:hint="eastAsia"/>
          <w:color w:val="auto"/>
          <w:lang w:val="en-US" w:eastAsia="zh-CN"/>
        </w:rPr>
        <w:t>需</w:t>
      </w:r>
      <w:r>
        <w:rPr>
          <w:color w:val="auto"/>
        </w:rPr>
        <w:t>定期检修、维护</w:t>
      </w:r>
      <w:r>
        <w:rPr>
          <w:rFonts w:hint="eastAsia"/>
          <w:color w:val="auto"/>
          <w:lang w:val="en-US" w:eastAsia="zh-CN"/>
        </w:rPr>
        <w:t>设备，该</w:t>
      </w:r>
      <w:r>
        <w:rPr>
          <w:color w:val="auto"/>
        </w:rPr>
        <w:t>过程中</w:t>
      </w:r>
      <w:r>
        <w:rPr>
          <w:rFonts w:hint="eastAsia"/>
          <w:color w:val="auto"/>
          <w:lang w:val="en-US" w:eastAsia="zh-CN"/>
        </w:rPr>
        <w:t>会</w:t>
      </w:r>
      <w:r>
        <w:rPr>
          <w:color w:val="auto"/>
        </w:rPr>
        <w:t>产生</w:t>
      </w:r>
      <w:r>
        <w:rPr>
          <w:rFonts w:hint="eastAsia"/>
          <w:color w:val="auto"/>
          <w:lang w:val="en-US" w:eastAsia="zh-CN"/>
        </w:rPr>
        <w:t>废机油</w:t>
      </w:r>
      <w:r>
        <w:rPr>
          <w:color w:val="auto"/>
        </w:rPr>
        <w:t>。</w:t>
      </w:r>
    </w:p>
    <w:p w14:paraId="488C90C6">
      <w:pPr>
        <w:pageBreakBefore w:val="0"/>
        <w:wordWrap/>
        <w:bidi w:val="0"/>
        <w:adjustRightInd/>
        <w:snapToGrid/>
        <w:ind w:firstLine="480"/>
        <w:rPr>
          <w:rFonts w:hint="eastAsia"/>
          <w:color w:val="auto"/>
        </w:rPr>
      </w:pPr>
      <w:r>
        <w:rPr>
          <w:rFonts w:hint="eastAsia"/>
          <w:color w:val="auto"/>
          <w:lang w:val="en-US" w:eastAsia="zh-CN"/>
        </w:rPr>
        <w:t>废机油</w:t>
      </w:r>
      <w:r>
        <w:rPr>
          <w:color w:val="auto"/>
        </w:rPr>
        <w:t>年产生量约0.</w:t>
      </w:r>
      <w:r>
        <w:rPr>
          <w:rFonts w:hint="eastAsia"/>
          <w:color w:val="auto"/>
          <w:lang w:val="en-US" w:eastAsia="zh-CN"/>
        </w:rPr>
        <w:t>0</w:t>
      </w:r>
      <w:r>
        <w:rPr>
          <w:color w:val="auto"/>
        </w:rPr>
        <w:t>1t/a</w:t>
      </w:r>
      <w:r>
        <w:rPr>
          <w:rFonts w:hint="eastAsia"/>
          <w:color w:val="auto"/>
          <w:lang w:eastAsia="zh-CN"/>
        </w:rPr>
        <w:t>，</w:t>
      </w:r>
      <w:r>
        <w:rPr>
          <w:rFonts w:hint="eastAsia"/>
          <w:color w:val="auto"/>
        </w:rPr>
        <w:t>废润滑油属于《国家危险废物名录》（2021年版）中HW08废矿物油与含矿物油废物，非特定行业，其废物代码：900-21</w:t>
      </w:r>
      <w:r>
        <w:rPr>
          <w:rFonts w:hint="eastAsia"/>
          <w:color w:val="auto"/>
          <w:lang w:val="en-US" w:eastAsia="zh-CN"/>
        </w:rPr>
        <w:t>4</w:t>
      </w:r>
      <w:r>
        <w:rPr>
          <w:rFonts w:hint="eastAsia"/>
          <w:color w:val="auto"/>
        </w:rPr>
        <w:t>-08（车辆、轮船</w:t>
      </w:r>
      <w:r>
        <w:rPr>
          <w:rFonts w:hint="eastAsia"/>
          <w:color w:val="auto"/>
          <w:lang w:eastAsia="zh-CN"/>
        </w:rPr>
        <w:t>及其他</w:t>
      </w:r>
      <w:r>
        <w:rPr>
          <w:rFonts w:hint="eastAsia"/>
          <w:color w:val="auto"/>
        </w:rPr>
        <w:t>机械维修过程中产生的废发动机油、制动器油、自动变速器油、齿轮油等废润滑油）</w:t>
      </w:r>
      <w:r>
        <w:rPr>
          <w:rFonts w:hint="eastAsia"/>
          <w:color w:val="auto"/>
          <w:lang w:val="en-US" w:eastAsia="zh-CN"/>
        </w:rPr>
        <w:t>。</w:t>
      </w:r>
    </w:p>
    <w:p w14:paraId="13729B13">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暂存于危废暂存间，</w:t>
      </w:r>
      <w:r>
        <w:rPr>
          <w:color w:val="auto"/>
        </w:rPr>
        <w:t>交由具有危废处理资质单位处置。</w:t>
      </w:r>
    </w:p>
    <w:p w14:paraId="7BE85021">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2</w:t>
      </w:r>
      <w:r>
        <w:rPr>
          <w:b/>
          <w:bCs/>
          <w:color w:val="auto"/>
        </w:rPr>
        <w:t>）</w:t>
      </w:r>
      <w:r>
        <w:rPr>
          <w:rFonts w:hint="eastAsia"/>
          <w:b/>
          <w:bCs/>
          <w:color w:val="auto"/>
          <w:lang w:val="en-US" w:eastAsia="zh-CN"/>
        </w:rPr>
        <w:t>废机油桶</w:t>
      </w:r>
    </w:p>
    <w:p w14:paraId="31AFF9CB">
      <w:pPr>
        <w:pageBreakBefore w:val="0"/>
        <w:wordWrap/>
        <w:bidi w:val="0"/>
        <w:adjustRightInd/>
        <w:snapToGrid/>
        <w:ind w:firstLine="480"/>
        <w:rPr>
          <w:color w:val="auto"/>
        </w:rPr>
      </w:pPr>
      <w:r>
        <w:rPr>
          <w:color w:val="auto"/>
        </w:rPr>
        <w:t>项目</w:t>
      </w:r>
      <w:r>
        <w:rPr>
          <w:rFonts w:hint="eastAsia"/>
          <w:color w:val="auto"/>
          <w:lang w:val="en-US" w:eastAsia="zh-CN"/>
        </w:rPr>
        <w:t>设置机修间，</w:t>
      </w:r>
      <w:r>
        <w:rPr>
          <w:color w:val="auto"/>
        </w:rPr>
        <w:t>正常运行过程中为了维持工况良好、正常，</w:t>
      </w:r>
      <w:r>
        <w:rPr>
          <w:rFonts w:hint="eastAsia"/>
          <w:color w:val="auto"/>
          <w:lang w:val="en-US" w:eastAsia="zh-CN"/>
        </w:rPr>
        <w:t>需</w:t>
      </w:r>
      <w:r>
        <w:rPr>
          <w:color w:val="auto"/>
        </w:rPr>
        <w:t>定期检修、维护</w:t>
      </w:r>
      <w:r>
        <w:rPr>
          <w:rFonts w:hint="eastAsia"/>
          <w:color w:val="auto"/>
          <w:lang w:val="en-US" w:eastAsia="zh-CN"/>
        </w:rPr>
        <w:t>设备，使用机油</w:t>
      </w:r>
      <w:r>
        <w:rPr>
          <w:color w:val="auto"/>
        </w:rPr>
        <w:t>过程中</w:t>
      </w:r>
      <w:r>
        <w:rPr>
          <w:rFonts w:hint="eastAsia"/>
          <w:color w:val="auto"/>
          <w:lang w:val="en-US" w:eastAsia="zh-CN"/>
        </w:rPr>
        <w:t>会</w:t>
      </w:r>
      <w:r>
        <w:rPr>
          <w:color w:val="auto"/>
        </w:rPr>
        <w:t>产生</w:t>
      </w:r>
      <w:r>
        <w:rPr>
          <w:rFonts w:hint="eastAsia"/>
          <w:color w:val="auto"/>
          <w:lang w:val="en-US" w:eastAsia="zh-CN"/>
        </w:rPr>
        <w:t>废机油桶</w:t>
      </w:r>
      <w:r>
        <w:rPr>
          <w:color w:val="auto"/>
        </w:rPr>
        <w:t>。</w:t>
      </w:r>
    </w:p>
    <w:p w14:paraId="0EBFF442">
      <w:pPr>
        <w:pageBreakBefore w:val="0"/>
        <w:wordWrap/>
        <w:bidi w:val="0"/>
        <w:adjustRightInd/>
        <w:snapToGrid/>
        <w:ind w:firstLine="480"/>
        <w:rPr>
          <w:rFonts w:hint="eastAsia"/>
          <w:color w:val="auto"/>
        </w:rPr>
      </w:pPr>
      <w:r>
        <w:rPr>
          <w:rFonts w:hint="eastAsia"/>
          <w:color w:val="auto"/>
          <w:lang w:val="en-US" w:eastAsia="zh-CN"/>
        </w:rPr>
        <w:t>废机油桶</w:t>
      </w:r>
      <w:r>
        <w:rPr>
          <w:color w:val="auto"/>
        </w:rPr>
        <w:t>年产生量约0.</w:t>
      </w:r>
      <w:r>
        <w:rPr>
          <w:rFonts w:hint="eastAsia"/>
          <w:color w:val="auto"/>
          <w:lang w:val="en-US" w:eastAsia="zh-CN"/>
        </w:rPr>
        <w:t>1</w:t>
      </w:r>
      <w:r>
        <w:rPr>
          <w:color w:val="auto"/>
        </w:rPr>
        <w:t>t/a</w:t>
      </w:r>
      <w:r>
        <w:rPr>
          <w:rFonts w:hint="eastAsia"/>
          <w:color w:val="auto"/>
          <w:lang w:eastAsia="zh-CN"/>
        </w:rPr>
        <w:t>，</w:t>
      </w:r>
      <w:r>
        <w:rPr>
          <w:rFonts w:hint="eastAsia"/>
          <w:color w:val="auto"/>
        </w:rPr>
        <w:t>废油桶属于《国家危险废物名录》（2021年版）中HW08废矿物油与含矿物油废物，非特定行业，其废物代码：900-249-08（其他生产、销售、使用过程中产生的废矿物油及沾染矿物油的废弃包装物）</w:t>
      </w:r>
      <w:r>
        <w:rPr>
          <w:rFonts w:hint="eastAsia"/>
          <w:color w:val="auto"/>
          <w:lang w:val="en-US" w:eastAsia="zh-CN"/>
        </w:rPr>
        <w:t>。</w:t>
      </w:r>
    </w:p>
    <w:p w14:paraId="5436A86A">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暂存于危废暂存间，</w:t>
      </w:r>
      <w:r>
        <w:rPr>
          <w:color w:val="auto"/>
        </w:rPr>
        <w:t>交由具有危废处理资质单位处置。</w:t>
      </w:r>
    </w:p>
    <w:p w14:paraId="00F52069">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3</w:t>
      </w:r>
      <w:r>
        <w:rPr>
          <w:b/>
          <w:bCs/>
          <w:color w:val="auto"/>
        </w:rPr>
        <w:t>）</w:t>
      </w:r>
      <w:r>
        <w:rPr>
          <w:rFonts w:hint="eastAsia"/>
          <w:b/>
          <w:bCs/>
          <w:color w:val="auto"/>
          <w:lang w:val="en-US" w:eastAsia="zh-CN"/>
        </w:rPr>
        <w:t>含油棉纱手套</w:t>
      </w:r>
    </w:p>
    <w:p w14:paraId="411B62E9">
      <w:pPr>
        <w:pageBreakBefore w:val="0"/>
        <w:wordWrap/>
        <w:bidi w:val="0"/>
        <w:adjustRightInd/>
        <w:snapToGrid/>
        <w:ind w:firstLine="480"/>
        <w:rPr>
          <w:rFonts w:hint="eastAsia" w:eastAsia="宋体"/>
          <w:color w:val="auto"/>
          <w:lang w:eastAsia="zh-CN"/>
        </w:rPr>
      </w:pPr>
      <w:r>
        <w:rPr>
          <w:color w:val="auto"/>
        </w:rPr>
        <w:t>拟建项目在设备维护时产生的</w:t>
      </w:r>
      <w:r>
        <w:rPr>
          <w:rFonts w:hint="eastAsia"/>
          <w:color w:val="auto"/>
          <w:lang w:val="en-US" w:eastAsia="zh-CN"/>
        </w:rPr>
        <w:t>含油棉纱手套</w:t>
      </w:r>
      <w:r>
        <w:rPr>
          <w:color w:val="auto"/>
        </w:rPr>
        <w:t>等</w:t>
      </w:r>
      <w:r>
        <w:rPr>
          <w:rFonts w:hint="eastAsia"/>
          <w:color w:val="auto"/>
          <w:lang w:val="en-US" w:eastAsia="zh-CN"/>
        </w:rPr>
        <w:t>也</w:t>
      </w:r>
      <w:r>
        <w:rPr>
          <w:color w:val="auto"/>
        </w:rPr>
        <w:t>属于危险废物，年产生量约0.</w:t>
      </w:r>
      <w:r>
        <w:rPr>
          <w:rFonts w:hint="eastAsia"/>
          <w:color w:val="auto"/>
          <w:lang w:val="en-US" w:eastAsia="zh-CN"/>
        </w:rPr>
        <w:t>0</w:t>
      </w:r>
      <w:r>
        <w:rPr>
          <w:color w:val="auto"/>
        </w:rPr>
        <w:t>1t/a。</w:t>
      </w:r>
      <w:r>
        <w:rPr>
          <w:rFonts w:hint="eastAsia"/>
          <w:color w:val="auto"/>
        </w:rPr>
        <w:t>含油手套和抹布属于《国家危险废物名录》（2021年版）中HW49其他废物，非特定行业，其废物代码：900-041-49（含有或沾染毒性、感染性危险废物的废弃包装物、容器、过滤吸附介质）</w:t>
      </w:r>
      <w:r>
        <w:rPr>
          <w:rFonts w:hint="eastAsia"/>
          <w:color w:val="auto"/>
          <w:lang w:eastAsia="zh-CN"/>
        </w:rPr>
        <w:t>。</w:t>
      </w:r>
    </w:p>
    <w:p w14:paraId="1324F044">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危废暂存间暂存后，</w:t>
      </w:r>
      <w:r>
        <w:rPr>
          <w:color w:val="auto"/>
        </w:rPr>
        <w:t>交由具有危废处理资质单位处置。</w:t>
      </w:r>
    </w:p>
    <w:p w14:paraId="425A37B3">
      <w:pPr>
        <w:pageBreakBefore w:val="0"/>
        <w:wordWrap/>
        <w:bidi w:val="0"/>
        <w:adjustRightInd/>
        <w:snapToGrid/>
        <w:ind w:firstLine="480"/>
        <w:rPr>
          <w:rFonts w:hint="default"/>
          <w:b/>
          <w:bCs/>
          <w:color w:val="auto"/>
          <w:lang w:val="en-US"/>
        </w:rPr>
      </w:pPr>
      <w:r>
        <w:rPr>
          <w:b/>
          <w:bCs/>
          <w:color w:val="auto"/>
        </w:rPr>
        <w:t>（</w:t>
      </w:r>
      <w:r>
        <w:rPr>
          <w:rFonts w:hint="eastAsia"/>
          <w:b/>
          <w:bCs/>
          <w:color w:val="auto"/>
          <w:lang w:val="en-US" w:eastAsia="zh-CN"/>
        </w:rPr>
        <w:t>4</w:t>
      </w:r>
      <w:r>
        <w:rPr>
          <w:b/>
          <w:bCs/>
          <w:color w:val="auto"/>
        </w:rPr>
        <w:t>）</w:t>
      </w:r>
      <w:r>
        <w:rPr>
          <w:rFonts w:hint="eastAsia"/>
          <w:b/>
          <w:bCs/>
          <w:color w:val="auto"/>
          <w:lang w:val="en-US" w:eastAsia="zh-CN"/>
        </w:rPr>
        <w:t>化验废液（含化验室化验废液、在线监测废液、实验器皿前三次清洗废水）</w:t>
      </w:r>
    </w:p>
    <w:p w14:paraId="1D3C103A">
      <w:pPr>
        <w:pageBreakBefore w:val="0"/>
        <w:wordWrap/>
        <w:bidi w:val="0"/>
        <w:adjustRightInd/>
        <w:snapToGrid/>
        <w:rPr>
          <w:color w:val="auto"/>
        </w:rPr>
      </w:pPr>
      <w:r>
        <w:rPr>
          <w:color w:val="auto"/>
        </w:rPr>
        <w:t>化验室检测项目为T-P、T-N、BOD</w:t>
      </w:r>
      <w:r>
        <w:rPr>
          <w:color w:val="auto"/>
          <w:vertAlign w:val="subscript"/>
        </w:rPr>
        <w:t>5</w:t>
      </w:r>
      <w:r>
        <w:rPr>
          <w:color w:val="auto"/>
        </w:rPr>
        <w:t>、COD</w:t>
      </w:r>
      <w:r>
        <w:rPr>
          <w:color w:val="auto"/>
          <w:vertAlign w:val="subscript"/>
        </w:rPr>
        <w:t>Cr</w:t>
      </w:r>
      <w:r>
        <w:rPr>
          <w:color w:val="auto"/>
        </w:rPr>
        <w:t>、NH</w:t>
      </w:r>
      <w:r>
        <w:rPr>
          <w:color w:val="auto"/>
          <w:vertAlign w:val="subscript"/>
        </w:rPr>
        <w:t>3</w:t>
      </w:r>
      <w:r>
        <w:rPr>
          <w:color w:val="auto"/>
        </w:rPr>
        <w:t>-N、SS和pH值、在线监测项目为COD</w:t>
      </w:r>
      <w:r>
        <w:rPr>
          <w:color w:val="auto"/>
          <w:vertAlign w:val="subscript"/>
        </w:rPr>
        <w:t>Cr</w:t>
      </w:r>
      <w:r>
        <w:rPr>
          <w:color w:val="auto"/>
        </w:rPr>
        <w:t>、NH</w:t>
      </w:r>
      <w:r>
        <w:rPr>
          <w:color w:val="auto"/>
          <w:vertAlign w:val="subscript"/>
        </w:rPr>
        <w:t>3</w:t>
      </w:r>
      <w:r>
        <w:rPr>
          <w:color w:val="auto"/>
        </w:rPr>
        <w:t>-N和pH值。化验废液约0.</w:t>
      </w:r>
      <w:r>
        <w:rPr>
          <w:rFonts w:hint="eastAsia"/>
          <w:color w:val="auto"/>
          <w:lang w:val="en-US" w:eastAsia="zh-CN"/>
        </w:rPr>
        <w:t>1m³</w:t>
      </w:r>
      <w:r>
        <w:rPr>
          <w:color w:val="auto"/>
        </w:rPr>
        <w:t>/d，</w:t>
      </w:r>
      <w:r>
        <w:rPr>
          <w:rFonts w:hint="eastAsia"/>
          <w:color w:val="auto"/>
        </w:rPr>
        <w:t>属于《国家危险废物名录》（2021年版）中HW49其他废物，非特定行业，其废物代码：900-04</w:t>
      </w:r>
      <w:r>
        <w:rPr>
          <w:rFonts w:hint="eastAsia"/>
          <w:color w:val="auto"/>
          <w:lang w:val="en-US" w:eastAsia="zh-CN"/>
        </w:rPr>
        <w:t>7</w:t>
      </w:r>
      <w:r>
        <w:rPr>
          <w:rFonts w:hint="eastAsia"/>
          <w:color w:val="auto"/>
        </w:rPr>
        <w:t>-49</w:t>
      </w:r>
      <w:r>
        <w:rPr>
          <w:color w:val="auto"/>
        </w:rPr>
        <w:t>。</w:t>
      </w:r>
    </w:p>
    <w:p w14:paraId="3FF2A8A2">
      <w:pPr>
        <w:pageBreakBefore w:val="0"/>
        <w:wordWrap/>
        <w:bidi w:val="0"/>
        <w:adjustRightInd/>
        <w:snapToGrid/>
        <w:rPr>
          <w:color w:val="auto"/>
        </w:rPr>
      </w:pPr>
      <w:r>
        <w:rPr>
          <w:rFonts w:hint="eastAsia"/>
          <w:color w:val="auto"/>
          <w:lang w:val="en-US" w:eastAsia="zh-CN"/>
        </w:rPr>
        <w:t>分类收集</w:t>
      </w:r>
      <w:r>
        <w:rPr>
          <w:rFonts w:hint="eastAsia"/>
          <w:color w:val="auto"/>
        </w:rPr>
        <w:t>后暂存于危废暂存间，定期送有资质的单位处置。</w:t>
      </w:r>
    </w:p>
    <w:p w14:paraId="6F64D345">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5</w:t>
      </w:r>
      <w:r>
        <w:rPr>
          <w:b/>
          <w:bCs/>
          <w:color w:val="auto"/>
        </w:rPr>
        <w:t>）</w:t>
      </w:r>
      <w:r>
        <w:rPr>
          <w:rFonts w:hint="eastAsia"/>
          <w:b/>
          <w:bCs/>
          <w:color w:val="auto"/>
          <w:lang w:val="en-US" w:eastAsia="zh-CN"/>
        </w:rPr>
        <w:t>废化学试剂瓶</w:t>
      </w:r>
    </w:p>
    <w:p w14:paraId="3DFE29FF">
      <w:pPr>
        <w:pageBreakBefore w:val="0"/>
        <w:wordWrap/>
        <w:bidi w:val="0"/>
        <w:adjustRightInd/>
        <w:snapToGrid/>
        <w:rPr>
          <w:color w:val="auto"/>
        </w:rPr>
      </w:pPr>
      <w:r>
        <w:rPr>
          <w:color w:val="auto"/>
        </w:rPr>
        <w:t>本项目</w:t>
      </w:r>
      <w:r>
        <w:rPr>
          <w:rFonts w:hint="eastAsia"/>
          <w:color w:val="auto"/>
        </w:rPr>
        <w:t>化验室检测将产生废试剂瓶，产生量约为0.5t/a，属于《国家危险废物名录》（2021年版）中HW49其他废物，非特定行业，其废物代码：900-04</w:t>
      </w:r>
      <w:r>
        <w:rPr>
          <w:rFonts w:hint="eastAsia"/>
          <w:color w:val="auto"/>
          <w:lang w:val="en-US" w:eastAsia="zh-CN"/>
        </w:rPr>
        <w:t>1</w:t>
      </w:r>
      <w:r>
        <w:rPr>
          <w:rFonts w:hint="eastAsia"/>
          <w:color w:val="auto"/>
        </w:rPr>
        <w:t>-49（含有或沾染毒性、感染性危险废物的废弃包装物、容器、过滤吸附介质）</w:t>
      </w:r>
      <w:r>
        <w:rPr>
          <w:color w:val="auto"/>
        </w:rPr>
        <w:t>。</w:t>
      </w:r>
    </w:p>
    <w:p w14:paraId="11852EA9">
      <w:pPr>
        <w:pageBreakBefore w:val="0"/>
        <w:wordWrap/>
        <w:bidi w:val="0"/>
        <w:adjustRightInd/>
        <w:snapToGrid/>
        <w:rPr>
          <w:color w:val="auto"/>
        </w:rPr>
      </w:pPr>
      <w:r>
        <w:rPr>
          <w:color w:val="auto"/>
        </w:rPr>
        <w:t>由专用收集</w:t>
      </w:r>
      <w:r>
        <w:rPr>
          <w:rFonts w:hint="eastAsia"/>
          <w:color w:val="auto"/>
          <w:lang w:val="en-US" w:eastAsia="zh-CN"/>
        </w:rPr>
        <w:t>容器</w:t>
      </w:r>
      <w:r>
        <w:rPr>
          <w:color w:val="auto"/>
        </w:rPr>
        <w:t>收集并送危废暂存间暂存，定期交由资质的单位处置。</w:t>
      </w:r>
    </w:p>
    <w:p w14:paraId="414CD407">
      <w:pPr>
        <w:pageBreakBefore w:val="0"/>
        <w:wordWrap/>
        <w:bidi w:val="0"/>
        <w:adjustRightInd/>
        <w:snapToGrid/>
        <w:ind w:firstLine="480"/>
        <w:rPr>
          <w:color w:val="auto"/>
        </w:rPr>
      </w:pPr>
      <w:r>
        <w:rPr>
          <w:color w:val="auto"/>
        </w:rPr>
        <w:t>项目产生固废产生及处理情况见</w:t>
      </w:r>
      <w:r>
        <w:rPr>
          <w:rFonts w:hint="eastAsia"/>
          <w:color w:val="auto"/>
          <w:lang w:val="en-US" w:eastAsia="zh-CN"/>
        </w:rPr>
        <w:t>下表</w:t>
      </w:r>
      <w:r>
        <w:rPr>
          <w:color w:val="auto"/>
        </w:rPr>
        <w:t>。</w:t>
      </w:r>
    </w:p>
    <w:p w14:paraId="4815E602">
      <w:pPr>
        <w:pageBreakBefore w:val="0"/>
        <w:wordWrap/>
        <w:bidi w:val="0"/>
        <w:adjustRightInd/>
        <w:snapToGrid/>
        <w:ind w:firstLine="480"/>
        <w:rPr>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6530EC7C">
      <w:pPr>
        <w:pStyle w:val="15"/>
        <w:bidi w:val="0"/>
        <w:ind w:left="0" w:leftChars="0" w:firstLine="0" w:firstLineChars="0"/>
        <w:rPr>
          <w:color w:val="auto"/>
        </w:rPr>
      </w:pPr>
      <w:r>
        <w:rPr>
          <w:color w:val="auto"/>
        </w:rPr>
        <w:t>项目固废产生及处理情况</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20"/>
        <w:gridCol w:w="1421"/>
        <w:gridCol w:w="1480"/>
        <w:gridCol w:w="1277"/>
        <w:gridCol w:w="1531"/>
        <w:gridCol w:w="864"/>
        <w:gridCol w:w="1196"/>
        <w:gridCol w:w="1621"/>
        <w:gridCol w:w="983"/>
        <w:gridCol w:w="769"/>
        <w:gridCol w:w="2402"/>
      </w:tblGrid>
      <w:tr w14:paraId="5D506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4C5FAB14">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编号</w:t>
            </w:r>
          </w:p>
        </w:tc>
        <w:tc>
          <w:tcPr>
            <w:tcW w:w="508" w:type="pct"/>
            <w:tcBorders>
              <w:tl2br w:val="nil"/>
              <w:tr2bl w:val="nil"/>
            </w:tcBorders>
            <w:noWrap w:val="0"/>
            <w:vAlign w:val="center"/>
          </w:tcPr>
          <w:p w14:paraId="733FDF6F">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名称</w:t>
            </w:r>
          </w:p>
        </w:tc>
        <w:tc>
          <w:tcPr>
            <w:tcW w:w="529" w:type="pct"/>
            <w:tcBorders>
              <w:tl2br w:val="nil"/>
              <w:tr2bl w:val="nil"/>
            </w:tcBorders>
            <w:noWrap w:val="0"/>
            <w:vAlign w:val="center"/>
          </w:tcPr>
          <w:p w14:paraId="447B5426">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废物类别</w:t>
            </w:r>
          </w:p>
        </w:tc>
        <w:tc>
          <w:tcPr>
            <w:tcW w:w="457" w:type="pct"/>
            <w:tcBorders>
              <w:tl2br w:val="nil"/>
              <w:tr2bl w:val="nil"/>
            </w:tcBorders>
            <w:noWrap w:val="0"/>
            <w:vAlign w:val="center"/>
          </w:tcPr>
          <w:p w14:paraId="3DF397FF">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废物代码</w:t>
            </w:r>
          </w:p>
        </w:tc>
        <w:tc>
          <w:tcPr>
            <w:tcW w:w="547" w:type="pct"/>
            <w:tcBorders>
              <w:tl2br w:val="nil"/>
              <w:tr2bl w:val="nil"/>
            </w:tcBorders>
            <w:noWrap w:val="0"/>
            <w:vAlign w:val="center"/>
          </w:tcPr>
          <w:p w14:paraId="2116ACD3">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主要成分</w:t>
            </w:r>
          </w:p>
        </w:tc>
        <w:tc>
          <w:tcPr>
            <w:tcW w:w="310" w:type="pct"/>
            <w:tcBorders>
              <w:tl2br w:val="nil"/>
              <w:tr2bl w:val="nil"/>
            </w:tcBorders>
            <w:noWrap w:val="0"/>
            <w:vAlign w:val="center"/>
          </w:tcPr>
          <w:p w14:paraId="3BA55EAF">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性状</w:t>
            </w:r>
          </w:p>
        </w:tc>
        <w:tc>
          <w:tcPr>
            <w:tcW w:w="428" w:type="pct"/>
            <w:tcBorders>
              <w:tl2br w:val="nil"/>
              <w:tr2bl w:val="nil"/>
            </w:tcBorders>
            <w:noWrap w:val="0"/>
            <w:vAlign w:val="center"/>
          </w:tcPr>
          <w:p w14:paraId="2DBE5130">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产生数量（t/a）</w:t>
            </w:r>
          </w:p>
        </w:tc>
        <w:tc>
          <w:tcPr>
            <w:tcW w:w="579" w:type="pct"/>
            <w:tcBorders>
              <w:tl2br w:val="nil"/>
              <w:tr2bl w:val="nil"/>
            </w:tcBorders>
            <w:noWrap w:val="0"/>
            <w:vAlign w:val="center"/>
          </w:tcPr>
          <w:p w14:paraId="40BA1748">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产生工序及装置</w:t>
            </w:r>
          </w:p>
        </w:tc>
        <w:tc>
          <w:tcPr>
            <w:tcW w:w="352" w:type="pct"/>
            <w:tcBorders>
              <w:tl2br w:val="nil"/>
              <w:tr2bl w:val="nil"/>
            </w:tcBorders>
            <w:noWrap w:val="0"/>
            <w:vAlign w:val="center"/>
          </w:tcPr>
          <w:p w14:paraId="7E10C88B">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产生周期</w:t>
            </w:r>
          </w:p>
        </w:tc>
        <w:tc>
          <w:tcPr>
            <w:tcW w:w="242" w:type="pct"/>
            <w:tcBorders>
              <w:tl2br w:val="nil"/>
              <w:tr2bl w:val="nil"/>
            </w:tcBorders>
            <w:noWrap w:val="0"/>
            <w:vAlign w:val="center"/>
          </w:tcPr>
          <w:p w14:paraId="2674F674">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危险特性</w:t>
            </w:r>
          </w:p>
        </w:tc>
        <w:tc>
          <w:tcPr>
            <w:tcW w:w="856" w:type="pct"/>
            <w:tcBorders>
              <w:tl2br w:val="nil"/>
              <w:tr2bl w:val="nil"/>
            </w:tcBorders>
            <w:noWrap w:val="0"/>
            <w:vAlign w:val="center"/>
          </w:tcPr>
          <w:p w14:paraId="49082E0B">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处置方式</w:t>
            </w:r>
          </w:p>
        </w:tc>
      </w:tr>
      <w:tr w14:paraId="266BB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4D72801E">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508" w:type="pct"/>
            <w:tcBorders>
              <w:tl2br w:val="nil"/>
              <w:tr2bl w:val="nil"/>
            </w:tcBorders>
            <w:noWrap w:val="0"/>
            <w:vAlign w:val="center"/>
          </w:tcPr>
          <w:p w14:paraId="14C281A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529" w:type="pct"/>
            <w:tcBorders>
              <w:tl2br w:val="nil"/>
              <w:tr2bl w:val="nil"/>
            </w:tcBorders>
            <w:noWrap w:val="0"/>
            <w:vAlign w:val="center"/>
          </w:tcPr>
          <w:p w14:paraId="0E7F8FE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457" w:type="pct"/>
            <w:tcBorders>
              <w:tl2br w:val="nil"/>
              <w:tr2bl w:val="nil"/>
            </w:tcBorders>
            <w:noWrap w:val="0"/>
            <w:vAlign w:val="center"/>
          </w:tcPr>
          <w:p w14:paraId="39921CCD">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7" w:type="pct"/>
            <w:tcBorders>
              <w:tl2br w:val="nil"/>
              <w:tr2bl w:val="nil"/>
            </w:tcBorders>
            <w:noWrap w:val="0"/>
            <w:vAlign w:val="center"/>
          </w:tcPr>
          <w:p w14:paraId="1B432D5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10" w:type="pct"/>
            <w:tcBorders>
              <w:tl2br w:val="nil"/>
              <w:tr2bl w:val="nil"/>
            </w:tcBorders>
            <w:noWrap w:val="0"/>
            <w:vAlign w:val="center"/>
          </w:tcPr>
          <w:p w14:paraId="34607FAE">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8" w:type="pct"/>
            <w:tcBorders>
              <w:tl2br w:val="nil"/>
              <w:tr2bl w:val="nil"/>
            </w:tcBorders>
            <w:noWrap w:val="0"/>
            <w:vAlign w:val="center"/>
          </w:tcPr>
          <w:p w14:paraId="145D5626">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3.285</w:t>
            </w:r>
          </w:p>
        </w:tc>
        <w:tc>
          <w:tcPr>
            <w:tcW w:w="579" w:type="pct"/>
            <w:tcBorders>
              <w:tl2br w:val="nil"/>
              <w:tr2bl w:val="nil"/>
            </w:tcBorders>
            <w:noWrap w:val="0"/>
            <w:vAlign w:val="center"/>
          </w:tcPr>
          <w:p w14:paraId="31589C0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员工办公生活</w:t>
            </w:r>
          </w:p>
        </w:tc>
        <w:tc>
          <w:tcPr>
            <w:tcW w:w="352" w:type="pct"/>
            <w:tcBorders>
              <w:tl2br w:val="nil"/>
              <w:tr2bl w:val="nil"/>
            </w:tcBorders>
            <w:noWrap w:val="0"/>
            <w:vAlign w:val="center"/>
          </w:tcPr>
          <w:p w14:paraId="4B04054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42" w:type="pct"/>
            <w:tcBorders>
              <w:tl2br w:val="nil"/>
              <w:tr2bl w:val="nil"/>
            </w:tcBorders>
            <w:noWrap w:val="0"/>
            <w:vAlign w:val="center"/>
          </w:tcPr>
          <w:p w14:paraId="38948ACD">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6" w:type="pct"/>
            <w:tcBorders>
              <w:tl2br w:val="nil"/>
              <w:tr2bl w:val="nil"/>
            </w:tcBorders>
            <w:noWrap w:val="0"/>
            <w:vAlign w:val="center"/>
          </w:tcPr>
          <w:p w14:paraId="73BD957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环卫清运</w:t>
            </w:r>
          </w:p>
        </w:tc>
      </w:tr>
      <w:tr w14:paraId="61EA8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5F5C571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w:t>
            </w:r>
          </w:p>
        </w:tc>
        <w:tc>
          <w:tcPr>
            <w:tcW w:w="508" w:type="pct"/>
            <w:tcBorders>
              <w:tl2br w:val="nil"/>
              <w:tr2bl w:val="nil"/>
            </w:tcBorders>
            <w:noWrap w:val="0"/>
            <w:vAlign w:val="center"/>
          </w:tcPr>
          <w:p w14:paraId="25D682DD">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食堂餐厨垃圾</w:t>
            </w:r>
          </w:p>
        </w:tc>
        <w:tc>
          <w:tcPr>
            <w:tcW w:w="529" w:type="pct"/>
            <w:tcBorders>
              <w:tl2br w:val="nil"/>
              <w:tr2bl w:val="nil"/>
            </w:tcBorders>
            <w:noWrap w:val="0"/>
            <w:vAlign w:val="center"/>
          </w:tcPr>
          <w:p w14:paraId="5B3E9B14">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生活垃圾</w:t>
            </w:r>
          </w:p>
        </w:tc>
        <w:tc>
          <w:tcPr>
            <w:tcW w:w="457" w:type="pct"/>
            <w:tcBorders>
              <w:tl2br w:val="nil"/>
              <w:tr2bl w:val="nil"/>
            </w:tcBorders>
            <w:noWrap w:val="0"/>
            <w:vAlign w:val="center"/>
          </w:tcPr>
          <w:p w14:paraId="1AD29D91">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547" w:type="pct"/>
            <w:tcBorders>
              <w:tl2br w:val="nil"/>
              <w:tr2bl w:val="nil"/>
            </w:tcBorders>
            <w:noWrap w:val="0"/>
            <w:vAlign w:val="center"/>
          </w:tcPr>
          <w:p w14:paraId="2B9BA187">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310" w:type="pct"/>
            <w:tcBorders>
              <w:tl2br w:val="nil"/>
              <w:tr2bl w:val="nil"/>
            </w:tcBorders>
            <w:noWrap w:val="0"/>
            <w:vAlign w:val="center"/>
          </w:tcPr>
          <w:p w14:paraId="4AFE5E18">
            <w:pPr>
              <w:pStyle w:val="495"/>
              <w:pageBreakBefore w:val="0"/>
              <w:wordWrap/>
              <w:bidi w:val="0"/>
              <w:adjustRightInd/>
              <w:snapToGrid/>
              <w:ind w:firstLine="0" w:firstLineChars="0"/>
              <w:jc w:val="center"/>
              <w:rPr>
                <w:color w:val="auto"/>
                <w:sz w:val="21"/>
                <w:szCs w:val="21"/>
              </w:rPr>
            </w:pPr>
            <w:r>
              <w:rPr>
                <w:color w:val="auto"/>
                <w:sz w:val="21"/>
                <w:szCs w:val="21"/>
              </w:rPr>
              <w:t>固态</w:t>
            </w:r>
          </w:p>
        </w:tc>
        <w:tc>
          <w:tcPr>
            <w:tcW w:w="428" w:type="pct"/>
            <w:tcBorders>
              <w:tl2br w:val="nil"/>
              <w:tr2bl w:val="nil"/>
            </w:tcBorders>
            <w:noWrap w:val="0"/>
            <w:vAlign w:val="center"/>
          </w:tcPr>
          <w:p w14:paraId="082D0F79">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1.314</w:t>
            </w:r>
          </w:p>
        </w:tc>
        <w:tc>
          <w:tcPr>
            <w:tcW w:w="579" w:type="pct"/>
            <w:tcBorders>
              <w:tl2br w:val="nil"/>
              <w:tr2bl w:val="nil"/>
            </w:tcBorders>
            <w:noWrap w:val="0"/>
            <w:vAlign w:val="center"/>
          </w:tcPr>
          <w:p w14:paraId="1963EEF5">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食堂</w:t>
            </w:r>
          </w:p>
        </w:tc>
        <w:tc>
          <w:tcPr>
            <w:tcW w:w="352" w:type="pct"/>
            <w:tcBorders>
              <w:tl2br w:val="nil"/>
              <w:tr2bl w:val="nil"/>
            </w:tcBorders>
            <w:noWrap w:val="0"/>
            <w:vAlign w:val="center"/>
          </w:tcPr>
          <w:p w14:paraId="6991DA00">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间歇</w:t>
            </w:r>
          </w:p>
        </w:tc>
        <w:tc>
          <w:tcPr>
            <w:tcW w:w="242" w:type="pct"/>
            <w:tcBorders>
              <w:tl2br w:val="nil"/>
              <w:tr2bl w:val="nil"/>
            </w:tcBorders>
            <w:noWrap w:val="0"/>
            <w:vAlign w:val="center"/>
          </w:tcPr>
          <w:p w14:paraId="222D7480">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856" w:type="pct"/>
            <w:tcBorders>
              <w:tl2br w:val="nil"/>
              <w:tr2bl w:val="nil"/>
            </w:tcBorders>
            <w:noWrap w:val="0"/>
            <w:vAlign w:val="center"/>
          </w:tcPr>
          <w:p w14:paraId="4E50EC04">
            <w:pPr>
              <w:pStyle w:val="495"/>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r>
      <w:tr w14:paraId="6DB47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635B35F3">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3</w:t>
            </w:r>
          </w:p>
        </w:tc>
        <w:tc>
          <w:tcPr>
            <w:tcW w:w="508" w:type="pct"/>
            <w:tcBorders>
              <w:tl2br w:val="nil"/>
              <w:tr2bl w:val="nil"/>
            </w:tcBorders>
            <w:noWrap w:val="0"/>
            <w:vAlign w:val="center"/>
          </w:tcPr>
          <w:p w14:paraId="5B1F06AD">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废包装材料</w:t>
            </w:r>
          </w:p>
        </w:tc>
        <w:tc>
          <w:tcPr>
            <w:tcW w:w="529" w:type="pct"/>
            <w:tcBorders>
              <w:tl2br w:val="nil"/>
              <w:tr2bl w:val="nil"/>
            </w:tcBorders>
            <w:noWrap w:val="0"/>
            <w:vAlign w:val="center"/>
          </w:tcPr>
          <w:p w14:paraId="30665C09">
            <w:pPr>
              <w:pStyle w:val="495"/>
              <w:pageBreakBefore w:val="0"/>
              <w:wordWrap/>
              <w:bidi w:val="0"/>
              <w:adjustRightInd/>
              <w:snapToGrid/>
              <w:ind w:firstLine="0" w:firstLineChars="0"/>
              <w:jc w:val="center"/>
              <w:rPr>
                <w:color w:val="auto"/>
                <w:sz w:val="21"/>
                <w:szCs w:val="21"/>
              </w:rPr>
            </w:pPr>
            <w:r>
              <w:rPr>
                <w:color w:val="auto"/>
                <w:sz w:val="21"/>
                <w:szCs w:val="21"/>
              </w:rPr>
              <w:t>一般工业固废</w:t>
            </w:r>
          </w:p>
        </w:tc>
        <w:tc>
          <w:tcPr>
            <w:tcW w:w="457" w:type="pct"/>
            <w:tcBorders>
              <w:tl2br w:val="nil"/>
              <w:tr2bl w:val="nil"/>
            </w:tcBorders>
            <w:noWrap w:val="0"/>
            <w:vAlign w:val="center"/>
          </w:tcPr>
          <w:p w14:paraId="4F6BAE2D">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547" w:type="pct"/>
            <w:tcBorders>
              <w:tl2br w:val="nil"/>
              <w:tr2bl w:val="nil"/>
            </w:tcBorders>
            <w:noWrap w:val="0"/>
            <w:vAlign w:val="center"/>
          </w:tcPr>
          <w:p w14:paraId="7B28D1AC">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310" w:type="pct"/>
            <w:tcBorders>
              <w:tl2br w:val="nil"/>
              <w:tr2bl w:val="nil"/>
            </w:tcBorders>
            <w:noWrap w:val="0"/>
            <w:vAlign w:val="center"/>
          </w:tcPr>
          <w:p w14:paraId="1005CC50">
            <w:pPr>
              <w:pStyle w:val="495"/>
              <w:pageBreakBefore w:val="0"/>
              <w:wordWrap/>
              <w:bidi w:val="0"/>
              <w:adjustRightInd/>
              <w:snapToGrid/>
              <w:ind w:firstLine="0" w:firstLineChars="0"/>
              <w:jc w:val="center"/>
              <w:rPr>
                <w:color w:val="auto"/>
                <w:sz w:val="21"/>
                <w:szCs w:val="21"/>
              </w:rPr>
            </w:pPr>
            <w:r>
              <w:rPr>
                <w:color w:val="auto"/>
                <w:sz w:val="21"/>
                <w:szCs w:val="21"/>
              </w:rPr>
              <w:t>固态</w:t>
            </w:r>
          </w:p>
        </w:tc>
        <w:tc>
          <w:tcPr>
            <w:tcW w:w="428" w:type="pct"/>
            <w:tcBorders>
              <w:tl2br w:val="nil"/>
              <w:tr2bl w:val="nil"/>
            </w:tcBorders>
            <w:noWrap w:val="0"/>
            <w:vAlign w:val="center"/>
          </w:tcPr>
          <w:p w14:paraId="3D0D50A3">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579" w:type="pct"/>
            <w:tcBorders>
              <w:tl2br w:val="nil"/>
              <w:tr2bl w:val="nil"/>
            </w:tcBorders>
            <w:noWrap w:val="0"/>
            <w:vAlign w:val="center"/>
          </w:tcPr>
          <w:p w14:paraId="0CF971E1">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加药间等</w:t>
            </w:r>
          </w:p>
        </w:tc>
        <w:tc>
          <w:tcPr>
            <w:tcW w:w="352" w:type="pct"/>
            <w:tcBorders>
              <w:tl2br w:val="nil"/>
              <w:tr2bl w:val="nil"/>
            </w:tcBorders>
            <w:noWrap w:val="0"/>
            <w:vAlign w:val="center"/>
          </w:tcPr>
          <w:p w14:paraId="032BC73D">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42" w:type="pct"/>
            <w:tcBorders>
              <w:tl2br w:val="nil"/>
              <w:tr2bl w:val="nil"/>
            </w:tcBorders>
            <w:noWrap w:val="0"/>
            <w:vAlign w:val="center"/>
          </w:tcPr>
          <w:p w14:paraId="43D9FA99">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856" w:type="pct"/>
            <w:tcBorders>
              <w:tl2br w:val="nil"/>
              <w:tr2bl w:val="nil"/>
            </w:tcBorders>
            <w:noWrap w:val="0"/>
            <w:vAlign w:val="center"/>
          </w:tcPr>
          <w:p w14:paraId="5D9CE27D">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外售废品回收站</w:t>
            </w:r>
          </w:p>
        </w:tc>
      </w:tr>
      <w:tr w14:paraId="669F8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03D76A08">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508" w:type="pct"/>
            <w:tcBorders>
              <w:tl2br w:val="nil"/>
              <w:tr2bl w:val="nil"/>
            </w:tcBorders>
            <w:noWrap w:val="0"/>
            <w:vAlign w:val="center"/>
          </w:tcPr>
          <w:p w14:paraId="17030A8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栅渣</w:t>
            </w:r>
          </w:p>
        </w:tc>
        <w:tc>
          <w:tcPr>
            <w:tcW w:w="529" w:type="pct"/>
            <w:tcBorders>
              <w:tl2br w:val="nil"/>
              <w:tr2bl w:val="nil"/>
            </w:tcBorders>
            <w:noWrap w:val="0"/>
            <w:vAlign w:val="center"/>
          </w:tcPr>
          <w:p w14:paraId="5490FC2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457" w:type="pct"/>
            <w:tcBorders>
              <w:tl2br w:val="nil"/>
              <w:tr2bl w:val="nil"/>
            </w:tcBorders>
            <w:noWrap w:val="0"/>
            <w:vAlign w:val="center"/>
          </w:tcPr>
          <w:p w14:paraId="4FB5DD3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7" w:type="pct"/>
            <w:tcBorders>
              <w:tl2br w:val="nil"/>
              <w:tr2bl w:val="nil"/>
            </w:tcBorders>
            <w:noWrap w:val="0"/>
            <w:vAlign w:val="center"/>
          </w:tcPr>
          <w:p w14:paraId="326A7CA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10" w:type="pct"/>
            <w:tcBorders>
              <w:tl2br w:val="nil"/>
              <w:tr2bl w:val="nil"/>
            </w:tcBorders>
            <w:noWrap w:val="0"/>
            <w:vAlign w:val="center"/>
          </w:tcPr>
          <w:p w14:paraId="357E27D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8" w:type="pct"/>
            <w:tcBorders>
              <w:tl2br w:val="nil"/>
              <w:tr2bl w:val="nil"/>
            </w:tcBorders>
            <w:noWrap w:val="0"/>
            <w:vAlign w:val="center"/>
          </w:tcPr>
          <w:p w14:paraId="2CF31120">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31.536</w:t>
            </w:r>
          </w:p>
        </w:tc>
        <w:tc>
          <w:tcPr>
            <w:tcW w:w="579" w:type="pct"/>
            <w:tcBorders>
              <w:tl2br w:val="nil"/>
              <w:tr2bl w:val="nil"/>
            </w:tcBorders>
            <w:noWrap w:val="0"/>
            <w:vAlign w:val="center"/>
          </w:tcPr>
          <w:p w14:paraId="2AA67AE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格栅</w:t>
            </w:r>
          </w:p>
        </w:tc>
        <w:tc>
          <w:tcPr>
            <w:tcW w:w="352" w:type="pct"/>
            <w:tcBorders>
              <w:tl2br w:val="nil"/>
              <w:tr2bl w:val="nil"/>
            </w:tcBorders>
            <w:noWrap w:val="0"/>
            <w:vAlign w:val="center"/>
          </w:tcPr>
          <w:p w14:paraId="4FC0633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42" w:type="pct"/>
            <w:tcBorders>
              <w:tl2br w:val="nil"/>
              <w:tr2bl w:val="nil"/>
            </w:tcBorders>
            <w:noWrap w:val="0"/>
            <w:vAlign w:val="center"/>
          </w:tcPr>
          <w:p w14:paraId="5880AB3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6" w:type="pct"/>
            <w:tcBorders>
              <w:tl2br w:val="nil"/>
              <w:tr2bl w:val="nil"/>
            </w:tcBorders>
            <w:noWrap w:val="0"/>
            <w:vAlign w:val="center"/>
          </w:tcPr>
          <w:p w14:paraId="52DCD8C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环卫部门清运</w:t>
            </w:r>
          </w:p>
        </w:tc>
      </w:tr>
      <w:tr w14:paraId="0E078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1A72E97F">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508" w:type="pct"/>
            <w:tcBorders>
              <w:tl2br w:val="nil"/>
              <w:tr2bl w:val="nil"/>
            </w:tcBorders>
            <w:noWrap w:val="0"/>
            <w:vAlign w:val="center"/>
          </w:tcPr>
          <w:p w14:paraId="39AFD10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污泥</w:t>
            </w:r>
          </w:p>
        </w:tc>
        <w:tc>
          <w:tcPr>
            <w:tcW w:w="529" w:type="pct"/>
            <w:tcBorders>
              <w:tl2br w:val="nil"/>
              <w:tr2bl w:val="nil"/>
            </w:tcBorders>
            <w:noWrap w:val="0"/>
            <w:vAlign w:val="center"/>
          </w:tcPr>
          <w:p w14:paraId="3EE04E1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根据鉴定结果判别</w:t>
            </w:r>
          </w:p>
        </w:tc>
        <w:tc>
          <w:tcPr>
            <w:tcW w:w="457" w:type="pct"/>
            <w:tcBorders>
              <w:tl2br w:val="nil"/>
              <w:tr2bl w:val="nil"/>
            </w:tcBorders>
            <w:noWrap w:val="0"/>
            <w:vAlign w:val="center"/>
          </w:tcPr>
          <w:p w14:paraId="68D34E4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7" w:type="pct"/>
            <w:tcBorders>
              <w:tl2br w:val="nil"/>
              <w:tr2bl w:val="nil"/>
            </w:tcBorders>
            <w:noWrap w:val="0"/>
            <w:vAlign w:val="center"/>
          </w:tcPr>
          <w:p w14:paraId="017EFE9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10" w:type="pct"/>
            <w:tcBorders>
              <w:tl2br w:val="nil"/>
              <w:tr2bl w:val="nil"/>
            </w:tcBorders>
            <w:noWrap w:val="0"/>
            <w:vAlign w:val="center"/>
          </w:tcPr>
          <w:p w14:paraId="46B4AC4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8" w:type="pct"/>
            <w:tcBorders>
              <w:tl2br w:val="nil"/>
              <w:tr2bl w:val="nil"/>
            </w:tcBorders>
            <w:noWrap w:val="0"/>
            <w:vAlign w:val="center"/>
          </w:tcPr>
          <w:p w14:paraId="518BB758">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582.54</w:t>
            </w:r>
          </w:p>
        </w:tc>
        <w:tc>
          <w:tcPr>
            <w:tcW w:w="579" w:type="pct"/>
            <w:tcBorders>
              <w:tl2br w:val="nil"/>
              <w:tr2bl w:val="nil"/>
            </w:tcBorders>
            <w:noWrap w:val="0"/>
            <w:vAlign w:val="center"/>
          </w:tcPr>
          <w:p w14:paraId="7B414E6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352" w:type="pct"/>
            <w:tcBorders>
              <w:tl2br w:val="nil"/>
              <w:tr2bl w:val="nil"/>
            </w:tcBorders>
            <w:noWrap w:val="0"/>
            <w:vAlign w:val="center"/>
          </w:tcPr>
          <w:p w14:paraId="6F90144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42" w:type="pct"/>
            <w:tcBorders>
              <w:tl2br w:val="nil"/>
              <w:tr2bl w:val="nil"/>
            </w:tcBorders>
            <w:noWrap w:val="0"/>
            <w:vAlign w:val="center"/>
          </w:tcPr>
          <w:p w14:paraId="66AAF4A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6" w:type="pct"/>
            <w:tcBorders>
              <w:tl2br w:val="nil"/>
              <w:tr2bl w:val="nil"/>
            </w:tcBorders>
            <w:noWrap w:val="0"/>
            <w:vAlign w:val="center"/>
          </w:tcPr>
          <w:p w14:paraId="357814E0">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65E98407">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若属危废→危废处置单位；若不属 </w:t>
            </w:r>
          </w:p>
          <w:p w14:paraId="66793A86">
            <w:pPr>
              <w:pageBreakBefore w:val="0"/>
              <w:widowControl/>
              <w:wordWrap/>
              <w:bidi w:val="0"/>
              <w:adjustRightInd/>
              <w:snapToGrid/>
              <w:spacing w:line="240" w:lineRule="auto"/>
              <w:ind w:firstLine="0" w:firstLineChars="0"/>
              <w:jc w:val="left"/>
              <w:rPr>
                <w:rFonts w:ascii="Times New Roman" w:hAnsi="Times New Roman" w:eastAsia="宋体" w:cs="Times New Roman"/>
                <w:color w:val="auto"/>
                <w:kern w:val="2"/>
                <w:sz w:val="21"/>
                <w:szCs w:val="21"/>
                <w:lang w:val="en-US" w:eastAsia="zh-CN" w:bidi="ar-SA"/>
              </w:rPr>
            </w:pPr>
            <w:r>
              <w:rPr>
                <w:color w:val="auto"/>
                <w:kern w:val="0"/>
                <w:sz w:val="21"/>
                <w:szCs w:val="21"/>
                <w:lang w:bidi="ar"/>
              </w:rPr>
              <w:t>危废→其他第三方专业机构处置。</w:t>
            </w:r>
          </w:p>
        </w:tc>
      </w:tr>
      <w:tr w14:paraId="0B8BE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59A61A67">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508" w:type="pct"/>
            <w:tcBorders>
              <w:tl2br w:val="nil"/>
              <w:tr2bl w:val="nil"/>
            </w:tcBorders>
            <w:noWrap w:val="0"/>
            <w:vAlign w:val="center"/>
          </w:tcPr>
          <w:p w14:paraId="7BB4B9D5">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生物除臭系统废弃填料</w:t>
            </w:r>
          </w:p>
        </w:tc>
        <w:tc>
          <w:tcPr>
            <w:tcW w:w="529" w:type="pct"/>
            <w:tcBorders>
              <w:tl2br w:val="nil"/>
              <w:tr2bl w:val="nil"/>
            </w:tcBorders>
            <w:noWrap w:val="0"/>
            <w:vAlign w:val="center"/>
          </w:tcPr>
          <w:p w14:paraId="557D398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457" w:type="pct"/>
            <w:tcBorders>
              <w:tl2br w:val="nil"/>
              <w:tr2bl w:val="nil"/>
            </w:tcBorders>
            <w:noWrap w:val="0"/>
            <w:vAlign w:val="center"/>
          </w:tcPr>
          <w:p w14:paraId="1B6C4C5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7" w:type="pct"/>
            <w:tcBorders>
              <w:tl2br w:val="nil"/>
              <w:tr2bl w:val="nil"/>
            </w:tcBorders>
            <w:noWrap w:val="0"/>
            <w:vAlign w:val="center"/>
          </w:tcPr>
          <w:p w14:paraId="70D7A17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10" w:type="pct"/>
            <w:tcBorders>
              <w:tl2br w:val="nil"/>
              <w:tr2bl w:val="nil"/>
            </w:tcBorders>
            <w:noWrap w:val="0"/>
            <w:vAlign w:val="center"/>
          </w:tcPr>
          <w:p w14:paraId="69067DC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8" w:type="pct"/>
            <w:tcBorders>
              <w:tl2br w:val="nil"/>
              <w:tr2bl w:val="nil"/>
            </w:tcBorders>
            <w:noWrap w:val="0"/>
            <w:vAlign w:val="center"/>
          </w:tcPr>
          <w:p w14:paraId="5098DBFD">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4.6</w:t>
            </w:r>
          </w:p>
        </w:tc>
        <w:tc>
          <w:tcPr>
            <w:tcW w:w="579" w:type="pct"/>
            <w:tcBorders>
              <w:tl2br w:val="nil"/>
              <w:tr2bl w:val="nil"/>
            </w:tcBorders>
            <w:noWrap w:val="0"/>
            <w:vAlign w:val="center"/>
          </w:tcPr>
          <w:p w14:paraId="617FED6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w:t>
            </w:r>
          </w:p>
        </w:tc>
        <w:tc>
          <w:tcPr>
            <w:tcW w:w="352" w:type="pct"/>
            <w:tcBorders>
              <w:tl2br w:val="nil"/>
              <w:tr2bl w:val="nil"/>
            </w:tcBorders>
            <w:noWrap w:val="0"/>
            <w:vAlign w:val="center"/>
          </w:tcPr>
          <w:p w14:paraId="0BAAC13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42" w:type="pct"/>
            <w:tcBorders>
              <w:tl2br w:val="nil"/>
              <w:tr2bl w:val="nil"/>
            </w:tcBorders>
            <w:noWrap w:val="0"/>
            <w:vAlign w:val="center"/>
          </w:tcPr>
          <w:p w14:paraId="547A701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6" w:type="pct"/>
            <w:tcBorders>
              <w:tl2br w:val="nil"/>
              <w:tr2bl w:val="nil"/>
            </w:tcBorders>
            <w:noWrap w:val="0"/>
            <w:vAlign w:val="center"/>
          </w:tcPr>
          <w:p w14:paraId="051DE22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厂家回收</w:t>
            </w:r>
          </w:p>
        </w:tc>
      </w:tr>
      <w:tr w14:paraId="5F249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1517B0AE">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508" w:type="pct"/>
            <w:tcBorders>
              <w:tl2br w:val="nil"/>
              <w:tr2bl w:val="nil"/>
            </w:tcBorders>
            <w:noWrap w:val="0"/>
            <w:vAlign w:val="center"/>
          </w:tcPr>
          <w:p w14:paraId="12B299E2">
            <w:pPr>
              <w:pStyle w:val="495"/>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废机油</w:t>
            </w:r>
          </w:p>
        </w:tc>
        <w:tc>
          <w:tcPr>
            <w:tcW w:w="529" w:type="pct"/>
            <w:tcBorders>
              <w:tl2br w:val="nil"/>
              <w:tr2bl w:val="nil"/>
            </w:tcBorders>
            <w:noWrap w:val="0"/>
            <w:vAlign w:val="center"/>
          </w:tcPr>
          <w:p w14:paraId="15A8640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HW08</w:t>
            </w:r>
          </w:p>
        </w:tc>
        <w:tc>
          <w:tcPr>
            <w:tcW w:w="457" w:type="pct"/>
            <w:tcBorders>
              <w:tl2br w:val="nil"/>
              <w:tr2bl w:val="nil"/>
            </w:tcBorders>
            <w:noWrap w:val="0"/>
            <w:vAlign w:val="center"/>
          </w:tcPr>
          <w:p w14:paraId="44CD19A6">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900-2</w:t>
            </w:r>
            <w:r>
              <w:rPr>
                <w:rFonts w:hint="eastAsia"/>
                <w:color w:val="auto"/>
                <w:sz w:val="21"/>
                <w:szCs w:val="21"/>
                <w:lang w:val="en-US" w:eastAsia="zh-CN"/>
              </w:rPr>
              <w:t>14</w:t>
            </w:r>
            <w:r>
              <w:rPr>
                <w:color w:val="auto"/>
                <w:sz w:val="21"/>
                <w:szCs w:val="21"/>
              </w:rPr>
              <w:t>-08</w:t>
            </w:r>
          </w:p>
        </w:tc>
        <w:tc>
          <w:tcPr>
            <w:tcW w:w="547" w:type="pct"/>
            <w:tcBorders>
              <w:tl2br w:val="nil"/>
              <w:tr2bl w:val="nil"/>
            </w:tcBorders>
            <w:noWrap w:val="0"/>
            <w:vAlign w:val="center"/>
          </w:tcPr>
          <w:p w14:paraId="10601CC7">
            <w:pPr>
              <w:pStyle w:val="495"/>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矿物油</w:t>
            </w:r>
          </w:p>
        </w:tc>
        <w:tc>
          <w:tcPr>
            <w:tcW w:w="310" w:type="pct"/>
            <w:tcBorders>
              <w:tl2br w:val="nil"/>
              <w:tr2bl w:val="nil"/>
            </w:tcBorders>
            <w:noWrap w:val="0"/>
            <w:vAlign w:val="center"/>
          </w:tcPr>
          <w:p w14:paraId="66328FF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液态</w:t>
            </w:r>
          </w:p>
        </w:tc>
        <w:tc>
          <w:tcPr>
            <w:tcW w:w="428" w:type="pct"/>
            <w:tcBorders>
              <w:tl2br w:val="nil"/>
              <w:tr2bl w:val="nil"/>
            </w:tcBorders>
            <w:noWrap w:val="0"/>
            <w:vAlign w:val="center"/>
          </w:tcPr>
          <w:p w14:paraId="51C0B6A2">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0.01</w:t>
            </w:r>
          </w:p>
        </w:tc>
        <w:tc>
          <w:tcPr>
            <w:tcW w:w="579" w:type="pct"/>
            <w:tcBorders>
              <w:tl2br w:val="nil"/>
              <w:tr2bl w:val="nil"/>
            </w:tcBorders>
            <w:noWrap w:val="0"/>
            <w:vAlign w:val="center"/>
          </w:tcPr>
          <w:p w14:paraId="1155301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设备维护</w:t>
            </w:r>
          </w:p>
        </w:tc>
        <w:tc>
          <w:tcPr>
            <w:tcW w:w="352" w:type="pct"/>
            <w:tcBorders>
              <w:tl2br w:val="nil"/>
              <w:tr2bl w:val="nil"/>
            </w:tcBorders>
            <w:noWrap w:val="0"/>
            <w:vAlign w:val="center"/>
          </w:tcPr>
          <w:p w14:paraId="6E2D0F6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42" w:type="pct"/>
            <w:tcBorders>
              <w:tl2br w:val="nil"/>
              <w:tr2bl w:val="nil"/>
            </w:tcBorders>
            <w:noWrap w:val="0"/>
            <w:vAlign w:val="center"/>
          </w:tcPr>
          <w:p w14:paraId="64B55BB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T/I</w:t>
            </w:r>
          </w:p>
        </w:tc>
        <w:tc>
          <w:tcPr>
            <w:tcW w:w="856" w:type="pct"/>
            <w:vMerge w:val="restart"/>
            <w:tcBorders>
              <w:tl2br w:val="nil"/>
              <w:tr2bl w:val="nil"/>
            </w:tcBorders>
            <w:noWrap w:val="0"/>
            <w:vAlign w:val="center"/>
          </w:tcPr>
          <w:p w14:paraId="267F599D">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r>
      <w:tr w14:paraId="6E6D7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1EE43DD7">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508" w:type="pct"/>
            <w:tcBorders>
              <w:tl2br w:val="nil"/>
              <w:tr2bl w:val="nil"/>
            </w:tcBorders>
            <w:noWrap w:val="0"/>
            <w:vAlign w:val="center"/>
          </w:tcPr>
          <w:p w14:paraId="78BF2970">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废机油桶</w:t>
            </w:r>
          </w:p>
        </w:tc>
        <w:tc>
          <w:tcPr>
            <w:tcW w:w="529" w:type="pct"/>
            <w:tcBorders>
              <w:tl2br w:val="nil"/>
              <w:tr2bl w:val="nil"/>
            </w:tcBorders>
            <w:noWrap w:val="0"/>
            <w:vAlign w:val="center"/>
          </w:tcPr>
          <w:p w14:paraId="0445E53B">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HW08</w:t>
            </w:r>
          </w:p>
        </w:tc>
        <w:tc>
          <w:tcPr>
            <w:tcW w:w="457" w:type="pct"/>
            <w:tcBorders>
              <w:tl2br w:val="nil"/>
              <w:tr2bl w:val="nil"/>
            </w:tcBorders>
            <w:noWrap w:val="0"/>
            <w:vAlign w:val="center"/>
          </w:tcPr>
          <w:p w14:paraId="64D7ED2A">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900-249-08</w:t>
            </w:r>
          </w:p>
        </w:tc>
        <w:tc>
          <w:tcPr>
            <w:tcW w:w="547" w:type="pct"/>
            <w:tcBorders>
              <w:tl2br w:val="nil"/>
              <w:tr2bl w:val="nil"/>
            </w:tcBorders>
            <w:noWrap w:val="0"/>
            <w:vAlign w:val="center"/>
          </w:tcPr>
          <w:p w14:paraId="530D5D40">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310" w:type="pct"/>
            <w:tcBorders>
              <w:tl2br w:val="nil"/>
              <w:tr2bl w:val="nil"/>
            </w:tcBorders>
            <w:noWrap w:val="0"/>
            <w:vAlign w:val="center"/>
          </w:tcPr>
          <w:p w14:paraId="3A8B6902">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8" w:type="pct"/>
            <w:tcBorders>
              <w:tl2br w:val="nil"/>
              <w:tr2bl w:val="nil"/>
            </w:tcBorders>
            <w:noWrap w:val="0"/>
            <w:vAlign w:val="center"/>
          </w:tcPr>
          <w:p w14:paraId="36642C18">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579" w:type="pct"/>
            <w:tcBorders>
              <w:tl2br w:val="nil"/>
              <w:tr2bl w:val="nil"/>
            </w:tcBorders>
            <w:noWrap w:val="0"/>
            <w:vAlign w:val="center"/>
          </w:tcPr>
          <w:p w14:paraId="76330591">
            <w:pPr>
              <w:pStyle w:val="495"/>
              <w:pageBreakBefore w:val="0"/>
              <w:wordWrap/>
              <w:bidi w:val="0"/>
              <w:adjustRightInd/>
              <w:snapToGrid/>
              <w:ind w:firstLine="0" w:firstLineChars="0"/>
              <w:jc w:val="center"/>
              <w:rPr>
                <w:color w:val="auto"/>
                <w:sz w:val="21"/>
                <w:szCs w:val="21"/>
              </w:rPr>
            </w:pPr>
            <w:r>
              <w:rPr>
                <w:color w:val="auto"/>
                <w:sz w:val="21"/>
                <w:szCs w:val="21"/>
              </w:rPr>
              <w:t>设备维护</w:t>
            </w:r>
          </w:p>
        </w:tc>
        <w:tc>
          <w:tcPr>
            <w:tcW w:w="352" w:type="pct"/>
            <w:tcBorders>
              <w:tl2br w:val="nil"/>
              <w:tr2bl w:val="nil"/>
            </w:tcBorders>
            <w:noWrap w:val="0"/>
            <w:vAlign w:val="center"/>
          </w:tcPr>
          <w:p w14:paraId="0DAB06F3">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42" w:type="pct"/>
            <w:tcBorders>
              <w:tl2br w:val="nil"/>
              <w:tr2bl w:val="nil"/>
            </w:tcBorders>
            <w:noWrap w:val="0"/>
            <w:vAlign w:val="center"/>
          </w:tcPr>
          <w:p w14:paraId="6A51AAF9">
            <w:pPr>
              <w:pStyle w:val="495"/>
              <w:pageBreakBefore w:val="0"/>
              <w:wordWrap/>
              <w:bidi w:val="0"/>
              <w:adjustRightInd/>
              <w:snapToGrid/>
              <w:ind w:firstLine="0" w:firstLineChars="0"/>
              <w:jc w:val="center"/>
              <w:rPr>
                <w:color w:val="auto"/>
                <w:sz w:val="21"/>
                <w:szCs w:val="21"/>
              </w:rPr>
            </w:pPr>
            <w:r>
              <w:rPr>
                <w:color w:val="auto"/>
                <w:sz w:val="21"/>
                <w:szCs w:val="21"/>
              </w:rPr>
              <w:t>T/I</w:t>
            </w:r>
          </w:p>
        </w:tc>
        <w:tc>
          <w:tcPr>
            <w:tcW w:w="856" w:type="pct"/>
            <w:vMerge w:val="continue"/>
            <w:tcBorders>
              <w:tl2br w:val="nil"/>
              <w:tr2bl w:val="nil"/>
            </w:tcBorders>
            <w:noWrap w:val="0"/>
            <w:vAlign w:val="center"/>
          </w:tcPr>
          <w:p w14:paraId="4DDE611F">
            <w:pPr>
              <w:pStyle w:val="495"/>
              <w:pageBreakBefore w:val="0"/>
              <w:wordWrap/>
              <w:bidi w:val="0"/>
              <w:adjustRightInd/>
              <w:snapToGrid/>
              <w:ind w:firstLine="0" w:firstLineChars="0"/>
              <w:jc w:val="center"/>
              <w:rPr>
                <w:color w:val="auto"/>
                <w:sz w:val="21"/>
                <w:szCs w:val="21"/>
              </w:rPr>
            </w:pPr>
          </w:p>
        </w:tc>
      </w:tr>
      <w:tr w14:paraId="2BA1F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58396A15">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508" w:type="pct"/>
            <w:tcBorders>
              <w:tl2br w:val="nil"/>
              <w:tr2bl w:val="nil"/>
            </w:tcBorders>
            <w:noWrap w:val="0"/>
            <w:vAlign w:val="center"/>
          </w:tcPr>
          <w:p w14:paraId="400CE78A">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含油棉纱手套</w:t>
            </w:r>
          </w:p>
        </w:tc>
        <w:tc>
          <w:tcPr>
            <w:tcW w:w="529" w:type="pct"/>
            <w:tcBorders>
              <w:tl2br w:val="nil"/>
              <w:tr2bl w:val="nil"/>
            </w:tcBorders>
            <w:noWrap w:val="0"/>
            <w:vAlign w:val="center"/>
          </w:tcPr>
          <w:p w14:paraId="127A2BE9">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457" w:type="pct"/>
            <w:tcBorders>
              <w:tl2br w:val="nil"/>
              <w:tr2bl w:val="nil"/>
            </w:tcBorders>
            <w:noWrap w:val="0"/>
            <w:vAlign w:val="center"/>
          </w:tcPr>
          <w:p w14:paraId="0FF6AE1B">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547" w:type="pct"/>
            <w:tcBorders>
              <w:tl2br w:val="nil"/>
              <w:tr2bl w:val="nil"/>
            </w:tcBorders>
            <w:noWrap w:val="0"/>
            <w:vAlign w:val="center"/>
          </w:tcPr>
          <w:p w14:paraId="30254915">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310" w:type="pct"/>
            <w:tcBorders>
              <w:tl2br w:val="nil"/>
              <w:tr2bl w:val="nil"/>
            </w:tcBorders>
            <w:noWrap w:val="0"/>
            <w:vAlign w:val="center"/>
          </w:tcPr>
          <w:p w14:paraId="4531C2ED">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8" w:type="pct"/>
            <w:tcBorders>
              <w:tl2br w:val="nil"/>
              <w:tr2bl w:val="nil"/>
            </w:tcBorders>
            <w:noWrap w:val="0"/>
            <w:vAlign w:val="center"/>
          </w:tcPr>
          <w:p w14:paraId="0199DCC3">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579" w:type="pct"/>
            <w:tcBorders>
              <w:tl2br w:val="nil"/>
              <w:tr2bl w:val="nil"/>
            </w:tcBorders>
            <w:noWrap w:val="0"/>
            <w:vAlign w:val="center"/>
          </w:tcPr>
          <w:p w14:paraId="79DAF0D1">
            <w:pPr>
              <w:pStyle w:val="495"/>
              <w:pageBreakBefore w:val="0"/>
              <w:wordWrap/>
              <w:bidi w:val="0"/>
              <w:adjustRightInd/>
              <w:snapToGrid/>
              <w:ind w:firstLine="0" w:firstLineChars="0"/>
              <w:jc w:val="center"/>
              <w:rPr>
                <w:color w:val="auto"/>
                <w:sz w:val="21"/>
                <w:szCs w:val="21"/>
              </w:rPr>
            </w:pPr>
            <w:r>
              <w:rPr>
                <w:color w:val="auto"/>
                <w:sz w:val="21"/>
                <w:szCs w:val="21"/>
              </w:rPr>
              <w:t>设备维护</w:t>
            </w:r>
          </w:p>
        </w:tc>
        <w:tc>
          <w:tcPr>
            <w:tcW w:w="352" w:type="pct"/>
            <w:tcBorders>
              <w:tl2br w:val="nil"/>
              <w:tr2bl w:val="nil"/>
            </w:tcBorders>
            <w:noWrap w:val="0"/>
            <w:vAlign w:val="center"/>
          </w:tcPr>
          <w:p w14:paraId="4217D1AC">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42" w:type="pct"/>
            <w:tcBorders>
              <w:tl2br w:val="nil"/>
              <w:tr2bl w:val="nil"/>
            </w:tcBorders>
            <w:noWrap w:val="0"/>
            <w:vAlign w:val="center"/>
          </w:tcPr>
          <w:p w14:paraId="4A41842C">
            <w:pPr>
              <w:pStyle w:val="495"/>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856" w:type="pct"/>
            <w:vMerge w:val="continue"/>
            <w:tcBorders>
              <w:tl2br w:val="nil"/>
              <w:tr2bl w:val="nil"/>
            </w:tcBorders>
            <w:noWrap w:val="0"/>
            <w:vAlign w:val="center"/>
          </w:tcPr>
          <w:p w14:paraId="1858236C">
            <w:pPr>
              <w:pStyle w:val="495"/>
              <w:pageBreakBefore w:val="0"/>
              <w:wordWrap/>
              <w:bidi w:val="0"/>
              <w:adjustRightInd/>
              <w:snapToGrid/>
              <w:ind w:firstLine="0" w:firstLineChars="0"/>
              <w:jc w:val="center"/>
              <w:rPr>
                <w:color w:val="auto"/>
                <w:sz w:val="21"/>
                <w:szCs w:val="21"/>
              </w:rPr>
            </w:pPr>
          </w:p>
        </w:tc>
      </w:tr>
      <w:tr w14:paraId="02AF3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504B8A81">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508" w:type="pct"/>
            <w:tcBorders>
              <w:tl2br w:val="nil"/>
              <w:tr2bl w:val="nil"/>
            </w:tcBorders>
            <w:noWrap w:val="0"/>
            <w:vAlign w:val="center"/>
          </w:tcPr>
          <w:p w14:paraId="729D7D18">
            <w:pPr>
              <w:pStyle w:val="495"/>
              <w:pageBreakBefore w:val="0"/>
              <w:wordWrap/>
              <w:bidi w:val="0"/>
              <w:adjustRightInd/>
              <w:snapToGrid/>
              <w:ind w:firstLine="0" w:firstLineChars="0"/>
              <w:jc w:val="center"/>
              <w:rPr>
                <w:color w:val="auto"/>
                <w:sz w:val="21"/>
                <w:szCs w:val="21"/>
              </w:rPr>
            </w:pPr>
            <w:r>
              <w:rPr>
                <w:color w:val="auto"/>
                <w:sz w:val="21"/>
                <w:szCs w:val="21"/>
              </w:rPr>
              <w:t>化验废液</w:t>
            </w:r>
          </w:p>
        </w:tc>
        <w:tc>
          <w:tcPr>
            <w:tcW w:w="529" w:type="pct"/>
            <w:tcBorders>
              <w:tl2br w:val="nil"/>
              <w:tr2bl w:val="nil"/>
            </w:tcBorders>
            <w:noWrap w:val="0"/>
            <w:vAlign w:val="center"/>
          </w:tcPr>
          <w:p w14:paraId="0A32A3D2">
            <w:pPr>
              <w:pStyle w:val="495"/>
              <w:pageBreakBefore w:val="0"/>
              <w:wordWrap/>
              <w:bidi w:val="0"/>
              <w:adjustRightInd/>
              <w:snapToGrid/>
              <w:ind w:firstLine="0" w:firstLineChars="0"/>
              <w:jc w:val="center"/>
              <w:rPr>
                <w:color w:val="auto"/>
                <w:sz w:val="21"/>
                <w:szCs w:val="21"/>
              </w:rPr>
            </w:pPr>
            <w:r>
              <w:rPr>
                <w:color w:val="auto"/>
                <w:sz w:val="21"/>
                <w:szCs w:val="21"/>
              </w:rPr>
              <w:t>HW49</w:t>
            </w:r>
          </w:p>
        </w:tc>
        <w:tc>
          <w:tcPr>
            <w:tcW w:w="457" w:type="pct"/>
            <w:tcBorders>
              <w:tl2br w:val="nil"/>
              <w:tr2bl w:val="nil"/>
            </w:tcBorders>
            <w:noWrap w:val="0"/>
            <w:vAlign w:val="center"/>
          </w:tcPr>
          <w:p w14:paraId="52FEF226">
            <w:pPr>
              <w:pStyle w:val="495"/>
              <w:pageBreakBefore w:val="0"/>
              <w:wordWrap/>
              <w:bidi w:val="0"/>
              <w:adjustRightInd/>
              <w:snapToGrid/>
              <w:ind w:firstLine="0" w:firstLineChars="0"/>
              <w:jc w:val="center"/>
              <w:rPr>
                <w:color w:val="auto"/>
                <w:sz w:val="21"/>
                <w:szCs w:val="21"/>
              </w:rPr>
            </w:pPr>
            <w:r>
              <w:rPr>
                <w:color w:val="auto"/>
                <w:sz w:val="21"/>
                <w:szCs w:val="21"/>
              </w:rPr>
              <w:t>900-047-49</w:t>
            </w:r>
          </w:p>
        </w:tc>
        <w:tc>
          <w:tcPr>
            <w:tcW w:w="547" w:type="pct"/>
            <w:tcBorders>
              <w:tl2br w:val="nil"/>
              <w:tr2bl w:val="nil"/>
            </w:tcBorders>
            <w:noWrap w:val="0"/>
            <w:vAlign w:val="center"/>
          </w:tcPr>
          <w:p w14:paraId="1237CA64">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310" w:type="pct"/>
            <w:tcBorders>
              <w:tl2br w:val="nil"/>
              <w:tr2bl w:val="nil"/>
            </w:tcBorders>
            <w:noWrap w:val="0"/>
            <w:vAlign w:val="center"/>
          </w:tcPr>
          <w:p w14:paraId="797D6EED">
            <w:pPr>
              <w:pStyle w:val="495"/>
              <w:pageBreakBefore w:val="0"/>
              <w:wordWrap/>
              <w:bidi w:val="0"/>
              <w:adjustRightInd/>
              <w:snapToGrid/>
              <w:ind w:firstLine="0" w:firstLineChars="0"/>
              <w:jc w:val="center"/>
              <w:rPr>
                <w:color w:val="auto"/>
                <w:sz w:val="21"/>
                <w:szCs w:val="21"/>
              </w:rPr>
            </w:pPr>
            <w:r>
              <w:rPr>
                <w:color w:val="auto"/>
                <w:sz w:val="21"/>
                <w:szCs w:val="21"/>
              </w:rPr>
              <w:t>液态</w:t>
            </w:r>
          </w:p>
        </w:tc>
        <w:tc>
          <w:tcPr>
            <w:tcW w:w="428" w:type="pct"/>
            <w:tcBorders>
              <w:tl2br w:val="nil"/>
              <w:tr2bl w:val="nil"/>
            </w:tcBorders>
            <w:noWrap w:val="0"/>
            <w:vAlign w:val="center"/>
          </w:tcPr>
          <w:p w14:paraId="00DD9458">
            <w:pPr>
              <w:pStyle w:val="495"/>
              <w:pageBreakBefore w:val="0"/>
              <w:wordWrap/>
              <w:bidi w:val="0"/>
              <w:adjustRightInd/>
              <w:snapToGrid/>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1</w:t>
            </w:r>
          </w:p>
        </w:tc>
        <w:tc>
          <w:tcPr>
            <w:tcW w:w="579" w:type="pct"/>
            <w:tcBorders>
              <w:tl2br w:val="nil"/>
              <w:tr2bl w:val="nil"/>
            </w:tcBorders>
            <w:noWrap w:val="0"/>
            <w:vAlign w:val="center"/>
          </w:tcPr>
          <w:p w14:paraId="6A3898B5">
            <w:pPr>
              <w:pStyle w:val="495"/>
              <w:pageBreakBefore w:val="0"/>
              <w:wordWrap/>
              <w:bidi w:val="0"/>
              <w:adjustRightInd/>
              <w:snapToGrid/>
              <w:ind w:firstLine="0" w:firstLineChars="0"/>
              <w:jc w:val="center"/>
              <w:rPr>
                <w:rFonts w:hint="eastAsia" w:eastAsia="宋体"/>
                <w:color w:val="auto"/>
                <w:sz w:val="21"/>
                <w:szCs w:val="21"/>
                <w:lang w:eastAsia="zh-CN"/>
              </w:rPr>
            </w:pPr>
            <w:r>
              <w:rPr>
                <w:rFonts w:hint="eastAsia"/>
                <w:color w:val="auto"/>
                <w:sz w:val="21"/>
                <w:szCs w:val="21"/>
                <w:lang w:val="en-US" w:eastAsia="zh-CN"/>
              </w:rPr>
              <w:t>化验室</w:t>
            </w:r>
          </w:p>
        </w:tc>
        <w:tc>
          <w:tcPr>
            <w:tcW w:w="352" w:type="pct"/>
            <w:tcBorders>
              <w:tl2br w:val="nil"/>
              <w:tr2bl w:val="nil"/>
            </w:tcBorders>
            <w:noWrap w:val="0"/>
            <w:vAlign w:val="center"/>
          </w:tcPr>
          <w:p w14:paraId="37DE359D">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42" w:type="pct"/>
            <w:tcBorders>
              <w:tl2br w:val="nil"/>
              <w:tr2bl w:val="nil"/>
            </w:tcBorders>
            <w:noWrap w:val="0"/>
            <w:vAlign w:val="center"/>
          </w:tcPr>
          <w:p w14:paraId="3FB2B4BB">
            <w:pPr>
              <w:pStyle w:val="495"/>
              <w:pageBreakBefore w:val="0"/>
              <w:wordWrap/>
              <w:bidi w:val="0"/>
              <w:adjustRightInd/>
              <w:snapToGrid/>
              <w:ind w:firstLine="0" w:firstLineChars="0"/>
              <w:jc w:val="center"/>
              <w:rPr>
                <w:color w:val="auto"/>
                <w:sz w:val="21"/>
                <w:szCs w:val="21"/>
              </w:rPr>
            </w:pPr>
            <w:r>
              <w:rPr>
                <w:rFonts w:hint="eastAsia"/>
                <w:color w:val="auto"/>
                <w:sz w:val="21"/>
                <w:szCs w:val="21"/>
              </w:rPr>
              <w:t>T/C/I/R</w:t>
            </w:r>
          </w:p>
        </w:tc>
        <w:tc>
          <w:tcPr>
            <w:tcW w:w="856" w:type="pct"/>
            <w:vMerge w:val="continue"/>
            <w:tcBorders>
              <w:tl2br w:val="nil"/>
              <w:tr2bl w:val="nil"/>
            </w:tcBorders>
            <w:noWrap w:val="0"/>
            <w:vAlign w:val="center"/>
          </w:tcPr>
          <w:p w14:paraId="3F036957">
            <w:pPr>
              <w:pStyle w:val="495"/>
              <w:pageBreakBefore w:val="0"/>
              <w:wordWrap/>
              <w:bidi w:val="0"/>
              <w:adjustRightInd/>
              <w:snapToGrid/>
              <w:ind w:firstLine="0" w:firstLineChars="0"/>
              <w:jc w:val="center"/>
              <w:rPr>
                <w:color w:val="auto"/>
                <w:sz w:val="21"/>
                <w:szCs w:val="21"/>
              </w:rPr>
            </w:pPr>
          </w:p>
        </w:tc>
      </w:tr>
      <w:tr w14:paraId="54A4EE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2D08B8C8">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508" w:type="pct"/>
            <w:tcBorders>
              <w:tl2br w:val="nil"/>
              <w:tr2bl w:val="nil"/>
            </w:tcBorders>
            <w:noWrap w:val="0"/>
            <w:vAlign w:val="center"/>
          </w:tcPr>
          <w:p w14:paraId="10E0A515">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废化学试剂瓶</w:t>
            </w:r>
          </w:p>
        </w:tc>
        <w:tc>
          <w:tcPr>
            <w:tcW w:w="529" w:type="pct"/>
            <w:tcBorders>
              <w:tl2br w:val="nil"/>
              <w:tr2bl w:val="nil"/>
            </w:tcBorders>
            <w:noWrap w:val="0"/>
            <w:vAlign w:val="center"/>
          </w:tcPr>
          <w:p w14:paraId="049CEE9D">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457" w:type="pct"/>
            <w:tcBorders>
              <w:tl2br w:val="nil"/>
              <w:tr2bl w:val="nil"/>
            </w:tcBorders>
            <w:noWrap w:val="0"/>
            <w:vAlign w:val="center"/>
          </w:tcPr>
          <w:p w14:paraId="7F7C3E13">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547" w:type="pct"/>
            <w:tcBorders>
              <w:tl2br w:val="nil"/>
              <w:tr2bl w:val="nil"/>
            </w:tcBorders>
            <w:noWrap w:val="0"/>
            <w:vAlign w:val="center"/>
          </w:tcPr>
          <w:p w14:paraId="0C78F513">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c>
          <w:tcPr>
            <w:tcW w:w="310" w:type="pct"/>
            <w:tcBorders>
              <w:tl2br w:val="nil"/>
              <w:tr2bl w:val="nil"/>
            </w:tcBorders>
            <w:noWrap w:val="0"/>
            <w:vAlign w:val="center"/>
          </w:tcPr>
          <w:p w14:paraId="67EF8076">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8" w:type="pct"/>
            <w:tcBorders>
              <w:tl2br w:val="nil"/>
              <w:tr2bl w:val="nil"/>
            </w:tcBorders>
            <w:noWrap w:val="0"/>
            <w:vAlign w:val="center"/>
          </w:tcPr>
          <w:p w14:paraId="7DE4D154">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579" w:type="pct"/>
            <w:tcBorders>
              <w:tl2br w:val="nil"/>
              <w:tr2bl w:val="nil"/>
            </w:tcBorders>
            <w:noWrap w:val="0"/>
            <w:vAlign w:val="center"/>
          </w:tcPr>
          <w:p w14:paraId="172607E6">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化验室</w:t>
            </w:r>
          </w:p>
        </w:tc>
        <w:tc>
          <w:tcPr>
            <w:tcW w:w="352" w:type="pct"/>
            <w:tcBorders>
              <w:tl2br w:val="nil"/>
              <w:tr2bl w:val="nil"/>
            </w:tcBorders>
            <w:noWrap w:val="0"/>
            <w:vAlign w:val="center"/>
          </w:tcPr>
          <w:p w14:paraId="62A9EC22">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42" w:type="pct"/>
            <w:tcBorders>
              <w:tl2br w:val="nil"/>
              <w:tr2bl w:val="nil"/>
            </w:tcBorders>
            <w:noWrap w:val="0"/>
            <w:vAlign w:val="center"/>
          </w:tcPr>
          <w:p w14:paraId="2A08267B">
            <w:pPr>
              <w:pStyle w:val="495"/>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856" w:type="pct"/>
            <w:vMerge w:val="continue"/>
            <w:tcBorders>
              <w:tl2br w:val="nil"/>
              <w:tr2bl w:val="nil"/>
            </w:tcBorders>
            <w:noWrap w:val="0"/>
            <w:vAlign w:val="center"/>
          </w:tcPr>
          <w:p w14:paraId="07EE53D7">
            <w:pPr>
              <w:pStyle w:val="495"/>
              <w:pageBreakBefore w:val="0"/>
              <w:wordWrap/>
              <w:bidi w:val="0"/>
              <w:adjustRightInd/>
              <w:snapToGrid/>
              <w:ind w:firstLine="0" w:firstLineChars="0"/>
              <w:jc w:val="center"/>
              <w:rPr>
                <w:color w:val="auto"/>
                <w:sz w:val="21"/>
                <w:szCs w:val="21"/>
              </w:rPr>
            </w:pPr>
          </w:p>
        </w:tc>
      </w:tr>
      <w:tr w14:paraId="5A400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8" w:type="pct"/>
            <w:tcBorders>
              <w:tl2br w:val="nil"/>
              <w:tr2bl w:val="nil"/>
            </w:tcBorders>
            <w:noWrap w:val="0"/>
            <w:vAlign w:val="center"/>
          </w:tcPr>
          <w:p w14:paraId="19FC3236">
            <w:pPr>
              <w:pStyle w:val="495"/>
              <w:pageBreakBefore w:val="0"/>
              <w:wordWrap/>
              <w:bidi w:val="0"/>
              <w:adjustRightInd/>
              <w:snapToGrid/>
              <w:ind w:firstLine="0" w:firstLineChars="0"/>
              <w:jc w:val="center"/>
              <w:rPr>
                <w:color w:val="auto"/>
                <w:sz w:val="21"/>
                <w:szCs w:val="21"/>
              </w:rPr>
            </w:pPr>
            <w:r>
              <w:rPr>
                <w:color w:val="auto"/>
                <w:sz w:val="21"/>
                <w:szCs w:val="21"/>
              </w:rPr>
              <w:t>合计</w:t>
            </w:r>
          </w:p>
        </w:tc>
        <w:tc>
          <w:tcPr>
            <w:tcW w:w="508" w:type="pct"/>
            <w:tcBorders>
              <w:tl2br w:val="nil"/>
              <w:tr2bl w:val="nil"/>
            </w:tcBorders>
            <w:noWrap w:val="0"/>
            <w:vAlign w:val="center"/>
          </w:tcPr>
          <w:p w14:paraId="5FFBC5AB">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529" w:type="pct"/>
            <w:tcBorders>
              <w:tl2br w:val="nil"/>
              <w:tr2bl w:val="nil"/>
            </w:tcBorders>
            <w:noWrap w:val="0"/>
            <w:vAlign w:val="center"/>
          </w:tcPr>
          <w:p w14:paraId="360E4A50">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457" w:type="pct"/>
            <w:tcBorders>
              <w:tl2br w:val="nil"/>
              <w:tr2bl w:val="nil"/>
            </w:tcBorders>
            <w:noWrap w:val="0"/>
            <w:vAlign w:val="center"/>
          </w:tcPr>
          <w:p w14:paraId="138F4B8A">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547" w:type="pct"/>
            <w:tcBorders>
              <w:tl2br w:val="nil"/>
              <w:tr2bl w:val="nil"/>
            </w:tcBorders>
            <w:noWrap w:val="0"/>
            <w:vAlign w:val="center"/>
          </w:tcPr>
          <w:p w14:paraId="6E74A3E8">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310" w:type="pct"/>
            <w:tcBorders>
              <w:tl2br w:val="nil"/>
              <w:tr2bl w:val="nil"/>
            </w:tcBorders>
            <w:noWrap w:val="0"/>
            <w:vAlign w:val="center"/>
          </w:tcPr>
          <w:p w14:paraId="07AC3A40">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428" w:type="pct"/>
            <w:tcBorders>
              <w:tl2br w:val="nil"/>
              <w:tr2bl w:val="nil"/>
            </w:tcBorders>
            <w:noWrap w:val="0"/>
            <w:vAlign w:val="center"/>
          </w:tcPr>
          <w:p w14:paraId="3D9D016E">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624.405</w:t>
            </w:r>
          </w:p>
        </w:tc>
        <w:tc>
          <w:tcPr>
            <w:tcW w:w="579" w:type="pct"/>
            <w:tcBorders>
              <w:tl2br w:val="nil"/>
              <w:tr2bl w:val="nil"/>
            </w:tcBorders>
            <w:noWrap w:val="0"/>
            <w:vAlign w:val="center"/>
          </w:tcPr>
          <w:p w14:paraId="42A76AE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352" w:type="pct"/>
            <w:tcBorders>
              <w:tl2br w:val="nil"/>
              <w:tr2bl w:val="nil"/>
            </w:tcBorders>
            <w:noWrap w:val="0"/>
            <w:vAlign w:val="center"/>
          </w:tcPr>
          <w:p w14:paraId="7D0E439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42" w:type="pct"/>
            <w:tcBorders>
              <w:tl2br w:val="nil"/>
              <w:tr2bl w:val="nil"/>
            </w:tcBorders>
            <w:noWrap w:val="0"/>
            <w:vAlign w:val="center"/>
          </w:tcPr>
          <w:p w14:paraId="62B07AB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856" w:type="pct"/>
            <w:tcBorders>
              <w:tl2br w:val="nil"/>
              <w:tr2bl w:val="nil"/>
            </w:tcBorders>
            <w:noWrap w:val="0"/>
            <w:vAlign w:val="center"/>
          </w:tcPr>
          <w:p w14:paraId="48938194">
            <w:pPr>
              <w:pStyle w:val="495"/>
              <w:pageBreakBefore w:val="0"/>
              <w:wordWrap/>
              <w:bidi w:val="0"/>
              <w:adjustRightInd/>
              <w:snapToGrid/>
              <w:ind w:firstLine="0" w:firstLineChars="0"/>
              <w:jc w:val="center"/>
              <w:rPr>
                <w:color w:val="auto"/>
                <w:sz w:val="21"/>
                <w:szCs w:val="21"/>
              </w:rPr>
            </w:pPr>
            <w:r>
              <w:rPr>
                <w:color w:val="auto"/>
                <w:sz w:val="21"/>
                <w:szCs w:val="21"/>
              </w:rPr>
              <w:t>/</w:t>
            </w:r>
          </w:p>
        </w:tc>
      </w:tr>
    </w:tbl>
    <w:p w14:paraId="0B066DFC">
      <w:pPr>
        <w:pageBreakBefore w:val="0"/>
        <w:wordWrap/>
        <w:bidi w:val="0"/>
        <w:adjustRightInd/>
        <w:snapToGrid/>
        <w:ind w:firstLine="480"/>
        <w:rPr>
          <w:color w:val="auto"/>
        </w:rPr>
        <w:sectPr>
          <w:pgSz w:w="16838" w:h="11906" w:orient="landscape"/>
          <w:pgMar w:top="1588" w:right="1440" w:bottom="1588" w:left="1440" w:header="720" w:footer="720" w:gutter="0"/>
          <w:pgBorders>
            <w:top w:val="none" w:sz="0" w:space="0"/>
            <w:left w:val="none" w:sz="0" w:space="0"/>
            <w:bottom w:val="none" w:sz="0" w:space="0"/>
            <w:right w:val="none" w:sz="0" w:space="0"/>
          </w:pgBorders>
          <w:pgNumType w:fmt="decimal"/>
          <w:cols w:space="720" w:num="1"/>
          <w:docGrid w:linePitch="286" w:charSpace="0"/>
        </w:sectPr>
      </w:pPr>
    </w:p>
    <w:p w14:paraId="18F53118">
      <w:pPr>
        <w:pStyle w:val="5"/>
        <w:bidi w:val="0"/>
        <w:rPr>
          <w:color w:val="auto"/>
        </w:rPr>
      </w:pPr>
      <w:r>
        <w:rPr>
          <w:rFonts w:hint="eastAsia"/>
          <w:color w:val="auto"/>
        </w:rPr>
        <w:t xml:space="preserve"> </w:t>
      </w:r>
      <w:r>
        <w:rPr>
          <w:color w:val="auto"/>
        </w:rPr>
        <w:t>地下水</w:t>
      </w:r>
      <w:r>
        <w:rPr>
          <w:rFonts w:hint="eastAsia"/>
          <w:color w:val="auto"/>
          <w:lang w:val="en-US" w:eastAsia="zh-CN"/>
        </w:rPr>
        <w:t>产生</w:t>
      </w:r>
      <w:r>
        <w:rPr>
          <w:color w:val="auto"/>
        </w:rPr>
        <w:t>及防渗措施</w:t>
      </w:r>
    </w:p>
    <w:p w14:paraId="18C00659">
      <w:pPr>
        <w:bidi w:val="0"/>
        <w:rPr>
          <w:color w:val="auto"/>
        </w:rPr>
      </w:pPr>
      <w:bookmarkStart w:id="110" w:name="_Hlk49123097"/>
      <w:r>
        <w:rPr>
          <w:color w:val="auto"/>
        </w:rPr>
        <w:t>本项目为</w:t>
      </w:r>
      <w:r>
        <w:rPr>
          <w:rFonts w:hint="eastAsia"/>
          <w:color w:val="auto"/>
        </w:rPr>
        <w:t>新建污水处理厂及配套尾水排放管网</w:t>
      </w:r>
      <w:r>
        <w:rPr>
          <w:color w:val="auto"/>
        </w:rPr>
        <w:t>，</w:t>
      </w:r>
      <w:r>
        <w:rPr>
          <w:rFonts w:hint="eastAsia"/>
          <w:color w:val="auto"/>
        </w:rPr>
        <w:t>同步建设园区环境监测站，</w:t>
      </w:r>
      <w:r>
        <w:rPr>
          <w:color w:val="auto"/>
        </w:rPr>
        <w:t>占地</w:t>
      </w:r>
      <w:r>
        <w:rPr>
          <w:rFonts w:hint="eastAsia"/>
          <w:color w:val="auto"/>
        </w:rPr>
        <w:t>面积40490.09m²</w:t>
      </w:r>
      <w:r>
        <w:rPr>
          <w:color w:val="auto"/>
        </w:rPr>
        <w:t>，</w:t>
      </w:r>
      <w:r>
        <w:rPr>
          <w:rFonts w:hint="eastAsia"/>
          <w:color w:val="auto"/>
        </w:rPr>
        <w:t>总建设规模为1.6万m³/d，本次主要设计按照一期规模0.3万m³/d进行建设。</w:t>
      </w:r>
      <w:r>
        <w:rPr>
          <w:color w:val="auto"/>
        </w:rPr>
        <w:t>根据前述潜在污染源和污染途径分析，本项目可能对地下水环境产生影响的构筑物主要包括：</w:t>
      </w:r>
    </w:p>
    <w:p w14:paraId="19C05448">
      <w:pPr>
        <w:bidi w:val="0"/>
        <w:rPr>
          <w:color w:val="auto"/>
        </w:rPr>
      </w:pPr>
      <w:r>
        <w:rPr>
          <w:rFonts w:hint="eastAsia"/>
          <w:color w:val="auto"/>
        </w:rPr>
        <w:t>①主体工程</w:t>
      </w:r>
    </w:p>
    <w:p w14:paraId="026E20BB">
      <w:pPr>
        <w:bidi w:val="0"/>
        <w:rPr>
          <w:color w:val="auto"/>
        </w:rPr>
      </w:pPr>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55EA5FDA">
      <w:pPr>
        <w:bidi w:val="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1B6C17B3">
      <w:pPr>
        <w:bidi w:val="0"/>
        <w:rPr>
          <w:color w:val="auto"/>
        </w:rPr>
      </w:pPr>
      <w:r>
        <w:rPr>
          <w:rFonts w:hint="eastAsia"/>
          <w:color w:val="auto"/>
        </w:rPr>
        <w:t>深度处理单元：高级氧化撬装设备；</w:t>
      </w:r>
    </w:p>
    <w:p w14:paraId="1CD5EEEB">
      <w:pPr>
        <w:bidi w:val="0"/>
        <w:rPr>
          <w:color w:val="auto"/>
        </w:rPr>
      </w:pPr>
      <w:r>
        <w:rPr>
          <w:rFonts w:hint="eastAsia"/>
          <w:color w:val="auto"/>
        </w:rPr>
        <w:t>②配套</w:t>
      </w:r>
      <w:r>
        <w:rPr>
          <w:color w:val="auto"/>
        </w:rPr>
        <w:t>工程</w:t>
      </w:r>
    </w:p>
    <w:p w14:paraId="563B6C62">
      <w:pPr>
        <w:bidi w:val="0"/>
        <w:rPr>
          <w:color w:val="auto"/>
        </w:rPr>
      </w:pPr>
      <w:r>
        <w:rPr>
          <w:rFonts w:hint="eastAsia"/>
          <w:color w:val="auto"/>
        </w:rPr>
        <w:t>污泥处理单元：磁混凝沉淀池、污泥池；</w:t>
      </w:r>
    </w:p>
    <w:p w14:paraId="40B9E297">
      <w:pPr>
        <w:bidi w:val="0"/>
        <w:rPr>
          <w:color w:val="auto"/>
        </w:rPr>
      </w:pPr>
      <w:r>
        <w:rPr>
          <w:rFonts w:hint="eastAsia"/>
          <w:color w:val="auto"/>
        </w:rPr>
        <w:t>③辅助</w:t>
      </w:r>
      <w:r>
        <w:rPr>
          <w:color w:val="auto"/>
        </w:rPr>
        <w:t>工程</w:t>
      </w:r>
    </w:p>
    <w:p w14:paraId="36367F6A">
      <w:pPr>
        <w:bidi w:val="0"/>
        <w:rPr>
          <w:color w:val="auto"/>
        </w:rPr>
      </w:pPr>
      <w:r>
        <w:rPr>
          <w:rFonts w:hint="eastAsia"/>
          <w:color w:val="auto"/>
        </w:rPr>
        <w:t>机修间、</w:t>
      </w:r>
      <w:r>
        <w:rPr>
          <w:color w:val="auto"/>
        </w:rPr>
        <w:t>危废暂存间</w:t>
      </w:r>
      <w:r>
        <w:rPr>
          <w:rFonts w:hint="eastAsia"/>
          <w:color w:val="auto"/>
        </w:rPr>
        <w:t>、事故池、园区事故应急池。</w:t>
      </w:r>
    </w:p>
    <w:p w14:paraId="63C2E710">
      <w:pPr>
        <w:bidi w:val="0"/>
        <w:rPr>
          <w:color w:val="auto"/>
        </w:rPr>
      </w:pPr>
      <w:r>
        <w:rPr>
          <w:color w:val="auto"/>
        </w:rPr>
        <w:t>根据《环境影响评价技术导则—地下水环境》（HJ610-2016）及《危险废物贮存污染控制标准》（GB18597），以上构筑物均需进行重点防渗。在采取防渗措施后，正常状况，以上构筑物运行过程中对地下水环境影响较小。非正常运行状态下，受</w:t>
      </w:r>
      <w:r>
        <w:rPr>
          <w:rFonts w:hint="eastAsia"/>
          <w:color w:val="auto"/>
        </w:rPr>
        <w:t>池体</w:t>
      </w:r>
      <w:r>
        <w:rPr>
          <w:color w:val="auto"/>
        </w:rPr>
        <w:t>老化及防渗系统腐蚀等因素影响，本项目</w:t>
      </w:r>
      <w:r>
        <w:rPr>
          <w:rFonts w:hint="eastAsia"/>
          <w:color w:val="auto"/>
        </w:rPr>
        <w:t>处理的</w:t>
      </w:r>
      <w:r>
        <w:rPr>
          <w:color w:val="auto"/>
        </w:rPr>
        <w:t>废水泄漏并部分入渗含水层，将会对区内地下水水质造成影响。</w:t>
      </w:r>
    </w:p>
    <w:bookmarkEnd w:id="110"/>
    <w:p w14:paraId="4776397E">
      <w:pPr>
        <w:ind w:firstLine="482"/>
        <w:rPr>
          <w:b/>
          <w:color w:val="auto"/>
        </w:rPr>
      </w:pPr>
      <w:r>
        <w:rPr>
          <w:b/>
          <w:color w:val="auto"/>
        </w:rPr>
        <w:t>（3）项目运行状况设计</w:t>
      </w:r>
    </w:p>
    <w:p w14:paraId="13982114">
      <w:pPr>
        <w:bidi w:val="0"/>
        <w:rPr>
          <w:color w:val="auto"/>
        </w:rPr>
      </w:pPr>
      <w:r>
        <w:rPr>
          <w:color w:val="auto"/>
        </w:rPr>
        <w:t>依据产污环节分析，本项目可能产生地下水污染的构筑物及设备中，</w:t>
      </w:r>
      <w:bookmarkStart w:id="111" w:name="_Hlk172487907"/>
      <w:r>
        <w:rPr>
          <w:rFonts w:hint="eastAsia"/>
          <w:color w:val="auto"/>
        </w:rPr>
        <w:t>机修间车辆废机油泄漏后落于车间地表极易被发现，在车间地表重点防渗的条件下</w:t>
      </w:r>
      <w:r>
        <w:rPr>
          <w:color w:val="auto"/>
        </w:rPr>
        <w:t>发生非正常状态泄漏量有限，形成水力梯度较小，污染地下水系统可能性</w:t>
      </w:r>
      <w:r>
        <w:rPr>
          <w:rFonts w:hint="eastAsia"/>
          <w:color w:val="auto"/>
        </w:rPr>
        <w:t>极</w:t>
      </w:r>
      <w:r>
        <w:rPr>
          <w:color w:val="auto"/>
        </w:rPr>
        <w:t>小。危废暂存间储存的危险废物采用50L小型</w:t>
      </w:r>
      <w:r>
        <w:rPr>
          <w:rFonts w:hint="eastAsia"/>
          <w:color w:val="auto"/>
        </w:rPr>
        <w:t>铁</w:t>
      </w:r>
      <w:r>
        <w:rPr>
          <w:color w:val="auto"/>
        </w:rPr>
        <w:t>制</w:t>
      </w:r>
      <w:r>
        <w:rPr>
          <w:rFonts w:hint="eastAsia"/>
          <w:color w:val="auto"/>
        </w:rPr>
        <w:t>或P</w:t>
      </w:r>
      <w:r>
        <w:rPr>
          <w:color w:val="auto"/>
        </w:rPr>
        <w:t>VC密闭容器储存</w:t>
      </w:r>
      <w:r>
        <w:rPr>
          <w:rFonts w:hint="eastAsia"/>
          <w:color w:val="auto"/>
        </w:rPr>
        <w:t>废矿物油、在线监测系统废液等，</w:t>
      </w:r>
      <w:r>
        <w:rPr>
          <w:color w:val="auto"/>
        </w:rPr>
        <w:t>发生非正常状态泄漏量有限，形成水力梯度较小，污染地下水系统可能性较小</w:t>
      </w:r>
      <w:r>
        <w:rPr>
          <w:rFonts w:hint="eastAsia"/>
          <w:color w:val="auto"/>
        </w:rPr>
        <w:t>。</w:t>
      </w:r>
      <w:bookmarkEnd w:id="111"/>
      <w:r>
        <w:rPr>
          <w:rFonts w:hint="eastAsia"/>
          <w:color w:val="auto"/>
        </w:rPr>
        <w:t>事故池及园区事故应急池</w:t>
      </w:r>
      <w:r>
        <w:rPr>
          <w:color w:val="auto"/>
        </w:rPr>
        <w:t>为非正常状况生产</w:t>
      </w:r>
      <w:r>
        <w:rPr>
          <w:rFonts w:hint="eastAsia"/>
          <w:color w:val="auto"/>
        </w:rPr>
        <w:t>废水</w:t>
      </w:r>
      <w:r>
        <w:rPr>
          <w:color w:val="auto"/>
        </w:rPr>
        <w:t>及</w:t>
      </w:r>
      <w:r>
        <w:rPr>
          <w:rFonts w:hint="eastAsia"/>
          <w:color w:val="auto"/>
        </w:rPr>
        <w:t>消防</w:t>
      </w:r>
      <w:r>
        <w:rPr>
          <w:color w:val="auto"/>
        </w:rPr>
        <w:t>废水临时储存构筑物，平时为空置；环评要求以上构筑物须采取</w:t>
      </w:r>
      <w:r>
        <w:rPr>
          <w:rFonts w:hint="eastAsia"/>
          <w:color w:val="auto"/>
        </w:rPr>
        <w:t>重点</w:t>
      </w:r>
      <w:r>
        <w:rPr>
          <w:color w:val="auto"/>
        </w:rPr>
        <w:t>防渗及地下水环境保护措施；在采取相应措施后，以上构筑物运行过程中产生污染物下渗进入含水层几率</w:t>
      </w:r>
      <w:r>
        <w:rPr>
          <w:rFonts w:hint="eastAsia"/>
          <w:color w:val="auto"/>
        </w:rPr>
        <w:t>极</w:t>
      </w:r>
      <w:r>
        <w:rPr>
          <w:color w:val="auto"/>
        </w:rPr>
        <w:t>小</w:t>
      </w:r>
      <w:r>
        <w:rPr>
          <w:rFonts w:hint="eastAsia"/>
          <w:color w:val="auto"/>
        </w:rPr>
        <w:t>，影响极其有限</w:t>
      </w:r>
      <w:r>
        <w:rPr>
          <w:color w:val="auto"/>
        </w:rPr>
        <w:t>。因此，以上构筑物不作为本次预测工作重点。</w:t>
      </w:r>
    </w:p>
    <w:p w14:paraId="4E39A94C">
      <w:pPr>
        <w:bidi w:val="0"/>
        <w:rPr>
          <w:color w:val="auto"/>
        </w:rPr>
      </w:pPr>
      <w:r>
        <w:rPr>
          <w:color w:val="auto"/>
        </w:rPr>
        <w:t>本次环评将重点针对以下区域进行地下水影响预测：</w:t>
      </w:r>
    </w:p>
    <w:p w14:paraId="1520A8D2">
      <w:pPr>
        <w:ind w:firstLine="480"/>
        <w:rPr>
          <w:color w:val="auto"/>
        </w:rPr>
      </w:pPr>
      <w:r>
        <w:rPr>
          <w:rFonts w:hint="eastAsia" w:ascii="宋体" w:hAnsi="宋体" w:cs="宋体"/>
          <w:color w:val="auto"/>
        </w:rPr>
        <w:t>①</w:t>
      </w:r>
      <w:r>
        <w:rPr>
          <w:rFonts w:hint="eastAsia"/>
          <w:color w:val="auto"/>
        </w:rPr>
        <w:t>主体工程</w:t>
      </w:r>
    </w:p>
    <w:p w14:paraId="20F93C75">
      <w:pPr>
        <w:ind w:firstLine="480"/>
        <w:rPr>
          <w:color w:val="auto"/>
        </w:rPr>
      </w:pPr>
      <w:bookmarkStart w:id="112" w:name="_Hlk172488679"/>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149128E0">
      <w:pPr>
        <w:ind w:firstLine="48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1FD9E115">
      <w:pPr>
        <w:ind w:firstLine="480"/>
        <w:rPr>
          <w:color w:val="auto"/>
        </w:rPr>
      </w:pPr>
      <w:r>
        <w:rPr>
          <w:rFonts w:hint="eastAsia"/>
          <w:color w:val="auto"/>
        </w:rPr>
        <w:t>深度处理单元：高级氧化撬装设备；</w:t>
      </w:r>
    </w:p>
    <w:p w14:paraId="049CB5F4">
      <w:pPr>
        <w:ind w:firstLine="480"/>
        <w:rPr>
          <w:color w:val="auto"/>
        </w:rPr>
      </w:pPr>
      <w:r>
        <w:rPr>
          <w:rFonts w:hint="eastAsia" w:ascii="宋体" w:hAnsi="宋体" w:cs="宋体"/>
          <w:color w:val="auto"/>
        </w:rPr>
        <w:t>②</w:t>
      </w:r>
      <w:r>
        <w:rPr>
          <w:rFonts w:hint="eastAsia"/>
          <w:color w:val="auto"/>
        </w:rPr>
        <w:t>配套</w:t>
      </w:r>
      <w:r>
        <w:rPr>
          <w:color w:val="auto"/>
        </w:rPr>
        <w:t>工程</w:t>
      </w:r>
    </w:p>
    <w:p w14:paraId="0AFD0485">
      <w:pPr>
        <w:ind w:firstLine="480"/>
        <w:rPr>
          <w:color w:val="auto"/>
          <w:kern w:val="0"/>
          <w:szCs w:val="24"/>
        </w:rPr>
      </w:pPr>
      <w:r>
        <w:rPr>
          <w:rFonts w:hint="eastAsia"/>
          <w:color w:val="auto"/>
        </w:rPr>
        <w:t>污泥处理单元：磁混凝沉淀池、污泥池；</w:t>
      </w:r>
    </w:p>
    <w:bookmarkEnd w:id="112"/>
    <w:p w14:paraId="27A3229B">
      <w:pPr>
        <w:ind w:firstLine="480"/>
        <w:rPr>
          <w:color w:val="auto"/>
        </w:rPr>
      </w:pPr>
      <w:r>
        <w:rPr>
          <w:color w:val="auto"/>
        </w:rPr>
        <w:t>本项目运行状况设计</w:t>
      </w:r>
      <w:r>
        <w:rPr>
          <w:rFonts w:hint="eastAsia"/>
          <w:color w:val="auto"/>
          <w:lang w:eastAsia="zh-CN"/>
        </w:rPr>
        <w:t>见</w:t>
      </w:r>
      <w:r>
        <w:rPr>
          <w:rFonts w:hint="eastAsia"/>
          <w:color w:val="auto"/>
          <w:lang w:val="en-US" w:eastAsia="zh-CN"/>
        </w:rPr>
        <w:t>下表</w:t>
      </w:r>
      <w:r>
        <w:rPr>
          <w:color w:val="auto"/>
        </w:rPr>
        <w:t>。</w:t>
      </w:r>
    </w:p>
    <w:p w14:paraId="3873684E">
      <w:pPr>
        <w:pStyle w:val="15"/>
        <w:bidi w:val="0"/>
        <w:ind w:left="0" w:leftChars="0" w:firstLine="0" w:firstLineChars="0"/>
        <w:rPr>
          <w:color w:val="auto"/>
        </w:rPr>
      </w:pPr>
      <w:r>
        <w:rPr>
          <w:color w:val="auto"/>
        </w:rPr>
        <w:t>本项目运行状况设计</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37"/>
        <w:gridCol w:w="1936"/>
        <w:gridCol w:w="2197"/>
        <w:gridCol w:w="2537"/>
      </w:tblGrid>
      <w:tr w14:paraId="7A031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tcBorders>
              <w:tl2br w:val="nil"/>
              <w:tr2bl w:val="nil"/>
            </w:tcBorders>
            <w:tcMar>
              <w:left w:w="28" w:type="dxa"/>
              <w:right w:w="28" w:type="dxa"/>
            </w:tcMar>
            <w:vAlign w:val="center"/>
          </w:tcPr>
          <w:p w14:paraId="3E754390">
            <w:pPr>
              <w:pStyle w:val="711"/>
              <w:rPr>
                <w:b/>
                <w:bCs/>
                <w:color w:val="auto"/>
              </w:rPr>
            </w:pPr>
            <w:r>
              <w:rPr>
                <w:b/>
                <w:bCs/>
                <w:color w:val="auto"/>
              </w:rPr>
              <w:t>功能分区</w:t>
            </w:r>
          </w:p>
        </w:tc>
        <w:tc>
          <w:tcPr>
            <w:tcW w:w="1237" w:type="dxa"/>
            <w:tcBorders>
              <w:tl2br w:val="nil"/>
              <w:tr2bl w:val="nil"/>
            </w:tcBorders>
            <w:vAlign w:val="center"/>
          </w:tcPr>
          <w:p w14:paraId="33ADD33D">
            <w:pPr>
              <w:pStyle w:val="711"/>
              <w:rPr>
                <w:b/>
                <w:bCs/>
                <w:color w:val="auto"/>
              </w:rPr>
            </w:pPr>
            <w:r>
              <w:rPr>
                <w:rFonts w:hint="eastAsia"/>
                <w:b/>
                <w:bCs/>
                <w:color w:val="auto"/>
              </w:rPr>
              <w:t>处理单元类型</w:t>
            </w:r>
          </w:p>
        </w:tc>
        <w:tc>
          <w:tcPr>
            <w:tcW w:w="1936" w:type="dxa"/>
            <w:tcBorders>
              <w:tl2br w:val="nil"/>
              <w:tr2bl w:val="nil"/>
            </w:tcBorders>
            <w:shd w:val="clear" w:color="auto" w:fill="auto"/>
            <w:tcMar>
              <w:left w:w="28" w:type="dxa"/>
              <w:right w:w="28" w:type="dxa"/>
            </w:tcMar>
            <w:vAlign w:val="center"/>
          </w:tcPr>
          <w:p w14:paraId="2E8DA287">
            <w:pPr>
              <w:pStyle w:val="711"/>
              <w:rPr>
                <w:b/>
                <w:bCs/>
                <w:color w:val="auto"/>
              </w:rPr>
            </w:pPr>
            <w:r>
              <w:rPr>
                <w:b/>
                <w:bCs/>
                <w:color w:val="auto"/>
              </w:rPr>
              <w:t>构筑物</w:t>
            </w:r>
          </w:p>
        </w:tc>
        <w:tc>
          <w:tcPr>
            <w:tcW w:w="2197" w:type="dxa"/>
            <w:tcBorders>
              <w:tl2br w:val="nil"/>
              <w:tr2bl w:val="nil"/>
            </w:tcBorders>
            <w:shd w:val="clear" w:color="auto" w:fill="auto"/>
            <w:noWrap/>
            <w:tcMar>
              <w:left w:w="28" w:type="dxa"/>
              <w:right w:w="28" w:type="dxa"/>
            </w:tcMar>
            <w:vAlign w:val="center"/>
          </w:tcPr>
          <w:p w14:paraId="0AA0E6F1">
            <w:pPr>
              <w:pStyle w:val="711"/>
              <w:rPr>
                <w:b/>
                <w:bCs/>
                <w:color w:val="auto"/>
              </w:rPr>
            </w:pPr>
            <w:r>
              <w:rPr>
                <w:b/>
                <w:bCs/>
                <w:color w:val="auto"/>
              </w:rPr>
              <w:t>正常状态</w:t>
            </w:r>
          </w:p>
        </w:tc>
        <w:tc>
          <w:tcPr>
            <w:tcW w:w="2537" w:type="dxa"/>
            <w:tcBorders>
              <w:tl2br w:val="nil"/>
              <w:tr2bl w:val="nil"/>
            </w:tcBorders>
            <w:shd w:val="clear" w:color="auto" w:fill="auto"/>
            <w:noWrap/>
            <w:tcMar>
              <w:left w:w="28" w:type="dxa"/>
              <w:right w:w="28" w:type="dxa"/>
            </w:tcMar>
            <w:vAlign w:val="center"/>
          </w:tcPr>
          <w:p w14:paraId="59C8737B">
            <w:pPr>
              <w:pStyle w:val="711"/>
              <w:rPr>
                <w:b/>
                <w:bCs/>
                <w:color w:val="auto"/>
              </w:rPr>
            </w:pPr>
            <w:r>
              <w:rPr>
                <w:b/>
                <w:bCs/>
                <w:color w:val="auto"/>
              </w:rPr>
              <w:t>非正常状态</w:t>
            </w:r>
          </w:p>
        </w:tc>
      </w:tr>
      <w:tr w14:paraId="482C3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restart"/>
            <w:tcBorders>
              <w:tl2br w:val="nil"/>
              <w:tr2bl w:val="nil"/>
            </w:tcBorders>
            <w:tcMar>
              <w:left w:w="28" w:type="dxa"/>
              <w:right w:w="28" w:type="dxa"/>
            </w:tcMar>
            <w:vAlign w:val="center"/>
          </w:tcPr>
          <w:p w14:paraId="649F4085">
            <w:pPr>
              <w:pStyle w:val="711"/>
              <w:rPr>
                <w:color w:val="auto"/>
              </w:rPr>
            </w:pPr>
            <w:r>
              <w:rPr>
                <w:rFonts w:hint="eastAsia"/>
                <w:color w:val="auto"/>
              </w:rPr>
              <w:t>主体工程</w:t>
            </w:r>
          </w:p>
        </w:tc>
        <w:tc>
          <w:tcPr>
            <w:tcW w:w="1237" w:type="dxa"/>
            <w:vMerge w:val="restart"/>
            <w:tcBorders>
              <w:tl2br w:val="nil"/>
              <w:tr2bl w:val="nil"/>
            </w:tcBorders>
            <w:vAlign w:val="center"/>
          </w:tcPr>
          <w:p w14:paraId="4C7B163E">
            <w:pPr>
              <w:pStyle w:val="711"/>
              <w:rPr>
                <w:color w:val="auto"/>
              </w:rPr>
            </w:pPr>
            <w:r>
              <w:rPr>
                <w:rFonts w:hint="eastAsia"/>
                <w:color w:val="auto"/>
              </w:rPr>
              <w:t>一级处理单元</w:t>
            </w:r>
          </w:p>
        </w:tc>
        <w:tc>
          <w:tcPr>
            <w:tcW w:w="1936" w:type="dxa"/>
            <w:tcBorders>
              <w:tl2br w:val="nil"/>
              <w:tr2bl w:val="nil"/>
            </w:tcBorders>
            <w:shd w:val="clear" w:color="auto" w:fill="auto"/>
            <w:tcMar>
              <w:left w:w="28" w:type="dxa"/>
              <w:right w:w="28" w:type="dxa"/>
            </w:tcMar>
            <w:vAlign w:val="center"/>
          </w:tcPr>
          <w:p w14:paraId="29111FE4">
            <w:pPr>
              <w:pStyle w:val="711"/>
              <w:rPr>
                <w:color w:val="auto"/>
              </w:rPr>
            </w:pPr>
            <w:r>
              <w:rPr>
                <w:rFonts w:hint="eastAsia"/>
                <w:color w:val="auto"/>
              </w:rPr>
              <w:t>超细格栅池</w:t>
            </w:r>
          </w:p>
        </w:tc>
        <w:tc>
          <w:tcPr>
            <w:tcW w:w="2197" w:type="dxa"/>
            <w:vMerge w:val="restart"/>
            <w:tcBorders>
              <w:tl2br w:val="nil"/>
              <w:tr2bl w:val="nil"/>
            </w:tcBorders>
            <w:shd w:val="clear" w:color="auto" w:fill="auto"/>
            <w:noWrap/>
            <w:tcMar>
              <w:left w:w="28" w:type="dxa"/>
              <w:right w:w="28" w:type="dxa"/>
            </w:tcMar>
            <w:vAlign w:val="center"/>
          </w:tcPr>
          <w:p w14:paraId="11013FBA">
            <w:pPr>
              <w:pStyle w:val="711"/>
              <w:rPr>
                <w:color w:val="auto"/>
              </w:rPr>
            </w:pPr>
            <w:r>
              <w:rPr>
                <w:color w:val="auto"/>
              </w:rPr>
              <w:t>根据</w:t>
            </w:r>
            <w:r>
              <w:rPr>
                <w:rFonts w:hint="eastAsia"/>
                <w:color w:val="auto"/>
              </w:rPr>
              <w:t>导则要求，</w:t>
            </w:r>
            <w:r>
              <w:rPr>
                <w:color w:val="auto"/>
              </w:rPr>
              <w:t>采取重点防渗措施。在采取</w:t>
            </w:r>
            <w:r>
              <w:rPr>
                <w:rFonts w:hint="eastAsia"/>
                <w:color w:val="auto"/>
              </w:rPr>
              <w:t>重点</w:t>
            </w:r>
            <w:r>
              <w:rPr>
                <w:color w:val="auto"/>
              </w:rPr>
              <w:t>措施情况下，正常运行状况对地下水环境较小，将不作为预测重点。</w:t>
            </w:r>
          </w:p>
        </w:tc>
        <w:tc>
          <w:tcPr>
            <w:tcW w:w="2537" w:type="dxa"/>
            <w:vMerge w:val="restart"/>
            <w:tcBorders>
              <w:tl2br w:val="nil"/>
              <w:tr2bl w:val="nil"/>
            </w:tcBorders>
            <w:shd w:val="clear" w:color="auto" w:fill="auto"/>
            <w:noWrap/>
            <w:tcMar>
              <w:left w:w="28" w:type="dxa"/>
              <w:right w:w="28" w:type="dxa"/>
            </w:tcMar>
            <w:vAlign w:val="center"/>
          </w:tcPr>
          <w:p w14:paraId="77F68A80">
            <w:pPr>
              <w:pStyle w:val="711"/>
              <w:rPr>
                <w:color w:val="auto"/>
              </w:rPr>
            </w:pPr>
            <w:r>
              <w:rPr>
                <w:rFonts w:hint="eastAsia"/>
                <w:color w:val="auto"/>
              </w:rPr>
              <w:t>污水</w:t>
            </w:r>
            <w:r>
              <w:rPr>
                <w:color w:val="auto"/>
              </w:rPr>
              <w:t>处理</w:t>
            </w:r>
            <w:r>
              <w:rPr>
                <w:rFonts w:hint="eastAsia"/>
                <w:color w:val="auto"/>
              </w:rPr>
              <w:t>厂</w:t>
            </w:r>
            <w:r>
              <w:rPr>
                <w:color w:val="auto"/>
              </w:rPr>
              <w:t>中</w:t>
            </w:r>
            <w:r>
              <w:rPr>
                <w:rFonts w:hint="eastAsia"/>
                <w:color w:val="auto"/>
              </w:rPr>
              <w:t>各</w:t>
            </w:r>
            <w:r>
              <w:rPr>
                <w:color w:val="auto"/>
              </w:rPr>
              <w:t>主要池体因腐蚀</w:t>
            </w:r>
            <w:r>
              <w:rPr>
                <w:rFonts w:hint="eastAsia"/>
                <w:color w:val="auto"/>
              </w:rPr>
              <w:t>、沉陷</w:t>
            </w:r>
            <w:r>
              <w:rPr>
                <w:color w:val="auto"/>
              </w:rPr>
              <w:t>等原因出现裂缝，池体防渗层裂缝面积占池体面积10%，</w:t>
            </w:r>
            <w:r>
              <w:rPr>
                <w:rFonts w:hint="eastAsia"/>
                <w:color w:val="auto"/>
              </w:rPr>
              <w:t>各</w:t>
            </w:r>
            <w:r>
              <w:rPr>
                <w:color w:val="auto"/>
              </w:rPr>
              <w:t>池体内水位高度</w:t>
            </w:r>
            <w:r>
              <w:rPr>
                <w:rFonts w:hint="eastAsia"/>
                <w:color w:val="auto"/>
              </w:rPr>
              <w:t>分别</w:t>
            </w:r>
            <w:r>
              <w:rPr>
                <w:color w:val="auto"/>
              </w:rPr>
              <w:t>取</w:t>
            </w:r>
            <w:r>
              <w:rPr>
                <w:rFonts w:hint="eastAsia"/>
                <w:color w:val="auto"/>
              </w:rPr>
              <w:t>各自</w:t>
            </w:r>
            <w:r>
              <w:rPr>
                <w:color w:val="auto"/>
              </w:rPr>
              <w:t>有效水深。</w:t>
            </w:r>
          </w:p>
        </w:tc>
      </w:tr>
      <w:tr w14:paraId="05B33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63890485">
            <w:pPr>
              <w:pStyle w:val="711"/>
              <w:rPr>
                <w:color w:val="auto"/>
              </w:rPr>
            </w:pPr>
          </w:p>
        </w:tc>
        <w:tc>
          <w:tcPr>
            <w:tcW w:w="1237" w:type="dxa"/>
            <w:vMerge w:val="continue"/>
            <w:tcBorders>
              <w:tl2br w:val="nil"/>
              <w:tr2bl w:val="nil"/>
            </w:tcBorders>
            <w:vAlign w:val="center"/>
          </w:tcPr>
          <w:p w14:paraId="1A7F5110">
            <w:pPr>
              <w:pStyle w:val="711"/>
              <w:rPr>
                <w:color w:val="auto"/>
              </w:rPr>
            </w:pPr>
          </w:p>
        </w:tc>
        <w:tc>
          <w:tcPr>
            <w:tcW w:w="1936" w:type="dxa"/>
            <w:tcBorders>
              <w:tl2br w:val="nil"/>
              <w:tr2bl w:val="nil"/>
            </w:tcBorders>
            <w:shd w:val="clear" w:color="auto" w:fill="auto"/>
            <w:tcMar>
              <w:left w:w="28" w:type="dxa"/>
              <w:right w:w="28" w:type="dxa"/>
            </w:tcMar>
            <w:vAlign w:val="center"/>
          </w:tcPr>
          <w:p w14:paraId="21559820">
            <w:pPr>
              <w:pStyle w:val="711"/>
              <w:rPr>
                <w:color w:val="auto"/>
              </w:rPr>
            </w:pPr>
            <w:r>
              <w:rPr>
                <w:rFonts w:hint="eastAsia"/>
                <w:color w:val="auto"/>
              </w:rPr>
              <w:t>调节池</w:t>
            </w:r>
          </w:p>
        </w:tc>
        <w:tc>
          <w:tcPr>
            <w:tcW w:w="2197" w:type="dxa"/>
            <w:vMerge w:val="continue"/>
            <w:tcBorders>
              <w:tl2br w:val="nil"/>
              <w:tr2bl w:val="nil"/>
            </w:tcBorders>
            <w:shd w:val="clear" w:color="auto" w:fill="auto"/>
            <w:noWrap/>
            <w:tcMar>
              <w:left w:w="28" w:type="dxa"/>
              <w:right w:w="28" w:type="dxa"/>
            </w:tcMar>
            <w:vAlign w:val="center"/>
          </w:tcPr>
          <w:p w14:paraId="6BB9B7C6">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4ECC10F4">
            <w:pPr>
              <w:pStyle w:val="711"/>
              <w:rPr>
                <w:color w:val="auto"/>
              </w:rPr>
            </w:pPr>
          </w:p>
        </w:tc>
      </w:tr>
      <w:tr w14:paraId="04B7B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47F9D0CE">
            <w:pPr>
              <w:pStyle w:val="711"/>
              <w:rPr>
                <w:color w:val="auto"/>
              </w:rPr>
            </w:pPr>
          </w:p>
        </w:tc>
        <w:tc>
          <w:tcPr>
            <w:tcW w:w="1237" w:type="dxa"/>
            <w:vMerge w:val="continue"/>
            <w:tcBorders>
              <w:tl2br w:val="nil"/>
              <w:tr2bl w:val="nil"/>
            </w:tcBorders>
            <w:vAlign w:val="center"/>
          </w:tcPr>
          <w:p w14:paraId="55CC3D23">
            <w:pPr>
              <w:pStyle w:val="711"/>
              <w:rPr>
                <w:color w:val="auto"/>
              </w:rPr>
            </w:pPr>
          </w:p>
        </w:tc>
        <w:tc>
          <w:tcPr>
            <w:tcW w:w="1936" w:type="dxa"/>
            <w:tcBorders>
              <w:tl2br w:val="nil"/>
              <w:tr2bl w:val="nil"/>
            </w:tcBorders>
            <w:shd w:val="clear" w:color="auto" w:fill="auto"/>
            <w:tcMar>
              <w:left w:w="28" w:type="dxa"/>
              <w:right w:w="28" w:type="dxa"/>
            </w:tcMar>
            <w:vAlign w:val="center"/>
          </w:tcPr>
          <w:p w14:paraId="17523A70">
            <w:pPr>
              <w:pStyle w:val="711"/>
              <w:rPr>
                <w:color w:val="auto"/>
              </w:rPr>
            </w:pPr>
            <w:r>
              <w:rPr>
                <w:rFonts w:hint="eastAsia"/>
                <w:color w:val="auto"/>
              </w:rPr>
              <w:t>水解酸化池</w:t>
            </w:r>
          </w:p>
        </w:tc>
        <w:tc>
          <w:tcPr>
            <w:tcW w:w="2197" w:type="dxa"/>
            <w:vMerge w:val="continue"/>
            <w:tcBorders>
              <w:tl2br w:val="nil"/>
              <w:tr2bl w:val="nil"/>
            </w:tcBorders>
            <w:shd w:val="clear" w:color="auto" w:fill="auto"/>
            <w:noWrap/>
            <w:tcMar>
              <w:left w:w="28" w:type="dxa"/>
              <w:right w:w="28" w:type="dxa"/>
            </w:tcMar>
            <w:vAlign w:val="center"/>
          </w:tcPr>
          <w:p w14:paraId="4898A28B">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22A08FC1">
            <w:pPr>
              <w:pStyle w:val="711"/>
              <w:rPr>
                <w:color w:val="auto"/>
              </w:rPr>
            </w:pPr>
          </w:p>
        </w:tc>
      </w:tr>
      <w:tr w14:paraId="333DC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15EC0993">
            <w:pPr>
              <w:pStyle w:val="711"/>
              <w:rPr>
                <w:color w:val="auto"/>
              </w:rPr>
            </w:pPr>
          </w:p>
        </w:tc>
        <w:tc>
          <w:tcPr>
            <w:tcW w:w="1237" w:type="dxa"/>
            <w:vMerge w:val="restart"/>
            <w:tcBorders>
              <w:tl2br w:val="nil"/>
              <w:tr2bl w:val="nil"/>
            </w:tcBorders>
            <w:vAlign w:val="center"/>
          </w:tcPr>
          <w:p w14:paraId="1B38195B">
            <w:pPr>
              <w:pStyle w:val="711"/>
              <w:rPr>
                <w:color w:val="auto"/>
              </w:rPr>
            </w:pPr>
            <w:r>
              <w:rPr>
                <w:rFonts w:hint="eastAsia"/>
                <w:color w:val="auto"/>
              </w:rPr>
              <w:t>二级处理单元</w:t>
            </w:r>
          </w:p>
        </w:tc>
        <w:tc>
          <w:tcPr>
            <w:tcW w:w="1936" w:type="dxa"/>
            <w:tcBorders>
              <w:tl2br w:val="nil"/>
              <w:tr2bl w:val="nil"/>
            </w:tcBorders>
            <w:shd w:val="clear" w:color="auto" w:fill="auto"/>
            <w:tcMar>
              <w:left w:w="28" w:type="dxa"/>
              <w:right w:w="28" w:type="dxa"/>
            </w:tcMar>
            <w:vAlign w:val="center"/>
          </w:tcPr>
          <w:p w14:paraId="52318070">
            <w:pPr>
              <w:pStyle w:val="711"/>
              <w:rPr>
                <w:color w:val="auto"/>
              </w:rPr>
            </w:pPr>
            <w:r>
              <w:rPr>
                <w:rFonts w:hint="eastAsia"/>
                <w:color w:val="auto"/>
              </w:rPr>
              <w:t>微氧低循环生化池</w:t>
            </w:r>
          </w:p>
        </w:tc>
        <w:tc>
          <w:tcPr>
            <w:tcW w:w="2197" w:type="dxa"/>
            <w:vMerge w:val="continue"/>
            <w:tcBorders>
              <w:tl2br w:val="nil"/>
              <w:tr2bl w:val="nil"/>
            </w:tcBorders>
            <w:shd w:val="clear" w:color="auto" w:fill="auto"/>
            <w:noWrap/>
            <w:tcMar>
              <w:left w:w="28" w:type="dxa"/>
              <w:right w:w="28" w:type="dxa"/>
            </w:tcMar>
            <w:vAlign w:val="center"/>
          </w:tcPr>
          <w:p w14:paraId="5019345C">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71FA87EF">
            <w:pPr>
              <w:pStyle w:val="711"/>
              <w:rPr>
                <w:color w:val="auto"/>
              </w:rPr>
            </w:pPr>
          </w:p>
        </w:tc>
      </w:tr>
      <w:tr w14:paraId="4BAE4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63DBF091">
            <w:pPr>
              <w:pStyle w:val="711"/>
              <w:rPr>
                <w:color w:val="auto"/>
              </w:rPr>
            </w:pPr>
          </w:p>
        </w:tc>
        <w:tc>
          <w:tcPr>
            <w:tcW w:w="1237" w:type="dxa"/>
            <w:vMerge w:val="continue"/>
            <w:tcBorders>
              <w:tl2br w:val="nil"/>
              <w:tr2bl w:val="nil"/>
            </w:tcBorders>
            <w:vAlign w:val="center"/>
          </w:tcPr>
          <w:p w14:paraId="07A8E99C">
            <w:pPr>
              <w:pStyle w:val="711"/>
              <w:rPr>
                <w:color w:val="auto"/>
              </w:rPr>
            </w:pPr>
          </w:p>
        </w:tc>
        <w:tc>
          <w:tcPr>
            <w:tcW w:w="1936" w:type="dxa"/>
            <w:tcBorders>
              <w:tl2br w:val="nil"/>
              <w:tr2bl w:val="nil"/>
            </w:tcBorders>
            <w:shd w:val="clear" w:color="auto" w:fill="auto"/>
            <w:tcMar>
              <w:left w:w="28" w:type="dxa"/>
              <w:right w:w="28" w:type="dxa"/>
            </w:tcMar>
            <w:vAlign w:val="center"/>
          </w:tcPr>
          <w:p w14:paraId="7616AD9B">
            <w:pPr>
              <w:pStyle w:val="711"/>
              <w:rPr>
                <w:color w:val="auto"/>
              </w:rPr>
            </w:pPr>
            <w:r>
              <w:rPr>
                <w:rFonts w:hint="eastAsia"/>
                <w:color w:val="auto"/>
              </w:rPr>
              <w:t>反硝化深床滤池</w:t>
            </w:r>
          </w:p>
        </w:tc>
        <w:tc>
          <w:tcPr>
            <w:tcW w:w="2197" w:type="dxa"/>
            <w:vMerge w:val="continue"/>
            <w:tcBorders>
              <w:tl2br w:val="nil"/>
              <w:tr2bl w:val="nil"/>
            </w:tcBorders>
            <w:shd w:val="clear" w:color="auto" w:fill="auto"/>
            <w:noWrap/>
            <w:tcMar>
              <w:left w:w="28" w:type="dxa"/>
              <w:right w:w="28" w:type="dxa"/>
            </w:tcMar>
            <w:vAlign w:val="center"/>
          </w:tcPr>
          <w:p w14:paraId="5F0F0C64">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5F5B468C">
            <w:pPr>
              <w:pStyle w:val="711"/>
              <w:rPr>
                <w:color w:val="auto"/>
              </w:rPr>
            </w:pPr>
          </w:p>
        </w:tc>
      </w:tr>
      <w:tr w14:paraId="0A0E4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785E31E5">
            <w:pPr>
              <w:pStyle w:val="711"/>
              <w:rPr>
                <w:color w:val="auto"/>
              </w:rPr>
            </w:pPr>
          </w:p>
        </w:tc>
        <w:tc>
          <w:tcPr>
            <w:tcW w:w="1237" w:type="dxa"/>
            <w:tcBorders>
              <w:tl2br w:val="nil"/>
              <w:tr2bl w:val="nil"/>
            </w:tcBorders>
            <w:vAlign w:val="center"/>
          </w:tcPr>
          <w:p w14:paraId="50AD0597">
            <w:pPr>
              <w:pStyle w:val="711"/>
              <w:rPr>
                <w:color w:val="auto"/>
              </w:rPr>
            </w:pPr>
            <w:r>
              <w:rPr>
                <w:rFonts w:hint="eastAsia"/>
                <w:color w:val="auto"/>
              </w:rPr>
              <w:t>深度处理单元</w:t>
            </w:r>
          </w:p>
        </w:tc>
        <w:tc>
          <w:tcPr>
            <w:tcW w:w="1936" w:type="dxa"/>
            <w:tcBorders>
              <w:tl2br w:val="nil"/>
              <w:tr2bl w:val="nil"/>
            </w:tcBorders>
            <w:shd w:val="clear" w:color="auto" w:fill="auto"/>
            <w:tcMar>
              <w:left w:w="28" w:type="dxa"/>
              <w:right w:w="28" w:type="dxa"/>
            </w:tcMar>
            <w:vAlign w:val="center"/>
          </w:tcPr>
          <w:p w14:paraId="18BC652C">
            <w:pPr>
              <w:pStyle w:val="711"/>
              <w:rPr>
                <w:color w:val="auto"/>
              </w:rPr>
            </w:pPr>
            <w:r>
              <w:rPr>
                <w:rFonts w:hint="eastAsia"/>
                <w:color w:val="auto"/>
              </w:rPr>
              <w:t>高级氧化撬装设备</w:t>
            </w:r>
          </w:p>
        </w:tc>
        <w:tc>
          <w:tcPr>
            <w:tcW w:w="2197" w:type="dxa"/>
            <w:vMerge w:val="continue"/>
            <w:tcBorders>
              <w:tl2br w:val="nil"/>
              <w:tr2bl w:val="nil"/>
            </w:tcBorders>
            <w:shd w:val="clear" w:color="auto" w:fill="auto"/>
            <w:noWrap/>
            <w:tcMar>
              <w:left w:w="28" w:type="dxa"/>
              <w:right w:w="28" w:type="dxa"/>
            </w:tcMar>
            <w:vAlign w:val="center"/>
          </w:tcPr>
          <w:p w14:paraId="0E82115E">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2EE10875">
            <w:pPr>
              <w:pStyle w:val="711"/>
              <w:rPr>
                <w:color w:val="auto"/>
              </w:rPr>
            </w:pPr>
          </w:p>
        </w:tc>
      </w:tr>
      <w:tr w14:paraId="57128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restart"/>
            <w:tcBorders>
              <w:tl2br w:val="nil"/>
              <w:tr2bl w:val="nil"/>
            </w:tcBorders>
            <w:tcMar>
              <w:left w:w="28" w:type="dxa"/>
              <w:right w:w="28" w:type="dxa"/>
            </w:tcMar>
            <w:vAlign w:val="center"/>
          </w:tcPr>
          <w:p w14:paraId="6160C27A">
            <w:pPr>
              <w:pStyle w:val="711"/>
              <w:rPr>
                <w:color w:val="auto"/>
              </w:rPr>
            </w:pPr>
            <w:r>
              <w:rPr>
                <w:rFonts w:hint="eastAsia"/>
                <w:color w:val="auto"/>
              </w:rPr>
              <w:t>配套工程</w:t>
            </w:r>
          </w:p>
        </w:tc>
        <w:tc>
          <w:tcPr>
            <w:tcW w:w="1237" w:type="dxa"/>
            <w:vMerge w:val="restart"/>
            <w:tcBorders>
              <w:tl2br w:val="nil"/>
              <w:tr2bl w:val="nil"/>
            </w:tcBorders>
            <w:vAlign w:val="center"/>
          </w:tcPr>
          <w:p w14:paraId="58119CFB">
            <w:pPr>
              <w:pStyle w:val="711"/>
              <w:rPr>
                <w:color w:val="auto"/>
              </w:rPr>
            </w:pPr>
            <w:r>
              <w:rPr>
                <w:rFonts w:hint="eastAsia"/>
                <w:color w:val="auto"/>
              </w:rPr>
              <w:t>污泥处理单元</w:t>
            </w:r>
          </w:p>
        </w:tc>
        <w:tc>
          <w:tcPr>
            <w:tcW w:w="1936" w:type="dxa"/>
            <w:tcBorders>
              <w:tl2br w:val="nil"/>
              <w:tr2bl w:val="nil"/>
            </w:tcBorders>
            <w:shd w:val="clear" w:color="auto" w:fill="auto"/>
            <w:tcMar>
              <w:left w:w="28" w:type="dxa"/>
              <w:right w:w="28" w:type="dxa"/>
            </w:tcMar>
            <w:vAlign w:val="center"/>
          </w:tcPr>
          <w:p w14:paraId="36C04125">
            <w:pPr>
              <w:pStyle w:val="711"/>
              <w:rPr>
                <w:color w:val="auto"/>
              </w:rPr>
            </w:pPr>
            <w:r>
              <w:rPr>
                <w:rFonts w:hint="eastAsia"/>
                <w:color w:val="auto"/>
              </w:rPr>
              <w:t>磁混凝沉淀池</w:t>
            </w:r>
          </w:p>
        </w:tc>
        <w:tc>
          <w:tcPr>
            <w:tcW w:w="2197" w:type="dxa"/>
            <w:vMerge w:val="continue"/>
            <w:tcBorders>
              <w:tl2br w:val="nil"/>
              <w:tr2bl w:val="nil"/>
            </w:tcBorders>
            <w:shd w:val="clear" w:color="auto" w:fill="auto"/>
            <w:noWrap/>
            <w:tcMar>
              <w:left w:w="28" w:type="dxa"/>
              <w:right w:w="28" w:type="dxa"/>
            </w:tcMar>
            <w:vAlign w:val="center"/>
          </w:tcPr>
          <w:p w14:paraId="088FFADE">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1697C2A2">
            <w:pPr>
              <w:pStyle w:val="711"/>
              <w:rPr>
                <w:color w:val="auto"/>
              </w:rPr>
            </w:pPr>
          </w:p>
        </w:tc>
      </w:tr>
      <w:tr w14:paraId="69A4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Merge w:val="continue"/>
            <w:tcBorders>
              <w:tl2br w:val="nil"/>
              <w:tr2bl w:val="nil"/>
            </w:tcBorders>
            <w:tcMar>
              <w:left w:w="28" w:type="dxa"/>
              <w:right w:w="28" w:type="dxa"/>
            </w:tcMar>
            <w:vAlign w:val="center"/>
          </w:tcPr>
          <w:p w14:paraId="7D9A82EE">
            <w:pPr>
              <w:pStyle w:val="711"/>
              <w:rPr>
                <w:color w:val="auto"/>
              </w:rPr>
            </w:pPr>
          </w:p>
        </w:tc>
        <w:tc>
          <w:tcPr>
            <w:tcW w:w="1237" w:type="dxa"/>
            <w:vMerge w:val="continue"/>
            <w:tcBorders>
              <w:tl2br w:val="nil"/>
              <w:tr2bl w:val="nil"/>
            </w:tcBorders>
            <w:vAlign w:val="center"/>
          </w:tcPr>
          <w:p w14:paraId="2B9DD9F3">
            <w:pPr>
              <w:pStyle w:val="711"/>
              <w:rPr>
                <w:color w:val="auto"/>
              </w:rPr>
            </w:pPr>
          </w:p>
        </w:tc>
        <w:tc>
          <w:tcPr>
            <w:tcW w:w="1936" w:type="dxa"/>
            <w:tcBorders>
              <w:tl2br w:val="nil"/>
              <w:tr2bl w:val="nil"/>
            </w:tcBorders>
            <w:shd w:val="clear" w:color="auto" w:fill="auto"/>
            <w:tcMar>
              <w:left w:w="28" w:type="dxa"/>
              <w:right w:w="28" w:type="dxa"/>
            </w:tcMar>
            <w:vAlign w:val="center"/>
          </w:tcPr>
          <w:p w14:paraId="61BF11EC">
            <w:pPr>
              <w:pStyle w:val="711"/>
              <w:rPr>
                <w:color w:val="auto"/>
              </w:rPr>
            </w:pPr>
            <w:r>
              <w:rPr>
                <w:rFonts w:hint="eastAsia"/>
                <w:color w:val="auto"/>
              </w:rPr>
              <w:t>污泥池</w:t>
            </w:r>
          </w:p>
        </w:tc>
        <w:tc>
          <w:tcPr>
            <w:tcW w:w="2197" w:type="dxa"/>
            <w:vMerge w:val="continue"/>
            <w:tcBorders>
              <w:tl2br w:val="nil"/>
              <w:tr2bl w:val="nil"/>
            </w:tcBorders>
            <w:shd w:val="clear" w:color="auto" w:fill="auto"/>
            <w:noWrap/>
            <w:tcMar>
              <w:left w:w="28" w:type="dxa"/>
              <w:right w:w="28" w:type="dxa"/>
            </w:tcMar>
            <w:vAlign w:val="center"/>
          </w:tcPr>
          <w:p w14:paraId="7A1F71FB">
            <w:pPr>
              <w:pStyle w:val="711"/>
              <w:rPr>
                <w:color w:val="auto"/>
              </w:rPr>
            </w:pPr>
          </w:p>
        </w:tc>
        <w:tc>
          <w:tcPr>
            <w:tcW w:w="2537" w:type="dxa"/>
            <w:vMerge w:val="continue"/>
            <w:tcBorders>
              <w:tl2br w:val="nil"/>
              <w:tr2bl w:val="nil"/>
            </w:tcBorders>
            <w:shd w:val="clear" w:color="auto" w:fill="auto"/>
            <w:noWrap/>
            <w:tcMar>
              <w:left w:w="28" w:type="dxa"/>
              <w:right w:w="28" w:type="dxa"/>
            </w:tcMar>
            <w:vAlign w:val="center"/>
          </w:tcPr>
          <w:p w14:paraId="2364B5ED">
            <w:pPr>
              <w:pStyle w:val="711"/>
              <w:rPr>
                <w:color w:val="auto"/>
              </w:rPr>
            </w:pPr>
          </w:p>
        </w:tc>
      </w:tr>
    </w:tbl>
    <w:p w14:paraId="2A0990A7">
      <w:pPr>
        <w:keepNext w:val="0"/>
        <w:keepLines w:val="0"/>
        <w:pageBreakBefore w:val="0"/>
        <w:widowControl w:val="0"/>
        <w:kinsoku/>
        <w:wordWrap/>
        <w:overflowPunct/>
        <w:topLinePunct w:val="0"/>
        <w:autoSpaceDE/>
        <w:autoSpaceDN/>
        <w:bidi w:val="0"/>
        <w:adjustRightInd/>
        <w:snapToGrid/>
        <w:spacing w:before="144" w:beforeLines="50"/>
        <w:ind w:firstLine="482"/>
        <w:textAlignment w:val="auto"/>
        <w:rPr>
          <w:b/>
          <w:bCs/>
          <w:color w:val="auto"/>
        </w:rPr>
      </w:pPr>
      <w:r>
        <w:rPr>
          <w:b/>
          <w:bCs/>
          <w:color w:val="auto"/>
        </w:rPr>
        <w:t>（4）计算方法</w:t>
      </w:r>
    </w:p>
    <w:p w14:paraId="4BFF1D8D">
      <w:pPr>
        <w:ind w:firstLine="480"/>
        <w:rPr>
          <w:color w:val="auto"/>
        </w:rPr>
      </w:pPr>
      <w:r>
        <w:rPr>
          <w:color w:val="auto"/>
        </w:rPr>
        <w:t>假设正常状况下，池体内废水下渗满足达西定律，正常运行状况下，废水穿过防渗层及包气带，渗漏进入含水层废水下渗量可采用基于达西定律具有防渗层条件的下渗量估算公式进行估算：</w:t>
      </w:r>
    </w:p>
    <w:tbl>
      <w:tblPr>
        <w:tblStyle w:val="48"/>
        <w:tblW w:w="0" w:type="auto"/>
        <w:tblInd w:w="0" w:type="dxa"/>
        <w:tblLayout w:type="autofit"/>
        <w:tblCellMar>
          <w:top w:w="0" w:type="dxa"/>
          <w:left w:w="108" w:type="dxa"/>
          <w:bottom w:w="0" w:type="dxa"/>
          <w:right w:w="108" w:type="dxa"/>
        </w:tblCellMar>
      </w:tblPr>
      <w:tblGrid>
        <w:gridCol w:w="1242"/>
        <w:gridCol w:w="5245"/>
        <w:gridCol w:w="2035"/>
      </w:tblGrid>
      <w:tr w14:paraId="4C7A5E79">
        <w:tblPrEx>
          <w:tblCellMar>
            <w:top w:w="0" w:type="dxa"/>
            <w:left w:w="108" w:type="dxa"/>
            <w:bottom w:w="0" w:type="dxa"/>
            <w:right w:w="108" w:type="dxa"/>
          </w:tblCellMar>
        </w:tblPrEx>
        <w:tc>
          <w:tcPr>
            <w:tcW w:w="1242" w:type="dxa"/>
            <w:vAlign w:val="center"/>
          </w:tcPr>
          <w:p w14:paraId="151D7D9F">
            <w:pPr>
              <w:ind w:firstLine="480"/>
              <w:rPr>
                <w:rFonts w:cs="Times New Roman"/>
                <w:color w:val="auto"/>
              </w:rPr>
            </w:pPr>
          </w:p>
        </w:tc>
        <w:tc>
          <w:tcPr>
            <w:tcW w:w="5245" w:type="dxa"/>
            <w:vAlign w:val="center"/>
          </w:tcPr>
          <w:p w14:paraId="2768F69C">
            <w:pPr>
              <w:ind w:firstLine="480"/>
              <w:rPr>
                <w:rFonts w:cs="Times New Roman"/>
                <w:color w:val="auto"/>
              </w:rPr>
            </w:pPr>
            <m:oMathPara>
              <m:oMathParaPr>
                <m:jc m:val="center"/>
              </m:oMathParaPr>
              <m:oMath>
                <m:r>
                  <m:rPr>
                    <m:sty m:val="p"/>
                  </m:rPr>
                  <w:rPr>
                    <w:rFonts w:ascii="Cambria Math" w:hAnsi="Cambria Math" w:cs="Times New Roman"/>
                    <w:color w:val="auto"/>
                  </w:rPr>
                  <m:t>Q=</m:t>
                </m:r>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1</m:t>
                    </m:r>
                    <m:ctrlPr>
                      <w:rPr>
                        <w:rFonts w:ascii="Cambria Math" w:hAnsi="Cambria Math" w:cs="Times New Roman"/>
                        <w:color w:val="auto"/>
                      </w:rPr>
                    </m:ctrlPr>
                  </m:sub>
                </m:sSub>
                <m:r>
                  <m:rPr>
                    <m:sty m:val="p"/>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池</m:t>
                        </m:r>
                        <m:ctrlPr>
                          <w:rPr>
                            <w:rFonts w:ascii="Cambria Math" w:hAnsi="Cambria Math" w:cs="Times New Roman"/>
                            <w:i/>
                            <w:color w:val="auto"/>
                          </w:rPr>
                        </m:ctrlPr>
                      </m:sub>
                    </m:sSub>
                    <m:r>
                      <m:rPr/>
                      <w:rPr>
                        <w:rFonts w:ascii="Cambria Math" w:hAnsi="Cambria Math" w:eastAsia="MS Gothic" w:cs="Times New Roman"/>
                        <w:color w:val="auto"/>
                      </w:rPr>
                      <m:t>−</m:t>
                    </m:r>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防</m:t>
                        </m:r>
                        <m:ctrlPr>
                          <w:rPr>
                            <w:rFonts w:ascii="Cambria Math" w:hAnsi="Cambria Math" w:cs="Times New Roman"/>
                            <w:i/>
                            <w:color w:val="auto"/>
                          </w:rPr>
                        </m:ctrlPr>
                      </m:sub>
                    </m:sSub>
                    <m:ctrlPr>
                      <w:rPr>
                        <w:rFonts w:ascii="Cambria Math" w:hAnsi="Cambria Math" w:cs="Times New Roman"/>
                        <w:color w:val="auto"/>
                      </w:rPr>
                    </m:ctrlPr>
                  </m:den>
                </m:f>
              </m:oMath>
            </m:oMathPara>
          </w:p>
        </w:tc>
        <w:tc>
          <w:tcPr>
            <w:tcW w:w="2035" w:type="dxa"/>
            <w:vAlign w:val="center"/>
          </w:tcPr>
          <w:p w14:paraId="00C97AD8">
            <w:pPr>
              <w:ind w:firstLine="480"/>
              <w:rPr>
                <w:rFonts w:cs="Times New Roman"/>
                <w:color w:val="auto"/>
              </w:rPr>
            </w:pPr>
          </w:p>
        </w:tc>
      </w:tr>
      <w:tr w14:paraId="79EE249A">
        <w:tblPrEx>
          <w:tblCellMar>
            <w:top w:w="0" w:type="dxa"/>
            <w:left w:w="108" w:type="dxa"/>
            <w:bottom w:w="0" w:type="dxa"/>
            <w:right w:w="108" w:type="dxa"/>
          </w:tblCellMar>
        </w:tblPrEx>
        <w:tc>
          <w:tcPr>
            <w:tcW w:w="1242" w:type="dxa"/>
            <w:vAlign w:val="center"/>
          </w:tcPr>
          <w:p w14:paraId="0D873608">
            <w:pPr>
              <w:ind w:firstLine="480"/>
              <w:rPr>
                <w:rFonts w:cs="Times New Roman"/>
                <w:color w:val="auto"/>
              </w:rPr>
            </w:pPr>
          </w:p>
        </w:tc>
        <w:tc>
          <w:tcPr>
            <w:tcW w:w="5245" w:type="dxa"/>
            <w:vAlign w:val="center"/>
          </w:tcPr>
          <w:p w14:paraId="17308954">
            <w:pPr>
              <w:ind w:firstLine="480"/>
              <w:rPr>
                <w:rFonts w:cs="Times New Roman"/>
                <w:color w:val="auto"/>
              </w:rPr>
            </w:pPr>
            <m:oMathPara>
              <m:oMath>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1</m:t>
                    </m:r>
                    <m:ctrlPr>
                      <w:rPr>
                        <w:rFonts w:ascii="Cambria Math" w:hAnsi="Cambria Math" w:cs="Times New Roman"/>
                        <w:color w:val="auto"/>
                      </w:rPr>
                    </m:ctrlPr>
                  </m:sub>
                </m:sSub>
                <m:r>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池</m:t>
                        </m:r>
                        <m:ctrlPr>
                          <w:rPr>
                            <w:rFonts w:ascii="Cambria Math" w:hAnsi="Cambria Math" w:cs="Times New Roman"/>
                            <w:i/>
                            <w:color w:val="auto"/>
                          </w:rPr>
                        </m:ctrlPr>
                      </m:sub>
                    </m:sSub>
                    <m:r>
                      <m:rPr/>
                      <w:rPr>
                        <w:rFonts w:ascii="Cambria Math" w:hAnsi="Cambria Math" w:eastAsia="MS Gothic" w:cs="Times New Roman"/>
                        <w:color w:val="auto"/>
                      </w:rPr>
                      <m:t>−</m:t>
                    </m:r>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防</m:t>
                        </m:r>
                        <m:ctrlPr>
                          <w:rPr>
                            <w:rFonts w:ascii="Cambria Math" w:hAnsi="Cambria Math" w:cs="Times New Roman"/>
                            <w:i/>
                            <w:color w:val="auto"/>
                          </w:rPr>
                        </m:ctrlPr>
                      </m:sub>
                    </m:sSub>
                    <m:ctrlPr>
                      <w:rPr>
                        <w:rFonts w:ascii="Cambria Math" w:hAnsi="Cambria Math" w:cs="Times New Roman"/>
                        <w:color w:val="auto"/>
                      </w:rPr>
                    </m:ctrlPr>
                  </m:den>
                </m:f>
                <m:r>
                  <m:rPr>
                    <m:sty m:val="p"/>
                  </m:rPr>
                  <w:rPr>
                    <w:rFonts w:ascii="Cambria Math" w:hAnsi="Cambria Math" w:cs="Times New Roman"/>
                    <w:color w:val="auto"/>
                  </w:rPr>
                  <m:t>=</m:t>
                </m:r>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2</m:t>
                    </m:r>
                    <m:ctrlPr>
                      <w:rPr>
                        <w:rFonts w:ascii="Cambria Math" w:hAnsi="Cambria Math" w:cs="Times New Roman"/>
                        <w:color w:val="auto"/>
                      </w:rPr>
                    </m:ctrlPr>
                  </m:sub>
                </m:sSub>
                <m:r>
                  <m:rPr>
                    <m:sty m:val="p"/>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包</m:t>
                        </m:r>
                        <m:ctrlPr>
                          <w:rPr>
                            <w:rFonts w:ascii="Cambria Math" w:hAnsi="Cambria Math" w:cs="Times New Roman"/>
                            <w:i/>
                            <w:color w:val="auto"/>
                          </w:rPr>
                        </m:ctrlPr>
                      </m:sub>
                    </m:sSub>
                    <m:ctrlPr>
                      <w:rPr>
                        <w:rFonts w:ascii="Cambria Math" w:hAnsi="Cambria Math" w:cs="Times New Roman"/>
                        <w:color w:val="auto"/>
                      </w:rPr>
                    </m:ctrlPr>
                  </m:den>
                </m:f>
              </m:oMath>
            </m:oMathPara>
          </w:p>
        </w:tc>
        <w:tc>
          <w:tcPr>
            <w:tcW w:w="2035" w:type="dxa"/>
            <w:vAlign w:val="center"/>
          </w:tcPr>
          <w:p w14:paraId="3C112CBD">
            <w:pPr>
              <w:ind w:firstLine="480"/>
              <w:rPr>
                <w:rFonts w:cs="Times New Roman"/>
                <w:color w:val="auto"/>
              </w:rPr>
            </w:pPr>
          </w:p>
        </w:tc>
      </w:tr>
      <w:tr w14:paraId="36EB5736">
        <w:tblPrEx>
          <w:tblCellMar>
            <w:top w:w="0" w:type="dxa"/>
            <w:left w:w="108" w:type="dxa"/>
            <w:bottom w:w="0" w:type="dxa"/>
            <w:right w:w="108" w:type="dxa"/>
          </w:tblCellMar>
        </w:tblPrEx>
        <w:tc>
          <w:tcPr>
            <w:tcW w:w="8522" w:type="dxa"/>
            <w:gridSpan w:val="3"/>
          </w:tcPr>
          <w:p w14:paraId="3FFF0EE6">
            <w:pPr>
              <w:pStyle w:val="711"/>
              <w:rPr>
                <w:color w:val="auto"/>
              </w:rPr>
            </w:pPr>
            <w:r>
              <w:rPr>
                <w:color w:val="auto"/>
              </w:rPr>
              <w:drawing>
                <wp:inline distT="0" distB="0" distL="0" distR="0">
                  <wp:extent cx="3599815" cy="2940685"/>
                  <wp:effectExtent l="9525" t="9525" r="10160" b="21590"/>
                  <wp:docPr id="224" name="图片 224" descr="池体构筑物渗透示意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池体构筑物渗透示意图-Mode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600000" cy="2940961"/>
                          </a:xfrm>
                          <a:prstGeom prst="rect">
                            <a:avLst/>
                          </a:prstGeom>
                          <a:noFill/>
                          <a:ln w="9525" cmpd="sng">
                            <a:solidFill>
                              <a:srgbClr val="000000"/>
                            </a:solidFill>
                            <a:miter lim="800000"/>
                            <a:headEnd/>
                            <a:tailEnd/>
                          </a:ln>
                          <a:effectLst/>
                        </pic:spPr>
                      </pic:pic>
                    </a:graphicData>
                  </a:graphic>
                </wp:inline>
              </w:drawing>
            </w:r>
          </w:p>
        </w:tc>
      </w:tr>
      <w:tr w14:paraId="51EFF3CA">
        <w:tblPrEx>
          <w:tblCellMar>
            <w:top w:w="0" w:type="dxa"/>
            <w:left w:w="108" w:type="dxa"/>
            <w:bottom w:w="0" w:type="dxa"/>
            <w:right w:w="108" w:type="dxa"/>
          </w:tblCellMar>
        </w:tblPrEx>
        <w:trPr>
          <w:trHeight w:val="390" w:hRule="atLeast"/>
        </w:trPr>
        <w:tc>
          <w:tcPr>
            <w:tcW w:w="8522" w:type="dxa"/>
            <w:gridSpan w:val="3"/>
          </w:tcPr>
          <w:p w14:paraId="7D7D7B4B">
            <w:pPr>
              <w:pStyle w:val="710"/>
              <w:rPr>
                <w:color w:val="auto"/>
              </w:rPr>
            </w:pPr>
            <w:r>
              <w:rPr>
                <w:color w:val="auto"/>
              </w:rPr>
              <w:t>图</w:t>
            </w:r>
            <w:r>
              <w:rPr>
                <w:rFonts w:hint="eastAsia"/>
                <w:color w:val="auto"/>
                <w:lang w:val="en-US" w:eastAsia="zh-CN"/>
              </w:rPr>
              <w:t>2.5</w:t>
            </w:r>
            <w:r>
              <w:rPr>
                <w:color w:val="auto"/>
              </w:rPr>
              <w:t>-</w:t>
            </w:r>
            <w:r>
              <w:rPr>
                <w:rFonts w:hint="eastAsia"/>
                <w:color w:val="auto"/>
                <w:lang w:val="en-US" w:eastAsia="zh-CN"/>
              </w:rPr>
              <w:t>1</w:t>
            </w:r>
            <w:r>
              <w:rPr>
                <w:color w:val="auto"/>
              </w:rPr>
              <w:t xml:space="preserve">  正常状况下池体构筑物废水下渗示意图</w:t>
            </w:r>
          </w:p>
        </w:tc>
      </w:tr>
    </w:tbl>
    <w:p w14:paraId="7D687CD9">
      <w:pPr>
        <w:ind w:firstLine="480"/>
        <w:rPr>
          <w:rFonts w:hint="default" w:ascii="Times New Roman" w:hAnsi="Times New Roman" w:cs="Times New Roman"/>
          <w:color w:val="auto"/>
        </w:rPr>
      </w:pPr>
      <w:r>
        <w:rPr>
          <w:rFonts w:hint="default" w:ascii="Times New Roman" w:hAnsi="Times New Roman" w:cs="Times New Roman"/>
          <w:color w:val="auto"/>
        </w:rPr>
        <w:t>根据估算，正常状况下废水处理站泄漏下渗量可忽略不计。</w:t>
      </w:r>
    </w:p>
    <w:p w14:paraId="2C8A8353">
      <w:pPr>
        <w:ind w:firstLine="480"/>
        <w:rPr>
          <w:rFonts w:hint="default" w:ascii="Times New Roman" w:hAnsi="Times New Roman" w:cs="Times New Roman"/>
          <w:color w:val="auto"/>
        </w:rPr>
      </w:pPr>
      <w:r>
        <w:rPr>
          <w:rFonts w:hint="default" w:ascii="Times New Roman" w:hAnsi="Times New Roman" w:cs="Times New Roman"/>
          <w:color w:val="auto"/>
        </w:rPr>
        <w:t>非正常运行状况，池体未破损区仍采用式6-2和式6-3进行估算，破损区可直接依据达西公式进行估算：</w:t>
      </w:r>
    </w:p>
    <w:tbl>
      <w:tblPr>
        <w:tblStyle w:val="48"/>
        <w:tblW w:w="0" w:type="auto"/>
        <w:tblInd w:w="0" w:type="dxa"/>
        <w:tblLayout w:type="autofit"/>
        <w:tblCellMar>
          <w:top w:w="0" w:type="dxa"/>
          <w:left w:w="108" w:type="dxa"/>
          <w:bottom w:w="0" w:type="dxa"/>
          <w:right w:w="108" w:type="dxa"/>
        </w:tblCellMar>
      </w:tblPr>
      <w:tblGrid>
        <w:gridCol w:w="2840"/>
        <w:gridCol w:w="2841"/>
        <w:gridCol w:w="2841"/>
      </w:tblGrid>
      <w:tr w14:paraId="7E756184">
        <w:tblPrEx>
          <w:tblCellMar>
            <w:top w:w="0" w:type="dxa"/>
            <w:left w:w="108" w:type="dxa"/>
            <w:bottom w:w="0" w:type="dxa"/>
            <w:right w:w="108" w:type="dxa"/>
          </w:tblCellMar>
        </w:tblPrEx>
        <w:tc>
          <w:tcPr>
            <w:tcW w:w="2840" w:type="dxa"/>
            <w:vAlign w:val="center"/>
          </w:tcPr>
          <w:p w14:paraId="58DCCF9B">
            <w:pPr>
              <w:ind w:firstLine="480"/>
              <w:rPr>
                <w:rFonts w:hint="default" w:ascii="Times New Roman" w:hAnsi="Times New Roman" w:cs="Times New Roman"/>
                <w:color w:val="auto"/>
              </w:rPr>
            </w:pPr>
          </w:p>
        </w:tc>
        <w:tc>
          <w:tcPr>
            <w:tcW w:w="2841" w:type="dxa"/>
            <w:vAlign w:val="center"/>
          </w:tcPr>
          <w:p w14:paraId="2A155FF3">
            <w:pPr>
              <w:ind w:firstLine="480"/>
              <w:rPr>
                <w:rFonts w:hint="default" w:ascii="Times New Roman" w:hAnsi="Times New Roman" w:cs="Times New Roman"/>
                <w:color w:val="auto"/>
              </w:rPr>
            </w:pPr>
            <m:oMathPara>
              <m:oMathParaPr>
                <m:jc m:val="left"/>
              </m:oMathParaPr>
              <m:oMath>
                <m:r>
                  <m:rPr>
                    <m:sty m:val="p"/>
                  </m:rPr>
                  <w:rPr>
                    <w:rFonts w:hint="default" w:ascii="Cambria Math" w:hAnsi="Cambria Math" w:cs="Times New Roman"/>
                    <w:color w:val="auto"/>
                  </w:rPr>
                  <m:t>Q=</m:t>
                </m:r>
                <m:sSub>
                  <m:sSubPr>
                    <m:ctrlPr>
                      <w:rPr>
                        <w:rFonts w:hint="default" w:ascii="Cambria Math" w:hAnsi="Cambria Math" w:cs="Times New Roman"/>
                        <w:color w:val="auto"/>
                      </w:rPr>
                    </m:ctrlPr>
                  </m:sSubPr>
                  <m:e>
                    <m:r>
                      <m:rPr>
                        <m:sty m:val="p"/>
                      </m:rPr>
                      <w:rPr>
                        <w:rFonts w:hint="default" w:ascii="Cambria Math" w:hAnsi="Cambria Math" w:cs="Times New Roman"/>
                        <w:color w:val="auto"/>
                      </w:rPr>
                      <m:t>K</m:t>
                    </m:r>
                    <m:ctrlPr>
                      <w:rPr>
                        <w:rFonts w:hint="default" w:ascii="Cambria Math" w:hAnsi="Cambria Math" w:cs="Times New Roman"/>
                        <w:color w:val="auto"/>
                      </w:rPr>
                    </m:ctrlPr>
                  </m:e>
                  <m:sub>
                    <m:r>
                      <m:rPr>
                        <m:sty m:val="p"/>
                      </m:rPr>
                      <w:rPr>
                        <w:rFonts w:hint="default" w:ascii="Cambria Math" w:hAnsi="Cambria Math" w:cs="Times New Roman"/>
                        <w:color w:val="auto"/>
                      </w:rPr>
                      <m:t>1</m:t>
                    </m:r>
                    <m:ctrlPr>
                      <w:rPr>
                        <w:rFonts w:hint="default" w:ascii="Cambria Math" w:hAnsi="Cambria Math" w:cs="Times New Roman"/>
                        <w:color w:val="auto"/>
                      </w:rPr>
                    </m:ctrlPr>
                  </m:sub>
                </m:sSub>
                <m:r>
                  <m:rPr>
                    <m:sty m:val="p"/>
                  </m:rPr>
                  <w:rPr>
                    <w:rFonts w:hint="default" w:ascii="Cambria Math" w:hAnsi="Cambria Math" w:cs="Times New Roman"/>
                    <w:color w:val="auto"/>
                  </w:rPr>
                  <m:t>A</m:t>
                </m:r>
                <m:f>
                  <m:fPr>
                    <m:ctrlPr>
                      <w:rPr>
                        <w:rFonts w:hint="default" w:ascii="Cambria Math" w:hAnsi="Cambria Math" w:cs="Times New Roman"/>
                        <w:color w:val="auto"/>
                      </w:rPr>
                    </m:ctrlPr>
                  </m:fPr>
                  <m:num>
                    <m:sSub>
                      <m:sSubPr>
                        <m:ctrlPr>
                          <w:rPr>
                            <w:rFonts w:hint="default" w:ascii="Cambria Math" w:hAnsi="Cambria Math" w:cs="Times New Roman"/>
                            <w:color w:val="auto"/>
                          </w:rPr>
                        </m:ctrlPr>
                      </m:sSubPr>
                      <m:e>
                        <m:r>
                          <m:rPr/>
                          <w:rPr>
                            <w:rFonts w:hint="default" w:ascii="Cambria Math" w:hAnsi="Cambria Math" w:cs="Times New Roman"/>
                            <w:color w:val="auto"/>
                          </w:rPr>
                          <m:t>ℎ</m:t>
                        </m:r>
                        <m:ctrlPr>
                          <w:rPr>
                            <w:rFonts w:hint="default" w:ascii="Cambria Math" w:hAnsi="Cambria Math" w:cs="Times New Roman"/>
                            <w:color w:val="auto"/>
                          </w:rPr>
                        </m:ctrlPr>
                      </m:e>
                      <m:sub>
                        <m:r>
                          <m:rPr>
                            <m:sty m:val="p"/>
                          </m:rPr>
                          <w:rPr>
                            <w:rFonts w:hint="default" w:ascii="Cambria Math" w:hAnsi="Cambria Math" w:cs="Times New Roman"/>
                            <w:color w:val="auto"/>
                          </w:rPr>
                          <m:t>池</m:t>
                        </m:r>
                        <m:ctrlPr>
                          <w:rPr>
                            <w:rFonts w:hint="default" w:ascii="Cambria Math" w:hAnsi="Cambria Math" w:cs="Times New Roman"/>
                            <w:color w:val="auto"/>
                          </w:rPr>
                        </m:ctrlPr>
                      </m:sub>
                    </m:sSub>
                    <m:r>
                      <m:rPr>
                        <m:sty m:val="p"/>
                      </m:rPr>
                      <w:rPr>
                        <w:rFonts w:hint="default" w:ascii="Cambria Math" w:hAnsi="Cambria Math" w:cs="Times New Roman"/>
                        <w:color w:val="auto"/>
                      </w:rPr>
                      <m:t>+</m:t>
                    </m:r>
                    <m:sSub>
                      <m:sSubPr>
                        <m:ctrlPr>
                          <w:rPr>
                            <w:rFonts w:hint="default" w:ascii="Cambria Math" w:hAnsi="Cambria Math" w:cs="Times New Roman"/>
                            <w:color w:val="auto"/>
                          </w:rPr>
                        </m:ctrlPr>
                      </m:sSubPr>
                      <m:e>
                        <m:r>
                          <m:rPr/>
                          <w:rPr>
                            <w:rFonts w:hint="default" w:ascii="Cambria Math" w:hAnsi="Cambria Math" w:cs="Times New Roman"/>
                            <w:color w:val="auto"/>
                          </w:rPr>
                          <m:t>ℎ</m:t>
                        </m:r>
                        <m:ctrlPr>
                          <w:rPr>
                            <w:rFonts w:hint="default" w:ascii="Cambria Math" w:hAnsi="Cambria Math" w:cs="Times New Roman"/>
                            <w:color w:val="auto"/>
                          </w:rPr>
                        </m:ctrlPr>
                      </m:e>
                      <m:sub>
                        <m:r>
                          <m:rPr>
                            <m:sty m:val="p"/>
                          </m:rPr>
                          <w:rPr>
                            <w:rFonts w:hint="default" w:ascii="Cambria Math" w:hAnsi="Cambria Math" w:cs="Times New Roman"/>
                            <w:color w:val="auto"/>
                          </w:rPr>
                          <m:t>包</m:t>
                        </m:r>
                        <m:ctrlPr>
                          <w:rPr>
                            <w:rFonts w:hint="default" w:ascii="Cambria Math" w:hAnsi="Cambria Math" w:cs="Times New Roman"/>
                            <w:color w:val="auto"/>
                          </w:rPr>
                        </m:ctrlPr>
                      </m:sub>
                    </m:sSub>
                    <m:ctrlPr>
                      <w:rPr>
                        <w:rFonts w:hint="default" w:ascii="Cambria Math" w:hAnsi="Cambria Math" w:cs="Times New Roman"/>
                        <w:color w:val="auto"/>
                      </w:rPr>
                    </m:ctrlPr>
                  </m:num>
                  <m:den>
                    <m:sSub>
                      <m:sSubPr>
                        <m:ctrlPr>
                          <w:rPr>
                            <w:rFonts w:hint="default" w:ascii="Cambria Math" w:hAnsi="Cambria Math" w:cs="Times New Roman"/>
                            <w:color w:val="auto"/>
                          </w:rPr>
                        </m:ctrlPr>
                      </m:sSubPr>
                      <m:e>
                        <m:r>
                          <m:rPr/>
                          <w:rPr>
                            <w:rFonts w:hint="default" w:ascii="Cambria Math" w:hAnsi="Cambria Math" w:cs="Times New Roman"/>
                            <w:color w:val="auto"/>
                          </w:rPr>
                          <m:t>ℎ</m:t>
                        </m:r>
                        <m:ctrlPr>
                          <w:rPr>
                            <w:rFonts w:hint="default" w:ascii="Cambria Math" w:hAnsi="Cambria Math" w:cs="Times New Roman"/>
                            <w:color w:val="auto"/>
                          </w:rPr>
                        </m:ctrlPr>
                      </m:e>
                      <m:sub>
                        <m:r>
                          <m:rPr>
                            <m:sty m:val="p"/>
                          </m:rPr>
                          <w:rPr>
                            <w:rFonts w:hint="default" w:ascii="Cambria Math" w:hAnsi="Cambria Math" w:cs="Times New Roman"/>
                            <w:color w:val="auto"/>
                          </w:rPr>
                          <m:t>包</m:t>
                        </m:r>
                        <m:ctrlPr>
                          <w:rPr>
                            <w:rFonts w:hint="default" w:ascii="Cambria Math" w:hAnsi="Cambria Math" w:cs="Times New Roman"/>
                            <w:color w:val="auto"/>
                          </w:rPr>
                        </m:ctrlPr>
                      </m:sub>
                    </m:sSub>
                    <m:ctrlPr>
                      <w:rPr>
                        <w:rFonts w:hint="default" w:ascii="Cambria Math" w:hAnsi="Cambria Math" w:cs="Times New Roman"/>
                        <w:color w:val="auto"/>
                      </w:rPr>
                    </m:ctrlPr>
                  </m:den>
                </m:f>
              </m:oMath>
            </m:oMathPara>
          </w:p>
        </w:tc>
        <w:tc>
          <w:tcPr>
            <w:tcW w:w="2841" w:type="dxa"/>
            <w:vAlign w:val="center"/>
          </w:tcPr>
          <w:p w14:paraId="110EC3AC">
            <w:pPr>
              <w:ind w:firstLine="480"/>
              <w:jc w:val="right"/>
              <w:rPr>
                <w:rFonts w:hint="default" w:ascii="Times New Roman" w:hAnsi="Times New Roman" w:cs="Times New Roman"/>
                <w:color w:val="auto"/>
              </w:rPr>
            </w:pPr>
            <w:r>
              <w:rPr>
                <w:rFonts w:hint="default" w:ascii="Times New Roman" w:hAnsi="Times New Roman" w:cs="Times New Roman"/>
                <w:color w:val="auto"/>
              </w:rPr>
              <w:t xml:space="preserve"> </w:t>
            </w:r>
          </w:p>
        </w:tc>
      </w:tr>
    </w:tbl>
    <w:p w14:paraId="782B0274">
      <w:pPr>
        <w:ind w:firstLine="480"/>
        <w:rPr>
          <w:rFonts w:hint="default" w:ascii="Times New Roman" w:hAnsi="Times New Roman" w:cs="Times New Roman"/>
          <w:color w:val="auto"/>
        </w:rPr>
      </w:pPr>
      <w:r>
        <w:rPr>
          <w:rFonts w:hint="default" w:ascii="Times New Roman" w:hAnsi="Times New Roman" w:cs="Times New Roman"/>
          <w:color w:val="auto"/>
        </w:rPr>
        <w:t>式中：K</w:t>
      </w:r>
      <w:r>
        <w:rPr>
          <w:rFonts w:hint="default" w:ascii="Times New Roman" w:hAnsi="Times New Roman" w:cs="Times New Roman"/>
          <w:color w:val="auto"/>
          <w:vertAlign w:val="subscript"/>
        </w:rPr>
        <w:t>1</w:t>
      </w:r>
      <w:r>
        <w:rPr>
          <w:rFonts w:hint="default" w:ascii="Times New Roman" w:hAnsi="Times New Roman" w:cs="Times New Roman"/>
          <w:color w:val="auto"/>
        </w:rPr>
        <w:t>—防渗层渗透系数（m/d）；</w:t>
      </w:r>
    </w:p>
    <w:p w14:paraId="250A25F0">
      <w:pPr>
        <w:ind w:firstLine="1274" w:firstLineChars="531"/>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bscript"/>
        </w:rPr>
        <w:t>2</w:t>
      </w:r>
      <w:r>
        <w:rPr>
          <w:rFonts w:hint="default" w:ascii="Times New Roman" w:hAnsi="Times New Roman" w:cs="Times New Roman"/>
          <w:color w:val="auto"/>
        </w:rPr>
        <w:t>—包气带渗透系数（m/d）；</w:t>
      </w:r>
    </w:p>
    <w:p w14:paraId="115E1D2A">
      <w:pPr>
        <w:ind w:firstLine="1274" w:firstLineChars="531"/>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池</w:t>
      </w:r>
      <w:r>
        <w:rPr>
          <w:rFonts w:hint="default" w:ascii="Times New Roman" w:hAnsi="Times New Roman" w:cs="Times New Roman"/>
          <w:color w:val="auto"/>
        </w:rPr>
        <w:t>—池体内水头高度；</w:t>
      </w:r>
    </w:p>
    <w:p w14:paraId="629197D7">
      <w:pPr>
        <w:ind w:firstLine="1274" w:firstLineChars="531"/>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1</w:t>
      </w:r>
      <w:r>
        <w:rPr>
          <w:rFonts w:hint="default" w:ascii="Times New Roman" w:hAnsi="Times New Roman" w:cs="Times New Roman"/>
          <w:color w:val="auto"/>
        </w:rPr>
        <w:t>—池内水头克服防渗层阻力后，防渗层底板水头（m）；</w:t>
      </w:r>
    </w:p>
    <w:p w14:paraId="067B0D2B">
      <w:pPr>
        <w:ind w:firstLine="1274" w:firstLineChars="531"/>
        <w:rPr>
          <w:rFonts w:hint="default" w:ascii="Times New Roman" w:hAnsi="Times New Roman" w:cs="Times New Roman"/>
          <w:color w:val="auto"/>
        </w:rPr>
      </w:pPr>
      <w:r>
        <w:rPr>
          <w:rFonts w:hint="default" w:ascii="Times New Roman" w:hAnsi="Times New Roman" w:cs="Times New Roman"/>
          <w:color w:val="auto"/>
        </w:rPr>
        <w:t>Q—池体内废水渗漏量（m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39B4D9FA">
      <w:pPr>
        <w:ind w:firstLine="1274" w:firstLineChars="531"/>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防</w:t>
      </w:r>
      <w:r>
        <w:rPr>
          <w:rFonts w:hint="default" w:ascii="Times New Roman" w:hAnsi="Times New Roman" w:cs="Times New Roman"/>
          <w:color w:val="auto"/>
        </w:rPr>
        <w:t>—防渗层厚度（m）；</w:t>
      </w:r>
    </w:p>
    <w:p w14:paraId="6A1B1DDD">
      <w:pPr>
        <w:ind w:firstLine="1274" w:firstLineChars="531"/>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包</w:t>
      </w:r>
      <w:r>
        <w:rPr>
          <w:rFonts w:hint="default" w:ascii="Times New Roman" w:hAnsi="Times New Roman" w:cs="Times New Roman"/>
          <w:color w:val="auto"/>
        </w:rPr>
        <w:t>—包气带厚度（m）；</w:t>
      </w:r>
    </w:p>
    <w:p w14:paraId="2D55A385">
      <w:pPr>
        <w:ind w:firstLine="1274" w:firstLineChars="531"/>
        <w:rPr>
          <w:rFonts w:hint="default" w:ascii="Times New Roman" w:hAnsi="Times New Roman" w:cs="Times New Roman"/>
          <w:b/>
          <w:color w:val="auto"/>
        </w:rPr>
      </w:pPr>
      <w:r>
        <w:rPr>
          <w:rFonts w:hint="default" w:ascii="Times New Roman" w:hAnsi="Times New Roman" w:cs="Times New Roman"/>
          <w:color w:val="auto"/>
        </w:rPr>
        <w:t>A—池体面积（m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496EDEF0">
      <w:pPr>
        <w:ind w:firstLine="482"/>
        <w:rPr>
          <w:rFonts w:hint="default" w:ascii="Times New Roman" w:hAnsi="Times New Roman" w:cs="Times New Roman"/>
          <w:b/>
          <w:color w:val="auto"/>
        </w:rPr>
      </w:pPr>
      <w:r>
        <w:rPr>
          <w:rFonts w:hint="default" w:ascii="Times New Roman" w:hAnsi="Times New Roman" w:cs="Times New Roman"/>
          <w:b/>
          <w:color w:val="auto"/>
        </w:rPr>
        <w:t>（5）污染源强计算结果</w:t>
      </w:r>
    </w:p>
    <w:p w14:paraId="3D6B6AD0">
      <w:pPr>
        <w:ind w:firstLine="480"/>
        <w:rPr>
          <w:rFonts w:hint="default" w:ascii="Times New Roman" w:hAnsi="Times New Roman" w:cs="Times New Roman"/>
          <w:color w:val="auto"/>
        </w:rPr>
      </w:pPr>
      <w:r>
        <w:rPr>
          <w:rFonts w:hint="default" w:ascii="Times New Roman" w:hAnsi="Times New Roman" w:cs="Times New Roman"/>
          <w:color w:val="auto"/>
        </w:rPr>
        <w:t>根据估算，非正常状况下污水处理厂废水总下渗量为95.39 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5CED8E4B">
      <w:pPr>
        <w:pStyle w:val="15"/>
        <w:bidi w:val="0"/>
        <w:ind w:left="0" w:leftChars="0" w:firstLine="0" w:firstLineChars="0"/>
        <w:rPr>
          <w:color w:val="auto"/>
        </w:rPr>
      </w:pPr>
      <w:bookmarkStart w:id="113" w:name="_Hlk114353566"/>
      <w:r>
        <w:rPr>
          <w:color w:val="auto"/>
        </w:rPr>
        <w:t>非正常状态</w:t>
      </w:r>
      <w:r>
        <w:rPr>
          <w:rFonts w:hint="eastAsia"/>
          <w:color w:val="auto"/>
        </w:rPr>
        <w:t>污水处理厂</w:t>
      </w:r>
      <w:r>
        <w:rPr>
          <w:rFonts w:eastAsia="宋体"/>
          <w:color w:val="auto"/>
        </w:rPr>
        <w:t>废水</w:t>
      </w:r>
      <w:r>
        <w:rPr>
          <w:color w:val="auto"/>
        </w:rPr>
        <w:t>下渗量计算</w:t>
      </w:r>
    </w:p>
    <w:tbl>
      <w:tblPr>
        <w:tblStyle w:val="48"/>
        <w:tblW w:w="90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3"/>
        <w:gridCol w:w="944"/>
        <w:gridCol w:w="1255"/>
        <w:gridCol w:w="633"/>
        <w:gridCol w:w="701"/>
        <w:gridCol w:w="590"/>
        <w:gridCol w:w="1090"/>
        <w:gridCol w:w="465"/>
        <w:gridCol w:w="555"/>
        <w:gridCol w:w="1065"/>
        <w:gridCol w:w="550"/>
        <w:gridCol w:w="561"/>
      </w:tblGrid>
      <w:tr w14:paraId="33EA3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restart"/>
            <w:tcBorders>
              <w:tl2br w:val="nil"/>
              <w:tr2bl w:val="nil"/>
            </w:tcBorders>
            <w:noWrap/>
            <w:tcMar>
              <w:left w:w="6" w:type="dxa"/>
              <w:right w:w="6" w:type="dxa"/>
            </w:tcMar>
            <w:vAlign w:val="center"/>
          </w:tcPr>
          <w:p w14:paraId="2078C032">
            <w:pPr>
              <w:pStyle w:val="711"/>
              <w:rPr>
                <w:b/>
                <w:bCs/>
                <w:color w:val="auto"/>
              </w:rPr>
            </w:pPr>
            <w:r>
              <w:rPr>
                <w:b/>
                <w:bCs/>
                <w:color w:val="auto"/>
              </w:rPr>
              <w:t>构筑物</w:t>
            </w:r>
          </w:p>
        </w:tc>
        <w:tc>
          <w:tcPr>
            <w:tcW w:w="944" w:type="dxa"/>
            <w:vMerge w:val="restart"/>
            <w:tcBorders>
              <w:tl2br w:val="nil"/>
              <w:tr2bl w:val="nil"/>
            </w:tcBorders>
            <w:noWrap/>
            <w:tcMar>
              <w:left w:w="6" w:type="dxa"/>
              <w:right w:w="6" w:type="dxa"/>
            </w:tcMar>
            <w:vAlign w:val="center"/>
          </w:tcPr>
          <w:p w14:paraId="5371F5AF">
            <w:pPr>
              <w:pStyle w:val="711"/>
              <w:rPr>
                <w:b/>
                <w:bCs/>
                <w:color w:val="auto"/>
              </w:rPr>
            </w:pPr>
            <w:r>
              <w:rPr>
                <w:rFonts w:hint="eastAsia"/>
                <w:b/>
                <w:bCs/>
                <w:color w:val="auto"/>
              </w:rPr>
              <w:t>处理单元类型</w:t>
            </w:r>
          </w:p>
        </w:tc>
        <w:tc>
          <w:tcPr>
            <w:tcW w:w="1255" w:type="dxa"/>
            <w:vMerge w:val="restart"/>
            <w:tcBorders>
              <w:tl2br w:val="nil"/>
              <w:tr2bl w:val="nil"/>
            </w:tcBorders>
            <w:shd w:val="clear" w:color="auto" w:fill="auto"/>
            <w:noWrap/>
            <w:tcMar>
              <w:left w:w="6" w:type="dxa"/>
              <w:right w:w="6" w:type="dxa"/>
            </w:tcMar>
            <w:vAlign w:val="center"/>
          </w:tcPr>
          <w:p w14:paraId="55EB2B44">
            <w:pPr>
              <w:pStyle w:val="711"/>
              <w:rPr>
                <w:b/>
                <w:bCs/>
                <w:color w:val="auto"/>
              </w:rPr>
            </w:pPr>
            <w:r>
              <w:rPr>
                <w:rFonts w:hint="eastAsia"/>
                <w:b/>
                <w:bCs/>
                <w:color w:val="auto"/>
              </w:rPr>
              <w:t>池体名称</w:t>
            </w:r>
          </w:p>
        </w:tc>
        <w:tc>
          <w:tcPr>
            <w:tcW w:w="633" w:type="dxa"/>
            <w:vMerge w:val="restart"/>
            <w:tcBorders>
              <w:tl2br w:val="nil"/>
              <w:tr2bl w:val="nil"/>
            </w:tcBorders>
            <w:shd w:val="clear" w:color="auto" w:fill="auto"/>
            <w:noWrap/>
            <w:tcMar>
              <w:left w:w="6" w:type="dxa"/>
              <w:right w:w="6" w:type="dxa"/>
            </w:tcMar>
            <w:vAlign w:val="center"/>
          </w:tcPr>
          <w:p w14:paraId="39E7B0BC">
            <w:pPr>
              <w:pStyle w:val="711"/>
              <w:rPr>
                <w:b/>
                <w:bCs/>
                <w:color w:val="auto"/>
              </w:rPr>
            </w:pPr>
            <w:r>
              <w:rPr>
                <w:b/>
                <w:bCs/>
                <w:color w:val="auto"/>
              </w:rPr>
              <w:t>等效水深</w:t>
            </w:r>
          </w:p>
          <w:p w14:paraId="0873FEC2">
            <w:pPr>
              <w:pStyle w:val="711"/>
              <w:rPr>
                <w:rFonts w:hint="eastAsia" w:eastAsiaTheme="majorEastAsia"/>
                <w:b/>
                <w:bCs/>
                <w:color w:val="auto"/>
                <w:lang w:eastAsia="zh-CN"/>
              </w:rPr>
            </w:pPr>
            <w:r>
              <w:rPr>
                <w:b/>
                <w:bCs/>
                <w:color w:val="auto"/>
              </w:rPr>
              <w:t>h</w:t>
            </w:r>
            <w:r>
              <w:rPr>
                <w:b/>
                <w:bCs/>
                <w:color w:val="auto"/>
                <w:vertAlign w:val="subscript"/>
              </w:rPr>
              <w:t>池</w:t>
            </w:r>
            <w:r>
              <w:rPr>
                <w:rFonts w:hint="eastAsia"/>
                <w:b/>
                <w:bCs/>
                <w:color w:val="auto"/>
                <w:lang w:eastAsia="zh-CN"/>
              </w:rPr>
              <w:t>（</w:t>
            </w:r>
            <w:r>
              <w:rPr>
                <w:b/>
                <w:bCs/>
                <w:color w:val="auto"/>
              </w:rPr>
              <w:t>m</w:t>
            </w:r>
            <w:r>
              <w:rPr>
                <w:rFonts w:hint="eastAsia"/>
                <w:b/>
                <w:bCs/>
                <w:color w:val="auto"/>
                <w:lang w:eastAsia="zh-CN"/>
              </w:rPr>
              <w:t>）</w:t>
            </w:r>
          </w:p>
        </w:tc>
        <w:tc>
          <w:tcPr>
            <w:tcW w:w="701" w:type="dxa"/>
            <w:vMerge w:val="restart"/>
            <w:tcBorders>
              <w:tl2br w:val="nil"/>
              <w:tr2bl w:val="nil"/>
            </w:tcBorders>
            <w:shd w:val="clear" w:color="auto" w:fill="auto"/>
            <w:noWrap/>
            <w:tcMar>
              <w:left w:w="6" w:type="dxa"/>
              <w:right w:w="6" w:type="dxa"/>
            </w:tcMar>
            <w:vAlign w:val="center"/>
          </w:tcPr>
          <w:p w14:paraId="6500FF83">
            <w:pPr>
              <w:pStyle w:val="711"/>
              <w:rPr>
                <w:rFonts w:hint="eastAsia" w:eastAsiaTheme="majorEastAsia"/>
                <w:b/>
                <w:bCs/>
                <w:color w:val="auto"/>
                <w:lang w:eastAsia="zh-CN"/>
              </w:rPr>
            </w:pPr>
            <w:r>
              <w:rPr>
                <w:b/>
                <w:bCs/>
                <w:color w:val="auto"/>
              </w:rPr>
              <w:t>占地面积A</w:t>
            </w:r>
            <w:r>
              <w:rPr>
                <w:rFonts w:hint="eastAsia"/>
                <w:b/>
                <w:bCs/>
                <w:color w:val="auto"/>
                <w:lang w:eastAsia="zh-CN"/>
              </w:rPr>
              <w:t>（</w:t>
            </w:r>
            <w:r>
              <w:rPr>
                <w:b/>
                <w:bCs/>
                <w:color w:val="auto"/>
              </w:rPr>
              <w:t>m</w:t>
            </w:r>
            <w:r>
              <w:rPr>
                <w:b/>
                <w:bCs/>
                <w:color w:val="auto"/>
                <w:vertAlign w:val="superscript"/>
              </w:rPr>
              <w:t>2</w:t>
            </w:r>
            <w:r>
              <w:rPr>
                <w:rFonts w:hint="eastAsia"/>
                <w:b/>
                <w:bCs/>
                <w:color w:val="auto"/>
                <w:lang w:eastAsia="zh-CN"/>
              </w:rPr>
              <w:t>）</w:t>
            </w:r>
          </w:p>
        </w:tc>
        <w:tc>
          <w:tcPr>
            <w:tcW w:w="2145" w:type="dxa"/>
            <w:gridSpan w:val="3"/>
            <w:tcBorders>
              <w:tl2br w:val="nil"/>
              <w:tr2bl w:val="nil"/>
            </w:tcBorders>
            <w:shd w:val="clear" w:color="auto" w:fill="auto"/>
            <w:noWrap/>
            <w:tcMar>
              <w:left w:w="6" w:type="dxa"/>
              <w:right w:w="6" w:type="dxa"/>
            </w:tcMar>
            <w:vAlign w:val="center"/>
          </w:tcPr>
          <w:p w14:paraId="725736C7">
            <w:pPr>
              <w:pStyle w:val="711"/>
              <w:rPr>
                <w:b/>
                <w:bCs/>
                <w:color w:val="auto"/>
              </w:rPr>
            </w:pPr>
            <w:r>
              <w:rPr>
                <w:b/>
                <w:bCs/>
                <w:color w:val="auto"/>
              </w:rPr>
              <w:t>防渗层</w:t>
            </w:r>
          </w:p>
        </w:tc>
        <w:tc>
          <w:tcPr>
            <w:tcW w:w="2170" w:type="dxa"/>
            <w:gridSpan w:val="3"/>
            <w:tcBorders>
              <w:tl2br w:val="nil"/>
              <w:tr2bl w:val="nil"/>
            </w:tcBorders>
            <w:shd w:val="clear" w:color="auto" w:fill="auto"/>
            <w:noWrap/>
            <w:tcMar>
              <w:left w:w="6" w:type="dxa"/>
              <w:right w:w="6" w:type="dxa"/>
            </w:tcMar>
            <w:vAlign w:val="center"/>
          </w:tcPr>
          <w:p w14:paraId="16DD699B">
            <w:pPr>
              <w:pStyle w:val="711"/>
              <w:rPr>
                <w:b/>
                <w:bCs/>
                <w:color w:val="auto"/>
              </w:rPr>
            </w:pPr>
            <w:r>
              <w:rPr>
                <w:b/>
                <w:bCs/>
                <w:color w:val="auto"/>
              </w:rPr>
              <w:t>下伏介质+夯实基础</w:t>
            </w:r>
          </w:p>
        </w:tc>
        <w:tc>
          <w:tcPr>
            <w:tcW w:w="561" w:type="dxa"/>
            <w:vMerge w:val="restart"/>
            <w:tcBorders>
              <w:tl2br w:val="nil"/>
              <w:tr2bl w:val="nil"/>
            </w:tcBorders>
            <w:shd w:val="clear" w:color="auto" w:fill="auto"/>
            <w:noWrap/>
            <w:tcMar>
              <w:left w:w="6" w:type="dxa"/>
              <w:right w:w="6" w:type="dxa"/>
            </w:tcMar>
            <w:vAlign w:val="center"/>
          </w:tcPr>
          <w:p w14:paraId="472915C8">
            <w:pPr>
              <w:pStyle w:val="711"/>
              <w:rPr>
                <w:b/>
                <w:bCs/>
                <w:color w:val="auto"/>
              </w:rPr>
            </w:pPr>
            <w:r>
              <w:rPr>
                <w:b/>
                <w:bCs/>
                <w:color w:val="auto"/>
              </w:rPr>
              <w:t>下渗量</w:t>
            </w:r>
          </w:p>
          <w:p w14:paraId="0E357586">
            <w:pPr>
              <w:pStyle w:val="711"/>
              <w:rPr>
                <w:rFonts w:hint="eastAsia" w:eastAsiaTheme="majorEastAsia"/>
                <w:b/>
                <w:bCs/>
                <w:color w:val="auto"/>
                <w:lang w:eastAsia="zh-CN"/>
              </w:rPr>
            </w:pPr>
            <w:r>
              <w:rPr>
                <w:rFonts w:hint="eastAsia"/>
                <w:b/>
                <w:bCs/>
                <w:color w:val="auto"/>
                <w:lang w:eastAsia="zh-CN"/>
              </w:rPr>
              <w:t>（</w:t>
            </w:r>
            <w:r>
              <w:rPr>
                <w:b/>
                <w:bCs/>
                <w:color w:val="auto"/>
              </w:rPr>
              <w:t>m</w:t>
            </w:r>
            <w:r>
              <w:rPr>
                <w:b/>
                <w:bCs/>
                <w:color w:val="auto"/>
                <w:vertAlign w:val="superscript"/>
              </w:rPr>
              <w:t>3</w:t>
            </w:r>
            <w:r>
              <w:rPr>
                <w:b/>
                <w:bCs/>
                <w:color w:val="auto"/>
              </w:rPr>
              <w:t>/d</w:t>
            </w:r>
            <w:r>
              <w:rPr>
                <w:rFonts w:hint="eastAsia"/>
                <w:b/>
                <w:bCs/>
                <w:color w:val="auto"/>
                <w:lang w:eastAsia="zh-CN"/>
              </w:rPr>
              <w:t>）</w:t>
            </w:r>
          </w:p>
        </w:tc>
      </w:tr>
      <w:tr w14:paraId="7C897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3C3F29A3">
            <w:pPr>
              <w:pStyle w:val="711"/>
              <w:rPr>
                <w:color w:val="auto"/>
              </w:rPr>
            </w:pPr>
          </w:p>
        </w:tc>
        <w:tc>
          <w:tcPr>
            <w:tcW w:w="944" w:type="dxa"/>
            <w:vMerge w:val="continue"/>
            <w:tcBorders>
              <w:tl2br w:val="nil"/>
              <w:tr2bl w:val="nil"/>
            </w:tcBorders>
            <w:noWrap/>
            <w:tcMar>
              <w:left w:w="6" w:type="dxa"/>
              <w:right w:w="6" w:type="dxa"/>
            </w:tcMar>
            <w:vAlign w:val="center"/>
          </w:tcPr>
          <w:p w14:paraId="5E2D2A8E">
            <w:pPr>
              <w:pStyle w:val="711"/>
              <w:rPr>
                <w:color w:val="auto"/>
              </w:rPr>
            </w:pPr>
          </w:p>
        </w:tc>
        <w:tc>
          <w:tcPr>
            <w:tcW w:w="1255" w:type="dxa"/>
            <w:vMerge w:val="continue"/>
            <w:tcBorders>
              <w:tl2br w:val="nil"/>
              <w:tr2bl w:val="nil"/>
            </w:tcBorders>
            <w:noWrap/>
            <w:tcMar>
              <w:left w:w="6" w:type="dxa"/>
              <w:right w:w="6" w:type="dxa"/>
            </w:tcMar>
            <w:vAlign w:val="center"/>
          </w:tcPr>
          <w:p w14:paraId="05C66959">
            <w:pPr>
              <w:pStyle w:val="711"/>
              <w:rPr>
                <w:color w:val="auto"/>
              </w:rPr>
            </w:pPr>
          </w:p>
        </w:tc>
        <w:tc>
          <w:tcPr>
            <w:tcW w:w="633" w:type="dxa"/>
            <w:vMerge w:val="continue"/>
            <w:tcBorders>
              <w:tl2br w:val="nil"/>
              <w:tr2bl w:val="nil"/>
            </w:tcBorders>
            <w:noWrap/>
            <w:tcMar>
              <w:left w:w="6" w:type="dxa"/>
              <w:right w:w="6" w:type="dxa"/>
            </w:tcMar>
            <w:vAlign w:val="center"/>
          </w:tcPr>
          <w:p w14:paraId="27C4340E">
            <w:pPr>
              <w:pStyle w:val="711"/>
              <w:rPr>
                <w:color w:val="auto"/>
              </w:rPr>
            </w:pPr>
          </w:p>
        </w:tc>
        <w:tc>
          <w:tcPr>
            <w:tcW w:w="701" w:type="dxa"/>
            <w:vMerge w:val="continue"/>
            <w:tcBorders>
              <w:tl2br w:val="nil"/>
              <w:tr2bl w:val="nil"/>
            </w:tcBorders>
            <w:noWrap/>
            <w:tcMar>
              <w:left w:w="6" w:type="dxa"/>
              <w:right w:w="6" w:type="dxa"/>
            </w:tcMar>
            <w:vAlign w:val="center"/>
          </w:tcPr>
          <w:p w14:paraId="2D0DC3D2">
            <w:pPr>
              <w:pStyle w:val="711"/>
              <w:rPr>
                <w:color w:val="auto"/>
              </w:rPr>
            </w:pPr>
          </w:p>
        </w:tc>
        <w:tc>
          <w:tcPr>
            <w:tcW w:w="590" w:type="dxa"/>
            <w:tcBorders>
              <w:tl2br w:val="nil"/>
              <w:tr2bl w:val="nil"/>
            </w:tcBorders>
            <w:shd w:val="clear" w:color="auto" w:fill="auto"/>
            <w:noWrap/>
            <w:tcMar>
              <w:left w:w="6" w:type="dxa"/>
              <w:right w:w="6" w:type="dxa"/>
            </w:tcMar>
            <w:vAlign w:val="center"/>
          </w:tcPr>
          <w:p w14:paraId="041E14C0">
            <w:pPr>
              <w:pStyle w:val="711"/>
              <w:rPr>
                <w:b/>
                <w:bCs/>
                <w:color w:val="auto"/>
              </w:rPr>
            </w:pPr>
            <w:r>
              <w:rPr>
                <w:b/>
                <w:bCs/>
                <w:color w:val="auto"/>
              </w:rPr>
              <w:t>h</w:t>
            </w:r>
            <w:r>
              <w:rPr>
                <w:b/>
                <w:bCs/>
                <w:color w:val="auto"/>
                <w:vertAlign w:val="subscript"/>
              </w:rPr>
              <w:t>防</w:t>
            </w:r>
          </w:p>
          <w:p w14:paraId="110ECBD7">
            <w:pPr>
              <w:pStyle w:val="711"/>
              <w:rPr>
                <w:rFonts w:hint="eastAsia" w:eastAsiaTheme="majorEastAsia"/>
                <w:b/>
                <w:bCs/>
                <w:color w:val="auto"/>
                <w:lang w:eastAsia="zh-CN"/>
              </w:rPr>
            </w:pPr>
            <w:r>
              <w:rPr>
                <w:rFonts w:hint="eastAsia"/>
                <w:b/>
                <w:bCs/>
                <w:color w:val="auto"/>
                <w:lang w:eastAsia="zh-CN"/>
              </w:rPr>
              <w:t>（</w:t>
            </w:r>
            <w:r>
              <w:rPr>
                <w:b/>
                <w:bCs/>
                <w:color w:val="auto"/>
              </w:rPr>
              <w:t>m</w:t>
            </w:r>
            <w:r>
              <w:rPr>
                <w:rFonts w:hint="eastAsia"/>
                <w:b/>
                <w:bCs/>
                <w:color w:val="auto"/>
                <w:lang w:eastAsia="zh-CN"/>
              </w:rPr>
              <w:t>）</w:t>
            </w:r>
          </w:p>
        </w:tc>
        <w:tc>
          <w:tcPr>
            <w:tcW w:w="1090" w:type="dxa"/>
            <w:tcBorders>
              <w:tl2br w:val="nil"/>
              <w:tr2bl w:val="nil"/>
            </w:tcBorders>
            <w:shd w:val="clear" w:color="auto" w:fill="auto"/>
            <w:noWrap/>
            <w:tcMar>
              <w:left w:w="6" w:type="dxa"/>
              <w:right w:w="6" w:type="dxa"/>
            </w:tcMar>
            <w:vAlign w:val="center"/>
          </w:tcPr>
          <w:p w14:paraId="7FAEB285">
            <w:pPr>
              <w:pStyle w:val="711"/>
              <w:rPr>
                <w:rFonts w:hint="eastAsia" w:eastAsiaTheme="majorEastAsia"/>
                <w:b/>
                <w:bCs/>
                <w:color w:val="auto"/>
                <w:lang w:eastAsia="zh-CN"/>
              </w:rPr>
            </w:pPr>
            <w:r>
              <w:rPr>
                <w:b/>
                <w:bCs/>
                <w:color w:val="auto"/>
              </w:rPr>
              <w:t>渗透系数K</w:t>
            </w:r>
            <w:r>
              <w:rPr>
                <w:b/>
                <w:bCs/>
                <w:color w:val="auto"/>
                <w:vertAlign w:val="subscript"/>
              </w:rPr>
              <w:t>1</w:t>
            </w:r>
            <w:r>
              <w:rPr>
                <w:rFonts w:hint="eastAsia"/>
                <w:b/>
                <w:bCs/>
                <w:color w:val="auto"/>
                <w:lang w:eastAsia="zh-CN"/>
              </w:rPr>
              <w:t>（</w:t>
            </w:r>
            <w:r>
              <w:rPr>
                <w:b/>
                <w:bCs/>
                <w:color w:val="auto"/>
              </w:rPr>
              <w:t>cm/s</w:t>
            </w:r>
            <w:r>
              <w:rPr>
                <w:rFonts w:hint="eastAsia"/>
                <w:b/>
                <w:bCs/>
                <w:color w:val="auto"/>
                <w:lang w:eastAsia="zh-CN"/>
              </w:rPr>
              <w:t>）</w:t>
            </w:r>
          </w:p>
        </w:tc>
        <w:tc>
          <w:tcPr>
            <w:tcW w:w="465" w:type="dxa"/>
            <w:tcBorders>
              <w:tl2br w:val="nil"/>
              <w:tr2bl w:val="nil"/>
            </w:tcBorders>
            <w:shd w:val="clear" w:color="auto" w:fill="auto"/>
            <w:noWrap/>
            <w:tcMar>
              <w:left w:w="6" w:type="dxa"/>
              <w:right w:w="6" w:type="dxa"/>
            </w:tcMar>
            <w:vAlign w:val="center"/>
          </w:tcPr>
          <w:p w14:paraId="6C039A17">
            <w:pPr>
              <w:pStyle w:val="711"/>
              <w:rPr>
                <w:b/>
                <w:bCs/>
                <w:color w:val="auto"/>
              </w:rPr>
            </w:pPr>
            <w:r>
              <w:rPr>
                <w:b/>
                <w:bCs/>
                <w:color w:val="auto"/>
              </w:rPr>
              <w:t>比例</w:t>
            </w:r>
          </w:p>
        </w:tc>
        <w:tc>
          <w:tcPr>
            <w:tcW w:w="555" w:type="dxa"/>
            <w:tcBorders>
              <w:tl2br w:val="nil"/>
              <w:tr2bl w:val="nil"/>
            </w:tcBorders>
            <w:shd w:val="clear" w:color="auto" w:fill="auto"/>
            <w:noWrap/>
            <w:tcMar>
              <w:left w:w="6" w:type="dxa"/>
              <w:right w:w="6" w:type="dxa"/>
            </w:tcMar>
            <w:vAlign w:val="center"/>
          </w:tcPr>
          <w:p w14:paraId="613B5545">
            <w:pPr>
              <w:pStyle w:val="711"/>
              <w:rPr>
                <w:b/>
                <w:bCs/>
                <w:color w:val="auto"/>
              </w:rPr>
            </w:pPr>
            <w:r>
              <w:rPr>
                <w:b/>
                <w:bCs/>
                <w:color w:val="auto"/>
              </w:rPr>
              <w:t>h</w:t>
            </w:r>
            <w:r>
              <w:rPr>
                <w:b/>
                <w:bCs/>
                <w:color w:val="auto"/>
                <w:vertAlign w:val="subscript"/>
              </w:rPr>
              <w:t>包</w:t>
            </w:r>
          </w:p>
          <w:p w14:paraId="3C432E14">
            <w:pPr>
              <w:pStyle w:val="711"/>
              <w:rPr>
                <w:rFonts w:hint="eastAsia" w:eastAsiaTheme="majorEastAsia"/>
                <w:b/>
                <w:bCs/>
                <w:color w:val="auto"/>
                <w:lang w:eastAsia="zh-CN"/>
              </w:rPr>
            </w:pPr>
            <w:r>
              <w:rPr>
                <w:rFonts w:hint="eastAsia"/>
                <w:b/>
                <w:bCs/>
                <w:color w:val="auto"/>
                <w:lang w:eastAsia="zh-CN"/>
              </w:rPr>
              <w:t>（</w:t>
            </w:r>
            <w:r>
              <w:rPr>
                <w:b/>
                <w:bCs/>
                <w:color w:val="auto"/>
              </w:rPr>
              <w:t>m</w:t>
            </w:r>
            <w:r>
              <w:rPr>
                <w:rFonts w:hint="eastAsia"/>
                <w:b/>
                <w:bCs/>
                <w:color w:val="auto"/>
                <w:lang w:eastAsia="zh-CN"/>
              </w:rPr>
              <w:t>）</w:t>
            </w:r>
          </w:p>
        </w:tc>
        <w:tc>
          <w:tcPr>
            <w:tcW w:w="1065" w:type="dxa"/>
            <w:tcBorders>
              <w:tl2br w:val="nil"/>
              <w:tr2bl w:val="nil"/>
            </w:tcBorders>
            <w:shd w:val="clear" w:color="auto" w:fill="auto"/>
            <w:noWrap/>
            <w:tcMar>
              <w:left w:w="6" w:type="dxa"/>
              <w:right w:w="6" w:type="dxa"/>
            </w:tcMar>
            <w:vAlign w:val="center"/>
          </w:tcPr>
          <w:p w14:paraId="784B9253">
            <w:pPr>
              <w:pStyle w:val="711"/>
              <w:rPr>
                <w:rFonts w:hint="eastAsia" w:eastAsiaTheme="majorEastAsia"/>
                <w:b/>
                <w:bCs/>
                <w:color w:val="auto"/>
                <w:lang w:eastAsia="zh-CN"/>
              </w:rPr>
            </w:pPr>
            <w:r>
              <w:rPr>
                <w:b/>
                <w:bCs/>
                <w:color w:val="auto"/>
              </w:rPr>
              <w:t>等效渗透系数K</w:t>
            </w:r>
            <w:r>
              <w:rPr>
                <w:b/>
                <w:bCs/>
                <w:color w:val="auto"/>
                <w:vertAlign w:val="subscript"/>
              </w:rPr>
              <w:t>2</w:t>
            </w:r>
            <w:r>
              <w:rPr>
                <w:b/>
                <w:bCs/>
                <w:color w:val="auto"/>
              </w:rPr>
              <w:t>（cm/s</w:t>
            </w:r>
            <w:r>
              <w:rPr>
                <w:rFonts w:hint="eastAsia"/>
                <w:b/>
                <w:bCs/>
                <w:color w:val="auto"/>
                <w:lang w:eastAsia="zh-CN"/>
              </w:rPr>
              <w:t>）</w:t>
            </w:r>
          </w:p>
        </w:tc>
        <w:tc>
          <w:tcPr>
            <w:tcW w:w="550" w:type="dxa"/>
            <w:tcBorders>
              <w:tl2br w:val="nil"/>
              <w:tr2bl w:val="nil"/>
            </w:tcBorders>
            <w:shd w:val="clear" w:color="auto" w:fill="auto"/>
            <w:noWrap/>
            <w:tcMar>
              <w:left w:w="6" w:type="dxa"/>
              <w:right w:w="6" w:type="dxa"/>
            </w:tcMar>
            <w:vAlign w:val="center"/>
          </w:tcPr>
          <w:p w14:paraId="06396AEC">
            <w:pPr>
              <w:pStyle w:val="711"/>
              <w:rPr>
                <w:b/>
                <w:bCs/>
                <w:color w:val="auto"/>
              </w:rPr>
            </w:pPr>
            <w:r>
              <w:rPr>
                <w:b/>
                <w:bCs/>
                <w:color w:val="auto"/>
              </w:rPr>
              <w:t>比例</w:t>
            </w:r>
          </w:p>
        </w:tc>
        <w:tc>
          <w:tcPr>
            <w:tcW w:w="561" w:type="dxa"/>
            <w:vMerge w:val="continue"/>
            <w:tcBorders>
              <w:tl2br w:val="nil"/>
              <w:tr2bl w:val="nil"/>
            </w:tcBorders>
            <w:noWrap/>
            <w:tcMar>
              <w:left w:w="6" w:type="dxa"/>
              <w:right w:w="6" w:type="dxa"/>
            </w:tcMar>
            <w:vAlign w:val="center"/>
          </w:tcPr>
          <w:p w14:paraId="63C7A172">
            <w:pPr>
              <w:pStyle w:val="711"/>
              <w:rPr>
                <w:color w:val="auto"/>
              </w:rPr>
            </w:pPr>
          </w:p>
        </w:tc>
      </w:tr>
      <w:tr w14:paraId="4EE50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restart"/>
            <w:tcBorders>
              <w:tl2br w:val="nil"/>
              <w:tr2bl w:val="nil"/>
            </w:tcBorders>
            <w:noWrap/>
            <w:tcMar>
              <w:left w:w="6" w:type="dxa"/>
              <w:right w:w="6" w:type="dxa"/>
            </w:tcMar>
            <w:vAlign w:val="center"/>
          </w:tcPr>
          <w:p w14:paraId="40C29780">
            <w:pPr>
              <w:pStyle w:val="711"/>
              <w:rPr>
                <w:color w:val="auto"/>
              </w:rPr>
            </w:pPr>
            <w:r>
              <w:rPr>
                <w:rFonts w:hint="eastAsia"/>
                <w:color w:val="auto"/>
              </w:rPr>
              <w:t>主体工程</w:t>
            </w:r>
          </w:p>
        </w:tc>
        <w:tc>
          <w:tcPr>
            <w:tcW w:w="944" w:type="dxa"/>
            <w:vMerge w:val="restart"/>
            <w:tcBorders>
              <w:tl2br w:val="nil"/>
              <w:tr2bl w:val="nil"/>
            </w:tcBorders>
            <w:noWrap/>
            <w:tcMar>
              <w:left w:w="6" w:type="dxa"/>
              <w:right w:w="6" w:type="dxa"/>
            </w:tcMar>
            <w:vAlign w:val="center"/>
          </w:tcPr>
          <w:p w14:paraId="043AD242">
            <w:pPr>
              <w:pStyle w:val="711"/>
              <w:rPr>
                <w:color w:val="auto"/>
              </w:rPr>
            </w:pPr>
            <w:r>
              <w:rPr>
                <w:rFonts w:hint="eastAsia"/>
                <w:color w:val="auto"/>
              </w:rPr>
              <w:t>一级处理</w:t>
            </w:r>
          </w:p>
        </w:tc>
        <w:tc>
          <w:tcPr>
            <w:tcW w:w="1255" w:type="dxa"/>
            <w:tcBorders>
              <w:tl2br w:val="nil"/>
              <w:tr2bl w:val="nil"/>
            </w:tcBorders>
            <w:shd w:val="clear" w:color="auto" w:fill="auto"/>
            <w:noWrap/>
            <w:tcMar>
              <w:left w:w="6" w:type="dxa"/>
              <w:right w:w="6" w:type="dxa"/>
            </w:tcMar>
            <w:vAlign w:val="center"/>
          </w:tcPr>
          <w:p w14:paraId="5FA0EFC3">
            <w:pPr>
              <w:pStyle w:val="711"/>
              <w:rPr>
                <w:color w:val="auto"/>
              </w:rPr>
            </w:pPr>
            <w:r>
              <w:rPr>
                <w:rFonts w:hint="eastAsia"/>
                <w:color w:val="auto"/>
              </w:rPr>
              <w:t>超细格栅池</w:t>
            </w:r>
          </w:p>
        </w:tc>
        <w:tc>
          <w:tcPr>
            <w:tcW w:w="633" w:type="dxa"/>
            <w:tcBorders>
              <w:tl2br w:val="nil"/>
              <w:tr2bl w:val="nil"/>
            </w:tcBorders>
            <w:shd w:val="clear" w:color="auto" w:fill="auto"/>
            <w:noWrap/>
            <w:tcMar>
              <w:left w:w="6" w:type="dxa"/>
              <w:right w:w="6" w:type="dxa"/>
            </w:tcMar>
            <w:vAlign w:val="center"/>
          </w:tcPr>
          <w:p w14:paraId="3C1AF81D">
            <w:pPr>
              <w:pStyle w:val="711"/>
              <w:rPr>
                <w:color w:val="auto"/>
              </w:rPr>
            </w:pPr>
            <w:r>
              <w:rPr>
                <w:rFonts w:hint="eastAsia"/>
                <w:color w:val="auto"/>
              </w:rPr>
              <w:t>1.5</w:t>
            </w:r>
          </w:p>
        </w:tc>
        <w:tc>
          <w:tcPr>
            <w:tcW w:w="701" w:type="dxa"/>
            <w:tcBorders>
              <w:tl2br w:val="nil"/>
              <w:tr2bl w:val="nil"/>
            </w:tcBorders>
            <w:shd w:val="clear" w:color="auto" w:fill="auto"/>
            <w:noWrap/>
            <w:tcMar>
              <w:left w:w="6" w:type="dxa"/>
              <w:right w:w="6" w:type="dxa"/>
            </w:tcMar>
            <w:vAlign w:val="center"/>
          </w:tcPr>
          <w:p w14:paraId="71AD3611">
            <w:pPr>
              <w:pStyle w:val="711"/>
              <w:rPr>
                <w:color w:val="auto"/>
              </w:rPr>
            </w:pPr>
            <w:r>
              <w:rPr>
                <w:rFonts w:hint="eastAsia"/>
                <w:color w:val="auto"/>
              </w:rPr>
              <w:t>26.95</w:t>
            </w:r>
          </w:p>
        </w:tc>
        <w:tc>
          <w:tcPr>
            <w:tcW w:w="590" w:type="dxa"/>
            <w:tcBorders>
              <w:tl2br w:val="nil"/>
              <w:tr2bl w:val="nil"/>
            </w:tcBorders>
            <w:shd w:val="clear" w:color="auto" w:fill="auto"/>
            <w:noWrap/>
            <w:tcMar>
              <w:left w:w="6" w:type="dxa"/>
              <w:right w:w="6" w:type="dxa"/>
            </w:tcMar>
            <w:vAlign w:val="center"/>
          </w:tcPr>
          <w:p w14:paraId="1D001999">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27E2B9F5">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4004A865">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0DBD13F8">
            <w:pPr>
              <w:pStyle w:val="711"/>
              <w:rPr>
                <w:color w:val="auto"/>
              </w:rPr>
            </w:pPr>
            <w:r>
              <w:rPr>
                <w:rFonts w:hint="eastAsia"/>
                <w:color w:val="auto"/>
              </w:rPr>
              <w:t>2.47</w:t>
            </w:r>
          </w:p>
        </w:tc>
        <w:tc>
          <w:tcPr>
            <w:tcW w:w="1065" w:type="dxa"/>
            <w:tcBorders>
              <w:tl2br w:val="nil"/>
              <w:tr2bl w:val="nil"/>
            </w:tcBorders>
            <w:shd w:val="clear" w:color="auto" w:fill="auto"/>
            <w:noWrap/>
            <w:tcMar>
              <w:left w:w="6" w:type="dxa"/>
              <w:right w:w="6" w:type="dxa"/>
            </w:tcMar>
            <w:vAlign w:val="center"/>
          </w:tcPr>
          <w:p w14:paraId="29B3CC70">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71B6B921">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09E91C08">
            <w:pPr>
              <w:pStyle w:val="711"/>
              <w:rPr>
                <w:color w:val="auto"/>
              </w:rPr>
            </w:pPr>
            <w:r>
              <w:rPr>
                <w:rFonts w:hint="eastAsia"/>
                <w:color w:val="auto"/>
              </w:rPr>
              <w:t>0.64</w:t>
            </w:r>
          </w:p>
        </w:tc>
      </w:tr>
      <w:tr w14:paraId="07128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436C9D61">
            <w:pPr>
              <w:pStyle w:val="711"/>
              <w:rPr>
                <w:color w:val="auto"/>
              </w:rPr>
            </w:pPr>
          </w:p>
        </w:tc>
        <w:tc>
          <w:tcPr>
            <w:tcW w:w="944" w:type="dxa"/>
            <w:vMerge w:val="continue"/>
            <w:tcBorders>
              <w:tl2br w:val="nil"/>
              <w:tr2bl w:val="nil"/>
            </w:tcBorders>
            <w:noWrap/>
            <w:tcMar>
              <w:left w:w="6" w:type="dxa"/>
              <w:right w:w="6" w:type="dxa"/>
            </w:tcMar>
            <w:vAlign w:val="center"/>
          </w:tcPr>
          <w:p w14:paraId="38DE6D21">
            <w:pPr>
              <w:pStyle w:val="711"/>
              <w:rPr>
                <w:color w:val="auto"/>
              </w:rPr>
            </w:pPr>
          </w:p>
        </w:tc>
        <w:tc>
          <w:tcPr>
            <w:tcW w:w="1255" w:type="dxa"/>
            <w:tcBorders>
              <w:tl2br w:val="nil"/>
              <w:tr2bl w:val="nil"/>
            </w:tcBorders>
            <w:shd w:val="clear" w:color="auto" w:fill="auto"/>
            <w:noWrap/>
            <w:tcMar>
              <w:left w:w="6" w:type="dxa"/>
              <w:right w:w="6" w:type="dxa"/>
            </w:tcMar>
            <w:vAlign w:val="center"/>
          </w:tcPr>
          <w:p w14:paraId="480D4B20">
            <w:pPr>
              <w:pStyle w:val="711"/>
              <w:rPr>
                <w:color w:val="auto"/>
              </w:rPr>
            </w:pPr>
            <w:r>
              <w:rPr>
                <w:rFonts w:hint="eastAsia"/>
                <w:color w:val="auto"/>
              </w:rPr>
              <w:t>调节池</w:t>
            </w:r>
          </w:p>
        </w:tc>
        <w:tc>
          <w:tcPr>
            <w:tcW w:w="633" w:type="dxa"/>
            <w:tcBorders>
              <w:tl2br w:val="nil"/>
              <w:tr2bl w:val="nil"/>
            </w:tcBorders>
            <w:shd w:val="clear" w:color="auto" w:fill="auto"/>
            <w:noWrap/>
            <w:tcMar>
              <w:left w:w="6" w:type="dxa"/>
              <w:right w:w="6" w:type="dxa"/>
            </w:tcMar>
            <w:vAlign w:val="center"/>
          </w:tcPr>
          <w:p w14:paraId="4107F70C">
            <w:pPr>
              <w:pStyle w:val="711"/>
              <w:rPr>
                <w:color w:val="auto"/>
              </w:rPr>
            </w:pPr>
            <w:r>
              <w:rPr>
                <w:rFonts w:hint="eastAsia"/>
                <w:color w:val="auto"/>
              </w:rPr>
              <w:t>6.8</w:t>
            </w:r>
          </w:p>
        </w:tc>
        <w:tc>
          <w:tcPr>
            <w:tcW w:w="701" w:type="dxa"/>
            <w:tcBorders>
              <w:tl2br w:val="nil"/>
              <w:tr2bl w:val="nil"/>
            </w:tcBorders>
            <w:shd w:val="clear" w:color="auto" w:fill="auto"/>
            <w:noWrap/>
            <w:tcMar>
              <w:left w:w="6" w:type="dxa"/>
              <w:right w:w="6" w:type="dxa"/>
            </w:tcMar>
            <w:vAlign w:val="center"/>
          </w:tcPr>
          <w:p w14:paraId="699D5AD4">
            <w:pPr>
              <w:pStyle w:val="711"/>
              <w:rPr>
                <w:color w:val="auto"/>
              </w:rPr>
            </w:pPr>
            <w:r>
              <w:rPr>
                <w:rFonts w:hint="eastAsia"/>
                <w:color w:val="auto"/>
              </w:rPr>
              <w:t>295.40</w:t>
            </w:r>
          </w:p>
        </w:tc>
        <w:tc>
          <w:tcPr>
            <w:tcW w:w="590" w:type="dxa"/>
            <w:tcBorders>
              <w:tl2br w:val="nil"/>
              <w:tr2bl w:val="nil"/>
            </w:tcBorders>
            <w:shd w:val="clear" w:color="auto" w:fill="auto"/>
            <w:noWrap/>
            <w:tcMar>
              <w:left w:w="6" w:type="dxa"/>
              <w:right w:w="6" w:type="dxa"/>
            </w:tcMar>
            <w:vAlign w:val="center"/>
          </w:tcPr>
          <w:p w14:paraId="54B25E31">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59D45C36">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42E2585C">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0064ABF9">
            <w:pPr>
              <w:pStyle w:val="711"/>
              <w:rPr>
                <w:color w:val="auto"/>
              </w:rPr>
            </w:pPr>
            <w:r>
              <w:rPr>
                <w:rFonts w:hint="eastAsia"/>
                <w:color w:val="auto"/>
              </w:rPr>
              <w:t>0</w:t>
            </w:r>
          </w:p>
        </w:tc>
        <w:tc>
          <w:tcPr>
            <w:tcW w:w="1065" w:type="dxa"/>
            <w:tcBorders>
              <w:tl2br w:val="nil"/>
              <w:tr2bl w:val="nil"/>
            </w:tcBorders>
            <w:shd w:val="clear" w:color="auto" w:fill="auto"/>
            <w:noWrap/>
            <w:tcMar>
              <w:left w:w="6" w:type="dxa"/>
              <w:right w:w="6" w:type="dxa"/>
            </w:tcMar>
            <w:vAlign w:val="center"/>
          </w:tcPr>
          <w:p w14:paraId="31262E2C">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20C6291A">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6D238782">
            <w:pPr>
              <w:pStyle w:val="711"/>
              <w:rPr>
                <w:color w:val="auto"/>
              </w:rPr>
            </w:pPr>
            <w:r>
              <w:rPr>
                <w:rFonts w:hint="eastAsia"/>
                <w:color w:val="auto"/>
              </w:rPr>
              <w:t>4.61</w:t>
            </w:r>
          </w:p>
        </w:tc>
      </w:tr>
      <w:tr w14:paraId="389AC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6CF29953">
            <w:pPr>
              <w:pStyle w:val="711"/>
              <w:rPr>
                <w:color w:val="auto"/>
              </w:rPr>
            </w:pPr>
          </w:p>
        </w:tc>
        <w:tc>
          <w:tcPr>
            <w:tcW w:w="944" w:type="dxa"/>
            <w:vMerge w:val="continue"/>
            <w:tcBorders>
              <w:tl2br w:val="nil"/>
              <w:tr2bl w:val="nil"/>
            </w:tcBorders>
            <w:noWrap/>
            <w:tcMar>
              <w:left w:w="6" w:type="dxa"/>
              <w:right w:w="6" w:type="dxa"/>
            </w:tcMar>
            <w:vAlign w:val="center"/>
          </w:tcPr>
          <w:p w14:paraId="31F0EAE8">
            <w:pPr>
              <w:pStyle w:val="711"/>
              <w:rPr>
                <w:color w:val="auto"/>
              </w:rPr>
            </w:pPr>
          </w:p>
        </w:tc>
        <w:tc>
          <w:tcPr>
            <w:tcW w:w="1255" w:type="dxa"/>
            <w:tcBorders>
              <w:tl2br w:val="nil"/>
              <w:tr2bl w:val="nil"/>
            </w:tcBorders>
            <w:shd w:val="clear" w:color="auto" w:fill="auto"/>
            <w:noWrap/>
            <w:tcMar>
              <w:left w:w="6" w:type="dxa"/>
              <w:right w:w="6" w:type="dxa"/>
            </w:tcMar>
            <w:vAlign w:val="center"/>
          </w:tcPr>
          <w:p w14:paraId="02709389">
            <w:pPr>
              <w:pStyle w:val="711"/>
              <w:rPr>
                <w:color w:val="auto"/>
              </w:rPr>
            </w:pPr>
            <w:r>
              <w:rPr>
                <w:rFonts w:hint="eastAsia"/>
                <w:color w:val="auto"/>
              </w:rPr>
              <w:t>水解酸化池</w:t>
            </w:r>
          </w:p>
        </w:tc>
        <w:tc>
          <w:tcPr>
            <w:tcW w:w="633" w:type="dxa"/>
            <w:tcBorders>
              <w:tl2br w:val="nil"/>
              <w:tr2bl w:val="nil"/>
            </w:tcBorders>
            <w:shd w:val="clear" w:color="auto" w:fill="auto"/>
            <w:noWrap/>
            <w:tcMar>
              <w:left w:w="6" w:type="dxa"/>
              <w:right w:w="6" w:type="dxa"/>
            </w:tcMar>
            <w:vAlign w:val="center"/>
          </w:tcPr>
          <w:p w14:paraId="33D8ACA9">
            <w:pPr>
              <w:pStyle w:val="711"/>
              <w:rPr>
                <w:color w:val="auto"/>
              </w:rPr>
            </w:pPr>
            <w:r>
              <w:rPr>
                <w:rFonts w:hint="eastAsia"/>
                <w:color w:val="auto"/>
              </w:rPr>
              <w:t>6.0</w:t>
            </w:r>
          </w:p>
        </w:tc>
        <w:tc>
          <w:tcPr>
            <w:tcW w:w="701" w:type="dxa"/>
            <w:tcBorders>
              <w:tl2br w:val="nil"/>
              <w:tr2bl w:val="nil"/>
            </w:tcBorders>
            <w:shd w:val="clear" w:color="auto" w:fill="auto"/>
            <w:noWrap/>
            <w:tcMar>
              <w:left w:w="6" w:type="dxa"/>
              <w:right w:w="6" w:type="dxa"/>
            </w:tcMar>
            <w:vAlign w:val="center"/>
          </w:tcPr>
          <w:p w14:paraId="1A64AA96">
            <w:pPr>
              <w:pStyle w:val="711"/>
              <w:rPr>
                <w:color w:val="auto"/>
              </w:rPr>
            </w:pPr>
            <w:r>
              <w:rPr>
                <w:rFonts w:hint="eastAsia"/>
                <w:color w:val="auto"/>
              </w:rPr>
              <w:t>278.88</w:t>
            </w:r>
          </w:p>
        </w:tc>
        <w:tc>
          <w:tcPr>
            <w:tcW w:w="590" w:type="dxa"/>
            <w:tcBorders>
              <w:tl2br w:val="nil"/>
              <w:tr2bl w:val="nil"/>
            </w:tcBorders>
            <w:shd w:val="clear" w:color="auto" w:fill="auto"/>
            <w:noWrap/>
            <w:tcMar>
              <w:left w:w="6" w:type="dxa"/>
              <w:right w:w="6" w:type="dxa"/>
            </w:tcMar>
            <w:vAlign w:val="center"/>
          </w:tcPr>
          <w:p w14:paraId="22F10925">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13F8A351">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449E09DB">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7DECEF92">
            <w:pPr>
              <w:pStyle w:val="711"/>
              <w:rPr>
                <w:color w:val="auto"/>
              </w:rPr>
            </w:pPr>
            <w:r>
              <w:rPr>
                <w:rFonts w:hint="eastAsia"/>
                <w:color w:val="auto"/>
              </w:rPr>
              <w:t>3.27</w:t>
            </w:r>
          </w:p>
        </w:tc>
        <w:tc>
          <w:tcPr>
            <w:tcW w:w="1065" w:type="dxa"/>
            <w:tcBorders>
              <w:tl2br w:val="nil"/>
              <w:tr2bl w:val="nil"/>
            </w:tcBorders>
            <w:shd w:val="clear" w:color="auto" w:fill="auto"/>
            <w:noWrap/>
            <w:tcMar>
              <w:left w:w="6" w:type="dxa"/>
              <w:right w:w="6" w:type="dxa"/>
            </w:tcMar>
            <w:vAlign w:val="center"/>
          </w:tcPr>
          <w:p w14:paraId="05AFAC27">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3F6C0E3D">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2F6B0B3C">
            <w:pPr>
              <w:pStyle w:val="711"/>
              <w:rPr>
                <w:color w:val="auto"/>
              </w:rPr>
            </w:pPr>
            <w:r>
              <w:rPr>
                <w:rFonts w:hint="eastAsia"/>
                <w:color w:val="auto"/>
              </w:rPr>
              <w:t>11.68</w:t>
            </w:r>
          </w:p>
        </w:tc>
      </w:tr>
      <w:tr w14:paraId="78FD6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247CDBAB">
            <w:pPr>
              <w:pStyle w:val="711"/>
              <w:rPr>
                <w:color w:val="auto"/>
              </w:rPr>
            </w:pPr>
          </w:p>
        </w:tc>
        <w:tc>
          <w:tcPr>
            <w:tcW w:w="944" w:type="dxa"/>
            <w:vMerge w:val="restart"/>
            <w:tcBorders>
              <w:tl2br w:val="nil"/>
              <w:tr2bl w:val="nil"/>
            </w:tcBorders>
            <w:noWrap/>
            <w:tcMar>
              <w:left w:w="6" w:type="dxa"/>
              <w:right w:w="6" w:type="dxa"/>
            </w:tcMar>
            <w:vAlign w:val="center"/>
          </w:tcPr>
          <w:p w14:paraId="6503F7E0">
            <w:pPr>
              <w:pStyle w:val="711"/>
              <w:rPr>
                <w:color w:val="auto"/>
              </w:rPr>
            </w:pPr>
            <w:r>
              <w:rPr>
                <w:rFonts w:hint="eastAsia"/>
                <w:color w:val="auto"/>
              </w:rPr>
              <w:t>二级处理</w:t>
            </w:r>
          </w:p>
        </w:tc>
        <w:tc>
          <w:tcPr>
            <w:tcW w:w="1255" w:type="dxa"/>
            <w:tcBorders>
              <w:tl2br w:val="nil"/>
              <w:tr2bl w:val="nil"/>
            </w:tcBorders>
            <w:shd w:val="clear" w:color="auto" w:fill="auto"/>
            <w:noWrap/>
            <w:tcMar>
              <w:left w:w="6" w:type="dxa"/>
              <w:right w:w="6" w:type="dxa"/>
            </w:tcMar>
            <w:vAlign w:val="center"/>
          </w:tcPr>
          <w:p w14:paraId="64493486">
            <w:pPr>
              <w:pStyle w:val="711"/>
              <w:rPr>
                <w:color w:val="auto"/>
              </w:rPr>
            </w:pPr>
            <w:r>
              <w:rPr>
                <w:rFonts w:hint="eastAsia"/>
                <w:color w:val="auto"/>
              </w:rPr>
              <w:t>微氧低循环生化池</w:t>
            </w:r>
          </w:p>
        </w:tc>
        <w:tc>
          <w:tcPr>
            <w:tcW w:w="633" w:type="dxa"/>
            <w:tcBorders>
              <w:tl2br w:val="nil"/>
              <w:tr2bl w:val="nil"/>
            </w:tcBorders>
            <w:shd w:val="clear" w:color="auto" w:fill="auto"/>
            <w:noWrap/>
            <w:tcMar>
              <w:left w:w="6" w:type="dxa"/>
              <w:right w:w="6" w:type="dxa"/>
            </w:tcMar>
            <w:vAlign w:val="center"/>
          </w:tcPr>
          <w:p w14:paraId="6770E4F3">
            <w:pPr>
              <w:pStyle w:val="711"/>
              <w:rPr>
                <w:color w:val="auto"/>
              </w:rPr>
            </w:pPr>
            <w:r>
              <w:rPr>
                <w:rFonts w:hint="eastAsia"/>
                <w:color w:val="auto"/>
              </w:rPr>
              <w:t>5.5</w:t>
            </w:r>
          </w:p>
        </w:tc>
        <w:tc>
          <w:tcPr>
            <w:tcW w:w="701" w:type="dxa"/>
            <w:tcBorders>
              <w:tl2br w:val="nil"/>
              <w:tr2bl w:val="nil"/>
            </w:tcBorders>
            <w:shd w:val="clear" w:color="auto" w:fill="auto"/>
            <w:noWrap/>
            <w:tcMar>
              <w:left w:w="6" w:type="dxa"/>
              <w:right w:w="6" w:type="dxa"/>
            </w:tcMar>
            <w:vAlign w:val="center"/>
          </w:tcPr>
          <w:p w14:paraId="710C2A2C">
            <w:pPr>
              <w:pStyle w:val="711"/>
              <w:rPr>
                <w:color w:val="auto"/>
              </w:rPr>
            </w:pPr>
            <w:r>
              <w:rPr>
                <w:rFonts w:hint="eastAsia"/>
                <w:color w:val="auto"/>
              </w:rPr>
              <w:t>680.16</w:t>
            </w:r>
          </w:p>
        </w:tc>
        <w:tc>
          <w:tcPr>
            <w:tcW w:w="590" w:type="dxa"/>
            <w:tcBorders>
              <w:tl2br w:val="nil"/>
              <w:tr2bl w:val="nil"/>
            </w:tcBorders>
            <w:shd w:val="clear" w:color="auto" w:fill="auto"/>
            <w:noWrap/>
            <w:tcMar>
              <w:left w:w="6" w:type="dxa"/>
              <w:right w:w="6" w:type="dxa"/>
            </w:tcMar>
            <w:vAlign w:val="center"/>
          </w:tcPr>
          <w:p w14:paraId="7ABAC966">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6ACD5227">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61D584FF">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575C1AF4">
            <w:pPr>
              <w:pStyle w:val="711"/>
              <w:rPr>
                <w:color w:val="auto"/>
              </w:rPr>
            </w:pPr>
            <w:r>
              <w:rPr>
                <w:rFonts w:hint="eastAsia"/>
                <w:color w:val="auto"/>
              </w:rPr>
              <w:t>3.27</w:t>
            </w:r>
          </w:p>
        </w:tc>
        <w:tc>
          <w:tcPr>
            <w:tcW w:w="1065" w:type="dxa"/>
            <w:tcBorders>
              <w:tl2br w:val="nil"/>
              <w:tr2bl w:val="nil"/>
            </w:tcBorders>
            <w:shd w:val="clear" w:color="auto" w:fill="auto"/>
            <w:noWrap/>
            <w:tcMar>
              <w:left w:w="6" w:type="dxa"/>
              <w:right w:w="6" w:type="dxa"/>
            </w:tcMar>
            <w:vAlign w:val="center"/>
          </w:tcPr>
          <w:p w14:paraId="0382E733">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4FEC39DC">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34749ED0">
            <w:pPr>
              <w:pStyle w:val="711"/>
              <w:rPr>
                <w:color w:val="auto"/>
              </w:rPr>
            </w:pPr>
            <w:r>
              <w:rPr>
                <w:rFonts w:hint="eastAsia"/>
                <w:color w:val="auto"/>
              </w:rPr>
              <w:t>26.95</w:t>
            </w:r>
          </w:p>
        </w:tc>
      </w:tr>
      <w:tr w14:paraId="1E3C5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2D9819E2">
            <w:pPr>
              <w:pStyle w:val="711"/>
              <w:rPr>
                <w:color w:val="auto"/>
              </w:rPr>
            </w:pPr>
          </w:p>
        </w:tc>
        <w:tc>
          <w:tcPr>
            <w:tcW w:w="944" w:type="dxa"/>
            <w:vMerge w:val="continue"/>
            <w:tcBorders>
              <w:tl2br w:val="nil"/>
              <w:tr2bl w:val="nil"/>
            </w:tcBorders>
            <w:noWrap/>
            <w:tcMar>
              <w:left w:w="6" w:type="dxa"/>
              <w:right w:w="6" w:type="dxa"/>
            </w:tcMar>
            <w:vAlign w:val="center"/>
          </w:tcPr>
          <w:p w14:paraId="3F25C6A6">
            <w:pPr>
              <w:pStyle w:val="711"/>
              <w:rPr>
                <w:color w:val="auto"/>
              </w:rPr>
            </w:pPr>
          </w:p>
        </w:tc>
        <w:tc>
          <w:tcPr>
            <w:tcW w:w="1255" w:type="dxa"/>
            <w:tcBorders>
              <w:tl2br w:val="nil"/>
              <w:tr2bl w:val="nil"/>
            </w:tcBorders>
            <w:shd w:val="clear" w:color="auto" w:fill="auto"/>
            <w:noWrap/>
            <w:tcMar>
              <w:left w:w="6" w:type="dxa"/>
              <w:right w:w="6" w:type="dxa"/>
            </w:tcMar>
            <w:vAlign w:val="center"/>
          </w:tcPr>
          <w:p w14:paraId="27429616">
            <w:pPr>
              <w:pStyle w:val="711"/>
              <w:rPr>
                <w:color w:val="auto"/>
              </w:rPr>
            </w:pPr>
            <w:r>
              <w:rPr>
                <w:rFonts w:hint="eastAsia"/>
                <w:color w:val="auto"/>
              </w:rPr>
              <w:t>反硝化深床滤池</w:t>
            </w:r>
          </w:p>
        </w:tc>
        <w:tc>
          <w:tcPr>
            <w:tcW w:w="633" w:type="dxa"/>
            <w:tcBorders>
              <w:tl2br w:val="nil"/>
              <w:tr2bl w:val="nil"/>
            </w:tcBorders>
            <w:shd w:val="clear" w:color="auto" w:fill="auto"/>
            <w:noWrap/>
            <w:tcMar>
              <w:left w:w="6" w:type="dxa"/>
              <w:right w:w="6" w:type="dxa"/>
            </w:tcMar>
            <w:vAlign w:val="center"/>
          </w:tcPr>
          <w:p w14:paraId="4084A448">
            <w:pPr>
              <w:pStyle w:val="711"/>
              <w:rPr>
                <w:color w:val="auto"/>
              </w:rPr>
            </w:pPr>
            <w:r>
              <w:rPr>
                <w:rFonts w:hint="eastAsia"/>
                <w:color w:val="auto"/>
              </w:rPr>
              <w:t>5.0</w:t>
            </w:r>
          </w:p>
        </w:tc>
        <w:tc>
          <w:tcPr>
            <w:tcW w:w="701" w:type="dxa"/>
            <w:tcBorders>
              <w:tl2br w:val="nil"/>
              <w:tr2bl w:val="nil"/>
            </w:tcBorders>
            <w:shd w:val="clear" w:color="auto" w:fill="auto"/>
            <w:noWrap/>
            <w:tcMar>
              <w:left w:w="6" w:type="dxa"/>
              <w:right w:w="6" w:type="dxa"/>
            </w:tcMar>
            <w:vAlign w:val="center"/>
          </w:tcPr>
          <w:p w14:paraId="3B9F3346">
            <w:pPr>
              <w:pStyle w:val="711"/>
              <w:rPr>
                <w:color w:val="auto"/>
              </w:rPr>
            </w:pPr>
            <w:r>
              <w:rPr>
                <w:rFonts w:hint="eastAsia"/>
                <w:color w:val="auto"/>
              </w:rPr>
              <w:t>319.74</w:t>
            </w:r>
          </w:p>
        </w:tc>
        <w:tc>
          <w:tcPr>
            <w:tcW w:w="590" w:type="dxa"/>
            <w:tcBorders>
              <w:tl2br w:val="nil"/>
              <w:tr2bl w:val="nil"/>
            </w:tcBorders>
            <w:shd w:val="clear" w:color="auto" w:fill="auto"/>
            <w:noWrap/>
            <w:tcMar>
              <w:left w:w="6" w:type="dxa"/>
              <w:right w:w="6" w:type="dxa"/>
            </w:tcMar>
            <w:vAlign w:val="center"/>
          </w:tcPr>
          <w:p w14:paraId="657EEB74">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511BB7FA">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2F6DCECF">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22A39EA3">
            <w:pPr>
              <w:pStyle w:val="711"/>
              <w:rPr>
                <w:color w:val="auto"/>
              </w:rPr>
            </w:pPr>
            <w:r>
              <w:rPr>
                <w:rFonts w:hint="eastAsia"/>
                <w:color w:val="auto"/>
              </w:rPr>
              <w:t>0.83</w:t>
            </w:r>
          </w:p>
        </w:tc>
        <w:tc>
          <w:tcPr>
            <w:tcW w:w="1065" w:type="dxa"/>
            <w:tcBorders>
              <w:tl2br w:val="nil"/>
              <w:tr2bl w:val="nil"/>
            </w:tcBorders>
            <w:shd w:val="clear" w:color="auto" w:fill="auto"/>
            <w:noWrap/>
            <w:tcMar>
              <w:left w:w="6" w:type="dxa"/>
              <w:right w:w="6" w:type="dxa"/>
            </w:tcMar>
            <w:vAlign w:val="center"/>
          </w:tcPr>
          <w:p w14:paraId="7A0998F8">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5D3E666A">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3DEBE852">
            <w:pPr>
              <w:pStyle w:val="711"/>
              <w:rPr>
                <w:color w:val="auto"/>
              </w:rPr>
            </w:pPr>
            <w:r>
              <w:rPr>
                <w:rFonts w:hint="eastAsia"/>
                <w:color w:val="auto"/>
              </w:rPr>
              <w:t>33.18</w:t>
            </w:r>
          </w:p>
        </w:tc>
      </w:tr>
      <w:tr w14:paraId="727AE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0BC69606">
            <w:pPr>
              <w:pStyle w:val="711"/>
              <w:rPr>
                <w:color w:val="auto"/>
              </w:rPr>
            </w:pPr>
          </w:p>
        </w:tc>
        <w:tc>
          <w:tcPr>
            <w:tcW w:w="944" w:type="dxa"/>
            <w:tcBorders>
              <w:tl2br w:val="nil"/>
              <w:tr2bl w:val="nil"/>
            </w:tcBorders>
            <w:noWrap/>
            <w:tcMar>
              <w:left w:w="6" w:type="dxa"/>
              <w:right w:w="6" w:type="dxa"/>
            </w:tcMar>
            <w:vAlign w:val="center"/>
          </w:tcPr>
          <w:p w14:paraId="5C760872">
            <w:pPr>
              <w:pStyle w:val="711"/>
              <w:rPr>
                <w:color w:val="auto"/>
              </w:rPr>
            </w:pPr>
            <w:r>
              <w:rPr>
                <w:rFonts w:hint="eastAsia"/>
                <w:color w:val="auto"/>
              </w:rPr>
              <w:t>深度处理</w:t>
            </w:r>
          </w:p>
        </w:tc>
        <w:tc>
          <w:tcPr>
            <w:tcW w:w="1255" w:type="dxa"/>
            <w:tcBorders>
              <w:tl2br w:val="nil"/>
              <w:tr2bl w:val="nil"/>
            </w:tcBorders>
            <w:shd w:val="clear" w:color="auto" w:fill="auto"/>
            <w:noWrap/>
            <w:tcMar>
              <w:left w:w="6" w:type="dxa"/>
              <w:right w:w="6" w:type="dxa"/>
            </w:tcMar>
            <w:vAlign w:val="center"/>
          </w:tcPr>
          <w:p w14:paraId="372ED3F5">
            <w:pPr>
              <w:pStyle w:val="711"/>
              <w:rPr>
                <w:color w:val="auto"/>
              </w:rPr>
            </w:pPr>
            <w:r>
              <w:rPr>
                <w:rFonts w:hint="eastAsia"/>
                <w:color w:val="auto"/>
              </w:rPr>
              <w:t>高级氧化撬装设备</w:t>
            </w:r>
          </w:p>
        </w:tc>
        <w:tc>
          <w:tcPr>
            <w:tcW w:w="633" w:type="dxa"/>
            <w:tcBorders>
              <w:tl2br w:val="nil"/>
              <w:tr2bl w:val="nil"/>
            </w:tcBorders>
            <w:shd w:val="clear" w:color="auto" w:fill="auto"/>
            <w:noWrap/>
            <w:tcMar>
              <w:left w:w="6" w:type="dxa"/>
              <w:right w:w="6" w:type="dxa"/>
            </w:tcMar>
            <w:vAlign w:val="center"/>
          </w:tcPr>
          <w:p w14:paraId="1A862FFA">
            <w:pPr>
              <w:pStyle w:val="711"/>
              <w:rPr>
                <w:color w:val="auto"/>
              </w:rPr>
            </w:pPr>
            <w:r>
              <w:rPr>
                <w:rFonts w:hint="eastAsia"/>
                <w:color w:val="auto"/>
              </w:rPr>
              <w:t>3.0</w:t>
            </w:r>
          </w:p>
        </w:tc>
        <w:tc>
          <w:tcPr>
            <w:tcW w:w="701" w:type="dxa"/>
            <w:tcBorders>
              <w:tl2br w:val="nil"/>
              <w:tr2bl w:val="nil"/>
            </w:tcBorders>
            <w:shd w:val="clear" w:color="auto" w:fill="auto"/>
            <w:noWrap/>
            <w:tcMar>
              <w:left w:w="6" w:type="dxa"/>
              <w:right w:w="6" w:type="dxa"/>
            </w:tcMar>
            <w:vAlign w:val="center"/>
          </w:tcPr>
          <w:p w14:paraId="28EB58B9">
            <w:pPr>
              <w:pStyle w:val="711"/>
              <w:rPr>
                <w:color w:val="auto"/>
              </w:rPr>
            </w:pPr>
            <w:r>
              <w:rPr>
                <w:rFonts w:hint="eastAsia"/>
                <w:color w:val="auto"/>
              </w:rPr>
              <w:t>40.00</w:t>
            </w:r>
          </w:p>
        </w:tc>
        <w:tc>
          <w:tcPr>
            <w:tcW w:w="590" w:type="dxa"/>
            <w:tcBorders>
              <w:tl2br w:val="nil"/>
              <w:tr2bl w:val="nil"/>
            </w:tcBorders>
            <w:shd w:val="clear" w:color="auto" w:fill="auto"/>
            <w:noWrap/>
            <w:tcMar>
              <w:left w:w="6" w:type="dxa"/>
              <w:right w:w="6" w:type="dxa"/>
            </w:tcMar>
            <w:vAlign w:val="center"/>
          </w:tcPr>
          <w:p w14:paraId="67B76EF2">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03282D88">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3767784C">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177ED6CD">
            <w:pPr>
              <w:pStyle w:val="711"/>
              <w:rPr>
                <w:color w:val="auto"/>
              </w:rPr>
            </w:pPr>
            <w:r>
              <w:rPr>
                <w:rFonts w:hint="eastAsia"/>
                <w:color w:val="auto"/>
              </w:rPr>
              <w:t>3.77</w:t>
            </w:r>
          </w:p>
        </w:tc>
        <w:tc>
          <w:tcPr>
            <w:tcW w:w="1065" w:type="dxa"/>
            <w:tcBorders>
              <w:tl2br w:val="nil"/>
              <w:tr2bl w:val="nil"/>
            </w:tcBorders>
            <w:shd w:val="clear" w:color="auto" w:fill="auto"/>
            <w:noWrap/>
            <w:tcMar>
              <w:left w:w="6" w:type="dxa"/>
              <w:right w:w="6" w:type="dxa"/>
            </w:tcMar>
            <w:vAlign w:val="center"/>
          </w:tcPr>
          <w:p w14:paraId="7803431F">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3032F57F">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2E00DF15">
            <w:pPr>
              <w:pStyle w:val="711"/>
              <w:rPr>
                <w:color w:val="auto"/>
              </w:rPr>
            </w:pPr>
            <w:r>
              <w:rPr>
                <w:rFonts w:hint="eastAsia"/>
                <w:color w:val="auto"/>
              </w:rPr>
              <w:t>1.06</w:t>
            </w:r>
          </w:p>
        </w:tc>
      </w:tr>
      <w:tr w14:paraId="39EDB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restart"/>
            <w:tcBorders>
              <w:tl2br w:val="nil"/>
              <w:tr2bl w:val="nil"/>
            </w:tcBorders>
            <w:noWrap/>
            <w:tcMar>
              <w:left w:w="6" w:type="dxa"/>
              <w:right w:w="6" w:type="dxa"/>
            </w:tcMar>
            <w:vAlign w:val="center"/>
          </w:tcPr>
          <w:p w14:paraId="7051D2D9">
            <w:pPr>
              <w:pStyle w:val="711"/>
              <w:rPr>
                <w:color w:val="auto"/>
              </w:rPr>
            </w:pPr>
            <w:r>
              <w:rPr>
                <w:rFonts w:hint="eastAsia"/>
                <w:color w:val="auto"/>
              </w:rPr>
              <w:t>配套工程</w:t>
            </w:r>
          </w:p>
        </w:tc>
        <w:tc>
          <w:tcPr>
            <w:tcW w:w="944" w:type="dxa"/>
            <w:vMerge w:val="restart"/>
            <w:tcBorders>
              <w:tl2br w:val="nil"/>
              <w:tr2bl w:val="nil"/>
            </w:tcBorders>
            <w:noWrap/>
            <w:tcMar>
              <w:left w:w="6" w:type="dxa"/>
              <w:right w:w="6" w:type="dxa"/>
            </w:tcMar>
            <w:vAlign w:val="center"/>
          </w:tcPr>
          <w:p w14:paraId="0E12B004">
            <w:pPr>
              <w:pStyle w:val="711"/>
              <w:rPr>
                <w:color w:val="auto"/>
              </w:rPr>
            </w:pPr>
            <w:r>
              <w:rPr>
                <w:rFonts w:hint="eastAsia"/>
                <w:color w:val="auto"/>
              </w:rPr>
              <w:t>污泥处理</w:t>
            </w:r>
          </w:p>
        </w:tc>
        <w:tc>
          <w:tcPr>
            <w:tcW w:w="1255" w:type="dxa"/>
            <w:tcBorders>
              <w:tl2br w:val="nil"/>
              <w:tr2bl w:val="nil"/>
            </w:tcBorders>
            <w:shd w:val="clear" w:color="auto" w:fill="auto"/>
            <w:noWrap/>
            <w:tcMar>
              <w:left w:w="6" w:type="dxa"/>
              <w:right w:w="6" w:type="dxa"/>
            </w:tcMar>
            <w:vAlign w:val="center"/>
          </w:tcPr>
          <w:p w14:paraId="7DF7538E">
            <w:pPr>
              <w:pStyle w:val="711"/>
              <w:rPr>
                <w:color w:val="auto"/>
              </w:rPr>
            </w:pPr>
            <w:r>
              <w:rPr>
                <w:rFonts w:hint="eastAsia"/>
                <w:color w:val="auto"/>
              </w:rPr>
              <w:t>磁混凝沉淀池</w:t>
            </w:r>
          </w:p>
        </w:tc>
        <w:tc>
          <w:tcPr>
            <w:tcW w:w="633" w:type="dxa"/>
            <w:tcBorders>
              <w:tl2br w:val="nil"/>
              <w:tr2bl w:val="nil"/>
            </w:tcBorders>
            <w:shd w:val="clear" w:color="auto" w:fill="auto"/>
            <w:noWrap/>
            <w:tcMar>
              <w:left w:w="6" w:type="dxa"/>
              <w:right w:w="6" w:type="dxa"/>
            </w:tcMar>
            <w:vAlign w:val="center"/>
          </w:tcPr>
          <w:p w14:paraId="144D6114">
            <w:pPr>
              <w:pStyle w:val="711"/>
              <w:rPr>
                <w:color w:val="auto"/>
              </w:rPr>
            </w:pPr>
            <w:r>
              <w:rPr>
                <w:rFonts w:hint="eastAsia"/>
                <w:color w:val="auto"/>
              </w:rPr>
              <w:t>10.0</w:t>
            </w:r>
          </w:p>
        </w:tc>
        <w:tc>
          <w:tcPr>
            <w:tcW w:w="701" w:type="dxa"/>
            <w:tcBorders>
              <w:tl2br w:val="nil"/>
              <w:tr2bl w:val="nil"/>
            </w:tcBorders>
            <w:shd w:val="clear" w:color="auto" w:fill="auto"/>
            <w:noWrap/>
            <w:tcMar>
              <w:left w:w="6" w:type="dxa"/>
              <w:right w:w="6" w:type="dxa"/>
            </w:tcMar>
            <w:vAlign w:val="center"/>
          </w:tcPr>
          <w:p w14:paraId="779204B8">
            <w:pPr>
              <w:pStyle w:val="711"/>
              <w:rPr>
                <w:color w:val="auto"/>
              </w:rPr>
            </w:pPr>
            <w:r>
              <w:rPr>
                <w:rFonts w:hint="eastAsia"/>
                <w:color w:val="auto"/>
              </w:rPr>
              <w:t>230.4</w:t>
            </w:r>
          </w:p>
        </w:tc>
        <w:tc>
          <w:tcPr>
            <w:tcW w:w="590" w:type="dxa"/>
            <w:tcBorders>
              <w:tl2br w:val="nil"/>
              <w:tr2bl w:val="nil"/>
            </w:tcBorders>
            <w:shd w:val="clear" w:color="auto" w:fill="auto"/>
            <w:noWrap/>
            <w:tcMar>
              <w:left w:w="6" w:type="dxa"/>
              <w:right w:w="6" w:type="dxa"/>
            </w:tcMar>
            <w:vAlign w:val="center"/>
          </w:tcPr>
          <w:p w14:paraId="37CBF97C">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272EE097">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4C6AD2D4">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3926DDEA">
            <w:pPr>
              <w:pStyle w:val="711"/>
              <w:rPr>
                <w:color w:val="auto"/>
              </w:rPr>
            </w:pPr>
            <w:r>
              <w:rPr>
                <w:rFonts w:hint="eastAsia"/>
                <w:color w:val="auto"/>
              </w:rPr>
              <w:t>3.27</w:t>
            </w:r>
          </w:p>
        </w:tc>
        <w:tc>
          <w:tcPr>
            <w:tcW w:w="1065" w:type="dxa"/>
            <w:tcBorders>
              <w:tl2br w:val="nil"/>
              <w:tr2bl w:val="nil"/>
            </w:tcBorders>
            <w:shd w:val="clear" w:color="auto" w:fill="auto"/>
            <w:noWrap/>
            <w:tcMar>
              <w:left w:w="6" w:type="dxa"/>
              <w:right w:w="6" w:type="dxa"/>
            </w:tcMar>
            <w:vAlign w:val="center"/>
          </w:tcPr>
          <w:p w14:paraId="231C3E1D">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0D87ABCA">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28D62246">
            <w:pPr>
              <w:pStyle w:val="711"/>
              <w:rPr>
                <w:color w:val="auto"/>
              </w:rPr>
            </w:pPr>
            <w:r>
              <w:rPr>
                <w:rFonts w:hint="eastAsia"/>
                <w:color w:val="auto"/>
              </w:rPr>
              <w:t>13.81</w:t>
            </w:r>
          </w:p>
        </w:tc>
      </w:tr>
      <w:tr w14:paraId="3DEDE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3" w:type="dxa"/>
            <w:vMerge w:val="continue"/>
            <w:tcBorders>
              <w:tl2br w:val="nil"/>
              <w:tr2bl w:val="nil"/>
            </w:tcBorders>
            <w:noWrap/>
            <w:tcMar>
              <w:left w:w="6" w:type="dxa"/>
              <w:right w:w="6" w:type="dxa"/>
            </w:tcMar>
            <w:vAlign w:val="center"/>
          </w:tcPr>
          <w:p w14:paraId="6EEA3368">
            <w:pPr>
              <w:pStyle w:val="711"/>
              <w:rPr>
                <w:color w:val="auto"/>
              </w:rPr>
            </w:pPr>
          </w:p>
        </w:tc>
        <w:tc>
          <w:tcPr>
            <w:tcW w:w="944" w:type="dxa"/>
            <w:vMerge w:val="continue"/>
            <w:tcBorders>
              <w:tl2br w:val="nil"/>
              <w:tr2bl w:val="nil"/>
            </w:tcBorders>
            <w:noWrap/>
            <w:tcMar>
              <w:left w:w="6" w:type="dxa"/>
              <w:right w:w="6" w:type="dxa"/>
            </w:tcMar>
            <w:vAlign w:val="center"/>
          </w:tcPr>
          <w:p w14:paraId="29C31F15">
            <w:pPr>
              <w:pStyle w:val="711"/>
              <w:rPr>
                <w:color w:val="auto"/>
              </w:rPr>
            </w:pPr>
          </w:p>
        </w:tc>
        <w:tc>
          <w:tcPr>
            <w:tcW w:w="1255" w:type="dxa"/>
            <w:tcBorders>
              <w:tl2br w:val="nil"/>
              <w:tr2bl w:val="nil"/>
            </w:tcBorders>
            <w:shd w:val="clear" w:color="auto" w:fill="auto"/>
            <w:noWrap/>
            <w:tcMar>
              <w:left w:w="6" w:type="dxa"/>
              <w:right w:w="6" w:type="dxa"/>
            </w:tcMar>
            <w:vAlign w:val="center"/>
          </w:tcPr>
          <w:p w14:paraId="3D8C3DAC">
            <w:pPr>
              <w:pStyle w:val="711"/>
              <w:rPr>
                <w:color w:val="auto"/>
              </w:rPr>
            </w:pPr>
            <w:r>
              <w:rPr>
                <w:rFonts w:hint="eastAsia"/>
                <w:color w:val="auto"/>
              </w:rPr>
              <w:t>污泥池</w:t>
            </w:r>
          </w:p>
        </w:tc>
        <w:tc>
          <w:tcPr>
            <w:tcW w:w="633" w:type="dxa"/>
            <w:tcBorders>
              <w:tl2br w:val="nil"/>
              <w:tr2bl w:val="nil"/>
            </w:tcBorders>
            <w:shd w:val="clear" w:color="auto" w:fill="auto"/>
            <w:noWrap/>
            <w:tcMar>
              <w:left w:w="6" w:type="dxa"/>
              <w:right w:w="6" w:type="dxa"/>
            </w:tcMar>
            <w:vAlign w:val="center"/>
          </w:tcPr>
          <w:p w14:paraId="4826CF8B">
            <w:pPr>
              <w:pStyle w:val="711"/>
              <w:rPr>
                <w:color w:val="auto"/>
              </w:rPr>
            </w:pPr>
            <w:r>
              <w:rPr>
                <w:rFonts w:hint="eastAsia"/>
                <w:color w:val="auto"/>
              </w:rPr>
              <w:t>4.5</w:t>
            </w:r>
          </w:p>
        </w:tc>
        <w:tc>
          <w:tcPr>
            <w:tcW w:w="701" w:type="dxa"/>
            <w:tcBorders>
              <w:tl2br w:val="nil"/>
              <w:tr2bl w:val="nil"/>
            </w:tcBorders>
            <w:shd w:val="clear" w:color="auto" w:fill="auto"/>
            <w:noWrap/>
            <w:tcMar>
              <w:left w:w="6" w:type="dxa"/>
              <w:right w:w="6" w:type="dxa"/>
            </w:tcMar>
            <w:vAlign w:val="center"/>
          </w:tcPr>
          <w:p w14:paraId="13F4DC18">
            <w:pPr>
              <w:pStyle w:val="711"/>
              <w:rPr>
                <w:color w:val="auto"/>
              </w:rPr>
            </w:pPr>
            <w:r>
              <w:rPr>
                <w:rFonts w:hint="eastAsia"/>
                <w:color w:val="auto"/>
              </w:rPr>
              <w:t>41.50</w:t>
            </w:r>
          </w:p>
        </w:tc>
        <w:tc>
          <w:tcPr>
            <w:tcW w:w="590" w:type="dxa"/>
            <w:tcBorders>
              <w:tl2br w:val="nil"/>
              <w:tr2bl w:val="nil"/>
            </w:tcBorders>
            <w:shd w:val="clear" w:color="auto" w:fill="auto"/>
            <w:noWrap/>
            <w:tcMar>
              <w:left w:w="6" w:type="dxa"/>
              <w:right w:w="6" w:type="dxa"/>
            </w:tcMar>
            <w:vAlign w:val="center"/>
          </w:tcPr>
          <w:p w14:paraId="33AC3AF8">
            <w:pPr>
              <w:pStyle w:val="711"/>
              <w:rPr>
                <w:color w:val="auto"/>
              </w:rPr>
            </w:pPr>
            <w:r>
              <w:rPr>
                <w:color w:val="auto"/>
              </w:rPr>
              <w:t>0.30</w:t>
            </w:r>
          </w:p>
        </w:tc>
        <w:tc>
          <w:tcPr>
            <w:tcW w:w="1090" w:type="dxa"/>
            <w:tcBorders>
              <w:tl2br w:val="nil"/>
              <w:tr2bl w:val="nil"/>
            </w:tcBorders>
            <w:shd w:val="clear" w:color="auto" w:fill="auto"/>
            <w:noWrap/>
            <w:tcMar>
              <w:left w:w="6" w:type="dxa"/>
              <w:right w:w="6" w:type="dxa"/>
            </w:tcMar>
            <w:vAlign w:val="center"/>
          </w:tcPr>
          <w:p w14:paraId="715F030C">
            <w:pPr>
              <w:pStyle w:val="711"/>
              <w:rPr>
                <w:color w:val="auto"/>
              </w:rPr>
            </w:pPr>
            <w:r>
              <w:rPr>
                <w:color w:val="auto"/>
              </w:rPr>
              <w:t>0.26E-8</w:t>
            </w:r>
          </w:p>
        </w:tc>
        <w:tc>
          <w:tcPr>
            <w:tcW w:w="465" w:type="dxa"/>
            <w:tcBorders>
              <w:tl2br w:val="nil"/>
              <w:tr2bl w:val="nil"/>
            </w:tcBorders>
            <w:shd w:val="clear" w:color="auto" w:fill="auto"/>
            <w:noWrap/>
            <w:tcMar>
              <w:left w:w="6" w:type="dxa"/>
              <w:right w:w="6" w:type="dxa"/>
            </w:tcMar>
            <w:vAlign w:val="center"/>
          </w:tcPr>
          <w:p w14:paraId="6504E416">
            <w:pPr>
              <w:pStyle w:val="711"/>
              <w:rPr>
                <w:color w:val="auto"/>
              </w:rPr>
            </w:pPr>
            <w:r>
              <w:rPr>
                <w:color w:val="auto"/>
              </w:rPr>
              <w:t>0.9</w:t>
            </w:r>
          </w:p>
        </w:tc>
        <w:tc>
          <w:tcPr>
            <w:tcW w:w="555" w:type="dxa"/>
            <w:tcBorders>
              <w:tl2br w:val="nil"/>
              <w:tr2bl w:val="nil"/>
            </w:tcBorders>
            <w:shd w:val="clear" w:color="auto" w:fill="auto"/>
            <w:noWrap/>
            <w:tcMar>
              <w:left w:w="6" w:type="dxa"/>
              <w:right w:w="6" w:type="dxa"/>
            </w:tcMar>
            <w:vAlign w:val="center"/>
          </w:tcPr>
          <w:p w14:paraId="07AEFC3C">
            <w:pPr>
              <w:pStyle w:val="711"/>
              <w:rPr>
                <w:color w:val="auto"/>
              </w:rPr>
            </w:pPr>
            <w:r>
              <w:rPr>
                <w:rFonts w:hint="eastAsia"/>
                <w:color w:val="auto"/>
              </w:rPr>
              <w:t>0.97</w:t>
            </w:r>
          </w:p>
        </w:tc>
        <w:tc>
          <w:tcPr>
            <w:tcW w:w="1065" w:type="dxa"/>
            <w:tcBorders>
              <w:tl2br w:val="nil"/>
              <w:tr2bl w:val="nil"/>
            </w:tcBorders>
            <w:shd w:val="clear" w:color="auto" w:fill="auto"/>
            <w:noWrap/>
            <w:tcMar>
              <w:left w:w="6" w:type="dxa"/>
              <w:right w:w="6" w:type="dxa"/>
            </w:tcMar>
            <w:vAlign w:val="center"/>
          </w:tcPr>
          <w:p w14:paraId="5F0F2DE9">
            <w:pPr>
              <w:pStyle w:val="711"/>
              <w:rPr>
                <w:color w:val="auto"/>
              </w:rPr>
            </w:pPr>
            <w:r>
              <w:rPr>
                <w:color w:val="auto"/>
              </w:rPr>
              <w:t>1.</w:t>
            </w:r>
            <w:r>
              <w:rPr>
                <w:rFonts w:hint="eastAsia"/>
                <w:color w:val="auto"/>
              </w:rPr>
              <w:t>71</w:t>
            </w:r>
            <w:r>
              <w:rPr>
                <w:color w:val="auto"/>
              </w:rPr>
              <w:t>E-4</w:t>
            </w:r>
          </w:p>
        </w:tc>
        <w:tc>
          <w:tcPr>
            <w:tcW w:w="550" w:type="dxa"/>
            <w:tcBorders>
              <w:tl2br w:val="nil"/>
              <w:tr2bl w:val="nil"/>
            </w:tcBorders>
            <w:shd w:val="clear" w:color="auto" w:fill="auto"/>
            <w:noWrap/>
            <w:tcMar>
              <w:left w:w="6" w:type="dxa"/>
              <w:right w:w="6" w:type="dxa"/>
            </w:tcMar>
            <w:vAlign w:val="center"/>
          </w:tcPr>
          <w:p w14:paraId="6461329D">
            <w:pPr>
              <w:pStyle w:val="711"/>
              <w:rPr>
                <w:color w:val="auto"/>
              </w:rPr>
            </w:pPr>
            <w:r>
              <w:rPr>
                <w:color w:val="auto"/>
              </w:rPr>
              <w:t>0.1</w:t>
            </w:r>
          </w:p>
        </w:tc>
        <w:tc>
          <w:tcPr>
            <w:tcW w:w="561" w:type="dxa"/>
            <w:tcBorders>
              <w:tl2br w:val="nil"/>
              <w:tr2bl w:val="nil"/>
            </w:tcBorders>
            <w:shd w:val="clear" w:color="auto" w:fill="auto"/>
            <w:noWrap/>
            <w:tcMar>
              <w:left w:w="6" w:type="dxa"/>
              <w:right w:w="6" w:type="dxa"/>
            </w:tcMar>
            <w:vAlign w:val="center"/>
          </w:tcPr>
          <w:p w14:paraId="7FDF8B3F">
            <w:pPr>
              <w:pStyle w:val="711"/>
              <w:rPr>
                <w:color w:val="auto"/>
              </w:rPr>
            </w:pPr>
            <w:r>
              <w:rPr>
                <w:rFonts w:hint="eastAsia"/>
                <w:color w:val="auto"/>
              </w:rPr>
              <w:t>3.46</w:t>
            </w:r>
          </w:p>
        </w:tc>
      </w:tr>
      <w:tr w14:paraId="76426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gridSpan w:val="3"/>
            <w:tcBorders>
              <w:tl2br w:val="nil"/>
              <w:tr2bl w:val="nil"/>
            </w:tcBorders>
            <w:noWrap/>
            <w:tcMar>
              <w:left w:w="6" w:type="dxa"/>
              <w:right w:w="6" w:type="dxa"/>
            </w:tcMar>
            <w:vAlign w:val="center"/>
          </w:tcPr>
          <w:p w14:paraId="6A600846">
            <w:pPr>
              <w:pStyle w:val="711"/>
              <w:rPr>
                <w:color w:val="auto"/>
              </w:rPr>
            </w:pPr>
            <w:r>
              <w:rPr>
                <w:rFonts w:hint="eastAsia"/>
                <w:color w:val="auto"/>
              </w:rPr>
              <w:t>合计</w:t>
            </w:r>
          </w:p>
        </w:tc>
        <w:tc>
          <w:tcPr>
            <w:tcW w:w="633" w:type="dxa"/>
            <w:tcBorders>
              <w:tl2br w:val="nil"/>
              <w:tr2bl w:val="nil"/>
            </w:tcBorders>
            <w:shd w:val="clear" w:color="auto" w:fill="auto"/>
            <w:noWrap/>
            <w:tcMar>
              <w:left w:w="6" w:type="dxa"/>
              <w:right w:w="6" w:type="dxa"/>
            </w:tcMar>
            <w:vAlign w:val="center"/>
          </w:tcPr>
          <w:p w14:paraId="012A62DD">
            <w:pPr>
              <w:pStyle w:val="711"/>
              <w:rPr>
                <w:color w:val="auto"/>
                <w:highlight w:val="yellow"/>
              </w:rPr>
            </w:pPr>
          </w:p>
        </w:tc>
        <w:tc>
          <w:tcPr>
            <w:tcW w:w="701" w:type="dxa"/>
            <w:tcBorders>
              <w:tl2br w:val="nil"/>
              <w:tr2bl w:val="nil"/>
            </w:tcBorders>
            <w:shd w:val="clear" w:color="auto" w:fill="auto"/>
            <w:noWrap/>
            <w:tcMar>
              <w:left w:w="6" w:type="dxa"/>
              <w:right w:w="6" w:type="dxa"/>
            </w:tcMar>
            <w:vAlign w:val="center"/>
          </w:tcPr>
          <w:p w14:paraId="521F6E4F">
            <w:pPr>
              <w:pStyle w:val="711"/>
              <w:rPr>
                <w:color w:val="auto"/>
                <w:highlight w:val="yellow"/>
              </w:rPr>
            </w:pPr>
          </w:p>
        </w:tc>
        <w:tc>
          <w:tcPr>
            <w:tcW w:w="590" w:type="dxa"/>
            <w:tcBorders>
              <w:tl2br w:val="nil"/>
              <w:tr2bl w:val="nil"/>
            </w:tcBorders>
            <w:shd w:val="clear" w:color="auto" w:fill="auto"/>
            <w:noWrap/>
            <w:tcMar>
              <w:left w:w="6" w:type="dxa"/>
              <w:right w:w="6" w:type="dxa"/>
            </w:tcMar>
            <w:vAlign w:val="center"/>
          </w:tcPr>
          <w:p w14:paraId="1AD7A51E">
            <w:pPr>
              <w:pStyle w:val="711"/>
              <w:rPr>
                <w:color w:val="auto"/>
              </w:rPr>
            </w:pPr>
          </w:p>
        </w:tc>
        <w:tc>
          <w:tcPr>
            <w:tcW w:w="1090" w:type="dxa"/>
            <w:tcBorders>
              <w:tl2br w:val="nil"/>
              <w:tr2bl w:val="nil"/>
            </w:tcBorders>
            <w:shd w:val="clear" w:color="auto" w:fill="auto"/>
            <w:noWrap/>
            <w:tcMar>
              <w:left w:w="6" w:type="dxa"/>
              <w:right w:w="6" w:type="dxa"/>
            </w:tcMar>
            <w:vAlign w:val="center"/>
          </w:tcPr>
          <w:p w14:paraId="5DE63BB9">
            <w:pPr>
              <w:pStyle w:val="711"/>
              <w:rPr>
                <w:color w:val="auto"/>
              </w:rPr>
            </w:pPr>
          </w:p>
        </w:tc>
        <w:tc>
          <w:tcPr>
            <w:tcW w:w="465" w:type="dxa"/>
            <w:tcBorders>
              <w:tl2br w:val="nil"/>
              <w:tr2bl w:val="nil"/>
            </w:tcBorders>
            <w:shd w:val="clear" w:color="auto" w:fill="auto"/>
            <w:noWrap/>
            <w:tcMar>
              <w:left w:w="6" w:type="dxa"/>
              <w:right w:w="6" w:type="dxa"/>
            </w:tcMar>
            <w:vAlign w:val="center"/>
          </w:tcPr>
          <w:p w14:paraId="648E2184">
            <w:pPr>
              <w:pStyle w:val="711"/>
              <w:rPr>
                <w:color w:val="auto"/>
              </w:rPr>
            </w:pPr>
          </w:p>
        </w:tc>
        <w:tc>
          <w:tcPr>
            <w:tcW w:w="555" w:type="dxa"/>
            <w:tcBorders>
              <w:tl2br w:val="nil"/>
              <w:tr2bl w:val="nil"/>
            </w:tcBorders>
            <w:shd w:val="clear" w:color="auto" w:fill="auto"/>
            <w:noWrap/>
            <w:tcMar>
              <w:left w:w="6" w:type="dxa"/>
              <w:right w:w="6" w:type="dxa"/>
            </w:tcMar>
            <w:vAlign w:val="center"/>
          </w:tcPr>
          <w:p w14:paraId="3BA8A1B7">
            <w:pPr>
              <w:pStyle w:val="711"/>
              <w:rPr>
                <w:color w:val="auto"/>
              </w:rPr>
            </w:pPr>
          </w:p>
        </w:tc>
        <w:tc>
          <w:tcPr>
            <w:tcW w:w="1065" w:type="dxa"/>
            <w:tcBorders>
              <w:tl2br w:val="nil"/>
              <w:tr2bl w:val="nil"/>
            </w:tcBorders>
            <w:shd w:val="clear" w:color="auto" w:fill="auto"/>
            <w:noWrap/>
            <w:tcMar>
              <w:left w:w="6" w:type="dxa"/>
              <w:right w:w="6" w:type="dxa"/>
            </w:tcMar>
            <w:vAlign w:val="center"/>
          </w:tcPr>
          <w:p w14:paraId="4F50BE60">
            <w:pPr>
              <w:pStyle w:val="711"/>
              <w:rPr>
                <w:color w:val="auto"/>
              </w:rPr>
            </w:pPr>
          </w:p>
        </w:tc>
        <w:tc>
          <w:tcPr>
            <w:tcW w:w="550" w:type="dxa"/>
            <w:tcBorders>
              <w:tl2br w:val="nil"/>
              <w:tr2bl w:val="nil"/>
            </w:tcBorders>
            <w:shd w:val="clear" w:color="auto" w:fill="auto"/>
            <w:noWrap/>
            <w:tcMar>
              <w:left w:w="6" w:type="dxa"/>
              <w:right w:w="6" w:type="dxa"/>
            </w:tcMar>
            <w:vAlign w:val="center"/>
          </w:tcPr>
          <w:p w14:paraId="67A43AFF">
            <w:pPr>
              <w:pStyle w:val="711"/>
              <w:rPr>
                <w:color w:val="auto"/>
              </w:rPr>
            </w:pPr>
          </w:p>
        </w:tc>
        <w:tc>
          <w:tcPr>
            <w:tcW w:w="561" w:type="dxa"/>
            <w:tcBorders>
              <w:tl2br w:val="nil"/>
              <w:tr2bl w:val="nil"/>
            </w:tcBorders>
            <w:shd w:val="clear" w:color="auto" w:fill="auto"/>
            <w:noWrap/>
            <w:tcMar>
              <w:left w:w="6" w:type="dxa"/>
              <w:right w:w="6" w:type="dxa"/>
            </w:tcMar>
            <w:vAlign w:val="center"/>
          </w:tcPr>
          <w:p w14:paraId="2278257A">
            <w:pPr>
              <w:pStyle w:val="711"/>
              <w:rPr>
                <w:color w:val="auto"/>
              </w:rPr>
            </w:pPr>
            <w:r>
              <w:rPr>
                <w:rFonts w:hint="eastAsia"/>
                <w:color w:val="auto"/>
              </w:rPr>
              <w:t>95.39</w:t>
            </w:r>
          </w:p>
        </w:tc>
      </w:tr>
      <w:bookmarkEnd w:id="113"/>
    </w:tbl>
    <w:p w14:paraId="6DA23C49">
      <w:pPr>
        <w:pStyle w:val="697"/>
        <w:rPr>
          <w:color w:val="auto"/>
          <w:sz w:val="22"/>
          <w:szCs w:val="22"/>
        </w:rPr>
      </w:pPr>
      <w:r>
        <w:rPr>
          <w:rFonts w:hint="eastAsia"/>
          <w:color w:val="auto"/>
          <w:sz w:val="22"/>
          <w:szCs w:val="22"/>
        </w:rPr>
        <w:t>注：地下水埋深按照区域实测丰水期平均埋深3.77m计，由于各池体地下深度存在差异，本次按照各水池分别统计计算包气带厚度。</w:t>
      </w:r>
    </w:p>
    <w:p w14:paraId="03EFC02C">
      <w:pPr>
        <w:ind w:firstLine="480"/>
        <w:rPr>
          <w:b/>
          <w:bCs/>
          <w:color w:val="auto"/>
        </w:rPr>
      </w:pPr>
      <w:r>
        <w:rPr>
          <w:b/>
          <w:bCs/>
          <w:color w:val="auto"/>
        </w:rPr>
        <w:t>（6）本项目污染因子及浓度分析</w:t>
      </w:r>
    </w:p>
    <w:p w14:paraId="6B4B8405">
      <w:pPr>
        <w:ind w:firstLine="480"/>
        <w:rPr>
          <w:color w:val="auto"/>
        </w:rPr>
      </w:pPr>
      <w:r>
        <w:rPr>
          <w:color w:val="auto"/>
        </w:rPr>
        <w:t>根据产污环节分析，本项目主要地下水污染源</w:t>
      </w:r>
      <w:r>
        <w:rPr>
          <w:rFonts w:hint="eastAsia"/>
          <w:color w:val="auto"/>
        </w:rPr>
        <w:t>为处理的工业废水</w:t>
      </w:r>
      <w:r>
        <w:rPr>
          <w:color w:val="auto"/>
        </w:rPr>
        <w:t>。</w:t>
      </w:r>
      <w:bookmarkStart w:id="114" w:name="_Hlk90164012"/>
      <w:r>
        <w:rPr>
          <w:rFonts w:hint="eastAsia"/>
          <w:color w:val="auto"/>
        </w:rPr>
        <w:t>保守起见，各池体泄露的</w:t>
      </w:r>
      <w:r>
        <w:rPr>
          <w:color w:val="auto"/>
        </w:rPr>
        <w:t>废水</w:t>
      </w:r>
      <w:bookmarkEnd w:id="114"/>
      <w:r>
        <w:rPr>
          <w:color w:val="auto"/>
        </w:rPr>
        <w:t>水质</w:t>
      </w:r>
      <w:r>
        <w:rPr>
          <w:rFonts w:hint="eastAsia"/>
          <w:color w:val="auto"/>
        </w:rPr>
        <w:t>按照最大不利浓度即污水处理厂设计进水浓度考虑</w:t>
      </w:r>
      <w:r>
        <w:rPr>
          <w:rFonts w:eastAsia="宋体"/>
          <w:color w:val="auto"/>
          <w:szCs w:val="24"/>
        </w:rPr>
        <w:t>，</w:t>
      </w:r>
      <w:r>
        <w:rPr>
          <w:rFonts w:hint="eastAsia" w:eastAsia="宋体"/>
          <w:color w:val="auto"/>
          <w:szCs w:val="24"/>
        </w:rPr>
        <w:t>污水处理厂设计</w:t>
      </w:r>
      <w:r>
        <w:rPr>
          <w:rFonts w:eastAsia="宋体"/>
          <w:color w:val="auto"/>
          <w:szCs w:val="24"/>
        </w:rPr>
        <w:t>进水水质值见表6.2-</w:t>
      </w:r>
      <w:r>
        <w:rPr>
          <w:rFonts w:hint="eastAsia" w:eastAsia="宋体"/>
          <w:color w:val="auto"/>
          <w:szCs w:val="24"/>
        </w:rPr>
        <w:t>3</w:t>
      </w:r>
      <w:r>
        <w:rPr>
          <w:rFonts w:hint="eastAsia"/>
          <w:color w:val="auto"/>
        </w:rPr>
        <w:t>。</w:t>
      </w:r>
      <w:r>
        <w:rPr>
          <w:color w:val="auto"/>
        </w:rPr>
        <w:t>本次选取</w:t>
      </w:r>
      <w:r>
        <w:rPr>
          <w:rFonts w:hint="eastAsia"/>
          <w:color w:val="auto"/>
        </w:rPr>
        <w:t>污水处理厂</w:t>
      </w:r>
      <w:r>
        <w:rPr>
          <w:color w:val="auto"/>
        </w:rPr>
        <w:t>进水水质</w:t>
      </w:r>
      <w:r>
        <w:rPr>
          <w:rFonts w:hint="eastAsia"/>
          <w:color w:val="auto"/>
        </w:rPr>
        <w:t>特征污染因子中污染物产生量大、毒性较强、占标率较高的</w:t>
      </w:r>
      <w:r>
        <w:rPr>
          <w:color w:val="auto"/>
        </w:rPr>
        <w:t>COD</w:t>
      </w:r>
      <w:r>
        <w:rPr>
          <w:color w:val="auto"/>
          <w:vertAlign w:val="subscript"/>
        </w:rPr>
        <w:t>Mn</w:t>
      </w:r>
      <w:r>
        <w:rPr>
          <w:color w:val="auto"/>
        </w:rPr>
        <w:t>、</w:t>
      </w:r>
      <w:r>
        <w:rPr>
          <w:rFonts w:hint="eastAsia"/>
          <w:color w:val="auto"/>
        </w:rPr>
        <w:t>氨氮、总磷、苯、甲醛、石油类</w:t>
      </w:r>
      <w:r>
        <w:rPr>
          <w:color w:val="auto"/>
        </w:rPr>
        <w:t>作为预测因子</w:t>
      </w:r>
      <w:r>
        <w:rPr>
          <w:rFonts w:hint="eastAsia"/>
          <w:color w:val="auto"/>
        </w:rPr>
        <w:t>，</w:t>
      </w:r>
      <w:r>
        <w:rPr>
          <w:color w:val="auto"/>
        </w:rPr>
        <w:t>各污染物浓度见</w:t>
      </w:r>
      <w:r>
        <w:rPr>
          <w:rFonts w:hint="eastAsia"/>
          <w:color w:val="auto"/>
          <w:lang w:val="en-US" w:eastAsia="zh-CN"/>
        </w:rPr>
        <w:t>下表</w:t>
      </w:r>
      <w:r>
        <w:rPr>
          <w:color w:val="auto"/>
        </w:rPr>
        <w:t>。</w:t>
      </w:r>
    </w:p>
    <w:p w14:paraId="271535F9">
      <w:pPr>
        <w:pStyle w:val="15"/>
        <w:bidi w:val="0"/>
        <w:ind w:left="0" w:leftChars="0" w:firstLine="0" w:firstLineChars="0"/>
        <w:rPr>
          <w:color w:val="auto"/>
        </w:rPr>
      </w:pPr>
      <w:r>
        <w:rPr>
          <w:rFonts w:hint="eastAsia"/>
          <w:color w:val="auto"/>
        </w:rPr>
        <w:t>项目设计进水</w:t>
      </w:r>
      <w:r>
        <w:rPr>
          <w:color w:val="auto"/>
        </w:rPr>
        <w:t>水质</w:t>
      </w:r>
      <w:r>
        <w:rPr>
          <w:rFonts w:hint="eastAsia"/>
          <w:color w:val="auto"/>
        </w:rPr>
        <w:t xml:space="preserve"> </w:t>
      </w:r>
      <w:r>
        <w:rPr>
          <w:color w:val="auto"/>
        </w:rPr>
        <w:t xml:space="preserve">   </w:t>
      </w:r>
      <w:r>
        <w:rPr>
          <w:rFonts w:hint="eastAsia"/>
          <w:color w:val="auto"/>
          <w:szCs w:val="21"/>
        </w:rPr>
        <w:t>（单位：</w:t>
      </w:r>
      <w:r>
        <w:rPr>
          <w:color w:val="auto"/>
          <w:szCs w:val="21"/>
        </w:rPr>
        <w:t>mg/L</w:t>
      </w:r>
      <w:r>
        <w:rPr>
          <w:rFonts w:hint="eastAsia"/>
          <w:color w:val="auto"/>
          <w:szCs w:val="21"/>
        </w:rPr>
        <w:t>）</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3378"/>
        <w:gridCol w:w="1997"/>
        <w:gridCol w:w="2623"/>
      </w:tblGrid>
      <w:tr w14:paraId="610BA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73C4466E">
            <w:pPr>
              <w:pStyle w:val="711"/>
              <w:widowControl w:val="0"/>
              <w:rPr>
                <w:b/>
                <w:bCs/>
                <w:color w:val="auto"/>
              </w:rPr>
            </w:pPr>
            <w:bookmarkStart w:id="115" w:name="_Hlk172489953"/>
            <w:r>
              <w:rPr>
                <w:b/>
                <w:bCs/>
                <w:color w:val="auto"/>
              </w:rPr>
              <w:t>序号</w:t>
            </w:r>
          </w:p>
        </w:tc>
        <w:tc>
          <w:tcPr>
            <w:tcW w:w="1910" w:type="pct"/>
            <w:tcBorders>
              <w:tl2br w:val="nil"/>
              <w:tr2bl w:val="nil"/>
            </w:tcBorders>
            <w:tcMar>
              <w:left w:w="57" w:type="dxa"/>
              <w:right w:w="57" w:type="dxa"/>
            </w:tcMar>
            <w:vAlign w:val="center"/>
          </w:tcPr>
          <w:p w14:paraId="4BCED3E9">
            <w:pPr>
              <w:pStyle w:val="711"/>
              <w:widowControl w:val="0"/>
              <w:rPr>
                <w:b/>
                <w:bCs/>
                <w:color w:val="auto"/>
              </w:rPr>
            </w:pPr>
            <w:r>
              <w:rPr>
                <w:b/>
                <w:bCs/>
                <w:color w:val="auto"/>
              </w:rPr>
              <w:t>项目</w:t>
            </w:r>
          </w:p>
        </w:tc>
        <w:tc>
          <w:tcPr>
            <w:tcW w:w="1129" w:type="pct"/>
            <w:tcBorders>
              <w:tl2br w:val="nil"/>
              <w:tr2bl w:val="nil"/>
            </w:tcBorders>
            <w:tcMar>
              <w:left w:w="57" w:type="dxa"/>
              <w:right w:w="57" w:type="dxa"/>
            </w:tcMar>
            <w:vAlign w:val="center"/>
          </w:tcPr>
          <w:p w14:paraId="58A4657D">
            <w:pPr>
              <w:pStyle w:val="711"/>
              <w:widowControl w:val="0"/>
              <w:rPr>
                <w:b/>
                <w:bCs/>
                <w:color w:val="auto"/>
              </w:rPr>
            </w:pPr>
            <w:r>
              <w:rPr>
                <w:b/>
                <w:bCs/>
                <w:color w:val="auto"/>
              </w:rPr>
              <w:t>单位</w:t>
            </w:r>
          </w:p>
        </w:tc>
        <w:tc>
          <w:tcPr>
            <w:tcW w:w="1483" w:type="pct"/>
            <w:tcBorders>
              <w:tl2br w:val="nil"/>
              <w:tr2bl w:val="nil"/>
            </w:tcBorders>
            <w:tcMar>
              <w:left w:w="57" w:type="dxa"/>
              <w:right w:w="57" w:type="dxa"/>
            </w:tcMar>
            <w:vAlign w:val="center"/>
          </w:tcPr>
          <w:p w14:paraId="35D65011">
            <w:pPr>
              <w:pStyle w:val="711"/>
              <w:widowControl w:val="0"/>
              <w:rPr>
                <w:b/>
                <w:bCs/>
                <w:color w:val="auto"/>
              </w:rPr>
            </w:pPr>
            <w:r>
              <w:rPr>
                <w:b/>
                <w:bCs/>
                <w:color w:val="auto"/>
              </w:rPr>
              <w:t>数值</w:t>
            </w:r>
          </w:p>
        </w:tc>
      </w:tr>
      <w:tr w14:paraId="5EEDD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16D59E4A">
            <w:pPr>
              <w:pStyle w:val="711"/>
              <w:widowControl w:val="0"/>
              <w:rPr>
                <w:color w:val="auto"/>
              </w:rPr>
            </w:pPr>
            <w:r>
              <w:rPr>
                <w:color w:val="auto"/>
              </w:rPr>
              <w:t>1</w:t>
            </w:r>
          </w:p>
        </w:tc>
        <w:tc>
          <w:tcPr>
            <w:tcW w:w="1910" w:type="pct"/>
            <w:tcBorders>
              <w:tl2br w:val="nil"/>
              <w:tr2bl w:val="nil"/>
            </w:tcBorders>
            <w:tcMar>
              <w:left w:w="57" w:type="dxa"/>
              <w:right w:w="57" w:type="dxa"/>
            </w:tcMar>
            <w:vAlign w:val="center"/>
          </w:tcPr>
          <w:p w14:paraId="1C263B00">
            <w:pPr>
              <w:pStyle w:val="711"/>
              <w:widowControl w:val="0"/>
              <w:rPr>
                <w:color w:val="auto"/>
              </w:rPr>
            </w:pPr>
            <w:r>
              <w:rPr>
                <w:color w:val="auto"/>
              </w:rPr>
              <w:t>温度</w:t>
            </w:r>
          </w:p>
        </w:tc>
        <w:tc>
          <w:tcPr>
            <w:tcW w:w="1129" w:type="pct"/>
            <w:tcBorders>
              <w:tl2br w:val="nil"/>
              <w:tr2bl w:val="nil"/>
            </w:tcBorders>
            <w:tcMar>
              <w:left w:w="57" w:type="dxa"/>
              <w:right w:w="57" w:type="dxa"/>
            </w:tcMar>
            <w:vAlign w:val="center"/>
          </w:tcPr>
          <w:p w14:paraId="01B238BC">
            <w:pPr>
              <w:pStyle w:val="711"/>
              <w:widowControl w:val="0"/>
              <w:rPr>
                <w:color w:val="auto"/>
              </w:rPr>
            </w:pPr>
            <w:r>
              <w:rPr>
                <w:color w:val="auto"/>
              </w:rPr>
              <w:t>℃</w:t>
            </w:r>
          </w:p>
        </w:tc>
        <w:tc>
          <w:tcPr>
            <w:tcW w:w="1483" w:type="pct"/>
            <w:tcBorders>
              <w:tl2br w:val="nil"/>
              <w:tr2bl w:val="nil"/>
            </w:tcBorders>
            <w:tcMar>
              <w:left w:w="57" w:type="dxa"/>
              <w:right w:w="57" w:type="dxa"/>
            </w:tcMar>
            <w:vAlign w:val="center"/>
          </w:tcPr>
          <w:p w14:paraId="2D372D95">
            <w:pPr>
              <w:pStyle w:val="711"/>
              <w:widowControl w:val="0"/>
              <w:rPr>
                <w:color w:val="auto"/>
              </w:rPr>
            </w:pPr>
            <w:r>
              <w:rPr>
                <w:color w:val="auto"/>
              </w:rPr>
              <w:t>10~30</w:t>
            </w:r>
          </w:p>
        </w:tc>
      </w:tr>
      <w:tr w14:paraId="5C4B7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669813AB">
            <w:pPr>
              <w:pStyle w:val="711"/>
              <w:widowControl w:val="0"/>
              <w:rPr>
                <w:color w:val="auto"/>
              </w:rPr>
            </w:pPr>
            <w:r>
              <w:rPr>
                <w:color w:val="auto"/>
              </w:rPr>
              <w:t>2</w:t>
            </w:r>
          </w:p>
        </w:tc>
        <w:tc>
          <w:tcPr>
            <w:tcW w:w="1910" w:type="pct"/>
            <w:tcBorders>
              <w:tl2br w:val="nil"/>
              <w:tr2bl w:val="nil"/>
            </w:tcBorders>
            <w:tcMar>
              <w:left w:w="57" w:type="dxa"/>
              <w:right w:w="57" w:type="dxa"/>
            </w:tcMar>
            <w:vAlign w:val="center"/>
          </w:tcPr>
          <w:p w14:paraId="73378227">
            <w:pPr>
              <w:pStyle w:val="711"/>
              <w:widowControl w:val="0"/>
              <w:rPr>
                <w:color w:val="auto"/>
              </w:rPr>
            </w:pPr>
            <w:r>
              <w:rPr>
                <w:color w:val="auto"/>
              </w:rPr>
              <w:t>pH值</w:t>
            </w:r>
          </w:p>
        </w:tc>
        <w:tc>
          <w:tcPr>
            <w:tcW w:w="1129" w:type="pct"/>
            <w:tcBorders>
              <w:tl2br w:val="nil"/>
              <w:tr2bl w:val="nil"/>
            </w:tcBorders>
            <w:tcMar>
              <w:left w:w="57" w:type="dxa"/>
              <w:right w:w="57" w:type="dxa"/>
            </w:tcMar>
            <w:vAlign w:val="center"/>
          </w:tcPr>
          <w:p w14:paraId="3388F5C0">
            <w:pPr>
              <w:pStyle w:val="711"/>
              <w:widowControl w:val="0"/>
              <w:rPr>
                <w:color w:val="auto"/>
              </w:rPr>
            </w:pPr>
            <w:r>
              <w:rPr>
                <w:color w:val="auto"/>
              </w:rPr>
              <w:t>—</w:t>
            </w:r>
          </w:p>
        </w:tc>
        <w:tc>
          <w:tcPr>
            <w:tcW w:w="1483" w:type="pct"/>
            <w:tcBorders>
              <w:tl2br w:val="nil"/>
              <w:tr2bl w:val="nil"/>
            </w:tcBorders>
            <w:tcMar>
              <w:left w:w="57" w:type="dxa"/>
              <w:right w:w="57" w:type="dxa"/>
            </w:tcMar>
            <w:vAlign w:val="center"/>
          </w:tcPr>
          <w:p w14:paraId="284889AA">
            <w:pPr>
              <w:pStyle w:val="711"/>
              <w:widowControl w:val="0"/>
              <w:rPr>
                <w:color w:val="auto"/>
              </w:rPr>
            </w:pPr>
            <w:r>
              <w:rPr>
                <w:color w:val="auto"/>
              </w:rPr>
              <w:t>6.0~9.0</w:t>
            </w:r>
          </w:p>
        </w:tc>
      </w:tr>
      <w:tr w14:paraId="065CA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565AD30E">
            <w:pPr>
              <w:pStyle w:val="711"/>
              <w:widowControl w:val="0"/>
              <w:rPr>
                <w:color w:val="auto"/>
              </w:rPr>
            </w:pPr>
            <w:r>
              <w:rPr>
                <w:color w:val="auto"/>
              </w:rPr>
              <w:t>3</w:t>
            </w:r>
          </w:p>
        </w:tc>
        <w:tc>
          <w:tcPr>
            <w:tcW w:w="1910" w:type="pct"/>
            <w:tcBorders>
              <w:tl2br w:val="nil"/>
              <w:tr2bl w:val="nil"/>
            </w:tcBorders>
            <w:tcMar>
              <w:left w:w="57" w:type="dxa"/>
              <w:right w:w="57" w:type="dxa"/>
            </w:tcMar>
            <w:vAlign w:val="center"/>
          </w:tcPr>
          <w:p w14:paraId="755FA7B5">
            <w:pPr>
              <w:pStyle w:val="711"/>
              <w:widowControl w:val="0"/>
              <w:rPr>
                <w:color w:val="auto"/>
              </w:rPr>
            </w:pPr>
            <w:r>
              <w:rPr>
                <w:color w:val="auto"/>
              </w:rPr>
              <w:t>溶解性总固体（TDS）</w:t>
            </w:r>
          </w:p>
        </w:tc>
        <w:tc>
          <w:tcPr>
            <w:tcW w:w="1129" w:type="pct"/>
            <w:tcBorders>
              <w:tl2br w:val="nil"/>
              <w:tr2bl w:val="nil"/>
            </w:tcBorders>
            <w:tcMar>
              <w:left w:w="57" w:type="dxa"/>
              <w:right w:w="57" w:type="dxa"/>
            </w:tcMar>
            <w:vAlign w:val="center"/>
          </w:tcPr>
          <w:p w14:paraId="71B1D2F9">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4DF77CFD">
            <w:pPr>
              <w:pStyle w:val="711"/>
              <w:widowControl w:val="0"/>
              <w:rPr>
                <w:color w:val="auto"/>
              </w:rPr>
            </w:pPr>
            <w:r>
              <w:rPr>
                <w:color w:val="auto"/>
              </w:rPr>
              <w:t>2000</w:t>
            </w:r>
          </w:p>
        </w:tc>
      </w:tr>
      <w:tr w14:paraId="012D1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AD2BBD4">
            <w:pPr>
              <w:pStyle w:val="711"/>
              <w:widowControl w:val="0"/>
              <w:rPr>
                <w:color w:val="auto"/>
              </w:rPr>
            </w:pPr>
            <w:r>
              <w:rPr>
                <w:color w:val="auto"/>
              </w:rPr>
              <w:t>4</w:t>
            </w:r>
          </w:p>
        </w:tc>
        <w:tc>
          <w:tcPr>
            <w:tcW w:w="1910" w:type="pct"/>
            <w:tcBorders>
              <w:tl2br w:val="nil"/>
              <w:tr2bl w:val="nil"/>
            </w:tcBorders>
            <w:tcMar>
              <w:left w:w="57" w:type="dxa"/>
              <w:right w:w="57" w:type="dxa"/>
            </w:tcMar>
            <w:vAlign w:val="center"/>
          </w:tcPr>
          <w:p w14:paraId="717C77C0">
            <w:pPr>
              <w:pStyle w:val="711"/>
              <w:widowControl w:val="0"/>
              <w:rPr>
                <w:color w:val="auto"/>
              </w:rPr>
            </w:pPr>
            <w:r>
              <w:rPr>
                <w:color w:val="auto"/>
              </w:rPr>
              <w:t>COD</w:t>
            </w:r>
            <w:r>
              <w:rPr>
                <w:rFonts w:hint="eastAsia"/>
                <w:color w:val="auto"/>
                <w:vertAlign w:val="subscript"/>
              </w:rPr>
              <w:t>C</w:t>
            </w:r>
            <w:r>
              <w:rPr>
                <w:color w:val="auto"/>
                <w:vertAlign w:val="subscript"/>
              </w:rPr>
              <w:t>r</w:t>
            </w:r>
          </w:p>
        </w:tc>
        <w:tc>
          <w:tcPr>
            <w:tcW w:w="1129" w:type="pct"/>
            <w:tcBorders>
              <w:tl2br w:val="nil"/>
              <w:tr2bl w:val="nil"/>
            </w:tcBorders>
            <w:tcMar>
              <w:left w:w="57" w:type="dxa"/>
              <w:right w:w="57" w:type="dxa"/>
            </w:tcMar>
            <w:vAlign w:val="center"/>
          </w:tcPr>
          <w:p w14:paraId="4F0AE262">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6F9B9726">
            <w:pPr>
              <w:pStyle w:val="711"/>
              <w:widowControl w:val="0"/>
              <w:rPr>
                <w:color w:val="auto"/>
              </w:rPr>
            </w:pPr>
            <w:r>
              <w:rPr>
                <w:color w:val="auto"/>
              </w:rPr>
              <w:t>350</w:t>
            </w:r>
          </w:p>
        </w:tc>
      </w:tr>
      <w:tr w14:paraId="3BAB15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394A1038">
            <w:pPr>
              <w:pStyle w:val="711"/>
              <w:widowControl w:val="0"/>
              <w:rPr>
                <w:color w:val="auto"/>
              </w:rPr>
            </w:pPr>
            <w:r>
              <w:rPr>
                <w:color w:val="auto"/>
              </w:rPr>
              <w:t>5</w:t>
            </w:r>
          </w:p>
        </w:tc>
        <w:tc>
          <w:tcPr>
            <w:tcW w:w="1910" w:type="pct"/>
            <w:tcBorders>
              <w:tl2br w:val="nil"/>
              <w:tr2bl w:val="nil"/>
            </w:tcBorders>
            <w:tcMar>
              <w:left w:w="57" w:type="dxa"/>
              <w:right w:w="57" w:type="dxa"/>
            </w:tcMar>
            <w:vAlign w:val="center"/>
          </w:tcPr>
          <w:p w14:paraId="695D045E">
            <w:pPr>
              <w:pStyle w:val="711"/>
              <w:widowControl w:val="0"/>
              <w:rPr>
                <w:color w:val="auto"/>
              </w:rPr>
            </w:pPr>
            <w:r>
              <w:rPr>
                <w:color w:val="auto"/>
              </w:rPr>
              <w:t>BOD</w:t>
            </w:r>
            <w:r>
              <w:rPr>
                <w:color w:val="auto"/>
                <w:vertAlign w:val="subscript"/>
              </w:rPr>
              <w:t>5</w:t>
            </w:r>
          </w:p>
        </w:tc>
        <w:tc>
          <w:tcPr>
            <w:tcW w:w="1129" w:type="pct"/>
            <w:tcBorders>
              <w:tl2br w:val="nil"/>
              <w:tr2bl w:val="nil"/>
            </w:tcBorders>
            <w:tcMar>
              <w:left w:w="57" w:type="dxa"/>
              <w:right w:w="57" w:type="dxa"/>
            </w:tcMar>
            <w:vAlign w:val="center"/>
          </w:tcPr>
          <w:p w14:paraId="307D6F27">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571DFF50">
            <w:pPr>
              <w:pStyle w:val="711"/>
              <w:widowControl w:val="0"/>
              <w:rPr>
                <w:color w:val="auto"/>
              </w:rPr>
            </w:pPr>
            <w:r>
              <w:rPr>
                <w:color w:val="auto"/>
              </w:rPr>
              <w:t>150</w:t>
            </w:r>
          </w:p>
        </w:tc>
      </w:tr>
      <w:tr w14:paraId="5DF22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D5A434A">
            <w:pPr>
              <w:pStyle w:val="711"/>
              <w:widowControl w:val="0"/>
              <w:rPr>
                <w:color w:val="auto"/>
              </w:rPr>
            </w:pPr>
            <w:r>
              <w:rPr>
                <w:color w:val="auto"/>
              </w:rPr>
              <w:t>6</w:t>
            </w:r>
          </w:p>
        </w:tc>
        <w:tc>
          <w:tcPr>
            <w:tcW w:w="1910" w:type="pct"/>
            <w:tcBorders>
              <w:tl2br w:val="nil"/>
              <w:tr2bl w:val="nil"/>
            </w:tcBorders>
            <w:tcMar>
              <w:left w:w="57" w:type="dxa"/>
              <w:right w:w="57" w:type="dxa"/>
            </w:tcMar>
            <w:vAlign w:val="center"/>
          </w:tcPr>
          <w:p w14:paraId="7AD432F7">
            <w:pPr>
              <w:pStyle w:val="711"/>
              <w:widowControl w:val="0"/>
              <w:rPr>
                <w:color w:val="auto"/>
              </w:rPr>
            </w:pPr>
            <w:r>
              <w:rPr>
                <w:color w:val="auto"/>
              </w:rPr>
              <w:t>SS</w:t>
            </w:r>
          </w:p>
        </w:tc>
        <w:tc>
          <w:tcPr>
            <w:tcW w:w="1129" w:type="pct"/>
            <w:tcBorders>
              <w:tl2br w:val="nil"/>
              <w:tr2bl w:val="nil"/>
            </w:tcBorders>
            <w:tcMar>
              <w:left w:w="57" w:type="dxa"/>
              <w:right w:w="57" w:type="dxa"/>
            </w:tcMar>
            <w:vAlign w:val="center"/>
          </w:tcPr>
          <w:p w14:paraId="39B419B4">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4D4ADE7D">
            <w:pPr>
              <w:pStyle w:val="711"/>
              <w:widowControl w:val="0"/>
              <w:rPr>
                <w:color w:val="auto"/>
              </w:rPr>
            </w:pPr>
            <w:r>
              <w:rPr>
                <w:color w:val="auto"/>
              </w:rPr>
              <w:t>400</w:t>
            </w:r>
          </w:p>
        </w:tc>
      </w:tr>
      <w:tr w14:paraId="560DA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D1E45E6">
            <w:pPr>
              <w:pStyle w:val="711"/>
              <w:widowControl w:val="0"/>
              <w:rPr>
                <w:color w:val="auto"/>
              </w:rPr>
            </w:pPr>
            <w:r>
              <w:rPr>
                <w:color w:val="auto"/>
              </w:rPr>
              <w:t>7</w:t>
            </w:r>
          </w:p>
        </w:tc>
        <w:tc>
          <w:tcPr>
            <w:tcW w:w="1910" w:type="pct"/>
            <w:tcBorders>
              <w:tl2br w:val="nil"/>
              <w:tr2bl w:val="nil"/>
            </w:tcBorders>
            <w:tcMar>
              <w:left w:w="57" w:type="dxa"/>
              <w:right w:w="57" w:type="dxa"/>
            </w:tcMar>
            <w:vAlign w:val="center"/>
          </w:tcPr>
          <w:p w14:paraId="7D6C4DC9">
            <w:pPr>
              <w:pStyle w:val="711"/>
              <w:widowControl w:val="0"/>
              <w:rPr>
                <w:color w:val="auto"/>
              </w:rPr>
            </w:pPr>
            <w:r>
              <w:rPr>
                <w:color w:val="auto"/>
              </w:rPr>
              <w:t>氨氮</w:t>
            </w:r>
          </w:p>
        </w:tc>
        <w:tc>
          <w:tcPr>
            <w:tcW w:w="1129" w:type="pct"/>
            <w:tcBorders>
              <w:tl2br w:val="nil"/>
              <w:tr2bl w:val="nil"/>
            </w:tcBorders>
            <w:tcMar>
              <w:left w:w="57" w:type="dxa"/>
              <w:right w:w="57" w:type="dxa"/>
            </w:tcMar>
            <w:vAlign w:val="center"/>
          </w:tcPr>
          <w:p w14:paraId="3EF111EE">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41499F51">
            <w:pPr>
              <w:pStyle w:val="711"/>
              <w:widowControl w:val="0"/>
              <w:rPr>
                <w:color w:val="auto"/>
              </w:rPr>
            </w:pPr>
            <w:r>
              <w:rPr>
                <w:color w:val="auto"/>
              </w:rPr>
              <w:t>50</w:t>
            </w:r>
          </w:p>
        </w:tc>
      </w:tr>
      <w:tr w14:paraId="2976E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652A2100">
            <w:pPr>
              <w:pStyle w:val="711"/>
              <w:widowControl w:val="0"/>
              <w:rPr>
                <w:color w:val="auto"/>
              </w:rPr>
            </w:pPr>
            <w:r>
              <w:rPr>
                <w:color w:val="auto"/>
              </w:rPr>
              <w:t>8</w:t>
            </w:r>
          </w:p>
        </w:tc>
        <w:tc>
          <w:tcPr>
            <w:tcW w:w="1910" w:type="pct"/>
            <w:tcBorders>
              <w:tl2br w:val="nil"/>
              <w:tr2bl w:val="nil"/>
            </w:tcBorders>
            <w:tcMar>
              <w:left w:w="57" w:type="dxa"/>
              <w:right w:w="57" w:type="dxa"/>
            </w:tcMar>
            <w:vAlign w:val="center"/>
          </w:tcPr>
          <w:p w14:paraId="1C40EBBF">
            <w:pPr>
              <w:pStyle w:val="711"/>
              <w:widowControl w:val="0"/>
              <w:rPr>
                <w:color w:val="auto"/>
              </w:rPr>
            </w:pPr>
            <w:r>
              <w:rPr>
                <w:color w:val="auto"/>
              </w:rPr>
              <w:t>总氮</w:t>
            </w:r>
          </w:p>
        </w:tc>
        <w:tc>
          <w:tcPr>
            <w:tcW w:w="1129" w:type="pct"/>
            <w:tcBorders>
              <w:tl2br w:val="nil"/>
              <w:tr2bl w:val="nil"/>
            </w:tcBorders>
            <w:tcMar>
              <w:left w:w="57" w:type="dxa"/>
              <w:right w:w="57" w:type="dxa"/>
            </w:tcMar>
            <w:vAlign w:val="center"/>
          </w:tcPr>
          <w:p w14:paraId="01A0C3B3">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0F805E2E">
            <w:pPr>
              <w:pStyle w:val="711"/>
              <w:widowControl w:val="0"/>
              <w:rPr>
                <w:color w:val="auto"/>
              </w:rPr>
            </w:pPr>
            <w:r>
              <w:rPr>
                <w:color w:val="auto"/>
              </w:rPr>
              <w:t>80</w:t>
            </w:r>
          </w:p>
        </w:tc>
      </w:tr>
      <w:tr w14:paraId="639D2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513E2C9E">
            <w:pPr>
              <w:pStyle w:val="711"/>
              <w:widowControl w:val="0"/>
              <w:rPr>
                <w:color w:val="auto"/>
              </w:rPr>
            </w:pPr>
            <w:r>
              <w:rPr>
                <w:color w:val="auto"/>
              </w:rPr>
              <w:t>9</w:t>
            </w:r>
          </w:p>
        </w:tc>
        <w:tc>
          <w:tcPr>
            <w:tcW w:w="1910" w:type="pct"/>
            <w:tcBorders>
              <w:tl2br w:val="nil"/>
              <w:tr2bl w:val="nil"/>
            </w:tcBorders>
            <w:tcMar>
              <w:left w:w="57" w:type="dxa"/>
              <w:right w:w="57" w:type="dxa"/>
            </w:tcMar>
            <w:vAlign w:val="center"/>
          </w:tcPr>
          <w:p w14:paraId="59427DC4">
            <w:pPr>
              <w:pStyle w:val="711"/>
              <w:widowControl w:val="0"/>
              <w:rPr>
                <w:color w:val="auto"/>
              </w:rPr>
            </w:pPr>
            <w:r>
              <w:rPr>
                <w:color w:val="auto"/>
              </w:rPr>
              <w:t>总磷</w:t>
            </w:r>
          </w:p>
        </w:tc>
        <w:tc>
          <w:tcPr>
            <w:tcW w:w="1129" w:type="pct"/>
            <w:tcBorders>
              <w:tl2br w:val="nil"/>
              <w:tr2bl w:val="nil"/>
            </w:tcBorders>
            <w:tcMar>
              <w:left w:w="57" w:type="dxa"/>
              <w:right w:w="57" w:type="dxa"/>
            </w:tcMar>
            <w:vAlign w:val="center"/>
          </w:tcPr>
          <w:p w14:paraId="66DFB645">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2F606EC0">
            <w:pPr>
              <w:pStyle w:val="711"/>
              <w:widowControl w:val="0"/>
              <w:rPr>
                <w:color w:val="auto"/>
              </w:rPr>
            </w:pPr>
            <w:r>
              <w:rPr>
                <w:color w:val="auto"/>
              </w:rPr>
              <w:t>4</w:t>
            </w:r>
          </w:p>
        </w:tc>
      </w:tr>
      <w:tr w14:paraId="7C08A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1FB99DEE">
            <w:pPr>
              <w:pStyle w:val="711"/>
              <w:widowControl w:val="0"/>
              <w:rPr>
                <w:color w:val="auto"/>
              </w:rPr>
            </w:pPr>
            <w:r>
              <w:rPr>
                <w:color w:val="auto"/>
              </w:rPr>
              <w:t>10</w:t>
            </w:r>
          </w:p>
        </w:tc>
        <w:tc>
          <w:tcPr>
            <w:tcW w:w="1910" w:type="pct"/>
            <w:tcBorders>
              <w:tl2br w:val="nil"/>
              <w:tr2bl w:val="nil"/>
            </w:tcBorders>
            <w:tcMar>
              <w:left w:w="57" w:type="dxa"/>
              <w:right w:w="57" w:type="dxa"/>
            </w:tcMar>
            <w:vAlign w:val="center"/>
          </w:tcPr>
          <w:p w14:paraId="2EEC7506">
            <w:pPr>
              <w:pStyle w:val="711"/>
              <w:widowControl w:val="0"/>
              <w:rPr>
                <w:color w:val="auto"/>
              </w:rPr>
            </w:pPr>
            <w:r>
              <w:rPr>
                <w:color w:val="auto"/>
              </w:rPr>
              <w:t>氯化物</w:t>
            </w:r>
          </w:p>
        </w:tc>
        <w:tc>
          <w:tcPr>
            <w:tcW w:w="1129" w:type="pct"/>
            <w:tcBorders>
              <w:tl2br w:val="nil"/>
              <w:tr2bl w:val="nil"/>
            </w:tcBorders>
            <w:tcMar>
              <w:left w:w="57" w:type="dxa"/>
              <w:right w:w="57" w:type="dxa"/>
            </w:tcMar>
            <w:vAlign w:val="center"/>
          </w:tcPr>
          <w:p w14:paraId="40523E8C">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2E3652C2">
            <w:pPr>
              <w:pStyle w:val="711"/>
              <w:widowControl w:val="0"/>
              <w:rPr>
                <w:color w:val="auto"/>
              </w:rPr>
            </w:pPr>
            <w:r>
              <w:rPr>
                <w:color w:val="auto"/>
              </w:rPr>
              <w:t>500</w:t>
            </w:r>
          </w:p>
        </w:tc>
      </w:tr>
      <w:tr w14:paraId="5F889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727C1297">
            <w:pPr>
              <w:pStyle w:val="711"/>
              <w:widowControl w:val="0"/>
              <w:rPr>
                <w:color w:val="auto"/>
              </w:rPr>
            </w:pPr>
            <w:r>
              <w:rPr>
                <w:color w:val="auto"/>
              </w:rPr>
              <w:t>11</w:t>
            </w:r>
          </w:p>
        </w:tc>
        <w:tc>
          <w:tcPr>
            <w:tcW w:w="1910" w:type="pct"/>
            <w:tcBorders>
              <w:tl2br w:val="nil"/>
              <w:tr2bl w:val="nil"/>
            </w:tcBorders>
            <w:tcMar>
              <w:left w:w="57" w:type="dxa"/>
              <w:right w:w="57" w:type="dxa"/>
            </w:tcMar>
            <w:vAlign w:val="center"/>
          </w:tcPr>
          <w:p w14:paraId="1CE216AE">
            <w:pPr>
              <w:pStyle w:val="711"/>
              <w:widowControl w:val="0"/>
              <w:rPr>
                <w:color w:val="auto"/>
              </w:rPr>
            </w:pPr>
            <w:r>
              <w:rPr>
                <w:color w:val="auto"/>
              </w:rPr>
              <w:t>硫酸盐</w:t>
            </w:r>
          </w:p>
        </w:tc>
        <w:tc>
          <w:tcPr>
            <w:tcW w:w="1129" w:type="pct"/>
            <w:tcBorders>
              <w:tl2br w:val="nil"/>
              <w:tr2bl w:val="nil"/>
            </w:tcBorders>
            <w:tcMar>
              <w:left w:w="57" w:type="dxa"/>
              <w:right w:w="57" w:type="dxa"/>
            </w:tcMar>
            <w:vAlign w:val="center"/>
          </w:tcPr>
          <w:p w14:paraId="288CD360">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3D95CC43">
            <w:pPr>
              <w:pStyle w:val="711"/>
              <w:widowControl w:val="0"/>
              <w:rPr>
                <w:color w:val="auto"/>
              </w:rPr>
            </w:pPr>
            <w:r>
              <w:rPr>
                <w:color w:val="auto"/>
              </w:rPr>
              <w:t>400</w:t>
            </w:r>
          </w:p>
        </w:tc>
      </w:tr>
      <w:tr w14:paraId="79395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160A85AF">
            <w:pPr>
              <w:pStyle w:val="711"/>
              <w:widowControl w:val="0"/>
              <w:rPr>
                <w:color w:val="auto"/>
              </w:rPr>
            </w:pPr>
            <w:r>
              <w:rPr>
                <w:color w:val="auto"/>
              </w:rPr>
              <w:t>12</w:t>
            </w:r>
          </w:p>
        </w:tc>
        <w:tc>
          <w:tcPr>
            <w:tcW w:w="1910" w:type="pct"/>
            <w:tcBorders>
              <w:tl2br w:val="nil"/>
              <w:tr2bl w:val="nil"/>
            </w:tcBorders>
            <w:tcMar>
              <w:left w:w="57" w:type="dxa"/>
              <w:right w:w="57" w:type="dxa"/>
            </w:tcMar>
            <w:vAlign w:val="center"/>
          </w:tcPr>
          <w:p w14:paraId="2CB73B94">
            <w:pPr>
              <w:pStyle w:val="711"/>
              <w:widowControl w:val="0"/>
              <w:rPr>
                <w:color w:val="auto"/>
              </w:rPr>
            </w:pPr>
            <w:r>
              <w:rPr>
                <w:color w:val="auto"/>
              </w:rPr>
              <w:t>HCO</w:t>
            </w:r>
            <w:r>
              <w:rPr>
                <w:color w:val="auto"/>
                <w:vertAlign w:val="subscript"/>
              </w:rPr>
              <w:t>3</w:t>
            </w:r>
            <w:r>
              <w:rPr>
                <w:color w:val="auto"/>
                <w:vertAlign w:val="superscript"/>
              </w:rPr>
              <w:t>-</w:t>
            </w:r>
          </w:p>
        </w:tc>
        <w:tc>
          <w:tcPr>
            <w:tcW w:w="1129" w:type="pct"/>
            <w:tcBorders>
              <w:tl2br w:val="nil"/>
              <w:tr2bl w:val="nil"/>
            </w:tcBorders>
            <w:tcMar>
              <w:left w:w="57" w:type="dxa"/>
              <w:right w:w="57" w:type="dxa"/>
            </w:tcMar>
            <w:vAlign w:val="center"/>
          </w:tcPr>
          <w:p w14:paraId="0C756EAA">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102337B1">
            <w:pPr>
              <w:pStyle w:val="711"/>
              <w:widowControl w:val="0"/>
              <w:rPr>
                <w:color w:val="auto"/>
              </w:rPr>
            </w:pPr>
            <w:r>
              <w:rPr>
                <w:color w:val="auto"/>
              </w:rPr>
              <w:t>0</w:t>
            </w:r>
          </w:p>
        </w:tc>
      </w:tr>
      <w:tr w14:paraId="0064D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736E26C">
            <w:pPr>
              <w:pStyle w:val="711"/>
              <w:widowControl w:val="0"/>
              <w:rPr>
                <w:color w:val="auto"/>
              </w:rPr>
            </w:pPr>
            <w:r>
              <w:rPr>
                <w:color w:val="auto"/>
              </w:rPr>
              <w:t>13</w:t>
            </w:r>
          </w:p>
        </w:tc>
        <w:tc>
          <w:tcPr>
            <w:tcW w:w="1910" w:type="pct"/>
            <w:tcBorders>
              <w:tl2br w:val="nil"/>
              <w:tr2bl w:val="nil"/>
            </w:tcBorders>
            <w:tcMar>
              <w:left w:w="57" w:type="dxa"/>
              <w:right w:w="57" w:type="dxa"/>
            </w:tcMar>
            <w:vAlign w:val="center"/>
          </w:tcPr>
          <w:p w14:paraId="7F99088C">
            <w:pPr>
              <w:pStyle w:val="711"/>
              <w:widowControl w:val="0"/>
              <w:rPr>
                <w:color w:val="auto"/>
              </w:rPr>
            </w:pPr>
            <w:r>
              <w:rPr>
                <w:color w:val="auto"/>
              </w:rPr>
              <w:t>全硅</w:t>
            </w:r>
          </w:p>
        </w:tc>
        <w:tc>
          <w:tcPr>
            <w:tcW w:w="1129" w:type="pct"/>
            <w:tcBorders>
              <w:tl2br w:val="nil"/>
              <w:tr2bl w:val="nil"/>
            </w:tcBorders>
            <w:tcMar>
              <w:left w:w="57" w:type="dxa"/>
              <w:right w:w="57" w:type="dxa"/>
            </w:tcMar>
            <w:vAlign w:val="center"/>
          </w:tcPr>
          <w:p w14:paraId="2CE9CF5B">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20C4B080">
            <w:pPr>
              <w:pStyle w:val="711"/>
              <w:widowControl w:val="0"/>
              <w:rPr>
                <w:color w:val="auto"/>
              </w:rPr>
            </w:pPr>
            <w:r>
              <w:rPr>
                <w:color w:val="auto"/>
              </w:rPr>
              <w:t>0</w:t>
            </w:r>
          </w:p>
        </w:tc>
      </w:tr>
      <w:tr w14:paraId="0D131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38742E6D">
            <w:pPr>
              <w:pStyle w:val="711"/>
              <w:widowControl w:val="0"/>
              <w:rPr>
                <w:color w:val="auto"/>
              </w:rPr>
            </w:pPr>
            <w:r>
              <w:rPr>
                <w:color w:val="auto"/>
              </w:rPr>
              <w:t>14</w:t>
            </w:r>
          </w:p>
        </w:tc>
        <w:tc>
          <w:tcPr>
            <w:tcW w:w="1910" w:type="pct"/>
            <w:tcBorders>
              <w:tl2br w:val="nil"/>
              <w:tr2bl w:val="nil"/>
            </w:tcBorders>
            <w:tcMar>
              <w:left w:w="57" w:type="dxa"/>
              <w:right w:w="57" w:type="dxa"/>
            </w:tcMar>
            <w:vAlign w:val="center"/>
          </w:tcPr>
          <w:p w14:paraId="5C25CC30">
            <w:pPr>
              <w:pStyle w:val="711"/>
              <w:widowControl w:val="0"/>
              <w:rPr>
                <w:color w:val="auto"/>
              </w:rPr>
            </w:pPr>
            <w:r>
              <w:rPr>
                <w:color w:val="auto"/>
              </w:rPr>
              <w:t>总硬度</w:t>
            </w:r>
          </w:p>
        </w:tc>
        <w:tc>
          <w:tcPr>
            <w:tcW w:w="1129" w:type="pct"/>
            <w:tcBorders>
              <w:tl2br w:val="nil"/>
              <w:tr2bl w:val="nil"/>
            </w:tcBorders>
            <w:tcMar>
              <w:left w:w="57" w:type="dxa"/>
              <w:right w:w="57" w:type="dxa"/>
            </w:tcMar>
            <w:vAlign w:val="center"/>
          </w:tcPr>
          <w:p w14:paraId="31172554">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5FFFE3D3">
            <w:pPr>
              <w:pStyle w:val="711"/>
              <w:widowControl w:val="0"/>
              <w:rPr>
                <w:color w:val="auto"/>
              </w:rPr>
            </w:pPr>
            <w:r>
              <w:rPr>
                <w:color w:val="auto"/>
              </w:rPr>
              <w:t>400</w:t>
            </w:r>
          </w:p>
        </w:tc>
      </w:tr>
      <w:tr w14:paraId="0C8C5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F8869E9">
            <w:pPr>
              <w:pStyle w:val="711"/>
              <w:widowControl w:val="0"/>
              <w:rPr>
                <w:color w:val="auto"/>
              </w:rPr>
            </w:pPr>
            <w:r>
              <w:rPr>
                <w:color w:val="auto"/>
              </w:rPr>
              <w:t>15</w:t>
            </w:r>
          </w:p>
        </w:tc>
        <w:tc>
          <w:tcPr>
            <w:tcW w:w="1910" w:type="pct"/>
            <w:tcBorders>
              <w:tl2br w:val="nil"/>
              <w:tr2bl w:val="nil"/>
            </w:tcBorders>
            <w:tcMar>
              <w:left w:w="57" w:type="dxa"/>
              <w:right w:w="57" w:type="dxa"/>
            </w:tcMar>
            <w:vAlign w:val="center"/>
          </w:tcPr>
          <w:p w14:paraId="1F53DDF2">
            <w:pPr>
              <w:pStyle w:val="711"/>
              <w:widowControl w:val="0"/>
              <w:rPr>
                <w:color w:val="auto"/>
              </w:rPr>
            </w:pPr>
            <w:r>
              <w:rPr>
                <w:color w:val="auto"/>
              </w:rPr>
              <w:t>氟化物</w:t>
            </w:r>
          </w:p>
        </w:tc>
        <w:tc>
          <w:tcPr>
            <w:tcW w:w="1129" w:type="pct"/>
            <w:tcBorders>
              <w:tl2br w:val="nil"/>
              <w:tr2bl w:val="nil"/>
            </w:tcBorders>
            <w:tcMar>
              <w:left w:w="57" w:type="dxa"/>
              <w:right w:w="57" w:type="dxa"/>
            </w:tcMar>
            <w:vAlign w:val="center"/>
          </w:tcPr>
          <w:p w14:paraId="6F765FA2">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2B3FB813">
            <w:pPr>
              <w:pStyle w:val="711"/>
              <w:widowControl w:val="0"/>
              <w:rPr>
                <w:color w:val="auto"/>
              </w:rPr>
            </w:pPr>
            <w:r>
              <w:rPr>
                <w:color w:val="auto"/>
              </w:rPr>
              <w:t>20</w:t>
            </w:r>
          </w:p>
        </w:tc>
      </w:tr>
      <w:tr w14:paraId="0B448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7EF64DC5">
            <w:pPr>
              <w:pStyle w:val="711"/>
              <w:widowControl w:val="0"/>
              <w:rPr>
                <w:color w:val="auto"/>
              </w:rPr>
            </w:pPr>
            <w:r>
              <w:rPr>
                <w:color w:val="auto"/>
              </w:rPr>
              <w:t>16</w:t>
            </w:r>
          </w:p>
        </w:tc>
        <w:tc>
          <w:tcPr>
            <w:tcW w:w="1910" w:type="pct"/>
            <w:tcBorders>
              <w:tl2br w:val="nil"/>
              <w:tr2bl w:val="nil"/>
            </w:tcBorders>
            <w:tcMar>
              <w:left w:w="57" w:type="dxa"/>
              <w:right w:w="57" w:type="dxa"/>
            </w:tcMar>
            <w:vAlign w:val="center"/>
          </w:tcPr>
          <w:p w14:paraId="4A1269CA">
            <w:pPr>
              <w:pStyle w:val="711"/>
              <w:widowControl w:val="0"/>
              <w:rPr>
                <w:color w:val="auto"/>
              </w:rPr>
            </w:pPr>
            <w:r>
              <w:rPr>
                <w:color w:val="auto"/>
              </w:rPr>
              <w:t>石油类</w:t>
            </w:r>
          </w:p>
        </w:tc>
        <w:tc>
          <w:tcPr>
            <w:tcW w:w="1129" w:type="pct"/>
            <w:tcBorders>
              <w:tl2br w:val="nil"/>
              <w:tr2bl w:val="nil"/>
            </w:tcBorders>
            <w:tcMar>
              <w:left w:w="57" w:type="dxa"/>
              <w:right w:w="57" w:type="dxa"/>
            </w:tcMar>
            <w:vAlign w:val="center"/>
          </w:tcPr>
          <w:p w14:paraId="3F714186">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76EB9508">
            <w:pPr>
              <w:pStyle w:val="711"/>
              <w:widowControl w:val="0"/>
              <w:rPr>
                <w:color w:val="auto"/>
              </w:rPr>
            </w:pPr>
            <w:r>
              <w:rPr>
                <w:color w:val="auto"/>
              </w:rPr>
              <w:t>1.0</w:t>
            </w:r>
          </w:p>
        </w:tc>
      </w:tr>
      <w:tr w14:paraId="1383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5EF4FB08">
            <w:pPr>
              <w:pStyle w:val="711"/>
              <w:widowControl w:val="0"/>
              <w:rPr>
                <w:color w:val="auto"/>
              </w:rPr>
            </w:pPr>
            <w:r>
              <w:rPr>
                <w:color w:val="auto"/>
              </w:rPr>
              <w:t>17</w:t>
            </w:r>
          </w:p>
        </w:tc>
        <w:tc>
          <w:tcPr>
            <w:tcW w:w="1910" w:type="pct"/>
            <w:tcBorders>
              <w:tl2br w:val="nil"/>
              <w:tr2bl w:val="nil"/>
            </w:tcBorders>
            <w:tcMar>
              <w:left w:w="57" w:type="dxa"/>
              <w:right w:w="57" w:type="dxa"/>
            </w:tcMar>
            <w:vAlign w:val="center"/>
          </w:tcPr>
          <w:p w14:paraId="774F57F4">
            <w:pPr>
              <w:pStyle w:val="711"/>
              <w:widowControl w:val="0"/>
              <w:rPr>
                <w:color w:val="auto"/>
              </w:rPr>
            </w:pPr>
            <w:r>
              <w:rPr>
                <w:color w:val="auto"/>
              </w:rPr>
              <w:t>挥发酚</w:t>
            </w:r>
          </w:p>
        </w:tc>
        <w:tc>
          <w:tcPr>
            <w:tcW w:w="1129" w:type="pct"/>
            <w:tcBorders>
              <w:tl2br w:val="nil"/>
              <w:tr2bl w:val="nil"/>
            </w:tcBorders>
            <w:tcMar>
              <w:left w:w="57" w:type="dxa"/>
              <w:right w:w="57" w:type="dxa"/>
            </w:tcMar>
            <w:vAlign w:val="center"/>
          </w:tcPr>
          <w:p w14:paraId="39EE1F55">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7F34C4BC">
            <w:pPr>
              <w:pStyle w:val="711"/>
              <w:widowControl w:val="0"/>
              <w:rPr>
                <w:color w:val="auto"/>
              </w:rPr>
            </w:pPr>
            <w:r>
              <w:rPr>
                <w:color w:val="auto"/>
              </w:rPr>
              <w:t>0.5</w:t>
            </w:r>
          </w:p>
        </w:tc>
      </w:tr>
      <w:tr w14:paraId="55170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2DB45A61">
            <w:pPr>
              <w:pStyle w:val="711"/>
              <w:widowControl w:val="0"/>
              <w:rPr>
                <w:color w:val="auto"/>
              </w:rPr>
            </w:pPr>
            <w:r>
              <w:rPr>
                <w:color w:val="auto"/>
              </w:rPr>
              <w:t>18</w:t>
            </w:r>
          </w:p>
        </w:tc>
        <w:tc>
          <w:tcPr>
            <w:tcW w:w="1910" w:type="pct"/>
            <w:tcBorders>
              <w:tl2br w:val="nil"/>
              <w:tr2bl w:val="nil"/>
            </w:tcBorders>
            <w:tcMar>
              <w:left w:w="57" w:type="dxa"/>
              <w:right w:w="57" w:type="dxa"/>
            </w:tcMar>
            <w:vAlign w:val="center"/>
          </w:tcPr>
          <w:p w14:paraId="7AFC16F2">
            <w:pPr>
              <w:pStyle w:val="711"/>
              <w:widowControl w:val="0"/>
              <w:rPr>
                <w:color w:val="auto"/>
              </w:rPr>
            </w:pPr>
            <w:r>
              <w:rPr>
                <w:color w:val="auto"/>
              </w:rPr>
              <w:t>苯</w:t>
            </w:r>
          </w:p>
        </w:tc>
        <w:tc>
          <w:tcPr>
            <w:tcW w:w="1129" w:type="pct"/>
            <w:tcBorders>
              <w:tl2br w:val="nil"/>
              <w:tr2bl w:val="nil"/>
            </w:tcBorders>
            <w:tcMar>
              <w:left w:w="57" w:type="dxa"/>
              <w:right w:w="57" w:type="dxa"/>
            </w:tcMar>
            <w:vAlign w:val="center"/>
          </w:tcPr>
          <w:p w14:paraId="34094EB5">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641D34EB">
            <w:pPr>
              <w:pStyle w:val="711"/>
              <w:widowControl w:val="0"/>
              <w:rPr>
                <w:color w:val="auto"/>
              </w:rPr>
            </w:pPr>
            <w:r>
              <w:rPr>
                <w:color w:val="auto"/>
              </w:rPr>
              <w:t>0.1</w:t>
            </w:r>
          </w:p>
        </w:tc>
      </w:tr>
      <w:tr w14:paraId="33502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57" w:type="dxa"/>
              <w:right w:w="57" w:type="dxa"/>
            </w:tcMar>
            <w:vAlign w:val="center"/>
          </w:tcPr>
          <w:p w14:paraId="6E9CF26D">
            <w:pPr>
              <w:pStyle w:val="711"/>
              <w:widowControl w:val="0"/>
              <w:rPr>
                <w:color w:val="auto"/>
              </w:rPr>
            </w:pPr>
            <w:r>
              <w:rPr>
                <w:color w:val="auto"/>
              </w:rPr>
              <w:t>19</w:t>
            </w:r>
          </w:p>
        </w:tc>
        <w:tc>
          <w:tcPr>
            <w:tcW w:w="1910" w:type="pct"/>
            <w:tcBorders>
              <w:tl2br w:val="nil"/>
              <w:tr2bl w:val="nil"/>
            </w:tcBorders>
            <w:tcMar>
              <w:left w:w="57" w:type="dxa"/>
              <w:right w:w="57" w:type="dxa"/>
            </w:tcMar>
            <w:vAlign w:val="center"/>
          </w:tcPr>
          <w:p w14:paraId="160D3A09">
            <w:pPr>
              <w:pStyle w:val="711"/>
              <w:widowControl w:val="0"/>
              <w:rPr>
                <w:color w:val="auto"/>
              </w:rPr>
            </w:pPr>
            <w:r>
              <w:rPr>
                <w:color w:val="auto"/>
              </w:rPr>
              <w:t>甲醛</w:t>
            </w:r>
          </w:p>
        </w:tc>
        <w:tc>
          <w:tcPr>
            <w:tcW w:w="1129" w:type="pct"/>
            <w:tcBorders>
              <w:tl2br w:val="nil"/>
              <w:tr2bl w:val="nil"/>
            </w:tcBorders>
            <w:tcMar>
              <w:left w:w="57" w:type="dxa"/>
              <w:right w:w="57" w:type="dxa"/>
            </w:tcMar>
            <w:vAlign w:val="center"/>
          </w:tcPr>
          <w:p w14:paraId="14781741">
            <w:pPr>
              <w:pStyle w:val="711"/>
              <w:widowControl w:val="0"/>
              <w:rPr>
                <w:color w:val="auto"/>
              </w:rPr>
            </w:pPr>
            <w:r>
              <w:rPr>
                <w:color w:val="auto"/>
              </w:rPr>
              <w:t>mg/L</w:t>
            </w:r>
          </w:p>
        </w:tc>
        <w:tc>
          <w:tcPr>
            <w:tcW w:w="1483" w:type="pct"/>
            <w:tcBorders>
              <w:tl2br w:val="nil"/>
              <w:tr2bl w:val="nil"/>
            </w:tcBorders>
            <w:tcMar>
              <w:left w:w="57" w:type="dxa"/>
              <w:right w:w="57" w:type="dxa"/>
            </w:tcMar>
            <w:vAlign w:val="center"/>
          </w:tcPr>
          <w:p w14:paraId="5E20E3FD">
            <w:pPr>
              <w:pStyle w:val="711"/>
              <w:widowControl w:val="0"/>
              <w:rPr>
                <w:color w:val="auto"/>
              </w:rPr>
            </w:pPr>
            <w:r>
              <w:rPr>
                <w:color w:val="auto"/>
              </w:rPr>
              <w:t>1.0</w:t>
            </w:r>
          </w:p>
        </w:tc>
      </w:tr>
      <w:bookmarkEnd w:id="115"/>
    </w:tbl>
    <w:p w14:paraId="3DA817C4">
      <w:pPr>
        <w:pStyle w:val="15"/>
        <w:keepNext w:val="0"/>
        <w:keepLines w:val="0"/>
        <w:pageBreakBefore w:val="0"/>
        <w:widowControl w:val="0"/>
        <w:kinsoku/>
        <w:wordWrap/>
        <w:overflowPunct/>
        <w:topLinePunct w:val="0"/>
        <w:autoSpaceDE/>
        <w:autoSpaceDN/>
        <w:bidi w:val="0"/>
        <w:adjustRightInd/>
        <w:snapToGrid/>
        <w:spacing w:before="144" w:beforeLines="50"/>
        <w:ind w:left="0" w:leftChars="0" w:firstLine="0" w:firstLineChars="0"/>
        <w:textAlignment w:val="auto"/>
        <w:rPr>
          <w:color w:val="auto"/>
        </w:rPr>
      </w:pPr>
      <w:bookmarkStart w:id="116" w:name="_Hlk172494789"/>
      <w:r>
        <w:rPr>
          <w:color w:val="auto"/>
        </w:rPr>
        <w:t>废水</w:t>
      </w:r>
      <w:r>
        <w:rPr>
          <w:rFonts w:hint="eastAsia"/>
          <w:color w:val="auto"/>
        </w:rPr>
        <w:t>泄漏</w:t>
      </w:r>
      <w:r>
        <w:rPr>
          <w:color w:val="auto"/>
        </w:rPr>
        <w:t>污染物浓度核算</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55"/>
        <w:gridCol w:w="1974"/>
        <w:gridCol w:w="1194"/>
        <w:gridCol w:w="792"/>
        <w:gridCol w:w="741"/>
        <w:gridCol w:w="782"/>
        <w:gridCol w:w="746"/>
        <w:gridCol w:w="746"/>
        <w:gridCol w:w="910"/>
      </w:tblGrid>
      <w:tr w14:paraId="233F7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restart"/>
            <w:tcBorders>
              <w:tl2br w:val="nil"/>
              <w:tr2bl w:val="nil"/>
            </w:tcBorders>
            <w:vAlign w:val="center"/>
          </w:tcPr>
          <w:p w14:paraId="74A47EC2">
            <w:pPr>
              <w:pStyle w:val="711"/>
              <w:rPr>
                <w:b/>
                <w:bCs/>
                <w:color w:val="auto"/>
              </w:rPr>
            </w:pPr>
            <w:bookmarkStart w:id="117" w:name="_Hlk154094011"/>
            <w:r>
              <w:rPr>
                <w:rFonts w:hint="eastAsia"/>
                <w:b/>
                <w:bCs/>
                <w:color w:val="auto"/>
              </w:rPr>
              <w:t>处理单元群</w:t>
            </w:r>
          </w:p>
        </w:tc>
        <w:tc>
          <w:tcPr>
            <w:tcW w:w="1116" w:type="pct"/>
            <w:vMerge w:val="restart"/>
            <w:tcBorders>
              <w:tl2br w:val="nil"/>
              <w:tr2bl w:val="nil"/>
            </w:tcBorders>
            <w:vAlign w:val="center"/>
          </w:tcPr>
          <w:p w14:paraId="659FE065">
            <w:pPr>
              <w:pStyle w:val="711"/>
              <w:rPr>
                <w:b/>
                <w:bCs/>
                <w:color w:val="auto"/>
              </w:rPr>
            </w:pPr>
            <w:r>
              <w:rPr>
                <w:rFonts w:hint="eastAsia"/>
                <w:b/>
                <w:bCs/>
                <w:color w:val="auto"/>
              </w:rPr>
              <w:t>池体名称</w:t>
            </w:r>
          </w:p>
        </w:tc>
        <w:tc>
          <w:tcPr>
            <w:tcW w:w="675" w:type="pct"/>
            <w:vMerge w:val="restart"/>
            <w:tcBorders>
              <w:tl2br w:val="nil"/>
              <w:tr2bl w:val="nil"/>
            </w:tcBorders>
            <w:vAlign w:val="center"/>
          </w:tcPr>
          <w:p w14:paraId="41706FB6">
            <w:pPr>
              <w:pStyle w:val="711"/>
              <w:rPr>
                <w:b/>
                <w:bCs/>
                <w:color w:val="auto"/>
              </w:rPr>
            </w:pPr>
            <w:r>
              <w:rPr>
                <w:rFonts w:hint="eastAsia"/>
                <w:b/>
                <w:bCs/>
                <w:color w:val="auto"/>
              </w:rPr>
              <w:t>泄漏废水量</w:t>
            </w:r>
            <w:r>
              <w:rPr>
                <w:b/>
                <w:bCs/>
                <w:color w:val="auto"/>
              </w:rPr>
              <w:t>（m</w:t>
            </w:r>
            <w:r>
              <w:rPr>
                <w:b/>
                <w:bCs/>
                <w:color w:val="auto"/>
                <w:vertAlign w:val="superscript"/>
              </w:rPr>
              <w:t>3</w:t>
            </w:r>
            <w:r>
              <w:rPr>
                <w:b/>
                <w:bCs/>
                <w:color w:val="auto"/>
              </w:rPr>
              <w:t>/d）</w:t>
            </w:r>
          </w:p>
        </w:tc>
        <w:tc>
          <w:tcPr>
            <w:tcW w:w="2667" w:type="pct"/>
            <w:gridSpan w:val="6"/>
            <w:tcBorders>
              <w:tl2br w:val="nil"/>
              <w:tr2bl w:val="nil"/>
            </w:tcBorders>
            <w:vAlign w:val="center"/>
          </w:tcPr>
          <w:p w14:paraId="117A7DF9">
            <w:pPr>
              <w:pStyle w:val="711"/>
              <w:rPr>
                <w:b/>
                <w:bCs/>
                <w:color w:val="auto"/>
              </w:rPr>
            </w:pPr>
            <w:r>
              <w:rPr>
                <w:b/>
                <w:bCs/>
                <w:color w:val="auto"/>
              </w:rPr>
              <w:t>污染物浓度（mg/L）</w:t>
            </w:r>
          </w:p>
        </w:tc>
      </w:tr>
      <w:tr w14:paraId="0013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continue"/>
            <w:tcBorders>
              <w:tl2br w:val="nil"/>
              <w:tr2bl w:val="nil"/>
            </w:tcBorders>
            <w:vAlign w:val="center"/>
          </w:tcPr>
          <w:p w14:paraId="56117E2A">
            <w:pPr>
              <w:pStyle w:val="711"/>
              <w:rPr>
                <w:b/>
                <w:bCs/>
                <w:color w:val="auto"/>
              </w:rPr>
            </w:pPr>
          </w:p>
        </w:tc>
        <w:tc>
          <w:tcPr>
            <w:tcW w:w="1116" w:type="pct"/>
            <w:vMerge w:val="continue"/>
            <w:tcBorders>
              <w:tl2br w:val="nil"/>
              <w:tr2bl w:val="nil"/>
            </w:tcBorders>
            <w:vAlign w:val="center"/>
          </w:tcPr>
          <w:p w14:paraId="7821F030">
            <w:pPr>
              <w:pStyle w:val="711"/>
              <w:rPr>
                <w:b/>
                <w:bCs/>
                <w:color w:val="auto"/>
              </w:rPr>
            </w:pPr>
          </w:p>
        </w:tc>
        <w:tc>
          <w:tcPr>
            <w:tcW w:w="675" w:type="pct"/>
            <w:vMerge w:val="continue"/>
            <w:tcBorders>
              <w:tl2br w:val="nil"/>
              <w:tr2bl w:val="nil"/>
            </w:tcBorders>
            <w:vAlign w:val="center"/>
          </w:tcPr>
          <w:p w14:paraId="490866F6">
            <w:pPr>
              <w:pStyle w:val="711"/>
              <w:rPr>
                <w:b/>
                <w:bCs/>
                <w:color w:val="auto"/>
              </w:rPr>
            </w:pPr>
          </w:p>
        </w:tc>
        <w:tc>
          <w:tcPr>
            <w:tcW w:w="448" w:type="pct"/>
            <w:tcBorders>
              <w:tl2br w:val="nil"/>
              <w:tr2bl w:val="nil"/>
            </w:tcBorders>
            <w:vAlign w:val="center"/>
          </w:tcPr>
          <w:p w14:paraId="6262B937">
            <w:pPr>
              <w:pStyle w:val="711"/>
              <w:rPr>
                <w:b/>
                <w:bCs/>
                <w:color w:val="auto"/>
              </w:rPr>
            </w:pPr>
            <w:r>
              <w:rPr>
                <w:b/>
                <w:bCs/>
                <w:color w:val="auto"/>
              </w:rPr>
              <w:t>COD</w:t>
            </w:r>
            <w:r>
              <w:rPr>
                <w:b/>
                <w:bCs/>
                <w:color w:val="auto"/>
                <w:vertAlign w:val="subscript"/>
              </w:rPr>
              <w:t>Mn</w:t>
            </w:r>
          </w:p>
        </w:tc>
        <w:tc>
          <w:tcPr>
            <w:tcW w:w="419" w:type="pct"/>
            <w:tcBorders>
              <w:tl2br w:val="nil"/>
              <w:tr2bl w:val="nil"/>
            </w:tcBorders>
            <w:vAlign w:val="center"/>
          </w:tcPr>
          <w:p w14:paraId="0068689F">
            <w:pPr>
              <w:pStyle w:val="711"/>
              <w:rPr>
                <w:b/>
                <w:bCs/>
                <w:color w:val="auto"/>
              </w:rPr>
            </w:pPr>
            <w:r>
              <w:rPr>
                <w:rFonts w:hint="eastAsia"/>
                <w:b/>
                <w:bCs/>
                <w:color w:val="auto"/>
              </w:rPr>
              <w:t>氨氮</w:t>
            </w:r>
          </w:p>
        </w:tc>
        <w:tc>
          <w:tcPr>
            <w:tcW w:w="442" w:type="pct"/>
            <w:tcBorders>
              <w:tl2br w:val="nil"/>
              <w:tr2bl w:val="nil"/>
            </w:tcBorders>
            <w:vAlign w:val="center"/>
          </w:tcPr>
          <w:p w14:paraId="408255FB">
            <w:pPr>
              <w:pStyle w:val="711"/>
              <w:rPr>
                <w:b/>
                <w:bCs/>
                <w:color w:val="auto"/>
              </w:rPr>
            </w:pPr>
            <w:r>
              <w:rPr>
                <w:rFonts w:hint="eastAsia"/>
                <w:b/>
                <w:bCs/>
                <w:color w:val="auto"/>
              </w:rPr>
              <w:t>总磷</w:t>
            </w:r>
          </w:p>
        </w:tc>
        <w:tc>
          <w:tcPr>
            <w:tcW w:w="422" w:type="pct"/>
            <w:tcBorders>
              <w:tl2br w:val="nil"/>
              <w:tr2bl w:val="nil"/>
            </w:tcBorders>
            <w:vAlign w:val="center"/>
          </w:tcPr>
          <w:p w14:paraId="63295D31">
            <w:pPr>
              <w:pStyle w:val="711"/>
              <w:rPr>
                <w:b/>
                <w:bCs/>
                <w:color w:val="auto"/>
              </w:rPr>
            </w:pPr>
            <w:r>
              <w:rPr>
                <w:rFonts w:hint="eastAsia"/>
                <w:b/>
                <w:bCs/>
                <w:color w:val="auto"/>
              </w:rPr>
              <w:t>苯</w:t>
            </w:r>
          </w:p>
        </w:tc>
        <w:tc>
          <w:tcPr>
            <w:tcW w:w="422" w:type="pct"/>
            <w:tcBorders>
              <w:tl2br w:val="nil"/>
              <w:tr2bl w:val="nil"/>
            </w:tcBorders>
            <w:vAlign w:val="center"/>
          </w:tcPr>
          <w:p w14:paraId="44E91550">
            <w:pPr>
              <w:pStyle w:val="711"/>
              <w:rPr>
                <w:b/>
                <w:bCs/>
                <w:color w:val="auto"/>
              </w:rPr>
            </w:pPr>
            <w:r>
              <w:rPr>
                <w:rFonts w:hint="eastAsia"/>
                <w:b/>
                <w:bCs/>
                <w:color w:val="auto"/>
              </w:rPr>
              <w:t>甲醛</w:t>
            </w:r>
          </w:p>
        </w:tc>
        <w:tc>
          <w:tcPr>
            <w:tcW w:w="510" w:type="pct"/>
            <w:tcBorders>
              <w:tl2br w:val="nil"/>
              <w:tr2bl w:val="nil"/>
            </w:tcBorders>
            <w:vAlign w:val="center"/>
          </w:tcPr>
          <w:p w14:paraId="3CE38936">
            <w:pPr>
              <w:pStyle w:val="711"/>
              <w:rPr>
                <w:b/>
                <w:bCs/>
                <w:color w:val="auto"/>
              </w:rPr>
            </w:pPr>
            <w:r>
              <w:rPr>
                <w:rFonts w:hint="eastAsia"/>
                <w:b/>
                <w:bCs/>
                <w:color w:val="auto"/>
              </w:rPr>
              <w:t>石油类</w:t>
            </w:r>
          </w:p>
        </w:tc>
      </w:tr>
      <w:tr w14:paraId="2BD5F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restart"/>
            <w:tcBorders>
              <w:tl2br w:val="nil"/>
              <w:tr2bl w:val="nil"/>
            </w:tcBorders>
            <w:vAlign w:val="center"/>
          </w:tcPr>
          <w:p w14:paraId="5D8C69F3">
            <w:pPr>
              <w:pStyle w:val="711"/>
              <w:rPr>
                <w:color w:val="auto"/>
              </w:rPr>
            </w:pPr>
            <w:r>
              <w:rPr>
                <w:rFonts w:hint="eastAsia"/>
                <w:color w:val="auto"/>
              </w:rPr>
              <w:t>一级处理</w:t>
            </w:r>
          </w:p>
        </w:tc>
        <w:tc>
          <w:tcPr>
            <w:tcW w:w="1116" w:type="pct"/>
            <w:tcBorders>
              <w:tl2br w:val="nil"/>
              <w:tr2bl w:val="nil"/>
            </w:tcBorders>
            <w:vAlign w:val="center"/>
          </w:tcPr>
          <w:p w14:paraId="6EC9872E">
            <w:pPr>
              <w:pStyle w:val="711"/>
              <w:rPr>
                <w:color w:val="auto"/>
              </w:rPr>
            </w:pPr>
            <w:r>
              <w:rPr>
                <w:rFonts w:hint="eastAsia"/>
                <w:color w:val="auto"/>
              </w:rPr>
              <w:t>超细格栅池</w:t>
            </w:r>
          </w:p>
        </w:tc>
        <w:tc>
          <w:tcPr>
            <w:tcW w:w="675" w:type="pct"/>
            <w:tcBorders>
              <w:tl2br w:val="nil"/>
              <w:tr2bl w:val="nil"/>
            </w:tcBorders>
            <w:vAlign w:val="center"/>
          </w:tcPr>
          <w:p w14:paraId="4453D9A9">
            <w:pPr>
              <w:pStyle w:val="711"/>
              <w:rPr>
                <w:color w:val="auto"/>
              </w:rPr>
            </w:pPr>
            <w:r>
              <w:rPr>
                <w:rFonts w:hint="eastAsia"/>
                <w:color w:val="auto"/>
              </w:rPr>
              <w:t>0.64</w:t>
            </w:r>
          </w:p>
        </w:tc>
        <w:tc>
          <w:tcPr>
            <w:tcW w:w="448" w:type="pct"/>
            <w:tcBorders>
              <w:tl2br w:val="nil"/>
              <w:tr2bl w:val="nil"/>
            </w:tcBorders>
            <w:vAlign w:val="center"/>
          </w:tcPr>
          <w:p w14:paraId="5FD1FC3D">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15C693D1">
            <w:pPr>
              <w:pStyle w:val="711"/>
              <w:rPr>
                <w:color w:val="auto"/>
              </w:rPr>
            </w:pPr>
            <w:r>
              <w:rPr>
                <w:rFonts w:hint="eastAsia"/>
                <w:color w:val="auto"/>
              </w:rPr>
              <w:t>50</w:t>
            </w:r>
          </w:p>
        </w:tc>
        <w:tc>
          <w:tcPr>
            <w:tcW w:w="442" w:type="pct"/>
            <w:tcBorders>
              <w:tl2br w:val="nil"/>
              <w:tr2bl w:val="nil"/>
            </w:tcBorders>
            <w:vAlign w:val="center"/>
          </w:tcPr>
          <w:p w14:paraId="7E2182BA">
            <w:pPr>
              <w:pStyle w:val="711"/>
              <w:rPr>
                <w:color w:val="auto"/>
              </w:rPr>
            </w:pPr>
            <w:r>
              <w:rPr>
                <w:rFonts w:hint="eastAsia"/>
                <w:color w:val="auto"/>
              </w:rPr>
              <w:t>4</w:t>
            </w:r>
          </w:p>
        </w:tc>
        <w:tc>
          <w:tcPr>
            <w:tcW w:w="422" w:type="pct"/>
            <w:tcBorders>
              <w:tl2br w:val="nil"/>
              <w:tr2bl w:val="nil"/>
            </w:tcBorders>
            <w:vAlign w:val="center"/>
          </w:tcPr>
          <w:p w14:paraId="66A1168C">
            <w:pPr>
              <w:pStyle w:val="711"/>
              <w:rPr>
                <w:color w:val="auto"/>
              </w:rPr>
            </w:pPr>
            <w:r>
              <w:rPr>
                <w:rFonts w:hint="eastAsia"/>
                <w:color w:val="auto"/>
              </w:rPr>
              <w:t>0.1</w:t>
            </w:r>
          </w:p>
        </w:tc>
        <w:tc>
          <w:tcPr>
            <w:tcW w:w="422" w:type="pct"/>
            <w:tcBorders>
              <w:tl2br w:val="nil"/>
              <w:tr2bl w:val="nil"/>
            </w:tcBorders>
            <w:vAlign w:val="center"/>
          </w:tcPr>
          <w:p w14:paraId="4CEAF829">
            <w:pPr>
              <w:pStyle w:val="711"/>
              <w:rPr>
                <w:color w:val="auto"/>
              </w:rPr>
            </w:pPr>
            <w:r>
              <w:rPr>
                <w:rFonts w:hint="eastAsia"/>
                <w:color w:val="auto"/>
              </w:rPr>
              <w:t>1.0</w:t>
            </w:r>
          </w:p>
        </w:tc>
        <w:tc>
          <w:tcPr>
            <w:tcW w:w="510" w:type="pct"/>
            <w:tcBorders>
              <w:tl2br w:val="nil"/>
              <w:tr2bl w:val="nil"/>
            </w:tcBorders>
            <w:vAlign w:val="center"/>
          </w:tcPr>
          <w:p w14:paraId="6D3F2E09">
            <w:pPr>
              <w:pStyle w:val="711"/>
              <w:rPr>
                <w:color w:val="auto"/>
              </w:rPr>
            </w:pPr>
            <w:r>
              <w:rPr>
                <w:rFonts w:hint="eastAsia"/>
                <w:color w:val="auto"/>
              </w:rPr>
              <w:t>1.0</w:t>
            </w:r>
          </w:p>
        </w:tc>
      </w:tr>
      <w:tr w14:paraId="393D7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continue"/>
            <w:tcBorders>
              <w:tl2br w:val="nil"/>
              <w:tr2bl w:val="nil"/>
            </w:tcBorders>
            <w:vAlign w:val="center"/>
          </w:tcPr>
          <w:p w14:paraId="49F4D68E">
            <w:pPr>
              <w:pStyle w:val="711"/>
              <w:rPr>
                <w:color w:val="auto"/>
              </w:rPr>
            </w:pPr>
          </w:p>
        </w:tc>
        <w:tc>
          <w:tcPr>
            <w:tcW w:w="1116" w:type="pct"/>
            <w:tcBorders>
              <w:tl2br w:val="nil"/>
              <w:tr2bl w:val="nil"/>
            </w:tcBorders>
            <w:vAlign w:val="center"/>
          </w:tcPr>
          <w:p w14:paraId="50D7DC34">
            <w:pPr>
              <w:pStyle w:val="711"/>
              <w:rPr>
                <w:color w:val="auto"/>
              </w:rPr>
            </w:pPr>
            <w:r>
              <w:rPr>
                <w:rFonts w:hint="eastAsia"/>
                <w:color w:val="auto"/>
              </w:rPr>
              <w:t>调节池</w:t>
            </w:r>
          </w:p>
        </w:tc>
        <w:tc>
          <w:tcPr>
            <w:tcW w:w="675" w:type="pct"/>
            <w:tcBorders>
              <w:tl2br w:val="nil"/>
              <w:tr2bl w:val="nil"/>
            </w:tcBorders>
            <w:vAlign w:val="center"/>
          </w:tcPr>
          <w:p w14:paraId="04278FD6">
            <w:pPr>
              <w:pStyle w:val="711"/>
              <w:rPr>
                <w:color w:val="auto"/>
              </w:rPr>
            </w:pPr>
            <w:r>
              <w:rPr>
                <w:rFonts w:hint="eastAsia"/>
                <w:color w:val="auto"/>
              </w:rPr>
              <w:t>4.61</w:t>
            </w:r>
          </w:p>
        </w:tc>
        <w:tc>
          <w:tcPr>
            <w:tcW w:w="448" w:type="pct"/>
            <w:tcBorders>
              <w:tl2br w:val="nil"/>
              <w:tr2bl w:val="nil"/>
            </w:tcBorders>
            <w:vAlign w:val="center"/>
          </w:tcPr>
          <w:p w14:paraId="7CC5A927">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45F74803">
            <w:pPr>
              <w:pStyle w:val="711"/>
              <w:rPr>
                <w:color w:val="auto"/>
              </w:rPr>
            </w:pPr>
            <w:r>
              <w:rPr>
                <w:rFonts w:hint="eastAsia"/>
                <w:color w:val="auto"/>
              </w:rPr>
              <w:t>50</w:t>
            </w:r>
          </w:p>
        </w:tc>
        <w:tc>
          <w:tcPr>
            <w:tcW w:w="442" w:type="pct"/>
            <w:tcBorders>
              <w:tl2br w:val="nil"/>
              <w:tr2bl w:val="nil"/>
            </w:tcBorders>
            <w:vAlign w:val="center"/>
          </w:tcPr>
          <w:p w14:paraId="3A9264E5">
            <w:pPr>
              <w:pStyle w:val="711"/>
              <w:rPr>
                <w:color w:val="auto"/>
              </w:rPr>
            </w:pPr>
            <w:r>
              <w:rPr>
                <w:rFonts w:hint="eastAsia"/>
                <w:color w:val="auto"/>
              </w:rPr>
              <w:t>4</w:t>
            </w:r>
          </w:p>
        </w:tc>
        <w:tc>
          <w:tcPr>
            <w:tcW w:w="422" w:type="pct"/>
            <w:tcBorders>
              <w:tl2br w:val="nil"/>
              <w:tr2bl w:val="nil"/>
            </w:tcBorders>
            <w:vAlign w:val="center"/>
          </w:tcPr>
          <w:p w14:paraId="1D357BD0">
            <w:pPr>
              <w:pStyle w:val="711"/>
              <w:rPr>
                <w:color w:val="auto"/>
              </w:rPr>
            </w:pPr>
            <w:r>
              <w:rPr>
                <w:rFonts w:hint="eastAsia"/>
                <w:color w:val="auto"/>
              </w:rPr>
              <w:t>0.1</w:t>
            </w:r>
          </w:p>
        </w:tc>
        <w:tc>
          <w:tcPr>
            <w:tcW w:w="422" w:type="pct"/>
            <w:tcBorders>
              <w:tl2br w:val="nil"/>
              <w:tr2bl w:val="nil"/>
            </w:tcBorders>
            <w:vAlign w:val="center"/>
          </w:tcPr>
          <w:p w14:paraId="27DB8D24">
            <w:pPr>
              <w:pStyle w:val="711"/>
              <w:rPr>
                <w:color w:val="auto"/>
              </w:rPr>
            </w:pPr>
            <w:r>
              <w:rPr>
                <w:rFonts w:hint="eastAsia"/>
                <w:color w:val="auto"/>
              </w:rPr>
              <w:t>1.0</w:t>
            </w:r>
          </w:p>
        </w:tc>
        <w:tc>
          <w:tcPr>
            <w:tcW w:w="510" w:type="pct"/>
            <w:tcBorders>
              <w:tl2br w:val="nil"/>
              <w:tr2bl w:val="nil"/>
            </w:tcBorders>
            <w:vAlign w:val="center"/>
          </w:tcPr>
          <w:p w14:paraId="2CC268DC">
            <w:pPr>
              <w:pStyle w:val="711"/>
              <w:rPr>
                <w:color w:val="auto"/>
              </w:rPr>
            </w:pPr>
            <w:r>
              <w:rPr>
                <w:rFonts w:hint="eastAsia"/>
                <w:color w:val="auto"/>
              </w:rPr>
              <w:t>1.0</w:t>
            </w:r>
          </w:p>
        </w:tc>
      </w:tr>
      <w:tr w14:paraId="5BB92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continue"/>
            <w:tcBorders>
              <w:tl2br w:val="nil"/>
              <w:tr2bl w:val="nil"/>
            </w:tcBorders>
            <w:vAlign w:val="center"/>
          </w:tcPr>
          <w:p w14:paraId="07190F5E">
            <w:pPr>
              <w:pStyle w:val="711"/>
              <w:rPr>
                <w:color w:val="auto"/>
              </w:rPr>
            </w:pPr>
          </w:p>
        </w:tc>
        <w:tc>
          <w:tcPr>
            <w:tcW w:w="1116" w:type="pct"/>
            <w:tcBorders>
              <w:tl2br w:val="nil"/>
              <w:tr2bl w:val="nil"/>
            </w:tcBorders>
            <w:vAlign w:val="center"/>
          </w:tcPr>
          <w:p w14:paraId="676F326F">
            <w:pPr>
              <w:pStyle w:val="711"/>
              <w:rPr>
                <w:color w:val="auto"/>
              </w:rPr>
            </w:pPr>
            <w:r>
              <w:rPr>
                <w:rFonts w:hint="eastAsia"/>
                <w:color w:val="auto"/>
              </w:rPr>
              <w:t>水解酸化池</w:t>
            </w:r>
          </w:p>
        </w:tc>
        <w:tc>
          <w:tcPr>
            <w:tcW w:w="675" w:type="pct"/>
            <w:tcBorders>
              <w:tl2br w:val="nil"/>
              <w:tr2bl w:val="nil"/>
            </w:tcBorders>
            <w:vAlign w:val="center"/>
          </w:tcPr>
          <w:p w14:paraId="2FEEA963">
            <w:pPr>
              <w:pStyle w:val="711"/>
              <w:rPr>
                <w:color w:val="auto"/>
              </w:rPr>
            </w:pPr>
            <w:r>
              <w:rPr>
                <w:rFonts w:hint="eastAsia"/>
                <w:color w:val="auto"/>
              </w:rPr>
              <w:t>11.68</w:t>
            </w:r>
          </w:p>
        </w:tc>
        <w:tc>
          <w:tcPr>
            <w:tcW w:w="448" w:type="pct"/>
            <w:tcBorders>
              <w:tl2br w:val="nil"/>
              <w:tr2bl w:val="nil"/>
            </w:tcBorders>
            <w:vAlign w:val="center"/>
          </w:tcPr>
          <w:p w14:paraId="71E5055E">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7A0BCF25">
            <w:pPr>
              <w:pStyle w:val="711"/>
              <w:rPr>
                <w:color w:val="auto"/>
              </w:rPr>
            </w:pPr>
            <w:r>
              <w:rPr>
                <w:rFonts w:hint="eastAsia"/>
                <w:color w:val="auto"/>
              </w:rPr>
              <w:t>50</w:t>
            </w:r>
          </w:p>
        </w:tc>
        <w:tc>
          <w:tcPr>
            <w:tcW w:w="442" w:type="pct"/>
            <w:tcBorders>
              <w:tl2br w:val="nil"/>
              <w:tr2bl w:val="nil"/>
            </w:tcBorders>
            <w:vAlign w:val="center"/>
          </w:tcPr>
          <w:p w14:paraId="3216C324">
            <w:pPr>
              <w:pStyle w:val="711"/>
              <w:rPr>
                <w:color w:val="auto"/>
              </w:rPr>
            </w:pPr>
            <w:r>
              <w:rPr>
                <w:rFonts w:hint="eastAsia"/>
                <w:color w:val="auto"/>
              </w:rPr>
              <w:t>4</w:t>
            </w:r>
          </w:p>
        </w:tc>
        <w:tc>
          <w:tcPr>
            <w:tcW w:w="422" w:type="pct"/>
            <w:tcBorders>
              <w:tl2br w:val="nil"/>
              <w:tr2bl w:val="nil"/>
            </w:tcBorders>
            <w:vAlign w:val="center"/>
          </w:tcPr>
          <w:p w14:paraId="2E4909EE">
            <w:pPr>
              <w:pStyle w:val="711"/>
              <w:rPr>
                <w:color w:val="auto"/>
              </w:rPr>
            </w:pPr>
            <w:r>
              <w:rPr>
                <w:rFonts w:hint="eastAsia"/>
                <w:color w:val="auto"/>
              </w:rPr>
              <w:t>0.1</w:t>
            </w:r>
          </w:p>
        </w:tc>
        <w:tc>
          <w:tcPr>
            <w:tcW w:w="422" w:type="pct"/>
            <w:tcBorders>
              <w:tl2br w:val="nil"/>
              <w:tr2bl w:val="nil"/>
            </w:tcBorders>
            <w:vAlign w:val="center"/>
          </w:tcPr>
          <w:p w14:paraId="430EBEBC">
            <w:pPr>
              <w:pStyle w:val="711"/>
              <w:rPr>
                <w:color w:val="auto"/>
              </w:rPr>
            </w:pPr>
            <w:r>
              <w:rPr>
                <w:rFonts w:hint="eastAsia"/>
                <w:color w:val="auto"/>
              </w:rPr>
              <w:t>1.0</w:t>
            </w:r>
          </w:p>
        </w:tc>
        <w:tc>
          <w:tcPr>
            <w:tcW w:w="510" w:type="pct"/>
            <w:tcBorders>
              <w:tl2br w:val="nil"/>
              <w:tr2bl w:val="nil"/>
            </w:tcBorders>
            <w:vAlign w:val="center"/>
          </w:tcPr>
          <w:p w14:paraId="27B812E2">
            <w:pPr>
              <w:pStyle w:val="711"/>
              <w:rPr>
                <w:color w:val="auto"/>
              </w:rPr>
            </w:pPr>
            <w:r>
              <w:rPr>
                <w:rFonts w:hint="eastAsia"/>
                <w:color w:val="auto"/>
              </w:rPr>
              <w:t>1.0</w:t>
            </w:r>
          </w:p>
        </w:tc>
      </w:tr>
      <w:tr w14:paraId="1C7B0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restart"/>
            <w:tcBorders>
              <w:tl2br w:val="nil"/>
              <w:tr2bl w:val="nil"/>
            </w:tcBorders>
            <w:vAlign w:val="center"/>
          </w:tcPr>
          <w:p w14:paraId="33EE0289">
            <w:pPr>
              <w:pStyle w:val="711"/>
              <w:rPr>
                <w:color w:val="auto"/>
              </w:rPr>
            </w:pPr>
            <w:r>
              <w:rPr>
                <w:rFonts w:hint="eastAsia"/>
                <w:color w:val="auto"/>
              </w:rPr>
              <w:t>二级处理</w:t>
            </w:r>
          </w:p>
        </w:tc>
        <w:tc>
          <w:tcPr>
            <w:tcW w:w="1116" w:type="pct"/>
            <w:tcBorders>
              <w:tl2br w:val="nil"/>
              <w:tr2bl w:val="nil"/>
            </w:tcBorders>
            <w:vAlign w:val="center"/>
          </w:tcPr>
          <w:p w14:paraId="4CE4037B">
            <w:pPr>
              <w:pStyle w:val="711"/>
              <w:rPr>
                <w:color w:val="auto"/>
              </w:rPr>
            </w:pPr>
            <w:r>
              <w:rPr>
                <w:rFonts w:hint="eastAsia"/>
                <w:color w:val="auto"/>
              </w:rPr>
              <w:t>微氧低循环生化池</w:t>
            </w:r>
          </w:p>
        </w:tc>
        <w:tc>
          <w:tcPr>
            <w:tcW w:w="675" w:type="pct"/>
            <w:tcBorders>
              <w:tl2br w:val="nil"/>
              <w:tr2bl w:val="nil"/>
            </w:tcBorders>
            <w:vAlign w:val="center"/>
          </w:tcPr>
          <w:p w14:paraId="62666AFC">
            <w:pPr>
              <w:pStyle w:val="711"/>
              <w:rPr>
                <w:color w:val="auto"/>
              </w:rPr>
            </w:pPr>
            <w:r>
              <w:rPr>
                <w:rFonts w:hint="eastAsia"/>
                <w:color w:val="auto"/>
              </w:rPr>
              <w:t>26.95</w:t>
            </w:r>
          </w:p>
        </w:tc>
        <w:tc>
          <w:tcPr>
            <w:tcW w:w="448" w:type="pct"/>
            <w:tcBorders>
              <w:tl2br w:val="nil"/>
              <w:tr2bl w:val="nil"/>
            </w:tcBorders>
            <w:vAlign w:val="center"/>
          </w:tcPr>
          <w:p w14:paraId="0E233591">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77CAC45A">
            <w:pPr>
              <w:pStyle w:val="711"/>
              <w:rPr>
                <w:color w:val="auto"/>
              </w:rPr>
            </w:pPr>
            <w:r>
              <w:rPr>
                <w:rFonts w:hint="eastAsia"/>
                <w:color w:val="auto"/>
              </w:rPr>
              <w:t>50</w:t>
            </w:r>
          </w:p>
        </w:tc>
        <w:tc>
          <w:tcPr>
            <w:tcW w:w="442" w:type="pct"/>
            <w:tcBorders>
              <w:tl2br w:val="nil"/>
              <w:tr2bl w:val="nil"/>
            </w:tcBorders>
            <w:vAlign w:val="center"/>
          </w:tcPr>
          <w:p w14:paraId="38DBB83E">
            <w:pPr>
              <w:pStyle w:val="711"/>
              <w:rPr>
                <w:color w:val="auto"/>
              </w:rPr>
            </w:pPr>
            <w:r>
              <w:rPr>
                <w:rFonts w:hint="eastAsia"/>
                <w:color w:val="auto"/>
              </w:rPr>
              <w:t>4</w:t>
            </w:r>
          </w:p>
        </w:tc>
        <w:tc>
          <w:tcPr>
            <w:tcW w:w="422" w:type="pct"/>
            <w:tcBorders>
              <w:tl2br w:val="nil"/>
              <w:tr2bl w:val="nil"/>
            </w:tcBorders>
            <w:vAlign w:val="center"/>
          </w:tcPr>
          <w:p w14:paraId="6037ECA0">
            <w:pPr>
              <w:pStyle w:val="711"/>
              <w:rPr>
                <w:color w:val="auto"/>
              </w:rPr>
            </w:pPr>
            <w:r>
              <w:rPr>
                <w:rFonts w:hint="eastAsia"/>
                <w:color w:val="auto"/>
              </w:rPr>
              <w:t>0.1</w:t>
            </w:r>
          </w:p>
        </w:tc>
        <w:tc>
          <w:tcPr>
            <w:tcW w:w="422" w:type="pct"/>
            <w:tcBorders>
              <w:tl2br w:val="nil"/>
              <w:tr2bl w:val="nil"/>
            </w:tcBorders>
            <w:vAlign w:val="center"/>
          </w:tcPr>
          <w:p w14:paraId="5C7DA89D">
            <w:pPr>
              <w:pStyle w:val="711"/>
              <w:rPr>
                <w:color w:val="auto"/>
              </w:rPr>
            </w:pPr>
            <w:r>
              <w:rPr>
                <w:rFonts w:hint="eastAsia"/>
                <w:color w:val="auto"/>
              </w:rPr>
              <w:t>1.0</w:t>
            </w:r>
          </w:p>
        </w:tc>
        <w:tc>
          <w:tcPr>
            <w:tcW w:w="510" w:type="pct"/>
            <w:tcBorders>
              <w:tl2br w:val="nil"/>
              <w:tr2bl w:val="nil"/>
            </w:tcBorders>
            <w:vAlign w:val="center"/>
          </w:tcPr>
          <w:p w14:paraId="5BBA7DDA">
            <w:pPr>
              <w:pStyle w:val="711"/>
              <w:rPr>
                <w:color w:val="auto"/>
              </w:rPr>
            </w:pPr>
            <w:r>
              <w:rPr>
                <w:rFonts w:hint="eastAsia"/>
                <w:color w:val="auto"/>
              </w:rPr>
              <w:t>1.0</w:t>
            </w:r>
          </w:p>
        </w:tc>
      </w:tr>
      <w:tr w14:paraId="2EBD8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continue"/>
            <w:tcBorders>
              <w:tl2br w:val="nil"/>
              <w:tr2bl w:val="nil"/>
            </w:tcBorders>
            <w:vAlign w:val="center"/>
          </w:tcPr>
          <w:p w14:paraId="36C21623">
            <w:pPr>
              <w:pStyle w:val="711"/>
              <w:rPr>
                <w:color w:val="auto"/>
              </w:rPr>
            </w:pPr>
          </w:p>
        </w:tc>
        <w:tc>
          <w:tcPr>
            <w:tcW w:w="1116" w:type="pct"/>
            <w:tcBorders>
              <w:tl2br w:val="nil"/>
              <w:tr2bl w:val="nil"/>
            </w:tcBorders>
            <w:vAlign w:val="center"/>
          </w:tcPr>
          <w:p w14:paraId="4ED800C0">
            <w:pPr>
              <w:pStyle w:val="711"/>
              <w:rPr>
                <w:color w:val="auto"/>
              </w:rPr>
            </w:pPr>
            <w:r>
              <w:rPr>
                <w:rFonts w:hint="eastAsia"/>
                <w:color w:val="auto"/>
              </w:rPr>
              <w:t>反硝化深床滤池</w:t>
            </w:r>
          </w:p>
        </w:tc>
        <w:tc>
          <w:tcPr>
            <w:tcW w:w="675" w:type="pct"/>
            <w:tcBorders>
              <w:tl2br w:val="nil"/>
              <w:tr2bl w:val="nil"/>
            </w:tcBorders>
            <w:vAlign w:val="center"/>
          </w:tcPr>
          <w:p w14:paraId="4FA19CE4">
            <w:pPr>
              <w:pStyle w:val="711"/>
              <w:rPr>
                <w:color w:val="auto"/>
              </w:rPr>
            </w:pPr>
            <w:r>
              <w:rPr>
                <w:rFonts w:hint="eastAsia"/>
                <w:color w:val="auto"/>
              </w:rPr>
              <w:t>33.18</w:t>
            </w:r>
          </w:p>
        </w:tc>
        <w:tc>
          <w:tcPr>
            <w:tcW w:w="448" w:type="pct"/>
            <w:tcBorders>
              <w:tl2br w:val="nil"/>
              <w:tr2bl w:val="nil"/>
            </w:tcBorders>
            <w:vAlign w:val="center"/>
          </w:tcPr>
          <w:p w14:paraId="060CBA30">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314F715F">
            <w:pPr>
              <w:pStyle w:val="711"/>
              <w:rPr>
                <w:color w:val="auto"/>
              </w:rPr>
            </w:pPr>
            <w:r>
              <w:rPr>
                <w:rFonts w:hint="eastAsia"/>
                <w:color w:val="auto"/>
              </w:rPr>
              <w:t>50</w:t>
            </w:r>
          </w:p>
        </w:tc>
        <w:tc>
          <w:tcPr>
            <w:tcW w:w="442" w:type="pct"/>
            <w:tcBorders>
              <w:tl2br w:val="nil"/>
              <w:tr2bl w:val="nil"/>
            </w:tcBorders>
            <w:vAlign w:val="center"/>
          </w:tcPr>
          <w:p w14:paraId="4FBD0A40">
            <w:pPr>
              <w:pStyle w:val="711"/>
              <w:rPr>
                <w:color w:val="auto"/>
              </w:rPr>
            </w:pPr>
            <w:r>
              <w:rPr>
                <w:rFonts w:hint="eastAsia"/>
                <w:color w:val="auto"/>
              </w:rPr>
              <w:t>4</w:t>
            </w:r>
          </w:p>
        </w:tc>
        <w:tc>
          <w:tcPr>
            <w:tcW w:w="422" w:type="pct"/>
            <w:tcBorders>
              <w:tl2br w:val="nil"/>
              <w:tr2bl w:val="nil"/>
            </w:tcBorders>
            <w:vAlign w:val="center"/>
          </w:tcPr>
          <w:p w14:paraId="223F10B2">
            <w:pPr>
              <w:pStyle w:val="711"/>
              <w:rPr>
                <w:color w:val="auto"/>
              </w:rPr>
            </w:pPr>
            <w:r>
              <w:rPr>
                <w:rFonts w:hint="eastAsia"/>
                <w:color w:val="auto"/>
              </w:rPr>
              <w:t>0.1</w:t>
            </w:r>
          </w:p>
        </w:tc>
        <w:tc>
          <w:tcPr>
            <w:tcW w:w="422" w:type="pct"/>
            <w:tcBorders>
              <w:tl2br w:val="nil"/>
              <w:tr2bl w:val="nil"/>
            </w:tcBorders>
            <w:vAlign w:val="center"/>
          </w:tcPr>
          <w:p w14:paraId="68702F2A">
            <w:pPr>
              <w:pStyle w:val="711"/>
              <w:rPr>
                <w:color w:val="auto"/>
              </w:rPr>
            </w:pPr>
            <w:r>
              <w:rPr>
                <w:rFonts w:hint="eastAsia"/>
                <w:color w:val="auto"/>
              </w:rPr>
              <w:t>1.0</w:t>
            </w:r>
          </w:p>
        </w:tc>
        <w:tc>
          <w:tcPr>
            <w:tcW w:w="510" w:type="pct"/>
            <w:tcBorders>
              <w:tl2br w:val="nil"/>
              <w:tr2bl w:val="nil"/>
            </w:tcBorders>
            <w:vAlign w:val="center"/>
          </w:tcPr>
          <w:p w14:paraId="32CE486F">
            <w:pPr>
              <w:pStyle w:val="711"/>
              <w:rPr>
                <w:color w:val="auto"/>
              </w:rPr>
            </w:pPr>
            <w:r>
              <w:rPr>
                <w:rFonts w:hint="eastAsia"/>
                <w:color w:val="auto"/>
              </w:rPr>
              <w:t>1.0</w:t>
            </w:r>
          </w:p>
        </w:tc>
      </w:tr>
      <w:tr w14:paraId="5EC87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tcBorders>
              <w:tl2br w:val="nil"/>
              <w:tr2bl w:val="nil"/>
            </w:tcBorders>
            <w:vAlign w:val="center"/>
          </w:tcPr>
          <w:p w14:paraId="279F284B">
            <w:pPr>
              <w:pStyle w:val="711"/>
              <w:rPr>
                <w:color w:val="auto"/>
              </w:rPr>
            </w:pPr>
            <w:r>
              <w:rPr>
                <w:rFonts w:hint="eastAsia"/>
                <w:color w:val="auto"/>
              </w:rPr>
              <w:t>深度处理</w:t>
            </w:r>
          </w:p>
        </w:tc>
        <w:tc>
          <w:tcPr>
            <w:tcW w:w="1116" w:type="pct"/>
            <w:tcBorders>
              <w:tl2br w:val="nil"/>
              <w:tr2bl w:val="nil"/>
            </w:tcBorders>
            <w:vAlign w:val="center"/>
          </w:tcPr>
          <w:p w14:paraId="1FD9908D">
            <w:pPr>
              <w:pStyle w:val="711"/>
              <w:rPr>
                <w:color w:val="auto"/>
              </w:rPr>
            </w:pPr>
            <w:r>
              <w:rPr>
                <w:rFonts w:hint="eastAsia"/>
                <w:color w:val="auto"/>
              </w:rPr>
              <w:t>高级氧化撬装设备</w:t>
            </w:r>
          </w:p>
        </w:tc>
        <w:tc>
          <w:tcPr>
            <w:tcW w:w="675" w:type="pct"/>
            <w:tcBorders>
              <w:tl2br w:val="nil"/>
              <w:tr2bl w:val="nil"/>
            </w:tcBorders>
            <w:vAlign w:val="center"/>
          </w:tcPr>
          <w:p w14:paraId="788B39C0">
            <w:pPr>
              <w:pStyle w:val="711"/>
              <w:rPr>
                <w:color w:val="auto"/>
              </w:rPr>
            </w:pPr>
            <w:r>
              <w:rPr>
                <w:rFonts w:hint="eastAsia"/>
                <w:color w:val="auto"/>
              </w:rPr>
              <w:t>1.06</w:t>
            </w:r>
          </w:p>
        </w:tc>
        <w:tc>
          <w:tcPr>
            <w:tcW w:w="448" w:type="pct"/>
            <w:tcBorders>
              <w:tl2br w:val="nil"/>
              <w:tr2bl w:val="nil"/>
            </w:tcBorders>
            <w:vAlign w:val="center"/>
          </w:tcPr>
          <w:p w14:paraId="1033745D">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2103BFC5">
            <w:pPr>
              <w:pStyle w:val="711"/>
              <w:rPr>
                <w:color w:val="auto"/>
              </w:rPr>
            </w:pPr>
            <w:r>
              <w:rPr>
                <w:rFonts w:hint="eastAsia"/>
                <w:color w:val="auto"/>
              </w:rPr>
              <w:t>50</w:t>
            </w:r>
          </w:p>
        </w:tc>
        <w:tc>
          <w:tcPr>
            <w:tcW w:w="442" w:type="pct"/>
            <w:tcBorders>
              <w:tl2br w:val="nil"/>
              <w:tr2bl w:val="nil"/>
            </w:tcBorders>
            <w:vAlign w:val="center"/>
          </w:tcPr>
          <w:p w14:paraId="27E0B3F2">
            <w:pPr>
              <w:pStyle w:val="711"/>
              <w:rPr>
                <w:color w:val="auto"/>
              </w:rPr>
            </w:pPr>
            <w:r>
              <w:rPr>
                <w:rFonts w:hint="eastAsia"/>
                <w:color w:val="auto"/>
              </w:rPr>
              <w:t>4</w:t>
            </w:r>
          </w:p>
        </w:tc>
        <w:tc>
          <w:tcPr>
            <w:tcW w:w="422" w:type="pct"/>
            <w:tcBorders>
              <w:tl2br w:val="nil"/>
              <w:tr2bl w:val="nil"/>
            </w:tcBorders>
            <w:vAlign w:val="center"/>
          </w:tcPr>
          <w:p w14:paraId="72641A69">
            <w:pPr>
              <w:pStyle w:val="711"/>
              <w:rPr>
                <w:color w:val="auto"/>
              </w:rPr>
            </w:pPr>
            <w:r>
              <w:rPr>
                <w:rFonts w:hint="eastAsia"/>
                <w:color w:val="auto"/>
              </w:rPr>
              <w:t>0.1</w:t>
            </w:r>
          </w:p>
        </w:tc>
        <w:tc>
          <w:tcPr>
            <w:tcW w:w="422" w:type="pct"/>
            <w:tcBorders>
              <w:tl2br w:val="nil"/>
              <w:tr2bl w:val="nil"/>
            </w:tcBorders>
            <w:vAlign w:val="center"/>
          </w:tcPr>
          <w:p w14:paraId="055623A3">
            <w:pPr>
              <w:pStyle w:val="711"/>
              <w:rPr>
                <w:color w:val="auto"/>
              </w:rPr>
            </w:pPr>
            <w:r>
              <w:rPr>
                <w:rFonts w:hint="eastAsia"/>
                <w:color w:val="auto"/>
              </w:rPr>
              <w:t>1.0</w:t>
            </w:r>
          </w:p>
        </w:tc>
        <w:tc>
          <w:tcPr>
            <w:tcW w:w="510" w:type="pct"/>
            <w:tcBorders>
              <w:tl2br w:val="nil"/>
              <w:tr2bl w:val="nil"/>
            </w:tcBorders>
            <w:vAlign w:val="center"/>
          </w:tcPr>
          <w:p w14:paraId="54A1D07F">
            <w:pPr>
              <w:pStyle w:val="711"/>
              <w:rPr>
                <w:color w:val="auto"/>
              </w:rPr>
            </w:pPr>
            <w:r>
              <w:rPr>
                <w:rFonts w:hint="eastAsia"/>
                <w:color w:val="auto"/>
              </w:rPr>
              <w:t>1.0</w:t>
            </w:r>
          </w:p>
        </w:tc>
      </w:tr>
      <w:tr w14:paraId="0D368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restart"/>
            <w:tcBorders>
              <w:tl2br w:val="nil"/>
              <w:tr2bl w:val="nil"/>
            </w:tcBorders>
            <w:vAlign w:val="center"/>
          </w:tcPr>
          <w:p w14:paraId="441DA697">
            <w:pPr>
              <w:pStyle w:val="711"/>
              <w:rPr>
                <w:color w:val="auto"/>
              </w:rPr>
            </w:pPr>
            <w:r>
              <w:rPr>
                <w:rFonts w:hint="eastAsia"/>
                <w:color w:val="auto"/>
              </w:rPr>
              <w:t>污泥处理</w:t>
            </w:r>
          </w:p>
        </w:tc>
        <w:tc>
          <w:tcPr>
            <w:tcW w:w="1116" w:type="pct"/>
            <w:tcBorders>
              <w:tl2br w:val="nil"/>
              <w:tr2bl w:val="nil"/>
            </w:tcBorders>
            <w:vAlign w:val="center"/>
          </w:tcPr>
          <w:p w14:paraId="408CD9C7">
            <w:pPr>
              <w:pStyle w:val="711"/>
              <w:rPr>
                <w:color w:val="auto"/>
              </w:rPr>
            </w:pPr>
            <w:r>
              <w:rPr>
                <w:rFonts w:hint="eastAsia"/>
                <w:color w:val="auto"/>
              </w:rPr>
              <w:t>磁混凝沉淀池</w:t>
            </w:r>
          </w:p>
        </w:tc>
        <w:tc>
          <w:tcPr>
            <w:tcW w:w="675" w:type="pct"/>
            <w:tcBorders>
              <w:tl2br w:val="nil"/>
              <w:tr2bl w:val="nil"/>
            </w:tcBorders>
            <w:vAlign w:val="center"/>
          </w:tcPr>
          <w:p w14:paraId="768B88D9">
            <w:pPr>
              <w:pStyle w:val="711"/>
              <w:rPr>
                <w:color w:val="auto"/>
              </w:rPr>
            </w:pPr>
            <w:r>
              <w:rPr>
                <w:rFonts w:hint="eastAsia"/>
                <w:color w:val="auto"/>
              </w:rPr>
              <w:t>13.81</w:t>
            </w:r>
          </w:p>
        </w:tc>
        <w:tc>
          <w:tcPr>
            <w:tcW w:w="448" w:type="pct"/>
            <w:tcBorders>
              <w:tl2br w:val="nil"/>
              <w:tr2bl w:val="nil"/>
            </w:tcBorders>
            <w:vAlign w:val="center"/>
          </w:tcPr>
          <w:p w14:paraId="620DD9B3">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4865A562">
            <w:pPr>
              <w:pStyle w:val="711"/>
              <w:rPr>
                <w:color w:val="auto"/>
              </w:rPr>
            </w:pPr>
            <w:r>
              <w:rPr>
                <w:rFonts w:hint="eastAsia"/>
                <w:color w:val="auto"/>
              </w:rPr>
              <w:t>50</w:t>
            </w:r>
          </w:p>
        </w:tc>
        <w:tc>
          <w:tcPr>
            <w:tcW w:w="442" w:type="pct"/>
            <w:tcBorders>
              <w:tl2br w:val="nil"/>
              <w:tr2bl w:val="nil"/>
            </w:tcBorders>
            <w:vAlign w:val="center"/>
          </w:tcPr>
          <w:p w14:paraId="7E867604">
            <w:pPr>
              <w:pStyle w:val="711"/>
              <w:rPr>
                <w:color w:val="auto"/>
              </w:rPr>
            </w:pPr>
            <w:r>
              <w:rPr>
                <w:rFonts w:hint="eastAsia"/>
                <w:color w:val="auto"/>
              </w:rPr>
              <w:t>4</w:t>
            </w:r>
          </w:p>
        </w:tc>
        <w:tc>
          <w:tcPr>
            <w:tcW w:w="422" w:type="pct"/>
            <w:tcBorders>
              <w:tl2br w:val="nil"/>
              <w:tr2bl w:val="nil"/>
            </w:tcBorders>
            <w:vAlign w:val="center"/>
          </w:tcPr>
          <w:p w14:paraId="076A7A5B">
            <w:pPr>
              <w:pStyle w:val="711"/>
              <w:rPr>
                <w:color w:val="auto"/>
              </w:rPr>
            </w:pPr>
            <w:r>
              <w:rPr>
                <w:rFonts w:hint="eastAsia"/>
                <w:color w:val="auto"/>
              </w:rPr>
              <w:t>0.1</w:t>
            </w:r>
          </w:p>
        </w:tc>
        <w:tc>
          <w:tcPr>
            <w:tcW w:w="422" w:type="pct"/>
            <w:tcBorders>
              <w:tl2br w:val="nil"/>
              <w:tr2bl w:val="nil"/>
            </w:tcBorders>
            <w:vAlign w:val="center"/>
          </w:tcPr>
          <w:p w14:paraId="1AE4B520">
            <w:pPr>
              <w:pStyle w:val="711"/>
              <w:rPr>
                <w:color w:val="auto"/>
              </w:rPr>
            </w:pPr>
            <w:r>
              <w:rPr>
                <w:rFonts w:hint="eastAsia"/>
                <w:color w:val="auto"/>
              </w:rPr>
              <w:t>1.0</w:t>
            </w:r>
          </w:p>
        </w:tc>
        <w:tc>
          <w:tcPr>
            <w:tcW w:w="510" w:type="pct"/>
            <w:tcBorders>
              <w:tl2br w:val="nil"/>
              <w:tr2bl w:val="nil"/>
            </w:tcBorders>
            <w:vAlign w:val="center"/>
          </w:tcPr>
          <w:p w14:paraId="53054BB7">
            <w:pPr>
              <w:pStyle w:val="711"/>
              <w:rPr>
                <w:color w:val="auto"/>
              </w:rPr>
            </w:pPr>
            <w:r>
              <w:rPr>
                <w:rFonts w:hint="eastAsia"/>
                <w:color w:val="auto"/>
              </w:rPr>
              <w:t>1.0</w:t>
            </w:r>
          </w:p>
        </w:tc>
      </w:tr>
      <w:tr w14:paraId="708E7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40" w:type="pct"/>
            <w:vMerge w:val="continue"/>
            <w:tcBorders>
              <w:tl2br w:val="nil"/>
              <w:tr2bl w:val="nil"/>
            </w:tcBorders>
            <w:vAlign w:val="center"/>
          </w:tcPr>
          <w:p w14:paraId="7F4F3056">
            <w:pPr>
              <w:pStyle w:val="711"/>
              <w:rPr>
                <w:color w:val="auto"/>
              </w:rPr>
            </w:pPr>
          </w:p>
        </w:tc>
        <w:tc>
          <w:tcPr>
            <w:tcW w:w="1116" w:type="pct"/>
            <w:tcBorders>
              <w:tl2br w:val="nil"/>
              <w:tr2bl w:val="nil"/>
            </w:tcBorders>
            <w:vAlign w:val="center"/>
          </w:tcPr>
          <w:p w14:paraId="1BFE5B8A">
            <w:pPr>
              <w:pStyle w:val="711"/>
              <w:rPr>
                <w:color w:val="auto"/>
              </w:rPr>
            </w:pPr>
            <w:r>
              <w:rPr>
                <w:rFonts w:hint="eastAsia"/>
                <w:color w:val="auto"/>
              </w:rPr>
              <w:t>污泥池</w:t>
            </w:r>
          </w:p>
        </w:tc>
        <w:tc>
          <w:tcPr>
            <w:tcW w:w="675" w:type="pct"/>
            <w:tcBorders>
              <w:tl2br w:val="nil"/>
              <w:tr2bl w:val="nil"/>
            </w:tcBorders>
            <w:vAlign w:val="center"/>
          </w:tcPr>
          <w:p w14:paraId="080A8033">
            <w:pPr>
              <w:pStyle w:val="711"/>
              <w:rPr>
                <w:color w:val="auto"/>
              </w:rPr>
            </w:pPr>
            <w:r>
              <w:rPr>
                <w:rFonts w:hint="eastAsia"/>
                <w:color w:val="auto"/>
              </w:rPr>
              <w:t>3.46</w:t>
            </w:r>
          </w:p>
        </w:tc>
        <w:tc>
          <w:tcPr>
            <w:tcW w:w="448" w:type="pct"/>
            <w:tcBorders>
              <w:tl2br w:val="nil"/>
              <w:tr2bl w:val="nil"/>
            </w:tcBorders>
            <w:vAlign w:val="center"/>
          </w:tcPr>
          <w:p w14:paraId="15E4C772">
            <w:pPr>
              <w:pStyle w:val="711"/>
              <w:rPr>
                <w:color w:val="auto"/>
              </w:rPr>
            </w:pPr>
            <w:r>
              <w:rPr>
                <w:rFonts w:hint="eastAsia"/>
                <w:color w:val="auto"/>
              </w:rPr>
              <w:t>1</w:t>
            </w:r>
            <w:r>
              <w:rPr>
                <w:color w:val="auto"/>
              </w:rPr>
              <w:t>16.67</w:t>
            </w:r>
          </w:p>
        </w:tc>
        <w:tc>
          <w:tcPr>
            <w:tcW w:w="419" w:type="pct"/>
            <w:tcBorders>
              <w:tl2br w:val="nil"/>
              <w:tr2bl w:val="nil"/>
            </w:tcBorders>
            <w:vAlign w:val="center"/>
          </w:tcPr>
          <w:p w14:paraId="04C42C9F">
            <w:pPr>
              <w:pStyle w:val="711"/>
              <w:rPr>
                <w:color w:val="auto"/>
              </w:rPr>
            </w:pPr>
            <w:r>
              <w:rPr>
                <w:rFonts w:hint="eastAsia"/>
                <w:color w:val="auto"/>
              </w:rPr>
              <w:t>50</w:t>
            </w:r>
          </w:p>
        </w:tc>
        <w:tc>
          <w:tcPr>
            <w:tcW w:w="442" w:type="pct"/>
            <w:tcBorders>
              <w:tl2br w:val="nil"/>
              <w:tr2bl w:val="nil"/>
            </w:tcBorders>
            <w:vAlign w:val="center"/>
          </w:tcPr>
          <w:p w14:paraId="74F078D2">
            <w:pPr>
              <w:pStyle w:val="711"/>
              <w:rPr>
                <w:color w:val="auto"/>
              </w:rPr>
            </w:pPr>
            <w:r>
              <w:rPr>
                <w:rFonts w:hint="eastAsia"/>
                <w:color w:val="auto"/>
              </w:rPr>
              <w:t>4</w:t>
            </w:r>
          </w:p>
        </w:tc>
        <w:tc>
          <w:tcPr>
            <w:tcW w:w="422" w:type="pct"/>
            <w:tcBorders>
              <w:tl2br w:val="nil"/>
              <w:tr2bl w:val="nil"/>
            </w:tcBorders>
            <w:vAlign w:val="center"/>
          </w:tcPr>
          <w:p w14:paraId="4857FECF">
            <w:pPr>
              <w:pStyle w:val="711"/>
              <w:rPr>
                <w:color w:val="auto"/>
              </w:rPr>
            </w:pPr>
            <w:r>
              <w:rPr>
                <w:rFonts w:hint="eastAsia"/>
                <w:color w:val="auto"/>
              </w:rPr>
              <w:t>0.1</w:t>
            </w:r>
          </w:p>
        </w:tc>
        <w:tc>
          <w:tcPr>
            <w:tcW w:w="422" w:type="pct"/>
            <w:tcBorders>
              <w:tl2br w:val="nil"/>
              <w:tr2bl w:val="nil"/>
            </w:tcBorders>
            <w:vAlign w:val="center"/>
          </w:tcPr>
          <w:p w14:paraId="72D7220A">
            <w:pPr>
              <w:pStyle w:val="711"/>
              <w:rPr>
                <w:color w:val="auto"/>
              </w:rPr>
            </w:pPr>
            <w:r>
              <w:rPr>
                <w:rFonts w:hint="eastAsia"/>
                <w:color w:val="auto"/>
              </w:rPr>
              <w:t>1.0</w:t>
            </w:r>
          </w:p>
        </w:tc>
        <w:tc>
          <w:tcPr>
            <w:tcW w:w="510" w:type="pct"/>
            <w:tcBorders>
              <w:tl2br w:val="nil"/>
              <w:tr2bl w:val="nil"/>
            </w:tcBorders>
            <w:vAlign w:val="center"/>
          </w:tcPr>
          <w:p w14:paraId="4241C77A">
            <w:pPr>
              <w:pStyle w:val="711"/>
              <w:rPr>
                <w:color w:val="auto"/>
              </w:rPr>
            </w:pPr>
            <w:r>
              <w:rPr>
                <w:rFonts w:hint="eastAsia"/>
                <w:color w:val="auto"/>
              </w:rPr>
              <w:t>1.0</w:t>
            </w:r>
          </w:p>
        </w:tc>
      </w:tr>
      <w:bookmarkEnd w:id="116"/>
      <w:bookmarkEnd w:id="117"/>
    </w:tbl>
    <w:p w14:paraId="24A7FC6E">
      <w:pPr>
        <w:pStyle w:val="697"/>
        <w:rPr>
          <w:color w:val="auto"/>
          <w:sz w:val="22"/>
          <w:szCs w:val="22"/>
        </w:rPr>
      </w:pPr>
      <w:r>
        <w:rPr>
          <w:color w:val="auto"/>
          <w:sz w:val="22"/>
          <w:szCs w:val="22"/>
        </w:rPr>
        <w:t>备注：本次COD</w:t>
      </w:r>
      <w:r>
        <w:rPr>
          <w:color w:val="auto"/>
          <w:sz w:val="22"/>
          <w:szCs w:val="22"/>
          <w:vertAlign w:val="subscript"/>
        </w:rPr>
        <w:t>Mn</w:t>
      </w:r>
      <w:r>
        <w:rPr>
          <w:color w:val="auto"/>
          <w:sz w:val="22"/>
          <w:szCs w:val="22"/>
        </w:rPr>
        <w:t>与COD</w:t>
      </w:r>
      <w:r>
        <w:rPr>
          <w:color w:val="auto"/>
          <w:sz w:val="22"/>
          <w:szCs w:val="22"/>
          <w:vertAlign w:val="subscript"/>
        </w:rPr>
        <w:t>Cr</w:t>
      </w:r>
      <w:r>
        <w:rPr>
          <w:color w:val="auto"/>
          <w:sz w:val="22"/>
          <w:szCs w:val="22"/>
        </w:rPr>
        <w:t>按照1：3的比例关系进行换算。</w:t>
      </w:r>
    </w:p>
    <w:p w14:paraId="3FBFF17B">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非正常排放污染源分析</w:t>
      </w:r>
    </w:p>
    <w:p w14:paraId="4A57DFB3">
      <w:pPr>
        <w:pageBreakBefore w:val="0"/>
        <w:wordWrap/>
        <w:bidi w:val="0"/>
        <w:adjustRightInd/>
        <w:snapToGrid/>
        <w:ind w:firstLine="480"/>
        <w:rPr>
          <w:color w:val="auto"/>
        </w:rPr>
      </w:pPr>
      <w:r>
        <w:rPr>
          <w:color w:val="auto"/>
        </w:rPr>
        <w:t>本项目可能出现的非正常污染物排放情况是污水处理设备和废气处理设备非正常运行时。</w:t>
      </w:r>
    </w:p>
    <w:p w14:paraId="10476CEF">
      <w:pPr>
        <w:pageBreakBefore w:val="0"/>
        <w:wordWrap/>
        <w:bidi w:val="0"/>
        <w:adjustRightInd/>
        <w:snapToGrid/>
        <w:ind w:firstLine="480"/>
        <w:rPr>
          <w:color w:val="auto"/>
        </w:rPr>
      </w:pPr>
      <w:r>
        <w:rPr>
          <w:color w:val="auto"/>
        </w:rPr>
        <w:t>1、非正常工况废水排放情况</w:t>
      </w:r>
    </w:p>
    <w:p w14:paraId="66BB88F1">
      <w:pPr>
        <w:pageBreakBefore w:val="0"/>
        <w:wordWrap/>
        <w:bidi w:val="0"/>
        <w:adjustRightInd/>
        <w:snapToGrid/>
        <w:ind w:firstLine="480"/>
        <w:rPr>
          <w:color w:val="auto"/>
        </w:rPr>
      </w:pPr>
      <w:r>
        <w:rPr>
          <w:color w:val="auto"/>
        </w:rPr>
        <w:t>本项目可能出现的非正常情况（事故）下的排放废水情况为：废水处理设备非正常运行。项目污水处理厂内的处理工艺、加药系统和流量控制系统均安装在线自动化检测仪器，发生故障时，可及时报警并停止向外排放废水。在事故排水情况下废水排入事故应急处理池（有效容积</w:t>
      </w:r>
      <w:r>
        <w:rPr>
          <w:rFonts w:hint="eastAsia"/>
          <w:color w:val="auto"/>
          <w:lang w:val="en-US" w:eastAsia="zh-CN"/>
        </w:rPr>
        <w:t>3000</w:t>
      </w:r>
      <w:r>
        <w:rPr>
          <w:rFonts w:hint="eastAsia"/>
          <w:color w:val="auto"/>
          <w:lang w:eastAsia="zh-CN"/>
        </w:rPr>
        <w:t>m³</w:t>
      </w:r>
      <w:r>
        <w:rPr>
          <w:color w:val="auto"/>
        </w:rPr>
        <w:t>），经处理达标后</w:t>
      </w:r>
      <w:r>
        <w:rPr>
          <w:rFonts w:hint="eastAsia"/>
          <w:color w:val="auto"/>
          <w:lang w:eastAsia="zh-CN"/>
        </w:rPr>
        <w:t>排入巴河</w:t>
      </w:r>
      <w:r>
        <w:rPr>
          <w:color w:val="auto"/>
        </w:rPr>
        <w:t>，使废水在非正常工况下具有一定的缓冲能力，因此，不会直接排入</w:t>
      </w:r>
      <w:r>
        <w:rPr>
          <w:rFonts w:hint="eastAsia"/>
          <w:color w:val="auto"/>
          <w:lang w:eastAsia="zh-CN"/>
        </w:rPr>
        <w:t>巴河</w:t>
      </w:r>
      <w:r>
        <w:rPr>
          <w:color w:val="auto"/>
        </w:rPr>
        <w:t>。</w:t>
      </w:r>
    </w:p>
    <w:p w14:paraId="7226F6B2">
      <w:pPr>
        <w:pageBreakBefore w:val="0"/>
        <w:wordWrap/>
        <w:bidi w:val="0"/>
        <w:adjustRightInd/>
        <w:snapToGrid/>
        <w:ind w:firstLine="480"/>
        <w:rPr>
          <w:color w:val="auto"/>
        </w:rPr>
      </w:pPr>
      <w:r>
        <w:rPr>
          <w:color w:val="auto"/>
        </w:rPr>
        <w:t>2、非正常工况废气排放情况</w:t>
      </w:r>
    </w:p>
    <w:p w14:paraId="65EBD2CF">
      <w:pPr>
        <w:pageBreakBefore w:val="0"/>
        <w:wordWrap/>
        <w:bidi w:val="0"/>
        <w:adjustRightInd/>
        <w:snapToGrid/>
        <w:ind w:firstLine="480"/>
        <w:rPr>
          <w:color w:val="auto"/>
        </w:rPr>
      </w:pPr>
      <w:r>
        <w:rPr>
          <w:color w:val="auto"/>
        </w:rPr>
        <w:t>废气处理系统和排风机均设有保安电源。当废气处理设备出现故障时，工艺生产过程排放的废气将未经处理直接排入大气，造成非正常排放。</w:t>
      </w:r>
    </w:p>
    <w:p w14:paraId="4F82CBF2">
      <w:pPr>
        <w:pageBreakBefore w:val="0"/>
        <w:wordWrap/>
        <w:bidi w:val="0"/>
        <w:adjustRightInd/>
        <w:snapToGrid/>
        <w:ind w:firstLine="480"/>
        <w:rPr>
          <w:color w:val="auto"/>
        </w:rPr>
      </w:pPr>
      <w:r>
        <w:rPr>
          <w:color w:val="auto"/>
        </w:rPr>
        <w:t>本工程排风系统均设有安全保护电源和报警系统，设备每年检修一次，基本上能保证无故障运行。日常运行中，若出现故障，检修人员可立即</w:t>
      </w:r>
      <w:r>
        <w:rPr>
          <w:rFonts w:hint="eastAsia"/>
          <w:color w:val="auto"/>
          <w:lang w:eastAsia="zh-CN"/>
        </w:rPr>
        <w:t>赶到</w:t>
      </w:r>
      <w:r>
        <w:rPr>
          <w:color w:val="auto"/>
        </w:rPr>
        <w:t>现场进行维修，一般操作在60分钟内基本上可以完成；最长不会超过120分钟。</w:t>
      </w:r>
    </w:p>
    <w:p w14:paraId="584C0407">
      <w:pPr>
        <w:pStyle w:val="4"/>
        <w:pageBreakBefore w:val="0"/>
        <w:wordWrap/>
        <w:bidi w:val="0"/>
        <w:adjustRightInd/>
        <w:snapToGrid/>
        <w:rPr>
          <w:rFonts w:ascii="Times New Roman" w:hAnsi="Times New Roman" w:eastAsia="宋体"/>
          <w:color w:val="auto"/>
        </w:rPr>
      </w:pPr>
      <w:bookmarkStart w:id="118" w:name="_Toc22706"/>
      <w:r>
        <w:rPr>
          <w:rFonts w:hint="eastAsia" w:ascii="Times New Roman" w:hAnsi="Times New Roman" w:eastAsia="宋体"/>
          <w:color w:val="auto"/>
        </w:rPr>
        <w:t xml:space="preserve"> </w:t>
      </w:r>
      <w:bookmarkStart w:id="119" w:name="_Toc9896"/>
      <w:r>
        <w:rPr>
          <w:rFonts w:ascii="Times New Roman" w:hAnsi="Times New Roman" w:eastAsia="宋体"/>
          <w:color w:val="auto"/>
        </w:rPr>
        <w:t>污染源源强核算结果及相关参数</w:t>
      </w:r>
      <w:bookmarkEnd w:id="118"/>
      <w:bookmarkEnd w:id="119"/>
    </w:p>
    <w:p w14:paraId="56584CC5">
      <w:pPr>
        <w:pageBreakBefore w:val="0"/>
        <w:wordWrap/>
        <w:bidi w:val="0"/>
        <w:adjustRightInd/>
        <w:snapToGrid/>
        <w:ind w:firstLine="480"/>
        <w:rPr>
          <w:bCs/>
          <w:color w:val="auto"/>
        </w:rPr>
      </w:pPr>
      <w:r>
        <w:rPr>
          <w:bCs/>
          <w:color w:val="auto"/>
        </w:rPr>
        <w:t>根据《污染源源强核算技术指南 准则》（HJ884-2018）要求，对项目废气、噪声及固废污染源源强核算结果及相关参数进行汇总，详见</w:t>
      </w:r>
      <w:r>
        <w:rPr>
          <w:rFonts w:hint="eastAsia"/>
          <w:bCs/>
          <w:color w:val="auto"/>
          <w:lang w:val="en-US" w:eastAsia="zh-CN"/>
        </w:rPr>
        <w:t>下表</w:t>
      </w:r>
      <w:r>
        <w:rPr>
          <w:bCs/>
          <w:color w:val="auto"/>
        </w:rPr>
        <w:t>。</w:t>
      </w:r>
    </w:p>
    <w:p w14:paraId="6260BCC7">
      <w:pPr>
        <w:pageBreakBefore w:val="0"/>
        <w:wordWrap/>
        <w:bidi w:val="0"/>
        <w:adjustRightInd/>
        <w:snapToGrid/>
        <w:ind w:firstLine="480"/>
        <w:rPr>
          <w:bCs/>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250BCB99">
      <w:pPr>
        <w:pStyle w:val="5"/>
        <w:pageBreakBefore w:val="0"/>
        <w:wordWrap/>
        <w:bidi w:val="0"/>
        <w:adjustRightInd/>
        <w:snapToGrid/>
        <w:spacing w:before="48" w:after="48"/>
        <w:ind w:left="0"/>
        <w:rPr>
          <w:rFonts w:hint="eastAsia" w:eastAsia="宋体"/>
          <w:color w:val="auto"/>
        </w:rPr>
      </w:pPr>
      <w:r>
        <w:rPr>
          <w:rFonts w:hint="eastAsia" w:eastAsia="宋体"/>
          <w:color w:val="auto"/>
          <w:lang w:val="en-US" w:eastAsia="zh-CN"/>
        </w:rPr>
        <w:t xml:space="preserve"> </w:t>
      </w:r>
      <w:r>
        <w:rPr>
          <w:rFonts w:eastAsia="宋体"/>
          <w:color w:val="auto"/>
        </w:rPr>
        <w:t>项目</w:t>
      </w:r>
      <w:r>
        <w:rPr>
          <w:rFonts w:hint="eastAsia" w:eastAsia="宋体"/>
          <w:color w:val="auto"/>
        </w:rPr>
        <w:t>废气</w:t>
      </w:r>
      <w:r>
        <w:rPr>
          <w:rFonts w:eastAsia="宋体"/>
          <w:color w:val="auto"/>
        </w:rPr>
        <w:t>污染源强核算汇总</w:t>
      </w:r>
    </w:p>
    <w:p w14:paraId="0BC0D97E">
      <w:pPr>
        <w:pStyle w:val="15"/>
        <w:numPr>
          <w:ilvl w:val="0"/>
          <w:numId w:val="26"/>
        </w:numPr>
        <w:bidi w:val="0"/>
        <w:ind w:left="0" w:leftChars="0" w:firstLine="0" w:firstLineChars="0"/>
        <w:rPr>
          <w:color w:val="auto"/>
        </w:rPr>
      </w:pPr>
      <w:r>
        <w:rPr>
          <w:color w:val="auto"/>
        </w:rPr>
        <w:t>废气污染源源强核算结果及相关参数一览表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47"/>
        <w:gridCol w:w="678"/>
        <w:gridCol w:w="810"/>
        <w:gridCol w:w="684"/>
        <w:gridCol w:w="863"/>
        <w:gridCol w:w="934"/>
        <w:gridCol w:w="875"/>
        <w:gridCol w:w="1107"/>
        <w:gridCol w:w="832"/>
        <w:gridCol w:w="516"/>
        <w:gridCol w:w="572"/>
        <w:gridCol w:w="782"/>
        <w:gridCol w:w="934"/>
        <w:gridCol w:w="981"/>
        <w:gridCol w:w="1107"/>
        <w:gridCol w:w="715"/>
        <w:gridCol w:w="869"/>
      </w:tblGrid>
      <w:tr w14:paraId="4C4DA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restart"/>
            <w:tcBorders>
              <w:tl2br w:val="nil"/>
              <w:tr2bl w:val="nil"/>
            </w:tcBorders>
            <w:noWrap w:val="0"/>
            <w:vAlign w:val="center"/>
          </w:tcPr>
          <w:p w14:paraId="46553E7F">
            <w:pPr>
              <w:pStyle w:val="12"/>
              <w:bidi w:val="0"/>
              <w:rPr>
                <w:b/>
                <w:bCs/>
                <w:color w:val="auto"/>
              </w:rPr>
            </w:pPr>
            <w:r>
              <w:rPr>
                <w:b/>
                <w:bCs/>
                <w:color w:val="auto"/>
              </w:rPr>
              <w:t>生产线</w:t>
            </w:r>
          </w:p>
        </w:tc>
        <w:tc>
          <w:tcPr>
            <w:tcW w:w="242" w:type="pct"/>
            <w:vMerge w:val="restart"/>
            <w:tcBorders>
              <w:tl2br w:val="nil"/>
              <w:tr2bl w:val="nil"/>
            </w:tcBorders>
            <w:noWrap w:val="0"/>
            <w:vAlign w:val="center"/>
          </w:tcPr>
          <w:p w14:paraId="41A12F7E">
            <w:pPr>
              <w:pStyle w:val="12"/>
              <w:bidi w:val="0"/>
              <w:rPr>
                <w:b/>
                <w:bCs/>
                <w:color w:val="auto"/>
              </w:rPr>
            </w:pPr>
            <w:r>
              <w:rPr>
                <w:b/>
                <w:bCs/>
                <w:color w:val="auto"/>
              </w:rPr>
              <w:t>工序</w:t>
            </w:r>
          </w:p>
        </w:tc>
        <w:tc>
          <w:tcPr>
            <w:tcW w:w="289" w:type="pct"/>
            <w:vMerge w:val="restart"/>
            <w:tcBorders>
              <w:tl2br w:val="nil"/>
              <w:tr2bl w:val="nil"/>
            </w:tcBorders>
            <w:noWrap w:val="0"/>
            <w:vAlign w:val="center"/>
          </w:tcPr>
          <w:p w14:paraId="3A189F00">
            <w:pPr>
              <w:pStyle w:val="12"/>
              <w:bidi w:val="0"/>
              <w:rPr>
                <w:b/>
                <w:bCs/>
                <w:color w:val="auto"/>
              </w:rPr>
            </w:pPr>
            <w:r>
              <w:rPr>
                <w:b/>
                <w:bCs/>
                <w:color w:val="auto"/>
              </w:rPr>
              <w:t>污染源</w:t>
            </w:r>
          </w:p>
        </w:tc>
        <w:tc>
          <w:tcPr>
            <w:tcW w:w="244" w:type="pct"/>
            <w:vMerge w:val="restart"/>
            <w:tcBorders>
              <w:tl2br w:val="nil"/>
              <w:tr2bl w:val="nil"/>
            </w:tcBorders>
            <w:noWrap w:val="0"/>
            <w:vAlign w:val="center"/>
          </w:tcPr>
          <w:p w14:paraId="58784ECE">
            <w:pPr>
              <w:pStyle w:val="12"/>
              <w:bidi w:val="0"/>
              <w:rPr>
                <w:b/>
                <w:bCs/>
                <w:color w:val="auto"/>
              </w:rPr>
            </w:pPr>
            <w:r>
              <w:rPr>
                <w:b/>
                <w:bCs/>
                <w:color w:val="auto"/>
              </w:rPr>
              <w:t>污染物</w:t>
            </w:r>
          </w:p>
        </w:tc>
        <w:tc>
          <w:tcPr>
            <w:tcW w:w="1348" w:type="pct"/>
            <w:gridSpan w:val="4"/>
            <w:tcBorders>
              <w:tl2br w:val="nil"/>
              <w:tr2bl w:val="nil"/>
            </w:tcBorders>
            <w:noWrap w:val="0"/>
            <w:vAlign w:val="center"/>
          </w:tcPr>
          <w:p w14:paraId="6F3EFC6D">
            <w:pPr>
              <w:pStyle w:val="12"/>
              <w:bidi w:val="0"/>
              <w:rPr>
                <w:b/>
                <w:bCs/>
                <w:color w:val="auto"/>
              </w:rPr>
            </w:pPr>
            <w:r>
              <w:rPr>
                <w:b/>
                <w:bCs/>
                <w:color w:val="auto"/>
              </w:rPr>
              <w:t>污染物产生</w:t>
            </w:r>
          </w:p>
        </w:tc>
        <w:tc>
          <w:tcPr>
            <w:tcW w:w="685" w:type="pct"/>
            <w:gridSpan w:val="3"/>
            <w:tcBorders>
              <w:tl2br w:val="nil"/>
              <w:tr2bl w:val="nil"/>
            </w:tcBorders>
            <w:noWrap w:val="0"/>
            <w:vAlign w:val="center"/>
          </w:tcPr>
          <w:p w14:paraId="351BFB75">
            <w:pPr>
              <w:pStyle w:val="12"/>
              <w:bidi w:val="0"/>
              <w:rPr>
                <w:b/>
                <w:bCs/>
                <w:color w:val="auto"/>
              </w:rPr>
            </w:pPr>
            <w:r>
              <w:rPr>
                <w:b/>
                <w:bCs/>
                <w:color w:val="auto"/>
              </w:rPr>
              <w:t>治理措施</w:t>
            </w:r>
          </w:p>
        </w:tc>
        <w:tc>
          <w:tcPr>
            <w:tcW w:w="1357" w:type="pct"/>
            <w:gridSpan w:val="4"/>
            <w:tcBorders>
              <w:tl2br w:val="nil"/>
              <w:tr2bl w:val="nil"/>
            </w:tcBorders>
            <w:noWrap w:val="0"/>
            <w:vAlign w:val="center"/>
          </w:tcPr>
          <w:p w14:paraId="010709D1">
            <w:pPr>
              <w:pStyle w:val="12"/>
              <w:bidi w:val="0"/>
              <w:rPr>
                <w:b/>
                <w:bCs/>
                <w:color w:val="auto"/>
              </w:rPr>
            </w:pPr>
            <w:r>
              <w:rPr>
                <w:b/>
                <w:bCs/>
                <w:color w:val="auto"/>
              </w:rPr>
              <w:t>污染物排放</w:t>
            </w:r>
          </w:p>
        </w:tc>
        <w:tc>
          <w:tcPr>
            <w:tcW w:w="255" w:type="pct"/>
            <w:vMerge w:val="restart"/>
            <w:tcBorders>
              <w:tl2br w:val="nil"/>
              <w:tr2bl w:val="nil"/>
            </w:tcBorders>
            <w:noWrap w:val="0"/>
            <w:vAlign w:val="center"/>
          </w:tcPr>
          <w:p w14:paraId="07957336">
            <w:pPr>
              <w:pStyle w:val="12"/>
              <w:bidi w:val="0"/>
              <w:rPr>
                <w:b/>
                <w:bCs/>
                <w:color w:val="auto"/>
              </w:rPr>
            </w:pPr>
            <w:r>
              <w:rPr>
                <w:b/>
                <w:bCs/>
                <w:color w:val="auto"/>
              </w:rPr>
              <w:t>排放时间h/a</w:t>
            </w:r>
          </w:p>
        </w:tc>
        <w:tc>
          <w:tcPr>
            <w:tcW w:w="310" w:type="pct"/>
            <w:vMerge w:val="restart"/>
            <w:tcBorders>
              <w:tl2br w:val="nil"/>
              <w:tr2bl w:val="nil"/>
            </w:tcBorders>
            <w:noWrap w:val="0"/>
            <w:vAlign w:val="center"/>
          </w:tcPr>
          <w:p w14:paraId="6F629750">
            <w:pPr>
              <w:pStyle w:val="12"/>
              <w:bidi w:val="0"/>
              <w:rPr>
                <w:b/>
                <w:bCs/>
                <w:color w:val="auto"/>
              </w:rPr>
            </w:pPr>
            <w:r>
              <w:rPr>
                <w:b/>
                <w:bCs/>
                <w:color w:val="auto"/>
              </w:rPr>
              <w:t>污染物年排放量/（t/a）</w:t>
            </w:r>
          </w:p>
        </w:tc>
      </w:tr>
      <w:tr w14:paraId="1FE58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continue"/>
            <w:tcBorders>
              <w:tl2br w:val="nil"/>
              <w:tr2bl w:val="nil"/>
            </w:tcBorders>
            <w:noWrap w:val="0"/>
            <w:vAlign w:val="center"/>
          </w:tcPr>
          <w:p w14:paraId="57AAE61F">
            <w:pPr>
              <w:pStyle w:val="12"/>
              <w:bidi w:val="0"/>
              <w:rPr>
                <w:color w:val="auto"/>
              </w:rPr>
            </w:pPr>
          </w:p>
        </w:tc>
        <w:tc>
          <w:tcPr>
            <w:tcW w:w="242" w:type="pct"/>
            <w:vMerge w:val="continue"/>
            <w:tcBorders>
              <w:tl2br w:val="nil"/>
              <w:tr2bl w:val="nil"/>
            </w:tcBorders>
            <w:noWrap w:val="0"/>
            <w:vAlign w:val="center"/>
          </w:tcPr>
          <w:p w14:paraId="250C4D9D">
            <w:pPr>
              <w:pStyle w:val="12"/>
              <w:bidi w:val="0"/>
              <w:rPr>
                <w:color w:val="auto"/>
              </w:rPr>
            </w:pPr>
          </w:p>
        </w:tc>
        <w:tc>
          <w:tcPr>
            <w:tcW w:w="289" w:type="pct"/>
            <w:vMerge w:val="continue"/>
            <w:tcBorders>
              <w:tl2br w:val="nil"/>
              <w:tr2bl w:val="nil"/>
            </w:tcBorders>
            <w:noWrap w:val="0"/>
            <w:vAlign w:val="center"/>
          </w:tcPr>
          <w:p w14:paraId="5CC40CBE">
            <w:pPr>
              <w:pStyle w:val="12"/>
              <w:bidi w:val="0"/>
              <w:rPr>
                <w:color w:val="auto"/>
              </w:rPr>
            </w:pPr>
          </w:p>
        </w:tc>
        <w:tc>
          <w:tcPr>
            <w:tcW w:w="244" w:type="pct"/>
            <w:vMerge w:val="continue"/>
            <w:tcBorders>
              <w:tl2br w:val="nil"/>
              <w:tr2bl w:val="nil"/>
            </w:tcBorders>
            <w:noWrap w:val="0"/>
            <w:vAlign w:val="center"/>
          </w:tcPr>
          <w:p w14:paraId="6DD64183">
            <w:pPr>
              <w:pStyle w:val="12"/>
              <w:bidi w:val="0"/>
              <w:rPr>
                <w:color w:val="auto"/>
              </w:rPr>
            </w:pPr>
          </w:p>
        </w:tc>
        <w:tc>
          <w:tcPr>
            <w:tcW w:w="308" w:type="pct"/>
            <w:tcBorders>
              <w:tl2br w:val="nil"/>
              <w:tr2bl w:val="nil"/>
            </w:tcBorders>
            <w:noWrap w:val="0"/>
            <w:vAlign w:val="center"/>
          </w:tcPr>
          <w:p w14:paraId="1355B0AA">
            <w:pPr>
              <w:pStyle w:val="12"/>
              <w:bidi w:val="0"/>
              <w:rPr>
                <w:b/>
                <w:bCs/>
                <w:color w:val="auto"/>
              </w:rPr>
            </w:pPr>
            <w:r>
              <w:rPr>
                <w:b/>
                <w:bCs/>
                <w:color w:val="auto"/>
              </w:rPr>
              <w:t>核算方法</w:t>
            </w:r>
          </w:p>
        </w:tc>
        <w:tc>
          <w:tcPr>
            <w:tcW w:w="333" w:type="pct"/>
            <w:tcBorders>
              <w:tl2br w:val="nil"/>
              <w:tr2bl w:val="nil"/>
            </w:tcBorders>
            <w:noWrap w:val="0"/>
            <w:vAlign w:val="center"/>
          </w:tcPr>
          <w:p w14:paraId="4FD1624C">
            <w:pPr>
              <w:pStyle w:val="12"/>
              <w:bidi w:val="0"/>
              <w:rPr>
                <w:b/>
                <w:bCs/>
                <w:color w:val="auto"/>
              </w:rPr>
            </w:pPr>
            <w:r>
              <w:rPr>
                <w:b/>
                <w:bCs/>
                <w:color w:val="auto"/>
              </w:rPr>
              <w:t>废气产生量/（</w:t>
            </w:r>
            <w:r>
              <w:rPr>
                <w:rFonts w:hint="eastAsia"/>
                <w:b/>
                <w:bCs/>
                <w:color w:val="auto"/>
                <w:lang w:eastAsia="zh-CN"/>
              </w:rPr>
              <w:t>m³</w:t>
            </w:r>
            <w:r>
              <w:rPr>
                <w:b/>
                <w:bCs/>
                <w:color w:val="auto"/>
              </w:rPr>
              <w:t>/h）</w:t>
            </w:r>
          </w:p>
        </w:tc>
        <w:tc>
          <w:tcPr>
            <w:tcW w:w="312" w:type="pct"/>
            <w:tcBorders>
              <w:tl2br w:val="nil"/>
              <w:tr2bl w:val="nil"/>
            </w:tcBorders>
            <w:noWrap w:val="0"/>
            <w:vAlign w:val="center"/>
          </w:tcPr>
          <w:p w14:paraId="73CA1CC0">
            <w:pPr>
              <w:pStyle w:val="12"/>
              <w:bidi w:val="0"/>
              <w:rPr>
                <w:b/>
                <w:bCs/>
                <w:color w:val="auto"/>
              </w:rPr>
            </w:pPr>
            <w:r>
              <w:rPr>
                <w:b/>
                <w:bCs/>
                <w:color w:val="auto"/>
              </w:rPr>
              <w:t>产生速率/（kg/h）</w:t>
            </w:r>
          </w:p>
        </w:tc>
        <w:tc>
          <w:tcPr>
            <w:tcW w:w="394" w:type="pct"/>
            <w:tcBorders>
              <w:tl2br w:val="nil"/>
              <w:tr2bl w:val="nil"/>
            </w:tcBorders>
            <w:noWrap w:val="0"/>
            <w:vAlign w:val="center"/>
          </w:tcPr>
          <w:p w14:paraId="2194D5C4">
            <w:pPr>
              <w:pStyle w:val="12"/>
              <w:bidi w:val="0"/>
              <w:rPr>
                <w:b/>
                <w:bCs/>
                <w:color w:val="auto"/>
              </w:rPr>
            </w:pPr>
            <w:r>
              <w:rPr>
                <w:b/>
                <w:bCs/>
                <w:color w:val="auto"/>
              </w:rPr>
              <w:t>产生浓度/（mg/</w:t>
            </w:r>
            <w:r>
              <w:rPr>
                <w:rFonts w:hint="eastAsia"/>
                <w:b/>
                <w:bCs/>
                <w:color w:val="auto"/>
                <w:lang w:eastAsia="zh-CN"/>
              </w:rPr>
              <w:t>m³</w:t>
            </w:r>
            <w:r>
              <w:rPr>
                <w:b/>
                <w:bCs/>
                <w:color w:val="auto"/>
              </w:rPr>
              <w:t>）</w:t>
            </w:r>
          </w:p>
        </w:tc>
        <w:tc>
          <w:tcPr>
            <w:tcW w:w="297" w:type="pct"/>
            <w:tcBorders>
              <w:tl2br w:val="nil"/>
              <w:tr2bl w:val="nil"/>
            </w:tcBorders>
            <w:noWrap w:val="0"/>
            <w:vAlign w:val="center"/>
          </w:tcPr>
          <w:p w14:paraId="063D0ED4">
            <w:pPr>
              <w:pStyle w:val="12"/>
              <w:bidi w:val="0"/>
              <w:rPr>
                <w:b/>
                <w:bCs/>
                <w:color w:val="auto"/>
              </w:rPr>
            </w:pPr>
            <w:r>
              <w:rPr>
                <w:b/>
                <w:bCs/>
                <w:color w:val="auto"/>
              </w:rPr>
              <w:t>工艺</w:t>
            </w:r>
          </w:p>
        </w:tc>
        <w:tc>
          <w:tcPr>
            <w:tcW w:w="184" w:type="pct"/>
            <w:tcBorders>
              <w:tl2br w:val="nil"/>
              <w:tr2bl w:val="nil"/>
            </w:tcBorders>
            <w:noWrap w:val="0"/>
            <w:vAlign w:val="center"/>
          </w:tcPr>
          <w:p w14:paraId="7B162B4F">
            <w:pPr>
              <w:pStyle w:val="12"/>
              <w:bidi w:val="0"/>
              <w:rPr>
                <w:b/>
                <w:bCs/>
                <w:color w:val="auto"/>
              </w:rPr>
            </w:pPr>
            <w:r>
              <w:rPr>
                <w:b/>
                <w:bCs/>
                <w:color w:val="auto"/>
              </w:rPr>
              <w:t>收集效率/%</w:t>
            </w:r>
          </w:p>
        </w:tc>
        <w:tc>
          <w:tcPr>
            <w:tcW w:w="204" w:type="pct"/>
            <w:tcBorders>
              <w:tl2br w:val="nil"/>
              <w:tr2bl w:val="nil"/>
            </w:tcBorders>
            <w:noWrap w:val="0"/>
            <w:vAlign w:val="center"/>
          </w:tcPr>
          <w:p w14:paraId="45AFC391">
            <w:pPr>
              <w:pStyle w:val="12"/>
              <w:bidi w:val="0"/>
              <w:rPr>
                <w:b/>
                <w:bCs/>
                <w:color w:val="auto"/>
              </w:rPr>
            </w:pPr>
            <w:r>
              <w:rPr>
                <w:b/>
                <w:bCs/>
                <w:color w:val="auto"/>
              </w:rPr>
              <w:t>处理效率/%</w:t>
            </w:r>
          </w:p>
        </w:tc>
        <w:tc>
          <w:tcPr>
            <w:tcW w:w="279" w:type="pct"/>
            <w:tcBorders>
              <w:tl2br w:val="nil"/>
              <w:tr2bl w:val="nil"/>
            </w:tcBorders>
            <w:noWrap w:val="0"/>
            <w:vAlign w:val="center"/>
          </w:tcPr>
          <w:p w14:paraId="250CA282">
            <w:pPr>
              <w:pStyle w:val="12"/>
              <w:bidi w:val="0"/>
              <w:rPr>
                <w:b/>
                <w:bCs/>
                <w:color w:val="auto"/>
              </w:rPr>
            </w:pPr>
            <w:r>
              <w:rPr>
                <w:b/>
                <w:bCs/>
                <w:color w:val="auto"/>
              </w:rPr>
              <w:t>核算方法</w:t>
            </w:r>
          </w:p>
        </w:tc>
        <w:tc>
          <w:tcPr>
            <w:tcW w:w="333" w:type="pct"/>
            <w:tcBorders>
              <w:tl2br w:val="nil"/>
              <w:tr2bl w:val="nil"/>
            </w:tcBorders>
            <w:noWrap w:val="0"/>
            <w:vAlign w:val="center"/>
          </w:tcPr>
          <w:p w14:paraId="764841EA">
            <w:pPr>
              <w:pStyle w:val="12"/>
              <w:bidi w:val="0"/>
              <w:rPr>
                <w:b/>
                <w:bCs/>
                <w:color w:val="auto"/>
              </w:rPr>
            </w:pPr>
            <w:r>
              <w:rPr>
                <w:b/>
                <w:bCs/>
                <w:color w:val="auto"/>
              </w:rPr>
              <w:t>废气排放量/（</w:t>
            </w:r>
            <w:r>
              <w:rPr>
                <w:rFonts w:hint="eastAsia"/>
                <w:b/>
                <w:bCs/>
                <w:color w:val="auto"/>
                <w:lang w:eastAsia="zh-CN"/>
              </w:rPr>
              <w:t>m³</w:t>
            </w:r>
            <w:r>
              <w:rPr>
                <w:b/>
                <w:bCs/>
                <w:color w:val="auto"/>
              </w:rPr>
              <w:t>/h）</w:t>
            </w:r>
          </w:p>
        </w:tc>
        <w:tc>
          <w:tcPr>
            <w:tcW w:w="350" w:type="pct"/>
            <w:tcBorders>
              <w:tl2br w:val="nil"/>
              <w:tr2bl w:val="nil"/>
            </w:tcBorders>
            <w:noWrap w:val="0"/>
            <w:vAlign w:val="center"/>
          </w:tcPr>
          <w:p w14:paraId="274FD7A0">
            <w:pPr>
              <w:pStyle w:val="12"/>
              <w:bidi w:val="0"/>
              <w:rPr>
                <w:b/>
                <w:bCs/>
                <w:color w:val="auto"/>
              </w:rPr>
            </w:pPr>
            <w:r>
              <w:rPr>
                <w:b/>
                <w:bCs/>
                <w:color w:val="auto"/>
              </w:rPr>
              <w:t>排放速率/（kg/h）</w:t>
            </w:r>
          </w:p>
        </w:tc>
        <w:tc>
          <w:tcPr>
            <w:tcW w:w="394" w:type="pct"/>
            <w:tcBorders>
              <w:tl2br w:val="nil"/>
              <w:tr2bl w:val="nil"/>
            </w:tcBorders>
            <w:noWrap w:val="0"/>
            <w:vAlign w:val="center"/>
          </w:tcPr>
          <w:p w14:paraId="5F947F91">
            <w:pPr>
              <w:pStyle w:val="12"/>
              <w:bidi w:val="0"/>
              <w:rPr>
                <w:b/>
                <w:bCs/>
                <w:color w:val="auto"/>
              </w:rPr>
            </w:pPr>
            <w:r>
              <w:rPr>
                <w:b/>
                <w:bCs/>
                <w:color w:val="auto"/>
              </w:rPr>
              <w:t>排放浓度/（mg/</w:t>
            </w:r>
            <w:r>
              <w:rPr>
                <w:rFonts w:hint="eastAsia"/>
                <w:b/>
                <w:bCs/>
                <w:color w:val="auto"/>
                <w:lang w:eastAsia="zh-CN"/>
              </w:rPr>
              <w:t>m³</w:t>
            </w:r>
            <w:r>
              <w:rPr>
                <w:b/>
                <w:bCs/>
                <w:color w:val="auto"/>
              </w:rPr>
              <w:t>）</w:t>
            </w:r>
          </w:p>
        </w:tc>
        <w:tc>
          <w:tcPr>
            <w:tcW w:w="255" w:type="pct"/>
            <w:vMerge w:val="continue"/>
            <w:tcBorders>
              <w:tl2br w:val="nil"/>
              <w:tr2bl w:val="nil"/>
            </w:tcBorders>
            <w:noWrap w:val="0"/>
            <w:vAlign w:val="center"/>
          </w:tcPr>
          <w:p w14:paraId="16071427">
            <w:pPr>
              <w:pStyle w:val="12"/>
              <w:bidi w:val="0"/>
              <w:rPr>
                <w:color w:val="auto"/>
              </w:rPr>
            </w:pPr>
          </w:p>
        </w:tc>
        <w:tc>
          <w:tcPr>
            <w:tcW w:w="310" w:type="pct"/>
            <w:vMerge w:val="continue"/>
            <w:tcBorders>
              <w:tl2br w:val="nil"/>
              <w:tr2bl w:val="nil"/>
            </w:tcBorders>
            <w:noWrap w:val="0"/>
            <w:vAlign w:val="center"/>
          </w:tcPr>
          <w:p w14:paraId="5C27D547">
            <w:pPr>
              <w:pStyle w:val="12"/>
              <w:bidi w:val="0"/>
              <w:rPr>
                <w:color w:val="auto"/>
              </w:rPr>
            </w:pPr>
          </w:p>
        </w:tc>
      </w:tr>
      <w:tr w14:paraId="7F7A2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restart"/>
            <w:tcBorders>
              <w:tl2br w:val="nil"/>
              <w:tr2bl w:val="nil"/>
            </w:tcBorders>
            <w:noWrap w:val="0"/>
            <w:vAlign w:val="center"/>
          </w:tcPr>
          <w:p w14:paraId="31B2E4B7">
            <w:pPr>
              <w:pStyle w:val="12"/>
              <w:bidi w:val="0"/>
              <w:rPr>
                <w:rFonts w:hint="default"/>
                <w:color w:val="auto"/>
                <w:lang w:val="en-US" w:eastAsia="zh-CN"/>
              </w:rPr>
            </w:pPr>
            <w:r>
              <w:rPr>
                <w:rFonts w:hint="eastAsia"/>
                <w:color w:val="auto"/>
                <w:lang w:val="en-US" w:eastAsia="zh-CN"/>
              </w:rPr>
              <w:t>预处理、生化处理、污泥处理</w:t>
            </w:r>
          </w:p>
        </w:tc>
        <w:tc>
          <w:tcPr>
            <w:tcW w:w="242" w:type="pct"/>
            <w:vMerge w:val="restart"/>
            <w:tcBorders>
              <w:tl2br w:val="nil"/>
              <w:tr2bl w:val="nil"/>
            </w:tcBorders>
            <w:noWrap w:val="0"/>
            <w:vAlign w:val="center"/>
          </w:tcPr>
          <w:p w14:paraId="31C9E1FC">
            <w:pPr>
              <w:pStyle w:val="12"/>
              <w:bidi w:val="0"/>
              <w:rPr>
                <w:color w:val="auto"/>
              </w:rPr>
            </w:pPr>
            <w:r>
              <w:rPr>
                <w:color w:val="auto"/>
              </w:rPr>
              <w:t>水质调</w:t>
            </w:r>
            <w:r>
              <w:rPr>
                <w:rFonts w:hint="eastAsia"/>
                <w:color w:val="auto"/>
              </w:rPr>
              <w:t>节</w:t>
            </w:r>
          </w:p>
        </w:tc>
        <w:tc>
          <w:tcPr>
            <w:tcW w:w="289" w:type="pct"/>
            <w:vMerge w:val="restart"/>
            <w:tcBorders>
              <w:tl2br w:val="nil"/>
              <w:tr2bl w:val="nil"/>
            </w:tcBorders>
            <w:noWrap w:val="0"/>
            <w:vAlign w:val="center"/>
          </w:tcPr>
          <w:p w14:paraId="0A300EFE">
            <w:pPr>
              <w:pStyle w:val="12"/>
              <w:bidi w:val="0"/>
              <w:rPr>
                <w:rFonts w:hint="default"/>
                <w:color w:val="auto"/>
                <w:lang w:val="en-US" w:eastAsia="zh-CN"/>
              </w:rPr>
            </w:pPr>
            <w:r>
              <w:rPr>
                <w:rFonts w:hint="eastAsia"/>
                <w:color w:val="auto"/>
                <w:lang w:val="en-US" w:eastAsia="zh-CN"/>
              </w:rPr>
              <w:t>格栅、调节池、生化池、水解酸化池等等</w:t>
            </w:r>
          </w:p>
        </w:tc>
        <w:tc>
          <w:tcPr>
            <w:tcW w:w="244" w:type="pct"/>
            <w:tcBorders>
              <w:tl2br w:val="nil"/>
              <w:tr2bl w:val="nil"/>
            </w:tcBorders>
            <w:noWrap w:val="0"/>
            <w:vAlign w:val="center"/>
          </w:tcPr>
          <w:p w14:paraId="22FD6D6D">
            <w:pPr>
              <w:pStyle w:val="12"/>
              <w:bidi w:val="0"/>
              <w:rPr>
                <w:color w:val="auto"/>
              </w:rPr>
            </w:pPr>
            <w:r>
              <w:rPr>
                <w:color w:val="auto"/>
              </w:rPr>
              <w:t>NH</w:t>
            </w:r>
            <w:r>
              <w:rPr>
                <w:color w:val="auto"/>
                <w:vertAlign w:val="subscript"/>
              </w:rPr>
              <w:t>3</w:t>
            </w:r>
          </w:p>
        </w:tc>
        <w:tc>
          <w:tcPr>
            <w:tcW w:w="308" w:type="pct"/>
            <w:tcBorders>
              <w:tl2br w:val="nil"/>
              <w:tr2bl w:val="nil"/>
            </w:tcBorders>
            <w:noWrap w:val="0"/>
            <w:vAlign w:val="center"/>
          </w:tcPr>
          <w:p w14:paraId="5C3B5C80">
            <w:pPr>
              <w:pStyle w:val="12"/>
              <w:bidi w:val="0"/>
              <w:rPr>
                <w:color w:val="auto"/>
              </w:rPr>
            </w:pPr>
            <w:r>
              <w:rPr>
                <w:color w:val="auto"/>
              </w:rPr>
              <w:t>产污系数法</w:t>
            </w:r>
          </w:p>
        </w:tc>
        <w:tc>
          <w:tcPr>
            <w:tcW w:w="333" w:type="pct"/>
            <w:vMerge w:val="restart"/>
            <w:tcBorders>
              <w:tl2br w:val="nil"/>
              <w:tr2bl w:val="nil"/>
            </w:tcBorders>
            <w:noWrap w:val="0"/>
            <w:vAlign w:val="center"/>
          </w:tcPr>
          <w:p w14:paraId="2DD0AAE9">
            <w:pPr>
              <w:pStyle w:val="12"/>
              <w:bidi w:val="0"/>
              <w:rPr>
                <w:rFonts w:hint="default" w:eastAsia="宋体"/>
                <w:color w:val="auto"/>
                <w:lang w:val="en-US" w:eastAsia="zh-CN"/>
              </w:rPr>
            </w:pPr>
            <w:r>
              <w:rPr>
                <w:rFonts w:hint="eastAsia"/>
                <w:color w:val="auto"/>
                <w:lang w:val="en-US" w:eastAsia="zh-CN"/>
              </w:rPr>
              <w:t>20000</w:t>
            </w:r>
          </w:p>
        </w:tc>
        <w:tc>
          <w:tcPr>
            <w:tcW w:w="312" w:type="pct"/>
            <w:tcBorders>
              <w:tl2br w:val="nil"/>
              <w:tr2bl w:val="nil"/>
            </w:tcBorders>
            <w:noWrap w:val="0"/>
            <w:vAlign w:val="center"/>
          </w:tcPr>
          <w:p w14:paraId="4FF2F048">
            <w:pPr>
              <w:pStyle w:val="12"/>
              <w:bidi w:val="0"/>
              <w:rPr>
                <w:rFonts w:hint="default" w:eastAsia="宋体"/>
                <w:color w:val="auto"/>
                <w:lang w:val="en-US" w:eastAsia="zh-CN"/>
              </w:rPr>
            </w:pPr>
            <w:r>
              <w:rPr>
                <w:rFonts w:hint="eastAsia"/>
                <w:color w:val="auto"/>
                <w:lang w:val="en-US" w:eastAsia="zh-CN"/>
              </w:rPr>
              <w:t>0.901</w:t>
            </w:r>
          </w:p>
        </w:tc>
        <w:tc>
          <w:tcPr>
            <w:tcW w:w="394" w:type="pct"/>
            <w:tcBorders>
              <w:tl2br w:val="nil"/>
              <w:tr2bl w:val="nil"/>
            </w:tcBorders>
            <w:noWrap w:val="0"/>
            <w:vAlign w:val="center"/>
          </w:tcPr>
          <w:p w14:paraId="7E8E39D2">
            <w:pPr>
              <w:pStyle w:val="12"/>
              <w:bidi w:val="0"/>
              <w:rPr>
                <w:rFonts w:hint="default" w:eastAsia="宋体"/>
                <w:color w:val="auto"/>
                <w:lang w:val="en-US" w:eastAsia="zh-CN"/>
              </w:rPr>
            </w:pPr>
            <w:r>
              <w:rPr>
                <w:rFonts w:hint="eastAsia"/>
                <w:color w:val="auto"/>
                <w:lang w:val="en-US" w:eastAsia="zh-CN"/>
              </w:rPr>
              <w:t>45.05</w:t>
            </w:r>
          </w:p>
        </w:tc>
        <w:tc>
          <w:tcPr>
            <w:tcW w:w="297" w:type="pct"/>
            <w:vMerge w:val="restart"/>
            <w:tcBorders>
              <w:tl2br w:val="nil"/>
              <w:tr2bl w:val="nil"/>
            </w:tcBorders>
            <w:noWrap w:val="0"/>
            <w:vAlign w:val="center"/>
          </w:tcPr>
          <w:p w14:paraId="09B3AF4F">
            <w:pPr>
              <w:pStyle w:val="12"/>
              <w:bidi w:val="0"/>
              <w:rPr>
                <w:color w:val="auto"/>
              </w:rPr>
            </w:pPr>
            <w:r>
              <w:rPr>
                <w:color w:val="auto"/>
              </w:rPr>
              <w:t>生物除臭装置</w:t>
            </w:r>
          </w:p>
        </w:tc>
        <w:tc>
          <w:tcPr>
            <w:tcW w:w="184" w:type="pct"/>
            <w:vMerge w:val="restart"/>
            <w:tcBorders>
              <w:tl2br w:val="nil"/>
              <w:tr2bl w:val="nil"/>
            </w:tcBorders>
            <w:noWrap w:val="0"/>
            <w:vAlign w:val="center"/>
          </w:tcPr>
          <w:p w14:paraId="013654BE">
            <w:pPr>
              <w:pStyle w:val="12"/>
              <w:bidi w:val="0"/>
              <w:rPr>
                <w:rFonts w:hint="eastAsia"/>
                <w:color w:val="auto"/>
              </w:rPr>
            </w:pPr>
            <w:r>
              <w:rPr>
                <w:color w:val="auto"/>
              </w:rPr>
              <w:t>9</w:t>
            </w:r>
            <w:r>
              <w:rPr>
                <w:rFonts w:hint="eastAsia"/>
                <w:color w:val="auto"/>
              </w:rPr>
              <w:t>5</w:t>
            </w:r>
          </w:p>
        </w:tc>
        <w:tc>
          <w:tcPr>
            <w:tcW w:w="204" w:type="pct"/>
            <w:vMerge w:val="restart"/>
            <w:tcBorders>
              <w:tl2br w:val="nil"/>
              <w:tr2bl w:val="nil"/>
            </w:tcBorders>
            <w:noWrap w:val="0"/>
            <w:vAlign w:val="center"/>
          </w:tcPr>
          <w:p w14:paraId="4BBD2962">
            <w:pPr>
              <w:pStyle w:val="12"/>
              <w:bidi w:val="0"/>
              <w:rPr>
                <w:color w:val="auto"/>
              </w:rPr>
            </w:pPr>
            <w:r>
              <w:rPr>
                <w:color w:val="auto"/>
              </w:rPr>
              <w:t>95</w:t>
            </w:r>
          </w:p>
        </w:tc>
        <w:tc>
          <w:tcPr>
            <w:tcW w:w="279" w:type="pct"/>
            <w:tcBorders>
              <w:tl2br w:val="nil"/>
              <w:tr2bl w:val="nil"/>
            </w:tcBorders>
            <w:noWrap w:val="0"/>
            <w:vAlign w:val="center"/>
          </w:tcPr>
          <w:p w14:paraId="60FF1126">
            <w:pPr>
              <w:pStyle w:val="12"/>
              <w:bidi w:val="0"/>
              <w:rPr>
                <w:color w:val="auto"/>
              </w:rPr>
            </w:pPr>
            <w:r>
              <w:rPr>
                <w:color w:val="auto"/>
              </w:rPr>
              <w:t>产污系数法</w:t>
            </w:r>
          </w:p>
        </w:tc>
        <w:tc>
          <w:tcPr>
            <w:tcW w:w="333" w:type="pct"/>
            <w:vMerge w:val="restart"/>
            <w:tcBorders>
              <w:tl2br w:val="nil"/>
              <w:tr2bl w:val="nil"/>
            </w:tcBorders>
            <w:noWrap w:val="0"/>
            <w:vAlign w:val="center"/>
          </w:tcPr>
          <w:p w14:paraId="4E518F8C">
            <w:pPr>
              <w:pStyle w:val="12"/>
              <w:bidi w:val="0"/>
              <w:rPr>
                <w:rFonts w:hint="default" w:eastAsia="宋体"/>
                <w:color w:val="auto"/>
                <w:lang w:val="en-US" w:eastAsia="zh-CN"/>
              </w:rPr>
            </w:pPr>
            <w:r>
              <w:rPr>
                <w:rFonts w:hint="eastAsia"/>
                <w:color w:val="auto"/>
                <w:lang w:val="en-US" w:eastAsia="zh-CN"/>
              </w:rPr>
              <w:t>20000</w:t>
            </w:r>
          </w:p>
        </w:tc>
        <w:tc>
          <w:tcPr>
            <w:tcW w:w="350" w:type="pct"/>
            <w:tcBorders>
              <w:tl2br w:val="nil"/>
              <w:tr2bl w:val="nil"/>
            </w:tcBorders>
            <w:noWrap w:val="0"/>
            <w:vAlign w:val="center"/>
          </w:tcPr>
          <w:p w14:paraId="7C09E38F">
            <w:pPr>
              <w:pStyle w:val="12"/>
              <w:bidi w:val="0"/>
              <w:rPr>
                <w:rFonts w:hint="default" w:eastAsia="宋体"/>
                <w:color w:val="auto"/>
                <w:lang w:val="en-US" w:eastAsia="zh-CN"/>
              </w:rPr>
            </w:pPr>
            <w:r>
              <w:rPr>
                <w:rFonts w:hint="eastAsia"/>
                <w:color w:val="auto"/>
                <w:lang w:val="en-US" w:eastAsia="zh-CN"/>
              </w:rPr>
              <w:t>0.0428</w:t>
            </w:r>
          </w:p>
        </w:tc>
        <w:tc>
          <w:tcPr>
            <w:tcW w:w="394" w:type="pct"/>
            <w:tcBorders>
              <w:tl2br w:val="nil"/>
              <w:tr2bl w:val="nil"/>
            </w:tcBorders>
            <w:noWrap w:val="0"/>
            <w:vAlign w:val="center"/>
          </w:tcPr>
          <w:p w14:paraId="7158949D">
            <w:pPr>
              <w:pStyle w:val="12"/>
              <w:bidi w:val="0"/>
              <w:rPr>
                <w:rFonts w:hint="default" w:eastAsia="宋体"/>
                <w:color w:val="auto"/>
                <w:lang w:val="en-US" w:eastAsia="zh-CN"/>
              </w:rPr>
            </w:pPr>
            <w:r>
              <w:rPr>
                <w:rFonts w:hint="eastAsia"/>
                <w:color w:val="auto"/>
                <w:lang w:val="en-US" w:eastAsia="zh-CN"/>
              </w:rPr>
              <w:t>2.14</w:t>
            </w:r>
          </w:p>
        </w:tc>
        <w:tc>
          <w:tcPr>
            <w:tcW w:w="255" w:type="pct"/>
            <w:tcBorders>
              <w:tl2br w:val="nil"/>
              <w:tr2bl w:val="nil"/>
            </w:tcBorders>
            <w:noWrap w:val="0"/>
            <w:vAlign w:val="center"/>
          </w:tcPr>
          <w:p w14:paraId="259DC9BA">
            <w:pPr>
              <w:pStyle w:val="12"/>
              <w:bidi w:val="0"/>
              <w:rPr>
                <w:color w:val="auto"/>
              </w:rPr>
            </w:pPr>
            <w:r>
              <w:rPr>
                <w:color w:val="auto"/>
              </w:rPr>
              <w:t>8760</w:t>
            </w:r>
          </w:p>
        </w:tc>
        <w:tc>
          <w:tcPr>
            <w:tcW w:w="310" w:type="pct"/>
            <w:tcBorders>
              <w:tl2br w:val="nil"/>
              <w:tr2bl w:val="nil"/>
            </w:tcBorders>
            <w:noWrap w:val="0"/>
            <w:vAlign w:val="center"/>
          </w:tcPr>
          <w:p w14:paraId="3EDC5475">
            <w:pPr>
              <w:pStyle w:val="12"/>
              <w:bidi w:val="0"/>
              <w:rPr>
                <w:rFonts w:hint="default" w:eastAsia="宋体"/>
                <w:color w:val="auto"/>
                <w:lang w:val="en-US" w:eastAsia="zh-CN"/>
              </w:rPr>
            </w:pPr>
            <w:r>
              <w:rPr>
                <w:rFonts w:hint="eastAsia"/>
                <w:color w:val="auto"/>
                <w:lang w:val="en-US" w:eastAsia="zh-CN"/>
              </w:rPr>
              <w:t>0.3749</w:t>
            </w:r>
          </w:p>
        </w:tc>
      </w:tr>
      <w:tr w14:paraId="271D3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vMerge w:val="continue"/>
            <w:tcBorders>
              <w:tl2br w:val="nil"/>
              <w:tr2bl w:val="nil"/>
            </w:tcBorders>
            <w:noWrap w:val="0"/>
            <w:vAlign w:val="center"/>
          </w:tcPr>
          <w:p w14:paraId="1645CD34">
            <w:pPr>
              <w:pStyle w:val="12"/>
              <w:bidi w:val="0"/>
              <w:rPr>
                <w:color w:val="auto"/>
              </w:rPr>
            </w:pPr>
          </w:p>
        </w:tc>
        <w:tc>
          <w:tcPr>
            <w:tcW w:w="242" w:type="pct"/>
            <w:vMerge w:val="continue"/>
            <w:tcBorders>
              <w:tl2br w:val="nil"/>
              <w:tr2bl w:val="nil"/>
            </w:tcBorders>
            <w:noWrap w:val="0"/>
            <w:vAlign w:val="center"/>
          </w:tcPr>
          <w:p w14:paraId="3793A556">
            <w:pPr>
              <w:pStyle w:val="12"/>
              <w:bidi w:val="0"/>
              <w:rPr>
                <w:color w:val="auto"/>
              </w:rPr>
            </w:pPr>
          </w:p>
        </w:tc>
        <w:tc>
          <w:tcPr>
            <w:tcW w:w="289" w:type="pct"/>
            <w:vMerge w:val="continue"/>
            <w:tcBorders>
              <w:tl2br w:val="nil"/>
              <w:tr2bl w:val="nil"/>
            </w:tcBorders>
            <w:noWrap w:val="0"/>
            <w:vAlign w:val="center"/>
          </w:tcPr>
          <w:p w14:paraId="4D791037">
            <w:pPr>
              <w:pStyle w:val="12"/>
              <w:bidi w:val="0"/>
              <w:rPr>
                <w:color w:val="auto"/>
              </w:rPr>
            </w:pPr>
          </w:p>
        </w:tc>
        <w:tc>
          <w:tcPr>
            <w:tcW w:w="244" w:type="pct"/>
            <w:tcBorders>
              <w:tl2br w:val="nil"/>
              <w:tr2bl w:val="nil"/>
            </w:tcBorders>
            <w:noWrap w:val="0"/>
            <w:vAlign w:val="center"/>
          </w:tcPr>
          <w:p w14:paraId="181DF994">
            <w:pPr>
              <w:pStyle w:val="12"/>
              <w:bidi w:val="0"/>
              <w:rPr>
                <w:color w:val="auto"/>
              </w:rPr>
            </w:pPr>
            <w:r>
              <w:rPr>
                <w:color w:val="auto"/>
              </w:rPr>
              <w:t>H</w:t>
            </w:r>
            <w:r>
              <w:rPr>
                <w:color w:val="auto"/>
                <w:vertAlign w:val="subscript"/>
              </w:rPr>
              <w:t>2</w:t>
            </w:r>
            <w:r>
              <w:rPr>
                <w:color w:val="auto"/>
              </w:rPr>
              <w:t>S</w:t>
            </w:r>
          </w:p>
        </w:tc>
        <w:tc>
          <w:tcPr>
            <w:tcW w:w="308" w:type="pct"/>
            <w:tcBorders>
              <w:tl2br w:val="nil"/>
              <w:tr2bl w:val="nil"/>
            </w:tcBorders>
            <w:noWrap w:val="0"/>
            <w:vAlign w:val="center"/>
          </w:tcPr>
          <w:p w14:paraId="6A84F279">
            <w:pPr>
              <w:pStyle w:val="12"/>
              <w:bidi w:val="0"/>
              <w:rPr>
                <w:color w:val="auto"/>
              </w:rPr>
            </w:pPr>
            <w:r>
              <w:rPr>
                <w:color w:val="auto"/>
              </w:rPr>
              <w:t>产污系数法</w:t>
            </w:r>
          </w:p>
        </w:tc>
        <w:tc>
          <w:tcPr>
            <w:tcW w:w="333" w:type="pct"/>
            <w:vMerge w:val="continue"/>
            <w:tcBorders>
              <w:tl2br w:val="nil"/>
              <w:tr2bl w:val="nil"/>
            </w:tcBorders>
            <w:noWrap w:val="0"/>
            <w:vAlign w:val="center"/>
          </w:tcPr>
          <w:p w14:paraId="3BD16408">
            <w:pPr>
              <w:pStyle w:val="12"/>
              <w:bidi w:val="0"/>
              <w:rPr>
                <w:color w:val="auto"/>
              </w:rPr>
            </w:pPr>
          </w:p>
        </w:tc>
        <w:tc>
          <w:tcPr>
            <w:tcW w:w="312" w:type="pct"/>
            <w:tcBorders>
              <w:tl2br w:val="nil"/>
              <w:tr2bl w:val="nil"/>
            </w:tcBorders>
            <w:noWrap w:val="0"/>
            <w:vAlign w:val="center"/>
          </w:tcPr>
          <w:p w14:paraId="3C39F76E">
            <w:pPr>
              <w:pStyle w:val="12"/>
              <w:bidi w:val="0"/>
              <w:rPr>
                <w:rFonts w:hint="default" w:eastAsia="宋体"/>
                <w:color w:val="auto"/>
                <w:lang w:val="en-US" w:eastAsia="zh-CN"/>
              </w:rPr>
            </w:pPr>
            <w:r>
              <w:rPr>
                <w:rFonts w:hint="eastAsia"/>
                <w:color w:val="auto"/>
                <w:lang w:val="en-US" w:eastAsia="zh-CN"/>
              </w:rPr>
              <w:t>0.013</w:t>
            </w:r>
          </w:p>
        </w:tc>
        <w:tc>
          <w:tcPr>
            <w:tcW w:w="394" w:type="pct"/>
            <w:tcBorders>
              <w:tl2br w:val="nil"/>
              <w:tr2bl w:val="nil"/>
            </w:tcBorders>
            <w:noWrap w:val="0"/>
            <w:vAlign w:val="center"/>
          </w:tcPr>
          <w:p w14:paraId="21C25CC5">
            <w:pPr>
              <w:pStyle w:val="12"/>
              <w:bidi w:val="0"/>
              <w:rPr>
                <w:rFonts w:hint="default" w:eastAsia="宋体"/>
                <w:color w:val="auto"/>
                <w:lang w:val="en-US" w:eastAsia="zh-CN"/>
              </w:rPr>
            </w:pPr>
            <w:r>
              <w:rPr>
                <w:rFonts w:hint="eastAsia"/>
                <w:color w:val="auto"/>
                <w:lang w:val="en-US" w:eastAsia="zh-CN"/>
              </w:rPr>
              <w:t>0.66</w:t>
            </w:r>
          </w:p>
        </w:tc>
        <w:tc>
          <w:tcPr>
            <w:tcW w:w="297" w:type="pct"/>
            <w:vMerge w:val="continue"/>
            <w:tcBorders>
              <w:tl2br w:val="nil"/>
              <w:tr2bl w:val="nil"/>
            </w:tcBorders>
            <w:noWrap w:val="0"/>
            <w:vAlign w:val="center"/>
          </w:tcPr>
          <w:p w14:paraId="05AFD830">
            <w:pPr>
              <w:pStyle w:val="12"/>
              <w:bidi w:val="0"/>
              <w:rPr>
                <w:color w:val="auto"/>
              </w:rPr>
            </w:pPr>
          </w:p>
        </w:tc>
        <w:tc>
          <w:tcPr>
            <w:tcW w:w="184" w:type="pct"/>
            <w:vMerge w:val="continue"/>
            <w:tcBorders>
              <w:tl2br w:val="nil"/>
              <w:tr2bl w:val="nil"/>
            </w:tcBorders>
            <w:noWrap w:val="0"/>
            <w:vAlign w:val="center"/>
          </w:tcPr>
          <w:p w14:paraId="5C994666">
            <w:pPr>
              <w:pStyle w:val="12"/>
              <w:bidi w:val="0"/>
              <w:rPr>
                <w:color w:val="auto"/>
              </w:rPr>
            </w:pPr>
          </w:p>
        </w:tc>
        <w:tc>
          <w:tcPr>
            <w:tcW w:w="204" w:type="pct"/>
            <w:vMerge w:val="continue"/>
            <w:tcBorders>
              <w:tl2br w:val="nil"/>
              <w:tr2bl w:val="nil"/>
            </w:tcBorders>
            <w:noWrap w:val="0"/>
            <w:vAlign w:val="center"/>
          </w:tcPr>
          <w:p w14:paraId="4A6A33A3">
            <w:pPr>
              <w:pStyle w:val="12"/>
              <w:bidi w:val="0"/>
              <w:rPr>
                <w:color w:val="auto"/>
              </w:rPr>
            </w:pPr>
          </w:p>
        </w:tc>
        <w:tc>
          <w:tcPr>
            <w:tcW w:w="279" w:type="pct"/>
            <w:tcBorders>
              <w:tl2br w:val="nil"/>
              <w:tr2bl w:val="nil"/>
            </w:tcBorders>
            <w:noWrap w:val="0"/>
            <w:vAlign w:val="center"/>
          </w:tcPr>
          <w:p w14:paraId="1079CC1C">
            <w:pPr>
              <w:pStyle w:val="12"/>
              <w:bidi w:val="0"/>
              <w:rPr>
                <w:color w:val="auto"/>
              </w:rPr>
            </w:pPr>
            <w:r>
              <w:rPr>
                <w:color w:val="auto"/>
              </w:rPr>
              <w:t>产污系数法</w:t>
            </w:r>
          </w:p>
        </w:tc>
        <w:tc>
          <w:tcPr>
            <w:tcW w:w="333" w:type="pct"/>
            <w:vMerge w:val="continue"/>
            <w:tcBorders>
              <w:tl2br w:val="nil"/>
              <w:tr2bl w:val="nil"/>
            </w:tcBorders>
            <w:noWrap w:val="0"/>
            <w:vAlign w:val="center"/>
          </w:tcPr>
          <w:p w14:paraId="1D7CF180">
            <w:pPr>
              <w:pStyle w:val="12"/>
              <w:bidi w:val="0"/>
              <w:rPr>
                <w:color w:val="auto"/>
              </w:rPr>
            </w:pPr>
          </w:p>
        </w:tc>
        <w:tc>
          <w:tcPr>
            <w:tcW w:w="350" w:type="pct"/>
            <w:tcBorders>
              <w:tl2br w:val="nil"/>
              <w:tr2bl w:val="nil"/>
            </w:tcBorders>
            <w:noWrap w:val="0"/>
            <w:vAlign w:val="center"/>
          </w:tcPr>
          <w:p w14:paraId="28443527">
            <w:pPr>
              <w:pStyle w:val="12"/>
              <w:bidi w:val="0"/>
              <w:rPr>
                <w:rFonts w:hint="default" w:eastAsia="宋体"/>
                <w:color w:val="auto"/>
                <w:lang w:val="en-US" w:eastAsia="zh-CN"/>
              </w:rPr>
            </w:pPr>
            <w:r>
              <w:rPr>
                <w:rFonts w:hint="eastAsia"/>
                <w:color w:val="auto"/>
                <w:lang w:val="en-US" w:eastAsia="zh-CN"/>
              </w:rPr>
              <w:t>0.00063</w:t>
            </w:r>
          </w:p>
        </w:tc>
        <w:tc>
          <w:tcPr>
            <w:tcW w:w="394" w:type="pct"/>
            <w:tcBorders>
              <w:tl2br w:val="nil"/>
              <w:tr2bl w:val="nil"/>
            </w:tcBorders>
            <w:noWrap w:val="0"/>
            <w:vAlign w:val="center"/>
          </w:tcPr>
          <w:p w14:paraId="2948CB5B">
            <w:pPr>
              <w:pStyle w:val="12"/>
              <w:bidi w:val="0"/>
              <w:rPr>
                <w:rFonts w:hint="default" w:eastAsia="宋体"/>
                <w:color w:val="auto"/>
                <w:lang w:val="en-US" w:eastAsia="zh-CN"/>
              </w:rPr>
            </w:pPr>
            <w:r>
              <w:rPr>
                <w:rFonts w:hint="eastAsia"/>
                <w:color w:val="auto"/>
                <w:lang w:val="en-US" w:eastAsia="zh-CN"/>
              </w:rPr>
              <w:t>0.0315</w:t>
            </w:r>
          </w:p>
        </w:tc>
        <w:tc>
          <w:tcPr>
            <w:tcW w:w="255" w:type="pct"/>
            <w:tcBorders>
              <w:tl2br w:val="nil"/>
              <w:tr2bl w:val="nil"/>
            </w:tcBorders>
            <w:noWrap w:val="0"/>
            <w:vAlign w:val="center"/>
          </w:tcPr>
          <w:p w14:paraId="2FFEBFAA">
            <w:pPr>
              <w:pStyle w:val="12"/>
              <w:bidi w:val="0"/>
              <w:rPr>
                <w:color w:val="auto"/>
              </w:rPr>
            </w:pPr>
            <w:r>
              <w:rPr>
                <w:color w:val="auto"/>
              </w:rPr>
              <w:t>8760</w:t>
            </w:r>
          </w:p>
        </w:tc>
        <w:tc>
          <w:tcPr>
            <w:tcW w:w="310" w:type="pct"/>
            <w:tcBorders>
              <w:tl2br w:val="nil"/>
              <w:tr2bl w:val="nil"/>
            </w:tcBorders>
            <w:noWrap w:val="0"/>
            <w:vAlign w:val="center"/>
          </w:tcPr>
          <w:p w14:paraId="09F168CD">
            <w:pPr>
              <w:pStyle w:val="12"/>
              <w:bidi w:val="0"/>
              <w:rPr>
                <w:rFonts w:hint="default" w:eastAsia="宋体"/>
                <w:color w:val="auto"/>
                <w:lang w:val="en-US" w:eastAsia="zh-CN"/>
              </w:rPr>
            </w:pPr>
            <w:r>
              <w:rPr>
                <w:rFonts w:hint="eastAsia"/>
                <w:color w:val="auto"/>
                <w:lang w:val="en-US" w:eastAsia="zh-CN"/>
              </w:rPr>
              <w:t>0.0055</w:t>
            </w:r>
          </w:p>
        </w:tc>
      </w:tr>
      <w:tr w14:paraId="1D065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7" w:type="pct"/>
            <w:tcBorders>
              <w:tl2br w:val="nil"/>
              <w:tr2bl w:val="nil"/>
            </w:tcBorders>
            <w:noWrap w:val="0"/>
            <w:vAlign w:val="center"/>
          </w:tcPr>
          <w:p w14:paraId="521D606E">
            <w:pPr>
              <w:pStyle w:val="12"/>
              <w:bidi w:val="0"/>
              <w:rPr>
                <w:rFonts w:hint="eastAsia" w:eastAsia="宋体"/>
                <w:color w:val="auto"/>
                <w:lang w:val="en-US" w:eastAsia="zh-CN"/>
              </w:rPr>
            </w:pPr>
            <w:r>
              <w:rPr>
                <w:rFonts w:hint="eastAsia"/>
                <w:color w:val="auto"/>
                <w:lang w:val="en-US" w:eastAsia="zh-CN"/>
              </w:rPr>
              <w:t>食堂</w:t>
            </w:r>
          </w:p>
        </w:tc>
        <w:tc>
          <w:tcPr>
            <w:tcW w:w="242" w:type="pct"/>
            <w:tcBorders>
              <w:tl2br w:val="nil"/>
              <w:tr2bl w:val="nil"/>
            </w:tcBorders>
            <w:noWrap w:val="0"/>
            <w:vAlign w:val="center"/>
          </w:tcPr>
          <w:p w14:paraId="1961059D">
            <w:pPr>
              <w:pStyle w:val="12"/>
              <w:bidi w:val="0"/>
              <w:rPr>
                <w:rFonts w:hint="eastAsia" w:eastAsia="宋体"/>
                <w:color w:val="auto"/>
                <w:lang w:val="en-US" w:eastAsia="zh-CN"/>
              </w:rPr>
            </w:pPr>
            <w:r>
              <w:rPr>
                <w:rFonts w:hint="eastAsia"/>
                <w:color w:val="auto"/>
                <w:lang w:val="en-US" w:eastAsia="zh-CN"/>
              </w:rPr>
              <w:t>用餐</w:t>
            </w:r>
          </w:p>
        </w:tc>
        <w:tc>
          <w:tcPr>
            <w:tcW w:w="533" w:type="pct"/>
            <w:gridSpan w:val="2"/>
            <w:tcBorders>
              <w:tl2br w:val="nil"/>
              <w:tr2bl w:val="nil"/>
            </w:tcBorders>
            <w:noWrap w:val="0"/>
            <w:vAlign w:val="center"/>
          </w:tcPr>
          <w:p w14:paraId="6B86FE44">
            <w:pPr>
              <w:pStyle w:val="12"/>
              <w:bidi w:val="0"/>
              <w:rPr>
                <w:color w:val="auto"/>
              </w:rPr>
            </w:pPr>
            <w:r>
              <w:rPr>
                <w:rFonts w:hint="eastAsia"/>
                <w:color w:val="auto"/>
                <w:lang w:val="en-US" w:eastAsia="zh-CN"/>
              </w:rPr>
              <w:t>食堂油烟</w:t>
            </w:r>
          </w:p>
        </w:tc>
        <w:tc>
          <w:tcPr>
            <w:tcW w:w="308" w:type="pct"/>
            <w:tcBorders>
              <w:tl2br w:val="nil"/>
              <w:tr2bl w:val="nil"/>
            </w:tcBorders>
            <w:noWrap w:val="0"/>
            <w:vAlign w:val="center"/>
          </w:tcPr>
          <w:p w14:paraId="4DFBFC64">
            <w:pPr>
              <w:pStyle w:val="12"/>
              <w:bidi w:val="0"/>
              <w:rPr>
                <w:rFonts w:hint="default" w:eastAsia="宋体"/>
                <w:color w:val="auto"/>
                <w:lang w:val="en-US" w:eastAsia="zh-CN"/>
              </w:rPr>
            </w:pPr>
            <w:r>
              <w:rPr>
                <w:rFonts w:hint="eastAsia"/>
                <w:color w:val="auto"/>
                <w:lang w:val="en-US" w:eastAsia="zh-CN"/>
              </w:rPr>
              <w:t>产污系数法</w:t>
            </w:r>
          </w:p>
        </w:tc>
        <w:tc>
          <w:tcPr>
            <w:tcW w:w="333" w:type="pct"/>
            <w:tcBorders>
              <w:tl2br w:val="nil"/>
              <w:tr2bl w:val="nil"/>
            </w:tcBorders>
            <w:noWrap w:val="0"/>
            <w:vAlign w:val="center"/>
          </w:tcPr>
          <w:p w14:paraId="25B6BEB1">
            <w:pPr>
              <w:pStyle w:val="12"/>
              <w:bidi w:val="0"/>
              <w:rPr>
                <w:rFonts w:hint="default" w:eastAsia="宋体"/>
                <w:color w:val="auto"/>
                <w:lang w:val="en-US" w:eastAsia="zh-CN"/>
              </w:rPr>
            </w:pPr>
            <w:r>
              <w:rPr>
                <w:rFonts w:hint="eastAsia"/>
                <w:color w:val="auto"/>
                <w:lang w:val="en-US" w:eastAsia="zh-CN"/>
              </w:rPr>
              <w:t>3000</w:t>
            </w:r>
          </w:p>
        </w:tc>
        <w:tc>
          <w:tcPr>
            <w:tcW w:w="312" w:type="pct"/>
            <w:tcBorders>
              <w:tl2br w:val="nil"/>
              <w:tr2bl w:val="nil"/>
            </w:tcBorders>
            <w:noWrap w:val="0"/>
            <w:vAlign w:val="center"/>
          </w:tcPr>
          <w:p w14:paraId="17D791A5">
            <w:pPr>
              <w:pStyle w:val="12"/>
              <w:bidi w:val="0"/>
              <w:rPr>
                <w:rFonts w:hint="default" w:eastAsia="宋体"/>
                <w:color w:val="auto"/>
                <w:lang w:val="en-US" w:eastAsia="zh-CN"/>
              </w:rPr>
            </w:pPr>
            <w:r>
              <w:rPr>
                <w:rFonts w:hint="eastAsia"/>
                <w:color w:val="auto"/>
                <w:lang w:val="en-US" w:eastAsia="zh-CN"/>
              </w:rPr>
              <w:t>0.0025</w:t>
            </w:r>
          </w:p>
        </w:tc>
        <w:tc>
          <w:tcPr>
            <w:tcW w:w="394" w:type="pct"/>
            <w:tcBorders>
              <w:tl2br w:val="nil"/>
              <w:tr2bl w:val="nil"/>
            </w:tcBorders>
            <w:noWrap w:val="0"/>
            <w:vAlign w:val="center"/>
          </w:tcPr>
          <w:p w14:paraId="7D2027F5">
            <w:pPr>
              <w:pStyle w:val="12"/>
              <w:bidi w:val="0"/>
              <w:rPr>
                <w:rFonts w:hint="default" w:eastAsia="宋体"/>
                <w:color w:val="auto"/>
                <w:lang w:val="en-US" w:eastAsia="zh-CN"/>
              </w:rPr>
            </w:pPr>
            <w:r>
              <w:rPr>
                <w:rFonts w:hint="eastAsia"/>
                <w:color w:val="auto"/>
                <w:lang w:val="en-US" w:eastAsia="zh-CN"/>
              </w:rPr>
              <w:t>0.82</w:t>
            </w:r>
          </w:p>
        </w:tc>
        <w:tc>
          <w:tcPr>
            <w:tcW w:w="297" w:type="pct"/>
            <w:tcBorders>
              <w:tl2br w:val="nil"/>
              <w:tr2bl w:val="nil"/>
            </w:tcBorders>
            <w:noWrap w:val="0"/>
            <w:vAlign w:val="center"/>
          </w:tcPr>
          <w:p w14:paraId="3B719361">
            <w:pPr>
              <w:pStyle w:val="12"/>
              <w:bidi w:val="0"/>
              <w:rPr>
                <w:rFonts w:hint="eastAsia" w:eastAsia="宋体"/>
                <w:color w:val="auto"/>
                <w:lang w:val="en-US" w:eastAsia="zh-CN"/>
              </w:rPr>
            </w:pPr>
            <w:r>
              <w:rPr>
                <w:rFonts w:hint="eastAsia"/>
                <w:color w:val="auto"/>
                <w:lang w:val="en-US" w:eastAsia="zh-CN"/>
              </w:rPr>
              <w:t>油烟净化器</w:t>
            </w:r>
          </w:p>
        </w:tc>
        <w:tc>
          <w:tcPr>
            <w:tcW w:w="184" w:type="pct"/>
            <w:tcBorders>
              <w:tl2br w:val="nil"/>
              <w:tr2bl w:val="nil"/>
            </w:tcBorders>
            <w:noWrap w:val="0"/>
            <w:vAlign w:val="center"/>
          </w:tcPr>
          <w:p w14:paraId="3F471AAE">
            <w:pPr>
              <w:pStyle w:val="12"/>
              <w:bidi w:val="0"/>
              <w:rPr>
                <w:rFonts w:hint="default" w:eastAsia="宋体"/>
                <w:color w:val="auto"/>
                <w:lang w:val="en-US" w:eastAsia="zh-CN"/>
              </w:rPr>
            </w:pPr>
            <w:r>
              <w:rPr>
                <w:rFonts w:hint="eastAsia"/>
                <w:color w:val="auto"/>
                <w:lang w:val="en-US" w:eastAsia="zh-CN"/>
              </w:rPr>
              <w:t>90</w:t>
            </w:r>
          </w:p>
        </w:tc>
        <w:tc>
          <w:tcPr>
            <w:tcW w:w="204" w:type="pct"/>
            <w:tcBorders>
              <w:tl2br w:val="nil"/>
              <w:tr2bl w:val="nil"/>
            </w:tcBorders>
            <w:noWrap w:val="0"/>
            <w:vAlign w:val="center"/>
          </w:tcPr>
          <w:p w14:paraId="4418A1B7">
            <w:pPr>
              <w:pStyle w:val="12"/>
              <w:bidi w:val="0"/>
              <w:rPr>
                <w:rFonts w:hint="default" w:eastAsia="宋体"/>
                <w:color w:val="auto"/>
                <w:lang w:val="en-US" w:eastAsia="zh-CN"/>
              </w:rPr>
            </w:pPr>
            <w:r>
              <w:rPr>
                <w:rFonts w:hint="eastAsia"/>
                <w:color w:val="auto"/>
                <w:lang w:val="en-US" w:eastAsia="zh-CN"/>
              </w:rPr>
              <w:t>60</w:t>
            </w:r>
          </w:p>
        </w:tc>
        <w:tc>
          <w:tcPr>
            <w:tcW w:w="279" w:type="pct"/>
            <w:tcBorders>
              <w:tl2br w:val="nil"/>
              <w:tr2bl w:val="nil"/>
            </w:tcBorders>
            <w:noWrap w:val="0"/>
            <w:vAlign w:val="center"/>
          </w:tcPr>
          <w:p w14:paraId="4EE489AD">
            <w:pPr>
              <w:pStyle w:val="12"/>
              <w:bidi w:val="0"/>
              <w:rPr>
                <w:color w:val="auto"/>
              </w:rPr>
            </w:pPr>
            <w:r>
              <w:rPr>
                <w:color w:val="auto"/>
              </w:rPr>
              <w:t>产污系数法</w:t>
            </w:r>
          </w:p>
        </w:tc>
        <w:tc>
          <w:tcPr>
            <w:tcW w:w="333" w:type="pct"/>
            <w:tcBorders>
              <w:tl2br w:val="nil"/>
              <w:tr2bl w:val="nil"/>
            </w:tcBorders>
            <w:noWrap w:val="0"/>
            <w:vAlign w:val="center"/>
          </w:tcPr>
          <w:p w14:paraId="7FB091FF">
            <w:pPr>
              <w:pStyle w:val="12"/>
              <w:bidi w:val="0"/>
              <w:rPr>
                <w:rFonts w:hint="default" w:eastAsia="宋体"/>
                <w:color w:val="auto"/>
                <w:lang w:val="en-US" w:eastAsia="zh-CN"/>
              </w:rPr>
            </w:pPr>
            <w:r>
              <w:rPr>
                <w:rFonts w:hint="eastAsia"/>
                <w:color w:val="auto"/>
                <w:lang w:val="en-US" w:eastAsia="zh-CN"/>
              </w:rPr>
              <w:t>2000</w:t>
            </w:r>
          </w:p>
        </w:tc>
        <w:tc>
          <w:tcPr>
            <w:tcW w:w="350" w:type="pct"/>
            <w:tcBorders>
              <w:tl2br w:val="nil"/>
              <w:tr2bl w:val="nil"/>
            </w:tcBorders>
            <w:noWrap w:val="0"/>
            <w:vAlign w:val="center"/>
          </w:tcPr>
          <w:p w14:paraId="2CBB4324">
            <w:pPr>
              <w:pStyle w:val="12"/>
              <w:bidi w:val="0"/>
              <w:rPr>
                <w:rFonts w:hint="default" w:eastAsia="宋体"/>
                <w:color w:val="auto"/>
                <w:lang w:val="en-US" w:eastAsia="zh-CN"/>
              </w:rPr>
            </w:pPr>
            <w:r>
              <w:rPr>
                <w:rFonts w:hint="eastAsia"/>
                <w:color w:val="auto"/>
                <w:lang w:val="en-US" w:eastAsia="zh-CN"/>
              </w:rPr>
              <w:t>0.0009</w:t>
            </w:r>
          </w:p>
        </w:tc>
        <w:tc>
          <w:tcPr>
            <w:tcW w:w="394" w:type="pct"/>
            <w:tcBorders>
              <w:tl2br w:val="nil"/>
              <w:tr2bl w:val="nil"/>
            </w:tcBorders>
            <w:noWrap w:val="0"/>
            <w:vAlign w:val="center"/>
          </w:tcPr>
          <w:p w14:paraId="0BD5656F">
            <w:pPr>
              <w:pStyle w:val="12"/>
              <w:bidi w:val="0"/>
              <w:rPr>
                <w:rFonts w:hint="default" w:eastAsia="宋体"/>
                <w:color w:val="auto"/>
                <w:lang w:val="en-US" w:eastAsia="zh-CN"/>
              </w:rPr>
            </w:pPr>
            <w:r>
              <w:rPr>
                <w:rFonts w:hint="eastAsia"/>
                <w:color w:val="auto"/>
                <w:lang w:val="en-US" w:eastAsia="zh-CN"/>
              </w:rPr>
              <w:t>0.297</w:t>
            </w:r>
          </w:p>
        </w:tc>
        <w:tc>
          <w:tcPr>
            <w:tcW w:w="255" w:type="pct"/>
            <w:tcBorders>
              <w:tl2br w:val="nil"/>
              <w:tr2bl w:val="nil"/>
            </w:tcBorders>
            <w:noWrap w:val="0"/>
            <w:vAlign w:val="center"/>
          </w:tcPr>
          <w:p w14:paraId="44B98E69">
            <w:pPr>
              <w:pStyle w:val="12"/>
              <w:bidi w:val="0"/>
              <w:rPr>
                <w:rFonts w:hint="default" w:eastAsia="宋体"/>
                <w:color w:val="auto"/>
                <w:lang w:val="en-US" w:eastAsia="zh-CN"/>
              </w:rPr>
            </w:pPr>
            <w:r>
              <w:rPr>
                <w:rFonts w:hint="eastAsia"/>
                <w:color w:val="auto"/>
                <w:lang w:val="en-US" w:eastAsia="zh-CN"/>
              </w:rPr>
              <w:t>2190</w:t>
            </w:r>
          </w:p>
        </w:tc>
        <w:tc>
          <w:tcPr>
            <w:tcW w:w="310" w:type="pct"/>
            <w:tcBorders>
              <w:tl2br w:val="nil"/>
              <w:tr2bl w:val="nil"/>
            </w:tcBorders>
            <w:noWrap w:val="0"/>
            <w:vAlign w:val="center"/>
          </w:tcPr>
          <w:p w14:paraId="27973DA4">
            <w:pPr>
              <w:pStyle w:val="12"/>
              <w:bidi w:val="0"/>
              <w:rPr>
                <w:rFonts w:hint="default" w:eastAsia="宋体"/>
                <w:color w:val="auto"/>
                <w:lang w:val="en-US" w:eastAsia="zh-CN"/>
              </w:rPr>
            </w:pPr>
            <w:r>
              <w:rPr>
                <w:rFonts w:hint="eastAsia"/>
                <w:color w:val="auto"/>
                <w:lang w:val="en-US" w:eastAsia="zh-CN"/>
              </w:rPr>
              <w:t>0.00195</w:t>
            </w:r>
          </w:p>
        </w:tc>
      </w:tr>
    </w:tbl>
    <w:p w14:paraId="1FEBDA83">
      <w:pPr>
        <w:pStyle w:val="5"/>
        <w:bidi w:val="0"/>
        <w:rPr>
          <w:color w:val="auto"/>
        </w:rPr>
      </w:pPr>
      <w:r>
        <w:rPr>
          <w:rFonts w:hint="eastAsia"/>
          <w:color w:val="auto"/>
          <w:lang w:val="en-US" w:eastAsia="zh-CN"/>
        </w:rPr>
        <w:t xml:space="preserve"> </w:t>
      </w:r>
      <w:r>
        <w:rPr>
          <w:color w:val="auto"/>
        </w:rPr>
        <w:t>项目废水污染源强核算汇总</w:t>
      </w:r>
    </w:p>
    <w:p w14:paraId="095DAF47">
      <w:pPr>
        <w:pStyle w:val="15"/>
        <w:numPr>
          <w:ilvl w:val="0"/>
          <w:numId w:val="26"/>
        </w:numPr>
        <w:bidi w:val="0"/>
        <w:ind w:left="0" w:leftChars="0" w:firstLine="0" w:firstLineChars="0"/>
        <w:rPr>
          <w:color w:val="auto"/>
        </w:rPr>
      </w:pPr>
      <w:r>
        <w:rPr>
          <w:color w:val="auto"/>
        </w:rPr>
        <w:t>废水污染源源强核算结果及相关参数一览表</w:t>
      </w:r>
    </w:p>
    <w:tbl>
      <w:tblPr>
        <w:tblStyle w:val="48"/>
        <w:tblW w:w="14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41"/>
        <w:gridCol w:w="1043"/>
        <w:gridCol w:w="891"/>
        <w:gridCol w:w="928"/>
        <w:gridCol w:w="895"/>
        <w:gridCol w:w="978"/>
        <w:gridCol w:w="875"/>
        <w:gridCol w:w="1054"/>
        <w:gridCol w:w="593"/>
        <w:gridCol w:w="592"/>
        <w:gridCol w:w="889"/>
        <w:gridCol w:w="1032"/>
        <w:gridCol w:w="931"/>
        <w:gridCol w:w="70"/>
        <w:gridCol w:w="964"/>
        <w:gridCol w:w="806"/>
        <w:gridCol w:w="793"/>
      </w:tblGrid>
      <w:tr w14:paraId="3EE7A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restart"/>
            <w:tcBorders>
              <w:tl2br w:val="nil"/>
              <w:tr2bl w:val="nil"/>
            </w:tcBorders>
            <w:noWrap w:val="0"/>
            <w:vAlign w:val="center"/>
          </w:tcPr>
          <w:p w14:paraId="6F6B4EA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1043" w:type="dxa"/>
            <w:vMerge w:val="restart"/>
            <w:tcBorders>
              <w:tl2br w:val="nil"/>
              <w:tr2bl w:val="nil"/>
            </w:tcBorders>
            <w:noWrap w:val="0"/>
            <w:vAlign w:val="center"/>
          </w:tcPr>
          <w:p w14:paraId="1B0B060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污染源</w:t>
            </w:r>
          </w:p>
        </w:tc>
        <w:tc>
          <w:tcPr>
            <w:tcW w:w="891" w:type="dxa"/>
            <w:vMerge w:val="restart"/>
            <w:tcBorders>
              <w:tl2br w:val="nil"/>
              <w:tr2bl w:val="nil"/>
            </w:tcBorders>
            <w:noWrap w:val="0"/>
            <w:vAlign w:val="center"/>
          </w:tcPr>
          <w:p w14:paraId="1B5DD41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w:t>
            </w:r>
          </w:p>
        </w:tc>
        <w:tc>
          <w:tcPr>
            <w:tcW w:w="3676" w:type="dxa"/>
            <w:gridSpan w:val="4"/>
            <w:tcBorders>
              <w:tl2br w:val="nil"/>
              <w:tr2bl w:val="nil"/>
            </w:tcBorders>
            <w:noWrap w:val="0"/>
            <w:vAlign w:val="center"/>
          </w:tcPr>
          <w:p w14:paraId="110F54A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w:t>
            </w:r>
          </w:p>
        </w:tc>
        <w:tc>
          <w:tcPr>
            <w:tcW w:w="2239" w:type="dxa"/>
            <w:gridSpan w:val="3"/>
            <w:tcBorders>
              <w:tl2br w:val="nil"/>
              <w:tr2bl w:val="nil"/>
            </w:tcBorders>
            <w:noWrap w:val="0"/>
            <w:vAlign w:val="center"/>
          </w:tcPr>
          <w:p w14:paraId="5BB4EB0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治理措施</w:t>
            </w:r>
          </w:p>
        </w:tc>
        <w:tc>
          <w:tcPr>
            <w:tcW w:w="3886" w:type="dxa"/>
            <w:gridSpan w:val="5"/>
            <w:tcBorders>
              <w:tl2br w:val="nil"/>
              <w:tr2bl w:val="nil"/>
            </w:tcBorders>
            <w:noWrap w:val="0"/>
            <w:vAlign w:val="center"/>
          </w:tcPr>
          <w:p w14:paraId="5AB6AF5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w:t>
            </w:r>
          </w:p>
        </w:tc>
        <w:tc>
          <w:tcPr>
            <w:tcW w:w="806" w:type="dxa"/>
            <w:vMerge w:val="restart"/>
            <w:tcBorders>
              <w:tl2br w:val="nil"/>
              <w:tr2bl w:val="nil"/>
            </w:tcBorders>
            <w:noWrap w:val="0"/>
            <w:vAlign w:val="center"/>
          </w:tcPr>
          <w:p w14:paraId="2627119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排放时间/d</w:t>
            </w:r>
          </w:p>
        </w:tc>
        <w:tc>
          <w:tcPr>
            <w:tcW w:w="793" w:type="dxa"/>
            <w:vMerge w:val="restart"/>
            <w:tcBorders>
              <w:tl2br w:val="nil"/>
              <w:tr2bl w:val="nil"/>
            </w:tcBorders>
            <w:noWrap w:val="0"/>
            <w:vAlign w:val="center"/>
          </w:tcPr>
          <w:p w14:paraId="1CD6F9B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污染物年排放量/（t/a）</w:t>
            </w:r>
          </w:p>
        </w:tc>
      </w:tr>
      <w:tr w14:paraId="13277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1E0BF79B">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095A3054">
            <w:pPr>
              <w:pageBreakBefore w:val="0"/>
              <w:wordWrap/>
              <w:bidi w:val="0"/>
              <w:adjustRightInd/>
              <w:snapToGrid/>
              <w:spacing w:line="240" w:lineRule="auto"/>
              <w:ind w:firstLine="0" w:firstLineChars="0"/>
              <w:jc w:val="center"/>
              <w:rPr>
                <w:bCs/>
                <w:color w:val="auto"/>
                <w:sz w:val="21"/>
                <w:szCs w:val="21"/>
              </w:rPr>
            </w:pPr>
          </w:p>
        </w:tc>
        <w:tc>
          <w:tcPr>
            <w:tcW w:w="891" w:type="dxa"/>
            <w:vMerge w:val="continue"/>
            <w:tcBorders>
              <w:tl2br w:val="nil"/>
              <w:tr2bl w:val="nil"/>
            </w:tcBorders>
            <w:noWrap w:val="0"/>
            <w:vAlign w:val="center"/>
          </w:tcPr>
          <w:p w14:paraId="78767574">
            <w:pPr>
              <w:pageBreakBefore w:val="0"/>
              <w:wordWrap/>
              <w:bidi w:val="0"/>
              <w:adjustRightInd/>
              <w:snapToGrid/>
              <w:spacing w:line="240" w:lineRule="auto"/>
              <w:ind w:firstLine="0" w:firstLineChars="0"/>
              <w:jc w:val="center"/>
              <w:rPr>
                <w:bCs/>
                <w:color w:val="auto"/>
                <w:sz w:val="21"/>
                <w:szCs w:val="21"/>
              </w:rPr>
            </w:pPr>
          </w:p>
        </w:tc>
        <w:tc>
          <w:tcPr>
            <w:tcW w:w="928" w:type="dxa"/>
            <w:tcBorders>
              <w:tl2br w:val="nil"/>
              <w:tr2bl w:val="nil"/>
            </w:tcBorders>
            <w:noWrap w:val="0"/>
            <w:vAlign w:val="center"/>
          </w:tcPr>
          <w:p w14:paraId="7897122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895" w:type="dxa"/>
            <w:tcBorders>
              <w:tl2br w:val="nil"/>
              <w:tr2bl w:val="nil"/>
            </w:tcBorders>
            <w:noWrap w:val="0"/>
            <w:vAlign w:val="center"/>
          </w:tcPr>
          <w:p w14:paraId="73C1851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废水产生量/（</w:t>
            </w:r>
            <w:r>
              <w:rPr>
                <w:rFonts w:hint="eastAsia"/>
                <w:b/>
                <w:bCs w:val="0"/>
                <w:color w:val="auto"/>
                <w:sz w:val="21"/>
                <w:szCs w:val="21"/>
                <w:lang w:eastAsia="zh-CN"/>
              </w:rPr>
              <w:t>m³</w:t>
            </w:r>
            <w:r>
              <w:rPr>
                <w:b/>
                <w:bCs w:val="0"/>
                <w:color w:val="auto"/>
                <w:sz w:val="21"/>
                <w:szCs w:val="21"/>
              </w:rPr>
              <w:t>/d）</w:t>
            </w:r>
          </w:p>
        </w:tc>
        <w:tc>
          <w:tcPr>
            <w:tcW w:w="978" w:type="dxa"/>
            <w:tcBorders>
              <w:tl2br w:val="nil"/>
              <w:tr2bl w:val="nil"/>
            </w:tcBorders>
            <w:noWrap w:val="0"/>
            <w:vAlign w:val="center"/>
          </w:tcPr>
          <w:p w14:paraId="344DCFC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污染物产生浓度/（mg/L）</w:t>
            </w:r>
          </w:p>
        </w:tc>
        <w:tc>
          <w:tcPr>
            <w:tcW w:w="875" w:type="dxa"/>
            <w:tcBorders>
              <w:tl2br w:val="nil"/>
              <w:tr2bl w:val="nil"/>
            </w:tcBorders>
            <w:noWrap w:val="0"/>
            <w:vAlign w:val="center"/>
          </w:tcPr>
          <w:p w14:paraId="57EA63F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污染物产生量/（</w:t>
            </w:r>
            <w:r>
              <w:rPr>
                <w:rFonts w:hint="eastAsia"/>
                <w:b/>
                <w:bCs w:val="0"/>
                <w:color w:val="auto"/>
                <w:sz w:val="21"/>
                <w:szCs w:val="21"/>
                <w:lang w:val="en-US" w:eastAsia="zh-CN"/>
              </w:rPr>
              <w:t>t/a</w:t>
            </w:r>
            <w:r>
              <w:rPr>
                <w:b/>
                <w:bCs w:val="0"/>
                <w:color w:val="auto"/>
                <w:sz w:val="21"/>
                <w:szCs w:val="21"/>
              </w:rPr>
              <w:t>）</w:t>
            </w:r>
          </w:p>
        </w:tc>
        <w:tc>
          <w:tcPr>
            <w:tcW w:w="1054" w:type="dxa"/>
            <w:tcBorders>
              <w:tl2br w:val="nil"/>
              <w:tr2bl w:val="nil"/>
            </w:tcBorders>
            <w:noWrap w:val="0"/>
            <w:vAlign w:val="center"/>
          </w:tcPr>
          <w:p w14:paraId="5FA21EC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593" w:type="dxa"/>
            <w:tcBorders>
              <w:tl2br w:val="nil"/>
              <w:tr2bl w:val="nil"/>
            </w:tcBorders>
            <w:noWrap w:val="0"/>
            <w:vAlign w:val="center"/>
          </w:tcPr>
          <w:p w14:paraId="4203346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收集效率/%</w:t>
            </w:r>
          </w:p>
        </w:tc>
        <w:tc>
          <w:tcPr>
            <w:tcW w:w="592" w:type="dxa"/>
            <w:tcBorders>
              <w:tl2br w:val="nil"/>
              <w:tr2bl w:val="nil"/>
            </w:tcBorders>
            <w:noWrap w:val="0"/>
            <w:vAlign w:val="center"/>
          </w:tcPr>
          <w:p w14:paraId="0D1578E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处理效率/%</w:t>
            </w:r>
          </w:p>
        </w:tc>
        <w:tc>
          <w:tcPr>
            <w:tcW w:w="889" w:type="dxa"/>
            <w:tcBorders>
              <w:tl2br w:val="nil"/>
              <w:tr2bl w:val="nil"/>
            </w:tcBorders>
            <w:noWrap w:val="0"/>
            <w:vAlign w:val="center"/>
          </w:tcPr>
          <w:p w14:paraId="5A00F08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032" w:type="dxa"/>
            <w:tcBorders>
              <w:tl2br w:val="nil"/>
              <w:tr2bl w:val="nil"/>
            </w:tcBorders>
            <w:noWrap w:val="0"/>
            <w:vAlign w:val="center"/>
          </w:tcPr>
          <w:p w14:paraId="5502E5C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废水排放量/（</w:t>
            </w:r>
            <w:r>
              <w:rPr>
                <w:rFonts w:hint="eastAsia"/>
                <w:b/>
                <w:bCs w:val="0"/>
                <w:color w:val="auto"/>
                <w:sz w:val="21"/>
                <w:szCs w:val="21"/>
                <w:lang w:eastAsia="zh-CN"/>
              </w:rPr>
              <w:t>m³</w:t>
            </w:r>
            <w:r>
              <w:rPr>
                <w:b/>
                <w:bCs w:val="0"/>
                <w:color w:val="auto"/>
                <w:sz w:val="21"/>
                <w:szCs w:val="21"/>
              </w:rPr>
              <w:t>/d）</w:t>
            </w:r>
          </w:p>
        </w:tc>
        <w:tc>
          <w:tcPr>
            <w:tcW w:w="1001" w:type="dxa"/>
            <w:gridSpan w:val="2"/>
            <w:tcBorders>
              <w:tl2br w:val="nil"/>
              <w:tr2bl w:val="nil"/>
            </w:tcBorders>
            <w:noWrap w:val="0"/>
            <w:vAlign w:val="center"/>
          </w:tcPr>
          <w:p w14:paraId="71F63E1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污染物排放浓度/（mg/L）</w:t>
            </w:r>
          </w:p>
        </w:tc>
        <w:tc>
          <w:tcPr>
            <w:tcW w:w="964" w:type="dxa"/>
            <w:tcBorders>
              <w:tl2br w:val="nil"/>
              <w:tr2bl w:val="nil"/>
            </w:tcBorders>
            <w:noWrap w:val="0"/>
            <w:vAlign w:val="center"/>
          </w:tcPr>
          <w:p w14:paraId="4235FD3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污染物排放量/（</w:t>
            </w:r>
            <w:r>
              <w:rPr>
                <w:rFonts w:hint="eastAsia"/>
                <w:b/>
                <w:bCs w:val="0"/>
                <w:color w:val="auto"/>
                <w:sz w:val="21"/>
                <w:szCs w:val="21"/>
                <w:lang w:val="en-US" w:eastAsia="zh-CN"/>
              </w:rPr>
              <w:t>t/a</w:t>
            </w:r>
            <w:r>
              <w:rPr>
                <w:b/>
                <w:bCs w:val="0"/>
                <w:color w:val="auto"/>
                <w:sz w:val="21"/>
                <w:szCs w:val="21"/>
              </w:rPr>
              <w:t>）</w:t>
            </w:r>
          </w:p>
        </w:tc>
        <w:tc>
          <w:tcPr>
            <w:tcW w:w="806" w:type="dxa"/>
            <w:vMerge w:val="continue"/>
            <w:tcBorders>
              <w:tl2br w:val="nil"/>
              <w:tr2bl w:val="nil"/>
            </w:tcBorders>
            <w:noWrap w:val="0"/>
            <w:vAlign w:val="center"/>
          </w:tcPr>
          <w:p w14:paraId="197F291D">
            <w:pPr>
              <w:pageBreakBefore w:val="0"/>
              <w:wordWrap/>
              <w:bidi w:val="0"/>
              <w:adjustRightInd/>
              <w:snapToGrid/>
              <w:spacing w:line="240" w:lineRule="auto"/>
              <w:ind w:firstLine="0" w:firstLineChars="0"/>
              <w:jc w:val="center"/>
              <w:rPr>
                <w:bCs/>
                <w:color w:val="auto"/>
                <w:sz w:val="21"/>
                <w:szCs w:val="21"/>
              </w:rPr>
            </w:pPr>
          </w:p>
        </w:tc>
        <w:tc>
          <w:tcPr>
            <w:tcW w:w="793" w:type="dxa"/>
            <w:vMerge w:val="continue"/>
            <w:tcBorders>
              <w:tl2br w:val="nil"/>
              <w:tr2bl w:val="nil"/>
            </w:tcBorders>
            <w:noWrap w:val="0"/>
            <w:vAlign w:val="center"/>
          </w:tcPr>
          <w:p w14:paraId="0342D3F3">
            <w:pPr>
              <w:pageBreakBefore w:val="0"/>
              <w:wordWrap/>
              <w:bidi w:val="0"/>
              <w:adjustRightInd/>
              <w:snapToGrid/>
              <w:spacing w:line="240" w:lineRule="auto"/>
              <w:ind w:firstLine="0" w:firstLineChars="0"/>
              <w:jc w:val="center"/>
              <w:rPr>
                <w:bCs/>
                <w:color w:val="auto"/>
                <w:sz w:val="21"/>
                <w:szCs w:val="21"/>
              </w:rPr>
            </w:pPr>
          </w:p>
        </w:tc>
      </w:tr>
      <w:tr w14:paraId="1540D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restart"/>
            <w:tcBorders>
              <w:tl2br w:val="nil"/>
              <w:tr2bl w:val="nil"/>
            </w:tcBorders>
            <w:noWrap w:val="0"/>
            <w:vAlign w:val="center"/>
          </w:tcPr>
          <w:p w14:paraId="24E650F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收集废水</w:t>
            </w:r>
          </w:p>
        </w:tc>
        <w:tc>
          <w:tcPr>
            <w:tcW w:w="1043" w:type="dxa"/>
            <w:vMerge w:val="restart"/>
            <w:tcBorders>
              <w:tl2br w:val="nil"/>
              <w:tr2bl w:val="nil"/>
            </w:tcBorders>
            <w:noWrap w:val="0"/>
            <w:vAlign w:val="center"/>
          </w:tcPr>
          <w:p w14:paraId="50F82DD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服务范围收集水</w:t>
            </w:r>
          </w:p>
        </w:tc>
        <w:tc>
          <w:tcPr>
            <w:tcW w:w="891" w:type="dxa"/>
            <w:tcBorders>
              <w:tl2br w:val="nil"/>
              <w:tr2bl w:val="nil"/>
            </w:tcBorders>
            <w:noWrap w:val="0"/>
            <w:vAlign w:val="center"/>
          </w:tcPr>
          <w:p w14:paraId="6E6CF37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pH</w:t>
            </w:r>
          </w:p>
        </w:tc>
        <w:tc>
          <w:tcPr>
            <w:tcW w:w="928" w:type="dxa"/>
            <w:tcBorders>
              <w:tl2br w:val="nil"/>
              <w:tr2bl w:val="nil"/>
            </w:tcBorders>
            <w:noWrap w:val="0"/>
            <w:vAlign w:val="center"/>
          </w:tcPr>
          <w:p w14:paraId="63B6227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restart"/>
            <w:tcBorders>
              <w:tl2br w:val="nil"/>
              <w:tr2bl w:val="nil"/>
            </w:tcBorders>
            <w:noWrap w:val="0"/>
            <w:vAlign w:val="center"/>
          </w:tcPr>
          <w:p w14:paraId="199FE09B">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3000</w:t>
            </w:r>
          </w:p>
        </w:tc>
        <w:tc>
          <w:tcPr>
            <w:tcW w:w="1853" w:type="dxa"/>
            <w:gridSpan w:val="2"/>
            <w:tcBorders>
              <w:tl2br w:val="nil"/>
              <w:tr2bl w:val="nil"/>
            </w:tcBorders>
            <w:noWrap w:val="0"/>
            <w:vAlign w:val="center"/>
          </w:tcPr>
          <w:p w14:paraId="3B66F49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6.0-9.0</w:t>
            </w:r>
          </w:p>
        </w:tc>
        <w:tc>
          <w:tcPr>
            <w:tcW w:w="1054" w:type="dxa"/>
            <w:vMerge w:val="restart"/>
            <w:tcBorders>
              <w:tl2br w:val="nil"/>
              <w:tr2bl w:val="nil"/>
            </w:tcBorders>
            <w:noWrap w:val="0"/>
            <w:vAlign w:val="center"/>
          </w:tcPr>
          <w:p w14:paraId="08DCEB58">
            <w:pPr>
              <w:pageBreakBefore w:val="0"/>
              <w:wordWrap/>
              <w:bidi w:val="0"/>
              <w:adjustRightInd/>
              <w:snapToGrid/>
              <w:spacing w:line="240" w:lineRule="auto"/>
              <w:ind w:firstLine="0" w:firstLineChars="0"/>
              <w:jc w:val="center"/>
              <w:rPr>
                <w:bCs/>
                <w:color w:val="auto"/>
                <w:sz w:val="21"/>
                <w:szCs w:val="21"/>
              </w:rPr>
            </w:pPr>
            <w:r>
              <w:rPr>
                <w:rFonts w:hint="eastAsia"/>
                <w:bCs/>
                <w:color w:val="auto"/>
                <w:sz w:val="21"/>
                <w:szCs w:val="21"/>
              </w:rPr>
              <w:t>超细格栅+调节池+高级氧化预处理（预留）+水解酸化池+生化池+二沉池+磁混凝沉淀池+深床反硝化+高级氧化深度处理+紫外线消毒</w:t>
            </w:r>
          </w:p>
        </w:tc>
        <w:tc>
          <w:tcPr>
            <w:tcW w:w="593" w:type="dxa"/>
            <w:tcBorders>
              <w:tl2br w:val="nil"/>
              <w:tr2bl w:val="nil"/>
            </w:tcBorders>
            <w:noWrap w:val="0"/>
            <w:vAlign w:val="center"/>
          </w:tcPr>
          <w:p w14:paraId="72430479">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79138B6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889" w:type="dxa"/>
            <w:tcBorders>
              <w:tl2br w:val="nil"/>
              <w:tr2bl w:val="nil"/>
            </w:tcBorders>
            <w:noWrap w:val="0"/>
            <w:vAlign w:val="center"/>
          </w:tcPr>
          <w:p w14:paraId="13468A5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restart"/>
            <w:tcBorders>
              <w:tl2br w:val="nil"/>
              <w:tr2bl w:val="nil"/>
            </w:tcBorders>
            <w:noWrap w:val="0"/>
            <w:vAlign w:val="center"/>
          </w:tcPr>
          <w:p w14:paraId="52B3E06C">
            <w:pPr>
              <w:pageBreakBefore w:val="0"/>
              <w:wordWrap/>
              <w:bidi w:val="0"/>
              <w:adjustRightInd/>
              <w:snapToGrid/>
              <w:spacing w:line="240" w:lineRule="auto"/>
              <w:ind w:firstLine="0" w:firstLineChars="0"/>
              <w:jc w:val="center"/>
              <w:rPr>
                <w:bCs/>
                <w:color w:val="auto"/>
                <w:kern w:val="0"/>
                <w:sz w:val="21"/>
                <w:szCs w:val="21"/>
              </w:rPr>
            </w:pPr>
            <w:r>
              <w:rPr>
                <w:bCs/>
                <w:color w:val="auto"/>
                <w:sz w:val="21"/>
                <w:szCs w:val="21"/>
              </w:rPr>
              <w:t>80000</w:t>
            </w:r>
          </w:p>
        </w:tc>
        <w:tc>
          <w:tcPr>
            <w:tcW w:w="1965" w:type="dxa"/>
            <w:gridSpan w:val="3"/>
            <w:tcBorders>
              <w:tl2br w:val="nil"/>
              <w:tr2bl w:val="nil"/>
            </w:tcBorders>
            <w:noWrap w:val="0"/>
            <w:vAlign w:val="center"/>
          </w:tcPr>
          <w:p w14:paraId="77097BA1">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6.0-9.0</w:t>
            </w:r>
          </w:p>
        </w:tc>
        <w:tc>
          <w:tcPr>
            <w:tcW w:w="806" w:type="dxa"/>
            <w:vMerge w:val="restart"/>
            <w:tcBorders>
              <w:tl2br w:val="nil"/>
              <w:tr2bl w:val="nil"/>
            </w:tcBorders>
            <w:noWrap w:val="0"/>
            <w:vAlign w:val="center"/>
          </w:tcPr>
          <w:p w14:paraId="1897E98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24h</w:t>
            </w:r>
          </w:p>
        </w:tc>
        <w:tc>
          <w:tcPr>
            <w:tcW w:w="793" w:type="dxa"/>
            <w:tcBorders>
              <w:tl2br w:val="nil"/>
              <w:tr2bl w:val="nil"/>
            </w:tcBorders>
            <w:noWrap w:val="0"/>
            <w:vAlign w:val="center"/>
          </w:tcPr>
          <w:p w14:paraId="05A982C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r>
      <w:tr w14:paraId="486F4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453B1D25">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35D7DC05">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20FC81E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COD</w:t>
            </w:r>
          </w:p>
        </w:tc>
        <w:tc>
          <w:tcPr>
            <w:tcW w:w="928" w:type="dxa"/>
            <w:tcBorders>
              <w:tl2br w:val="nil"/>
              <w:tr2bl w:val="nil"/>
            </w:tcBorders>
            <w:noWrap w:val="0"/>
            <w:vAlign w:val="center"/>
          </w:tcPr>
          <w:p w14:paraId="7FFF867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487326D3">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4622B5C1">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350</w:t>
            </w:r>
          </w:p>
        </w:tc>
        <w:tc>
          <w:tcPr>
            <w:tcW w:w="875" w:type="dxa"/>
            <w:tcBorders>
              <w:tl2br w:val="nil"/>
              <w:tr2bl w:val="nil"/>
            </w:tcBorders>
            <w:noWrap w:val="0"/>
            <w:vAlign w:val="center"/>
          </w:tcPr>
          <w:p w14:paraId="4DB1E26F">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383.25</w:t>
            </w:r>
          </w:p>
        </w:tc>
        <w:tc>
          <w:tcPr>
            <w:tcW w:w="1054" w:type="dxa"/>
            <w:vMerge w:val="continue"/>
            <w:tcBorders>
              <w:tl2br w:val="nil"/>
              <w:tr2bl w:val="nil"/>
            </w:tcBorders>
            <w:noWrap w:val="0"/>
            <w:vAlign w:val="center"/>
          </w:tcPr>
          <w:p w14:paraId="1A21EAD4">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2A6DF14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36120109">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85.7</w:t>
            </w:r>
          </w:p>
        </w:tc>
        <w:tc>
          <w:tcPr>
            <w:tcW w:w="889" w:type="dxa"/>
            <w:tcBorders>
              <w:tl2br w:val="nil"/>
              <w:tr2bl w:val="nil"/>
            </w:tcBorders>
            <w:noWrap w:val="0"/>
            <w:vAlign w:val="center"/>
          </w:tcPr>
          <w:p w14:paraId="70C35E8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33B4632A">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0180471E">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50</w:t>
            </w:r>
          </w:p>
        </w:tc>
        <w:tc>
          <w:tcPr>
            <w:tcW w:w="1034" w:type="dxa"/>
            <w:gridSpan w:val="2"/>
            <w:tcBorders>
              <w:tl2br w:val="nil"/>
              <w:tr2bl w:val="nil"/>
            </w:tcBorders>
            <w:noWrap w:val="0"/>
            <w:vAlign w:val="center"/>
          </w:tcPr>
          <w:p w14:paraId="3C0C010D">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806" w:type="dxa"/>
            <w:vMerge w:val="continue"/>
            <w:tcBorders>
              <w:tl2br w:val="nil"/>
              <w:tr2bl w:val="nil"/>
            </w:tcBorders>
            <w:noWrap w:val="0"/>
            <w:vAlign w:val="center"/>
          </w:tcPr>
          <w:p w14:paraId="5A5DFCFF">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76276B4E">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54.75</w:t>
            </w:r>
          </w:p>
        </w:tc>
      </w:tr>
      <w:tr w14:paraId="6439A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4291D5FF">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7615B533">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3DB2DB7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BOD</w:t>
            </w:r>
            <w:r>
              <w:rPr>
                <w:bCs/>
                <w:color w:val="auto"/>
                <w:sz w:val="21"/>
                <w:szCs w:val="21"/>
                <w:vertAlign w:val="subscript"/>
              </w:rPr>
              <w:t>5</w:t>
            </w:r>
          </w:p>
        </w:tc>
        <w:tc>
          <w:tcPr>
            <w:tcW w:w="928" w:type="dxa"/>
            <w:tcBorders>
              <w:tl2br w:val="nil"/>
              <w:tr2bl w:val="nil"/>
            </w:tcBorders>
            <w:noWrap w:val="0"/>
            <w:vAlign w:val="center"/>
          </w:tcPr>
          <w:p w14:paraId="2C9F780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3250DAC3">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7B53884F">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150</w:t>
            </w:r>
          </w:p>
        </w:tc>
        <w:tc>
          <w:tcPr>
            <w:tcW w:w="875" w:type="dxa"/>
            <w:tcBorders>
              <w:tl2br w:val="nil"/>
              <w:tr2bl w:val="nil"/>
            </w:tcBorders>
            <w:noWrap w:val="0"/>
            <w:vAlign w:val="center"/>
          </w:tcPr>
          <w:p w14:paraId="05FB5189">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164.25</w:t>
            </w:r>
          </w:p>
        </w:tc>
        <w:tc>
          <w:tcPr>
            <w:tcW w:w="1054" w:type="dxa"/>
            <w:vMerge w:val="continue"/>
            <w:tcBorders>
              <w:tl2br w:val="nil"/>
              <w:tr2bl w:val="nil"/>
            </w:tcBorders>
            <w:noWrap w:val="0"/>
            <w:vAlign w:val="center"/>
          </w:tcPr>
          <w:p w14:paraId="0438528C">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284F0A1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2AA22272">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93.3</w:t>
            </w:r>
          </w:p>
        </w:tc>
        <w:tc>
          <w:tcPr>
            <w:tcW w:w="889" w:type="dxa"/>
            <w:tcBorders>
              <w:tl2br w:val="nil"/>
              <w:tr2bl w:val="nil"/>
            </w:tcBorders>
            <w:noWrap w:val="0"/>
            <w:vAlign w:val="center"/>
          </w:tcPr>
          <w:p w14:paraId="605FAB9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26964E58">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39C0F42D">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w:t>
            </w:r>
          </w:p>
        </w:tc>
        <w:tc>
          <w:tcPr>
            <w:tcW w:w="1034" w:type="dxa"/>
            <w:gridSpan w:val="2"/>
            <w:tcBorders>
              <w:tl2br w:val="nil"/>
              <w:tr2bl w:val="nil"/>
            </w:tcBorders>
            <w:noWrap w:val="0"/>
            <w:vAlign w:val="center"/>
          </w:tcPr>
          <w:p w14:paraId="7355D90C">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10.95</w:t>
            </w:r>
          </w:p>
        </w:tc>
        <w:tc>
          <w:tcPr>
            <w:tcW w:w="806" w:type="dxa"/>
            <w:vMerge w:val="continue"/>
            <w:tcBorders>
              <w:tl2br w:val="nil"/>
              <w:tr2bl w:val="nil"/>
            </w:tcBorders>
            <w:noWrap w:val="0"/>
            <w:vAlign w:val="center"/>
          </w:tcPr>
          <w:p w14:paraId="0127D747">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5E830D4D">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10.95</w:t>
            </w:r>
          </w:p>
        </w:tc>
      </w:tr>
      <w:tr w14:paraId="1FE8D6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324235FE">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7250B0AA">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2E8286B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SS</w:t>
            </w:r>
          </w:p>
        </w:tc>
        <w:tc>
          <w:tcPr>
            <w:tcW w:w="928" w:type="dxa"/>
            <w:tcBorders>
              <w:tl2br w:val="nil"/>
              <w:tr2bl w:val="nil"/>
            </w:tcBorders>
            <w:noWrap w:val="0"/>
            <w:vAlign w:val="center"/>
          </w:tcPr>
          <w:p w14:paraId="3E3E671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7AB9294F">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10245EBF">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400</w:t>
            </w:r>
          </w:p>
        </w:tc>
        <w:tc>
          <w:tcPr>
            <w:tcW w:w="875" w:type="dxa"/>
            <w:tcBorders>
              <w:tl2br w:val="nil"/>
              <w:tr2bl w:val="nil"/>
            </w:tcBorders>
            <w:noWrap w:val="0"/>
            <w:vAlign w:val="center"/>
          </w:tcPr>
          <w:p w14:paraId="3A281046">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438</w:t>
            </w:r>
          </w:p>
        </w:tc>
        <w:tc>
          <w:tcPr>
            <w:tcW w:w="1054" w:type="dxa"/>
            <w:vMerge w:val="continue"/>
            <w:tcBorders>
              <w:tl2br w:val="nil"/>
              <w:tr2bl w:val="nil"/>
            </w:tcBorders>
            <w:noWrap w:val="0"/>
            <w:vAlign w:val="center"/>
          </w:tcPr>
          <w:p w14:paraId="2DE95B75">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30333D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2A26A586">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97.5</w:t>
            </w:r>
          </w:p>
        </w:tc>
        <w:tc>
          <w:tcPr>
            <w:tcW w:w="889" w:type="dxa"/>
            <w:tcBorders>
              <w:tl2br w:val="nil"/>
              <w:tr2bl w:val="nil"/>
            </w:tcBorders>
            <w:noWrap w:val="0"/>
            <w:vAlign w:val="center"/>
          </w:tcPr>
          <w:p w14:paraId="108E946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1494833A">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57D7707B">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w:t>
            </w:r>
          </w:p>
        </w:tc>
        <w:tc>
          <w:tcPr>
            <w:tcW w:w="1034" w:type="dxa"/>
            <w:gridSpan w:val="2"/>
            <w:tcBorders>
              <w:tl2br w:val="nil"/>
              <w:tr2bl w:val="nil"/>
            </w:tcBorders>
            <w:noWrap w:val="0"/>
            <w:vAlign w:val="center"/>
          </w:tcPr>
          <w:p w14:paraId="6A991497">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10.95</w:t>
            </w:r>
          </w:p>
        </w:tc>
        <w:tc>
          <w:tcPr>
            <w:tcW w:w="806" w:type="dxa"/>
            <w:vMerge w:val="continue"/>
            <w:tcBorders>
              <w:tl2br w:val="nil"/>
              <w:tr2bl w:val="nil"/>
            </w:tcBorders>
            <w:noWrap w:val="0"/>
            <w:vAlign w:val="center"/>
          </w:tcPr>
          <w:p w14:paraId="731DEC75">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2280CD0F">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10.95</w:t>
            </w:r>
          </w:p>
        </w:tc>
      </w:tr>
      <w:tr w14:paraId="4B56A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16379A40">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1CA19638">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61306DA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928" w:type="dxa"/>
            <w:tcBorders>
              <w:tl2br w:val="nil"/>
              <w:tr2bl w:val="nil"/>
            </w:tcBorders>
            <w:noWrap w:val="0"/>
            <w:vAlign w:val="center"/>
          </w:tcPr>
          <w:p w14:paraId="24883AE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63486C6F">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6C60BA75">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50</w:t>
            </w:r>
          </w:p>
        </w:tc>
        <w:tc>
          <w:tcPr>
            <w:tcW w:w="875" w:type="dxa"/>
            <w:tcBorders>
              <w:tl2br w:val="nil"/>
              <w:tr2bl w:val="nil"/>
            </w:tcBorders>
            <w:noWrap w:val="0"/>
            <w:vAlign w:val="center"/>
          </w:tcPr>
          <w:p w14:paraId="74A9B692">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1054" w:type="dxa"/>
            <w:vMerge w:val="continue"/>
            <w:tcBorders>
              <w:tl2br w:val="nil"/>
              <w:tr2bl w:val="nil"/>
            </w:tcBorders>
            <w:noWrap w:val="0"/>
            <w:vAlign w:val="center"/>
          </w:tcPr>
          <w:p w14:paraId="02535FCC">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D9076A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283C39CD">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90</w:t>
            </w:r>
          </w:p>
        </w:tc>
        <w:tc>
          <w:tcPr>
            <w:tcW w:w="889" w:type="dxa"/>
            <w:tcBorders>
              <w:tl2br w:val="nil"/>
              <w:tr2bl w:val="nil"/>
            </w:tcBorders>
            <w:noWrap w:val="0"/>
            <w:vAlign w:val="center"/>
          </w:tcPr>
          <w:p w14:paraId="6F4C4CF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4AD047CF">
            <w:pPr>
              <w:pageBreakBefore w:val="0"/>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35EFFD25">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5</w:t>
            </w:r>
          </w:p>
        </w:tc>
        <w:tc>
          <w:tcPr>
            <w:tcW w:w="1034" w:type="dxa"/>
            <w:gridSpan w:val="2"/>
            <w:tcBorders>
              <w:tl2br w:val="nil"/>
              <w:tr2bl w:val="nil"/>
            </w:tcBorders>
            <w:noWrap w:val="0"/>
            <w:vAlign w:val="center"/>
          </w:tcPr>
          <w:p w14:paraId="7177AD59">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806" w:type="dxa"/>
            <w:vMerge w:val="continue"/>
            <w:tcBorders>
              <w:tl2br w:val="nil"/>
              <w:tr2bl w:val="nil"/>
            </w:tcBorders>
            <w:noWrap w:val="0"/>
            <w:vAlign w:val="center"/>
          </w:tcPr>
          <w:p w14:paraId="42B508AD">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4D664519">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5.475</w:t>
            </w:r>
          </w:p>
        </w:tc>
      </w:tr>
      <w:tr w14:paraId="44834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0247DDCA">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498CCA96">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63F029F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TP</w:t>
            </w:r>
          </w:p>
        </w:tc>
        <w:tc>
          <w:tcPr>
            <w:tcW w:w="928" w:type="dxa"/>
            <w:tcBorders>
              <w:tl2br w:val="nil"/>
              <w:tr2bl w:val="nil"/>
            </w:tcBorders>
            <w:noWrap w:val="0"/>
            <w:vAlign w:val="center"/>
          </w:tcPr>
          <w:p w14:paraId="590CDD4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76E5F644">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210652DA">
            <w:pPr>
              <w:pageBreakBefore w:val="0"/>
              <w:widowControl/>
              <w:wordWrap/>
              <w:bidi w:val="0"/>
              <w:adjustRightInd/>
              <w:snapToGrid/>
              <w:spacing w:line="240" w:lineRule="auto"/>
              <w:ind w:firstLine="0" w:firstLineChars="0"/>
              <w:jc w:val="center"/>
              <w:textAlignment w:val="center"/>
              <w:rPr>
                <w:rFonts w:hint="eastAsia" w:eastAsia="宋体"/>
                <w:bCs/>
                <w:color w:val="auto"/>
                <w:kern w:val="0"/>
                <w:sz w:val="21"/>
                <w:szCs w:val="21"/>
                <w:lang w:eastAsia="zh-CN" w:bidi="ar"/>
              </w:rPr>
            </w:pPr>
            <w:r>
              <w:rPr>
                <w:rFonts w:hint="eastAsia"/>
                <w:bCs/>
                <w:color w:val="auto"/>
                <w:sz w:val="21"/>
                <w:szCs w:val="21"/>
                <w:lang w:val="en-US" w:eastAsia="zh-CN"/>
              </w:rPr>
              <w:t>4</w:t>
            </w:r>
          </w:p>
        </w:tc>
        <w:tc>
          <w:tcPr>
            <w:tcW w:w="875" w:type="dxa"/>
            <w:tcBorders>
              <w:tl2br w:val="nil"/>
              <w:tr2bl w:val="nil"/>
            </w:tcBorders>
            <w:noWrap w:val="0"/>
            <w:vAlign w:val="center"/>
          </w:tcPr>
          <w:p w14:paraId="60C59F8B">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4.38</w:t>
            </w:r>
          </w:p>
        </w:tc>
        <w:tc>
          <w:tcPr>
            <w:tcW w:w="1054" w:type="dxa"/>
            <w:vMerge w:val="continue"/>
            <w:tcBorders>
              <w:tl2br w:val="nil"/>
              <w:tr2bl w:val="nil"/>
            </w:tcBorders>
            <w:noWrap w:val="0"/>
            <w:vAlign w:val="center"/>
          </w:tcPr>
          <w:p w14:paraId="30A51386">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DADE9F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587D9782">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87.5</w:t>
            </w:r>
          </w:p>
        </w:tc>
        <w:tc>
          <w:tcPr>
            <w:tcW w:w="889" w:type="dxa"/>
            <w:tcBorders>
              <w:tl2br w:val="nil"/>
              <w:tr2bl w:val="nil"/>
            </w:tcBorders>
            <w:noWrap w:val="0"/>
            <w:vAlign w:val="center"/>
          </w:tcPr>
          <w:p w14:paraId="0DDB3E5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563A991B">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7A24BC72">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0.5</w:t>
            </w:r>
          </w:p>
        </w:tc>
        <w:tc>
          <w:tcPr>
            <w:tcW w:w="1034" w:type="dxa"/>
            <w:gridSpan w:val="2"/>
            <w:tcBorders>
              <w:tl2br w:val="nil"/>
              <w:tr2bl w:val="nil"/>
            </w:tcBorders>
            <w:noWrap w:val="0"/>
            <w:vAlign w:val="center"/>
          </w:tcPr>
          <w:p w14:paraId="64C5013E">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0.5475</w:t>
            </w:r>
          </w:p>
        </w:tc>
        <w:tc>
          <w:tcPr>
            <w:tcW w:w="806" w:type="dxa"/>
            <w:vMerge w:val="continue"/>
            <w:tcBorders>
              <w:tl2br w:val="nil"/>
              <w:tr2bl w:val="nil"/>
            </w:tcBorders>
            <w:noWrap w:val="0"/>
            <w:vAlign w:val="center"/>
          </w:tcPr>
          <w:p w14:paraId="23C2B554">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63831347">
            <w:pPr>
              <w:pageBreakBefore w:val="0"/>
              <w:widowControl/>
              <w:wordWrap/>
              <w:bidi w:val="0"/>
              <w:adjustRightInd/>
              <w:snapToGrid/>
              <w:spacing w:line="240" w:lineRule="auto"/>
              <w:ind w:firstLine="0" w:firstLineChars="0"/>
              <w:jc w:val="center"/>
              <w:textAlignment w:val="center"/>
              <w:rPr>
                <w:bCs/>
                <w:color w:val="auto"/>
                <w:kern w:val="0"/>
                <w:sz w:val="21"/>
                <w:szCs w:val="21"/>
                <w:lang w:bidi="ar"/>
              </w:rPr>
            </w:pPr>
            <w:r>
              <w:rPr>
                <w:rFonts w:hint="eastAsia"/>
                <w:bCs/>
                <w:color w:val="auto"/>
                <w:kern w:val="0"/>
                <w:sz w:val="21"/>
                <w:szCs w:val="21"/>
                <w:lang w:val="en-US" w:eastAsia="zh-CN" w:bidi="ar"/>
              </w:rPr>
              <w:t>0.5475</w:t>
            </w:r>
          </w:p>
        </w:tc>
      </w:tr>
      <w:tr w14:paraId="60E49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6F29C677">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533CDF7F">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5A34BFD6">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TN</w:t>
            </w:r>
          </w:p>
        </w:tc>
        <w:tc>
          <w:tcPr>
            <w:tcW w:w="928" w:type="dxa"/>
            <w:tcBorders>
              <w:tl2br w:val="nil"/>
              <w:tr2bl w:val="nil"/>
            </w:tcBorders>
            <w:noWrap w:val="0"/>
            <w:vAlign w:val="center"/>
          </w:tcPr>
          <w:p w14:paraId="13E6592A">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类比法</w:t>
            </w:r>
          </w:p>
        </w:tc>
        <w:tc>
          <w:tcPr>
            <w:tcW w:w="895" w:type="dxa"/>
            <w:vMerge w:val="continue"/>
            <w:tcBorders>
              <w:tl2br w:val="nil"/>
              <w:tr2bl w:val="nil"/>
            </w:tcBorders>
            <w:noWrap w:val="0"/>
            <w:vAlign w:val="center"/>
          </w:tcPr>
          <w:p w14:paraId="10233342">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0"/>
                <w:sz w:val="21"/>
                <w:szCs w:val="21"/>
                <w:lang w:val="en-US" w:eastAsia="zh-CN" w:bidi="ar-SA"/>
              </w:rPr>
            </w:pPr>
          </w:p>
        </w:tc>
        <w:tc>
          <w:tcPr>
            <w:tcW w:w="978" w:type="dxa"/>
            <w:tcBorders>
              <w:tl2br w:val="nil"/>
              <w:tr2bl w:val="nil"/>
            </w:tcBorders>
            <w:noWrap w:val="0"/>
            <w:vAlign w:val="center"/>
          </w:tcPr>
          <w:p w14:paraId="7AC55B09">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80</w:t>
            </w:r>
          </w:p>
        </w:tc>
        <w:tc>
          <w:tcPr>
            <w:tcW w:w="875" w:type="dxa"/>
            <w:tcBorders>
              <w:tl2br w:val="nil"/>
              <w:tr2bl w:val="nil"/>
            </w:tcBorders>
            <w:noWrap w:val="0"/>
            <w:vAlign w:val="center"/>
          </w:tcPr>
          <w:p w14:paraId="40D243A1">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87.6</w:t>
            </w:r>
          </w:p>
        </w:tc>
        <w:tc>
          <w:tcPr>
            <w:tcW w:w="1054" w:type="dxa"/>
            <w:vMerge w:val="continue"/>
            <w:tcBorders>
              <w:tl2br w:val="nil"/>
              <w:tr2bl w:val="nil"/>
            </w:tcBorders>
            <w:noWrap w:val="0"/>
            <w:vAlign w:val="center"/>
          </w:tcPr>
          <w:p w14:paraId="456522D2">
            <w:pPr>
              <w:pageBreakBefore w:val="0"/>
              <w:widowControl/>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593" w:type="dxa"/>
            <w:tcBorders>
              <w:tl2br w:val="nil"/>
              <w:tr2bl w:val="nil"/>
            </w:tcBorders>
            <w:noWrap w:val="0"/>
            <w:vAlign w:val="center"/>
          </w:tcPr>
          <w:p w14:paraId="7B949A30">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100</w:t>
            </w:r>
          </w:p>
        </w:tc>
        <w:tc>
          <w:tcPr>
            <w:tcW w:w="592" w:type="dxa"/>
            <w:tcBorders>
              <w:tl2br w:val="nil"/>
              <w:tr2bl w:val="nil"/>
            </w:tcBorders>
            <w:noWrap w:val="0"/>
            <w:vAlign w:val="center"/>
          </w:tcPr>
          <w:p w14:paraId="661D4496">
            <w:pPr>
              <w:pageBreakBefore w:val="0"/>
              <w:wordWrap/>
              <w:bidi w:val="0"/>
              <w:adjustRightInd/>
              <w:snapToGrid/>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81.25</w:t>
            </w:r>
          </w:p>
        </w:tc>
        <w:tc>
          <w:tcPr>
            <w:tcW w:w="889" w:type="dxa"/>
            <w:tcBorders>
              <w:tl2br w:val="nil"/>
              <w:tr2bl w:val="nil"/>
            </w:tcBorders>
            <w:noWrap w:val="0"/>
            <w:vAlign w:val="center"/>
          </w:tcPr>
          <w:p w14:paraId="336A745D">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类比法</w:t>
            </w:r>
          </w:p>
        </w:tc>
        <w:tc>
          <w:tcPr>
            <w:tcW w:w="1032" w:type="dxa"/>
            <w:vMerge w:val="continue"/>
            <w:tcBorders>
              <w:tl2br w:val="nil"/>
              <w:tr2bl w:val="nil"/>
            </w:tcBorders>
            <w:noWrap w:val="0"/>
            <w:vAlign w:val="center"/>
          </w:tcPr>
          <w:p w14:paraId="40B67FA2">
            <w:pPr>
              <w:pageBreakBefore w:val="0"/>
              <w:widowControl/>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931" w:type="dxa"/>
            <w:tcBorders>
              <w:tl2br w:val="nil"/>
              <w:tr2bl w:val="nil"/>
            </w:tcBorders>
            <w:noWrap w:val="0"/>
            <w:vAlign w:val="center"/>
          </w:tcPr>
          <w:p w14:paraId="5EEC11BD">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15</w:t>
            </w:r>
          </w:p>
        </w:tc>
        <w:tc>
          <w:tcPr>
            <w:tcW w:w="1034" w:type="dxa"/>
            <w:gridSpan w:val="2"/>
            <w:tcBorders>
              <w:tl2br w:val="nil"/>
              <w:tr2bl w:val="nil"/>
            </w:tcBorders>
            <w:noWrap w:val="0"/>
            <w:vAlign w:val="center"/>
          </w:tcPr>
          <w:p w14:paraId="51438463">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16.425</w:t>
            </w:r>
          </w:p>
        </w:tc>
        <w:tc>
          <w:tcPr>
            <w:tcW w:w="806" w:type="dxa"/>
            <w:vMerge w:val="continue"/>
            <w:tcBorders>
              <w:tl2br w:val="nil"/>
              <w:tr2bl w:val="nil"/>
            </w:tcBorders>
            <w:noWrap w:val="0"/>
            <w:vAlign w:val="center"/>
          </w:tcPr>
          <w:p w14:paraId="6D7D51B8">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793" w:type="dxa"/>
            <w:tcBorders>
              <w:tl2br w:val="nil"/>
              <w:tr2bl w:val="nil"/>
            </w:tcBorders>
            <w:noWrap w:val="0"/>
            <w:vAlign w:val="center"/>
          </w:tcPr>
          <w:p w14:paraId="3D80D842">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16.425</w:t>
            </w:r>
          </w:p>
        </w:tc>
      </w:tr>
      <w:tr w14:paraId="129E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0099541F">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03CE5719">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158793F2">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石油类</w:t>
            </w:r>
          </w:p>
        </w:tc>
        <w:tc>
          <w:tcPr>
            <w:tcW w:w="928" w:type="dxa"/>
            <w:tcBorders>
              <w:tl2br w:val="nil"/>
              <w:tr2bl w:val="nil"/>
            </w:tcBorders>
            <w:noWrap w:val="0"/>
            <w:vAlign w:val="center"/>
          </w:tcPr>
          <w:p w14:paraId="7E74FE88">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类比法</w:t>
            </w:r>
          </w:p>
        </w:tc>
        <w:tc>
          <w:tcPr>
            <w:tcW w:w="895" w:type="dxa"/>
            <w:vMerge w:val="continue"/>
            <w:tcBorders>
              <w:tl2br w:val="nil"/>
              <w:tr2bl w:val="nil"/>
            </w:tcBorders>
            <w:noWrap w:val="0"/>
            <w:vAlign w:val="center"/>
          </w:tcPr>
          <w:p w14:paraId="1CBDD3C1">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22215477">
            <w:pPr>
              <w:pageBreakBefore w:val="0"/>
              <w:widowControl/>
              <w:wordWrap/>
              <w:bidi w:val="0"/>
              <w:adjustRightInd/>
              <w:snapToGrid/>
              <w:spacing w:line="240" w:lineRule="auto"/>
              <w:ind w:firstLine="0" w:firstLineChars="0"/>
              <w:jc w:val="center"/>
              <w:textAlignment w:val="center"/>
              <w:rPr>
                <w:rFonts w:hint="default"/>
                <w:bCs/>
                <w:color w:val="auto"/>
                <w:sz w:val="21"/>
                <w:szCs w:val="21"/>
                <w:lang w:val="en-US" w:eastAsia="zh-CN"/>
              </w:rPr>
            </w:pPr>
            <w:r>
              <w:rPr>
                <w:rFonts w:hint="eastAsia"/>
                <w:bCs/>
                <w:color w:val="auto"/>
                <w:sz w:val="21"/>
                <w:szCs w:val="21"/>
                <w:lang w:val="en-US" w:eastAsia="zh-CN"/>
              </w:rPr>
              <w:t>1</w:t>
            </w:r>
          </w:p>
        </w:tc>
        <w:tc>
          <w:tcPr>
            <w:tcW w:w="875" w:type="dxa"/>
            <w:tcBorders>
              <w:tl2br w:val="nil"/>
              <w:tr2bl w:val="nil"/>
            </w:tcBorders>
            <w:noWrap w:val="0"/>
            <w:vAlign w:val="center"/>
          </w:tcPr>
          <w:p w14:paraId="3F58F8D7">
            <w:pPr>
              <w:pStyle w:val="12"/>
              <w:bidi w:val="0"/>
              <w:rPr>
                <w:rFonts w:hint="eastAsia"/>
                <w:color w:val="auto"/>
                <w:lang w:val="en-US" w:eastAsia="zh-CN"/>
              </w:rPr>
            </w:pPr>
            <w:r>
              <w:rPr>
                <w:rFonts w:hint="eastAsia"/>
                <w:color w:val="auto"/>
                <w:lang w:val="en-US" w:eastAsia="zh-CN"/>
              </w:rPr>
              <w:t>1.095</w:t>
            </w:r>
          </w:p>
        </w:tc>
        <w:tc>
          <w:tcPr>
            <w:tcW w:w="1054" w:type="dxa"/>
            <w:vMerge w:val="continue"/>
            <w:tcBorders>
              <w:tl2br w:val="nil"/>
              <w:tr2bl w:val="nil"/>
            </w:tcBorders>
            <w:noWrap w:val="0"/>
            <w:vAlign w:val="center"/>
          </w:tcPr>
          <w:p w14:paraId="1A2D90F0">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5AA9A6A1">
            <w:pPr>
              <w:pageBreakBefore w:val="0"/>
              <w:tabs>
                <w:tab w:val="left" w:pos="373"/>
              </w:tabs>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100</w:t>
            </w:r>
          </w:p>
        </w:tc>
        <w:tc>
          <w:tcPr>
            <w:tcW w:w="592" w:type="dxa"/>
            <w:tcBorders>
              <w:tl2br w:val="nil"/>
              <w:tr2bl w:val="nil"/>
            </w:tcBorders>
            <w:noWrap w:val="0"/>
            <w:vAlign w:val="center"/>
          </w:tcPr>
          <w:p w14:paraId="69E8659D">
            <w:pPr>
              <w:pageBreakBefore w:val="0"/>
              <w:wordWrap/>
              <w:bidi w:val="0"/>
              <w:adjustRightInd/>
              <w:snapToGrid/>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w:t>
            </w:r>
          </w:p>
        </w:tc>
        <w:tc>
          <w:tcPr>
            <w:tcW w:w="889" w:type="dxa"/>
            <w:tcBorders>
              <w:tl2br w:val="nil"/>
              <w:tr2bl w:val="nil"/>
            </w:tcBorders>
            <w:noWrap w:val="0"/>
            <w:vAlign w:val="center"/>
          </w:tcPr>
          <w:p w14:paraId="2197912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6984988C">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325423C2">
            <w:pPr>
              <w:pageBreakBefore w:val="0"/>
              <w:widowControl/>
              <w:wordWrap/>
              <w:bidi w:val="0"/>
              <w:adjustRightInd/>
              <w:snapToGrid/>
              <w:spacing w:line="240" w:lineRule="auto"/>
              <w:ind w:firstLine="0" w:firstLineChars="0"/>
              <w:jc w:val="center"/>
              <w:textAlignment w:val="center"/>
              <w:rPr>
                <w:rFonts w:hint="eastAsia"/>
                <w:bCs/>
                <w:color w:val="auto"/>
                <w:kern w:val="0"/>
                <w:sz w:val="21"/>
                <w:szCs w:val="21"/>
                <w:lang w:val="en-US" w:eastAsia="zh-CN" w:bidi="ar"/>
              </w:rPr>
            </w:pPr>
            <w:r>
              <w:rPr>
                <w:rFonts w:hint="eastAsia"/>
                <w:bCs/>
                <w:color w:val="auto"/>
                <w:sz w:val="21"/>
                <w:szCs w:val="21"/>
                <w:lang w:val="en-US" w:eastAsia="zh-CN"/>
              </w:rPr>
              <w:t>1</w:t>
            </w:r>
          </w:p>
        </w:tc>
        <w:tc>
          <w:tcPr>
            <w:tcW w:w="1034" w:type="dxa"/>
            <w:gridSpan w:val="2"/>
            <w:tcBorders>
              <w:tl2br w:val="nil"/>
              <w:tr2bl w:val="nil"/>
            </w:tcBorders>
            <w:noWrap w:val="0"/>
            <w:vAlign w:val="center"/>
          </w:tcPr>
          <w:p w14:paraId="42704D56">
            <w:pPr>
              <w:pStyle w:val="12"/>
              <w:bidi w:val="0"/>
              <w:ind w:left="0" w:leftChars="0" w:firstLine="0" w:firstLineChars="0"/>
              <w:rPr>
                <w:rFonts w:hint="eastAsia"/>
                <w:bCs/>
                <w:color w:val="auto"/>
                <w:kern w:val="0"/>
                <w:sz w:val="21"/>
                <w:szCs w:val="21"/>
                <w:lang w:val="en-US" w:eastAsia="zh-CN" w:bidi="ar"/>
              </w:rPr>
            </w:pPr>
            <w:r>
              <w:rPr>
                <w:rFonts w:hint="eastAsia"/>
                <w:color w:val="auto"/>
                <w:lang w:val="en-US" w:eastAsia="zh-CN"/>
              </w:rPr>
              <w:t>1.095</w:t>
            </w:r>
          </w:p>
        </w:tc>
        <w:tc>
          <w:tcPr>
            <w:tcW w:w="806" w:type="dxa"/>
            <w:vMerge w:val="continue"/>
            <w:tcBorders>
              <w:tl2br w:val="nil"/>
              <w:tr2bl w:val="nil"/>
            </w:tcBorders>
            <w:noWrap w:val="0"/>
            <w:vAlign w:val="center"/>
          </w:tcPr>
          <w:p w14:paraId="02F8D53C">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601E252C">
            <w:pPr>
              <w:pStyle w:val="12"/>
              <w:bidi w:val="0"/>
              <w:ind w:left="0" w:leftChars="0" w:firstLine="0" w:firstLineChars="0"/>
              <w:rPr>
                <w:rFonts w:hint="eastAsia"/>
                <w:bCs/>
                <w:color w:val="auto"/>
                <w:kern w:val="0"/>
                <w:sz w:val="21"/>
                <w:szCs w:val="21"/>
                <w:lang w:val="en-US" w:eastAsia="zh-CN" w:bidi="ar"/>
              </w:rPr>
            </w:pPr>
            <w:r>
              <w:rPr>
                <w:rFonts w:hint="eastAsia"/>
                <w:color w:val="auto"/>
                <w:lang w:val="en-US" w:eastAsia="zh-CN"/>
              </w:rPr>
              <w:t>1.095</w:t>
            </w:r>
          </w:p>
        </w:tc>
      </w:tr>
      <w:tr w14:paraId="570C8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64D1EB07">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55015DAF">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1404CE1F">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甲醛</w:t>
            </w:r>
          </w:p>
        </w:tc>
        <w:tc>
          <w:tcPr>
            <w:tcW w:w="928" w:type="dxa"/>
            <w:tcBorders>
              <w:tl2br w:val="nil"/>
              <w:tr2bl w:val="nil"/>
            </w:tcBorders>
            <w:noWrap w:val="0"/>
            <w:vAlign w:val="center"/>
          </w:tcPr>
          <w:p w14:paraId="5AD272A1">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类比法</w:t>
            </w:r>
          </w:p>
        </w:tc>
        <w:tc>
          <w:tcPr>
            <w:tcW w:w="895" w:type="dxa"/>
            <w:vMerge w:val="continue"/>
            <w:tcBorders>
              <w:tl2br w:val="nil"/>
              <w:tr2bl w:val="nil"/>
            </w:tcBorders>
            <w:noWrap w:val="0"/>
            <w:vAlign w:val="center"/>
          </w:tcPr>
          <w:p w14:paraId="5E254C63">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05D9D1F6">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w:t>
            </w:r>
          </w:p>
        </w:tc>
        <w:tc>
          <w:tcPr>
            <w:tcW w:w="875" w:type="dxa"/>
            <w:tcBorders>
              <w:tl2br w:val="nil"/>
              <w:tr2bl w:val="nil"/>
            </w:tcBorders>
            <w:noWrap w:val="0"/>
            <w:vAlign w:val="center"/>
          </w:tcPr>
          <w:p w14:paraId="56C1D44B">
            <w:pPr>
              <w:pStyle w:val="12"/>
              <w:bidi w:val="0"/>
              <w:rPr>
                <w:rFonts w:hint="default"/>
                <w:color w:val="auto"/>
                <w:lang w:val="en-US" w:eastAsia="zh-CN"/>
              </w:rPr>
            </w:pPr>
            <w:r>
              <w:rPr>
                <w:rFonts w:hint="eastAsia"/>
                <w:color w:val="auto"/>
                <w:lang w:val="en-US" w:eastAsia="zh-CN"/>
              </w:rPr>
              <w:t>1.095</w:t>
            </w:r>
          </w:p>
        </w:tc>
        <w:tc>
          <w:tcPr>
            <w:tcW w:w="1054" w:type="dxa"/>
            <w:vMerge w:val="continue"/>
            <w:tcBorders>
              <w:tl2br w:val="nil"/>
              <w:tr2bl w:val="nil"/>
            </w:tcBorders>
            <w:noWrap w:val="0"/>
            <w:vAlign w:val="center"/>
          </w:tcPr>
          <w:p w14:paraId="2AAAAAEA">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230FA77">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100</w:t>
            </w:r>
          </w:p>
        </w:tc>
        <w:tc>
          <w:tcPr>
            <w:tcW w:w="592" w:type="dxa"/>
            <w:tcBorders>
              <w:tl2br w:val="nil"/>
              <w:tr2bl w:val="nil"/>
            </w:tcBorders>
            <w:noWrap w:val="0"/>
            <w:vAlign w:val="center"/>
          </w:tcPr>
          <w:p w14:paraId="089DF0DC">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c>
          <w:tcPr>
            <w:tcW w:w="889" w:type="dxa"/>
            <w:tcBorders>
              <w:tl2br w:val="nil"/>
              <w:tr2bl w:val="nil"/>
            </w:tcBorders>
            <w:noWrap w:val="0"/>
            <w:vAlign w:val="center"/>
          </w:tcPr>
          <w:p w14:paraId="04810F3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2A3BF8AF">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0DCB2726">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sz w:val="21"/>
                <w:szCs w:val="21"/>
                <w:lang w:val="en-US" w:eastAsia="zh-CN"/>
              </w:rPr>
              <w:t>1</w:t>
            </w:r>
          </w:p>
        </w:tc>
        <w:tc>
          <w:tcPr>
            <w:tcW w:w="1034" w:type="dxa"/>
            <w:gridSpan w:val="2"/>
            <w:tcBorders>
              <w:tl2br w:val="nil"/>
              <w:tr2bl w:val="nil"/>
            </w:tcBorders>
            <w:noWrap w:val="0"/>
            <w:vAlign w:val="center"/>
          </w:tcPr>
          <w:p w14:paraId="2C4CFD27">
            <w:pPr>
              <w:pStyle w:val="12"/>
              <w:bidi w:val="0"/>
              <w:ind w:left="0" w:leftChars="0" w:firstLine="0" w:firstLineChars="0"/>
              <w:rPr>
                <w:rFonts w:hint="default" w:eastAsia="宋体"/>
                <w:bCs/>
                <w:color w:val="auto"/>
                <w:kern w:val="0"/>
                <w:sz w:val="21"/>
                <w:szCs w:val="21"/>
                <w:lang w:val="en-US" w:eastAsia="zh-CN" w:bidi="ar"/>
              </w:rPr>
            </w:pPr>
            <w:r>
              <w:rPr>
                <w:rFonts w:hint="eastAsia"/>
                <w:color w:val="auto"/>
                <w:lang w:val="en-US" w:eastAsia="zh-CN"/>
              </w:rPr>
              <w:t>1.095</w:t>
            </w:r>
          </w:p>
        </w:tc>
        <w:tc>
          <w:tcPr>
            <w:tcW w:w="806" w:type="dxa"/>
            <w:vMerge w:val="continue"/>
            <w:tcBorders>
              <w:tl2br w:val="nil"/>
              <w:tr2bl w:val="nil"/>
            </w:tcBorders>
            <w:noWrap w:val="0"/>
            <w:vAlign w:val="center"/>
          </w:tcPr>
          <w:p w14:paraId="7DFFCA60">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33CAF1C6">
            <w:pPr>
              <w:pStyle w:val="12"/>
              <w:bidi w:val="0"/>
              <w:ind w:left="0" w:leftChars="0" w:firstLine="0" w:firstLineChars="0"/>
              <w:rPr>
                <w:bCs/>
                <w:color w:val="auto"/>
                <w:kern w:val="0"/>
                <w:sz w:val="21"/>
                <w:szCs w:val="21"/>
                <w:lang w:bidi="ar"/>
              </w:rPr>
            </w:pPr>
            <w:r>
              <w:rPr>
                <w:rFonts w:hint="eastAsia"/>
                <w:color w:val="auto"/>
                <w:lang w:val="en-US" w:eastAsia="zh-CN"/>
              </w:rPr>
              <w:t>1.095</w:t>
            </w:r>
          </w:p>
        </w:tc>
      </w:tr>
    </w:tbl>
    <w:p w14:paraId="48D1DD10">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项目噪声污染源强核算汇总</w:t>
      </w:r>
    </w:p>
    <w:p w14:paraId="7D76945A">
      <w:pPr>
        <w:bidi w:val="0"/>
        <w:rPr>
          <w:color w:val="auto"/>
        </w:rPr>
      </w:pPr>
      <w:r>
        <w:rPr>
          <w:color w:val="auto"/>
        </w:rPr>
        <w:t>考虑到项目设备运行时降噪措施以降噪、隔振、设备基础防振措施为主，且主要在设备安装时</w:t>
      </w:r>
      <w:r>
        <w:rPr>
          <w:rFonts w:hint="eastAsia"/>
          <w:color w:val="auto"/>
          <w:lang w:eastAsia="zh-CN"/>
        </w:rPr>
        <w:t>具有</w:t>
      </w:r>
      <w:r>
        <w:rPr>
          <w:color w:val="auto"/>
        </w:rPr>
        <w:t>以上措施，故环评噪声分析暂不考虑后续降噪效果，故认为排放值即为源强。</w:t>
      </w:r>
    </w:p>
    <w:p w14:paraId="5611B7BA">
      <w:pPr>
        <w:pStyle w:val="15"/>
        <w:numPr>
          <w:ilvl w:val="0"/>
          <w:numId w:val="26"/>
        </w:numPr>
        <w:bidi w:val="0"/>
        <w:ind w:left="0" w:leftChars="0" w:firstLine="0" w:firstLineChars="0"/>
        <w:rPr>
          <w:color w:val="auto"/>
        </w:rPr>
      </w:pPr>
      <w:r>
        <w:rPr>
          <w:color w:val="auto"/>
        </w:rPr>
        <w:t>噪声污染源源强核算结果及相关参数一览表</w:t>
      </w:r>
    </w:p>
    <w:tbl>
      <w:tblPr>
        <w:tblStyle w:val="48"/>
        <w:tblW w:w="141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08"/>
        <w:gridCol w:w="1456"/>
        <w:gridCol w:w="1476"/>
        <w:gridCol w:w="1664"/>
        <w:gridCol w:w="983"/>
        <w:gridCol w:w="1402"/>
        <w:gridCol w:w="1475"/>
        <w:gridCol w:w="1095"/>
        <w:gridCol w:w="1230"/>
        <w:gridCol w:w="1105"/>
        <w:gridCol w:w="1112"/>
      </w:tblGrid>
      <w:tr w14:paraId="7D650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vMerge w:val="restart"/>
            <w:tcBorders>
              <w:tl2br w:val="nil"/>
              <w:tr2bl w:val="nil"/>
            </w:tcBorders>
            <w:noWrap w:val="0"/>
            <w:vAlign w:val="center"/>
          </w:tcPr>
          <w:p w14:paraId="5B49E23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1456" w:type="dxa"/>
            <w:vMerge w:val="restart"/>
            <w:tcBorders>
              <w:tl2br w:val="nil"/>
              <w:tr2bl w:val="nil"/>
            </w:tcBorders>
            <w:noWrap w:val="0"/>
            <w:vAlign w:val="center"/>
          </w:tcPr>
          <w:p w14:paraId="55E8283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装置</w:t>
            </w:r>
          </w:p>
        </w:tc>
        <w:tc>
          <w:tcPr>
            <w:tcW w:w="1476" w:type="dxa"/>
            <w:vMerge w:val="restart"/>
            <w:tcBorders>
              <w:tl2br w:val="nil"/>
              <w:tr2bl w:val="nil"/>
            </w:tcBorders>
            <w:noWrap w:val="0"/>
            <w:vAlign w:val="center"/>
          </w:tcPr>
          <w:p w14:paraId="1A86C0B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噪声源</w:t>
            </w:r>
          </w:p>
        </w:tc>
        <w:tc>
          <w:tcPr>
            <w:tcW w:w="1664" w:type="dxa"/>
            <w:vMerge w:val="restart"/>
            <w:tcBorders>
              <w:tl2br w:val="nil"/>
              <w:tr2bl w:val="nil"/>
            </w:tcBorders>
            <w:noWrap w:val="0"/>
            <w:vAlign w:val="center"/>
          </w:tcPr>
          <w:p w14:paraId="175E0F5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声源类型（频发、偶发等）</w:t>
            </w:r>
          </w:p>
        </w:tc>
        <w:tc>
          <w:tcPr>
            <w:tcW w:w="2385" w:type="dxa"/>
            <w:gridSpan w:val="2"/>
            <w:tcBorders>
              <w:tl2br w:val="nil"/>
              <w:tr2bl w:val="nil"/>
            </w:tcBorders>
            <w:noWrap w:val="0"/>
            <w:vAlign w:val="center"/>
          </w:tcPr>
          <w:p w14:paraId="76BE57B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噪声源强</w:t>
            </w:r>
          </w:p>
        </w:tc>
        <w:tc>
          <w:tcPr>
            <w:tcW w:w="2570" w:type="dxa"/>
            <w:gridSpan w:val="2"/>
            <w:tcBorders>
              <w:tl2br w:val="nil"/>
              <w:tr2bl w:val="nil"/>
            </w:tcBorders>
            <w:noWrap w:val="0"/>
            <w:vAlign w:val="center"/>
          </w:tcPr>
          <w:p w14:paraId="28D249A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降噪措施</w:t>
            </w:r>
          </w:p>
        </w:tc>
        <w:tc>
          <w:tcPr>
            <w:tcW w:w="2335" w:type="dxa"/>
            <w:gridSpan w:val="2"/>
            <w:tcBorders>
              <w:tl2br w:val="nil"/>
              <w:tr2bl w:val="nil"/>
            </w:tcBorders>
            <w:noWrap w:val="0"/>
            <w:vAlign w:val="center"/>
          </w:tcPr>
          <w:p w14:paraId="19FE29D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噪声排放值</w:t>
            </w:r>
          </w:p>
        </w:tc>
        <w:tc>
          <w:tcPr>
            <w:tcW w:w="1112" w:type="dxa"/>
            <w:vMerge w:val="restart"/>
            <w:tcBorders>
              <w:tl2br w:val="nil"/>
              <w:tr2bl w:val="nil"/>
            </w:tcBorders>
            <w:noWrap w:val="0"/>
            <w:vAlign w:val="center"/>
          </w:tcPr>
          <w:p w14:paraId="485FC57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持续时间/h</w:t>
            </w:r>
          </w:p>
        </w:tc>
      </w:tr>
      <w:tr w14:paraId="775A3E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vMerge w:val="continue"/>
            <w:tcBorders>
              <w:tl2br w:val="nil"/>
              <w:tr2bl w:val="nil"/>
            </w:tcBorders>
            <w:noWrap w:val="0"/>
            <w:vAlign w:val="center"/>
          </w:tcPr>
          <w:p w14:paraId="7AE8F279">
            <w:pPr>
              <w:pageBreakBefore w:val="0"/>
              <w:wordWrap/>
              <w:bidi w:val="0"/>
              <w:adjustRightInd/>
              <w:snapToGrid/>
              <w:spacing w:line="240" w:lineRule="auto"/>
              <w:ind w:firstLine="0" w:firstLineChars="0"/>
              <w:jc w:val="center"/>
              <w:rPr>
                <w:bCs/>
                <w:color w:val="auto"/>
                <w:sz w:val="21"/>
                <w:szCs w:val="21"/>
              </w:rPr>
            </w:pPr>
          </w:p>
        </w:tc>
        <w:tc>
          <w:tcPr>
            <w:tcW w:w="1456" w:type="dxa"/>
            <w:vMerge w:val="continue"/>
            <w:tcBorders>
              <w:tl2br w:val="nil"/>
              <w:tr2bl w:val="nil"/>
            </w:tcBorders>
            <w:noWrap w:val="0"/>
            <w:vAlign w:val="center"/>
          </w:tcPr>
          <w:p w14:paraId="4C6A608E">
            <w:pPr>
              <w:pageBreakBefore w:val="0"/>
              <w:wordWrap/>
              <w:bidi w:val="0"/>
              <w:adjustRightInd/>
              <w:snapToGrid/>
              <w:spacing w:line="240" w:lineRule="auto"/>
              <w:ind w:firstLine="0" w:firstLineChars="0"/>
              <w:jc w:val="center"/>
              <w:rPr>
                <w:bCs/>
                <w:color w:val="auto"/>
                <w:sz w:val="21"/>
                <w:szCs w:val="21"/>
              </w:rPr>
            </w:pPr>
          </w:p>
        </w:tc>
        <w:tc>
          <w:tcPr>
            <w:tcW w:w="1476" w:type="dxa"/>
            <w:vMerge w:val="continue"/>
            <w:tcBorders>
              <w:tl2br w:val="nil"/>
              <w:tr2bl w:val="nil"/>
            </w:tcBorders>
            <w:noWrap w:val="0"/>
            <w:vAlign w:val="center"/>
          </w:tcPr>
          <w:p w14:paraId="6838F0D4">
            <w:pPr>
              <w:pageBreakBefore w:val="0"/>
              <w:wordWrap/>
              <w:bidi w:val="0"/>
              <w:adjustRightInd/>
              <w:snapToGrid/>
              <w:spacing w:line="240" w:lineRule="auto"/>
              <w:ind w:firstLine="0" w:firstLineChars="0"/>
              <w:jc w:val="center"/>
              <w:rPr>
                <w:bCs/>
                <w:color w:val="auto"/>
                <w:sz w:val="21"/>
                <w:szCs w:val="21"/>
              </w:rPr>
            </w:pPr>
          </w:p>
        </w:tc>
        <w:tc>
          <w:tcPr>
            <w:tcW w:w="1664" w:type="dxa"/>
            <w:vMerge w:val="continue"/>
            <w:tcBorders>
              <w:tl2br w:val="nil"/>
              <w:tr2bl w:val="nil"/>
            </w:tcBorders>
            <w:noWrap w:val="0"/>
            <w:vAlign w:val="center"/>
          </w:tcPr>
          <w:p w14:paraId="4D28BE84">
            <w:pPr>
              <w:pageBreakBefore w:val="0"/>
              <w:wordWrap/>
              <w:bidi w:val="0"/>
              <w:adjustRightInd/>
              <w:snapToGrid/>
              <w:spacing w:line="240" w:lineRule="auto"/>
              <w:ind w:firstLine="0" w:firstLineChars="0"/>
              <w:jc w:val="center"/>
              <w:rPr>
                <w:bCs/>
                <w:color w:val="auto"/>
                <w:sz w:val="21"/>
                <w:szCs w:val="21"/>
              </w:rPr>
            </w:pPr>
          </w:p>
        </w:tc>
        <w:tc>
          <w:tcPr>
            <w:tcW w:w="983" w:type="dxa"/>
            <w:tcBorders>
              <w:tl2br w:val="nil"/>
              <w:tr2bl w:val="nil"/>
            </w:tcBorders>
            <w:noWrap w:val="0"/>
            <w:vAlign w:val="center"/>
          </w:tcPr>
          <w:p w14:paraId="3A54D56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402" w:type="dxa"/>
            <w:tcBorders>
              <w:tl2br w:val="nil"/>
              <w:tr2bl w:val="nil"/>
            </w:tcBorders>
            <w:noWrap w:val="0"/>
            <w:vAlign w:val="center"/>
          </w:tcPr>
          <w:p w14:paraId="542CDA1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噪声值/</w:t>
            </w:r>
            <w:r>
              <w:rPr>
                <w:b/>
                <w:bCs w:val="0"/>
                <w:color w:val="auto"/>
                <w:kern w:val="0"/>
                <w:position w:val="-2"/>
                <w:sz w:val="21"/>
                <w:szCs w:val="21"/>
              </w:rPr>
              <w:t>dB</w:t>
            </w:r>
            <w:r>
              <w:rPr>
                <w:rFonts w:hint="eastAsia"/>
                <w:b/>
                <w:bCs w:val="0"/>
                <w:color w:val="auto"/>
                <w:kern w:val="0"/>
                <w:position w:val="-2"/>
                <w:sz w:val="21"/>
                <w:szCs w:val="21"/>
                <w:lang w:eastAsia="zh-CN"/>
              </w:rPr>
              <w:t>（</w:t>
            </w:r>
            <w:r>
              <w:rPr>
                <w:b/>
                <w:bCs w:val="0"/>
                <w:color w:val="auto"/>
                <w:kern w:val="0"/>
                <w:position w:val="-2"/>
                <w:sz w:val="21"/>
                <w:szCs w:val="21"/>
              </w:rPr>
              <w:t>A）</w:t>
            </w:r>
          </w:p>
        </w:tc>
        <w:tc>
          <w:tcPr>
            <w:tcW w:w="1475" w:type="dxa"/>
            <w:tcBorders>
              <w:tl2br w:val="nil"/>
              <w:tr2bl w:val="nil"/>
            </w:tcBorders>
            <w:noWrap w:val="0"/>
            <w:vAlign w:val="center"/>
          </w:tcPr>
          <w:p w14:paraId="647FE9A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1095" w:type="dxa"/>
            <w:tcBorders>
              <w:tl2br w:val="nil"/>
              <w:tr2bl w:val="nil"/>
            </w:tcBorders>
            <w:noWrap w:val="0"/>
            <w:vAlign w:val="center"/>
          </w:tcPr>
          <w:p w14:paraId="4B50CF5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降噪效果</w:t>
            </w:r>
          </w:p>
        </w:tc>
        <w:tc>
          <w:tcPr>
            <w:tcW w:w="1230" w:type="dxa"/>
            <w:tcBorders>
              <w:tl2br w:val="nil"/>
              <w:tr2bl w:val="nil"/>
            </w:tcBorders>
            <w:noWrap w:val="0"/>
            <w:vAlign w:val="center"/>
          </w:tcPr>
          <w:p w14:paraId="74685F8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105" w:type="dxa"/>
            <w:tcBorders>
              <w:tl2br w:val="nil"/>
              <w:tr2bl w:val="nil"/>
            </w:tcBorders>
            <w:noWrap w:val="0"/>
            <w:vAlign w:val="center"/>
          </w:tcPr>
          <w:p w14:paraId="37452A8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噪声值/</w:t>
            </w:r>
            <w:r>
              <w:rPr>
                <w:b/>
                <w:bCs w:val="0"/>
                <w:color w:val="auto"/>
                <w:kern w:val="0"/>
                <w:position w:val="-2"/>
                <w:sz w:val="21"/>
                <w:szCs w:val="21"/>
              </w:rPr>
              <w:t>dB</w:t>
            </w:r>
            <w:r>
              <w:rPr>
                <w:rFonts w:hint="eastAsia"/>
                <w:b/>
                <w:bCs w:val="0"/>
                <w:color w:val="auto"/>
                <w:kern w:val="0"/>
                <w:position w:val="-2"/>
                <w:sz w:val="21"/>
                <w:szCs w:val="21"/>
                <w:lang w:eastAsia="zh-CN"/>
              </w:rPr>
              <w:t>（</w:t>
            </w:r>
            <w:r>
              <w:rPr>
                <w:b/>
                <w:bCs w:val="0"/>
                <w:color w:val="auto"/>
                <w:kern w:val="0"/>
                <w:position w:val="-2"/>
                <w:sz w:val="21"/>
                <w:szCs w:val="21"/>
              </w:rPr>
              <w:t>A）</w:t>
            </w:r>
          </w:p>
        </w:tc>
        <w:tc>
          <w:tcPr>
            <w:tcW w:w="1112" w:type="dxa"/>
            <w:vMerge w:val="continue"/>
            <w:tcBorders>
              <w:tl2br w:val="nil"/>
              <w:tr2bl w:val="nil"/>
            </w:tcBorders>
            <w:noWrap w:val="0"/>
            <w:vAlign w:val="center"/>
          </w:tcPr>
          <w:p w14:paraId="6EC6A34D">
            <w:pPr>
              <w:pageBreakBefore w:val="0"/>
              <w:wordWrap/>
              <w:bidi w:val="0"/>
              <w:adjustRightInd/>
              <w:snapToGrid/>
              <w:spacing w:line="240" w:lineRule="auto"/>
              <w:ind w:firstLine="0" w:firstLineChars="0"/>
              <w:jc w:val="center"/>
              <w:rPr>
                <w:bCs/>
                <w:color w:val="auto"/>
                <w:sz w:val="21"/>
                <w:szCs w:val="21"/>
              </w:rPr>
            </w:pPr>
          </w:p>
        </w:tc>
      </w:tr>
      <w:tr w14:paraId="5DFEC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57DF300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预处理区</w:t>
            </w:r>
          </w:p>
        </w:tc>
        <w:tc>
          <w:tcPr>
            <w:tcW w:w="1456" w:type="dxa"/>
            <w:tcBorders>
              <w:tl2br w:val="nil"/>
              <w:tr2bl w:val="nil"/>
            </w:tcBorders>
            <w:noWrap w:val="0"/>
            <w:vAlign w:val="center"/>
          </w:tcPr>
          <w:p w14:paraId="39CA08F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476" w:type="dxa"/>
            <w:tcBorders>
              <w:tl2br w:val="nil"/>
              <w:tr2bl w:val="nil"/>
            </w:tcBorders>
            <w:noWrap w:val="0"/>
            <w:vAlign w:val="center"/>
          </w:tcPr>
          <w:p w14:paraId="51F8BF1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664" w:type="dxa"/>
            <w:tcBorders>
              <w:tl2br w:val="nil"/>
              <w:tr2bl w:val="nil"/>
            </w:tcBorders>
            <w:noWrap w:val="0"/>
            <w:vAlign w:val="center"/>
          </w:tcPr>
          <w:p w14:paraId="6C40D6A7">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4F1F75AF">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55D45A44">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restart"/>
            <w:tcBorders>
              <w:tl2br w:val="nil"/>
              <w:tr2bl w:val="nil"/>
            </w:tcBorders>
            <w:noWrap w:val="0"/>
            <w:vAlign w:val="center"/>
          </w:tcPr>
          <w:p w14:paraId="09B2EA0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降噪、隔振、设备基础、防振措施</w:t>
            </w:r>
          </w:p>
        </w:tc>
        <w:tc>
          <w:tcPr>
            <w:tcW w:w="1095" w:type="dxa"/>
            <w:tcBorders>
              <w:tl2br w:val="nil"/>
              <w:tr2bl w:val="nil"/>
            </w:tcBorders>
            <w:noWrap w:val="0"/>
            <w:vAlign w:val="center"/>
          </w:tcPr>
          <w:p w14:paraId="1374DE7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3868DC83">
            <w:pPr>
              <w:pageBreakBefore w:val="0"/>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105" w:type="dxa"/>
            <w:tcBorders>
              <w:tl2br w:val="nil"/>
              <w:tr2bl w:val="nil"/>
            </w:tcBorders>
            <w:noWrap w:val="0"/>
            <w:vAlign w:val="center"/>
          </w:tcPr>
          <w:p w14:paraId="27557067">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rFonts w:hint="eastAsia"/>
                <w:bCs/>
                <w:color w:val="auto"/>
                <w:kern w:val="0"/>
                <w:sz w:val="21"/>
                <w:szCs w:val="21"/>
                <w:lang w:val="en-US" w:eastAsia="zh-CN"/>
              </w:rPr>
              <w:t>55-65</w:t>
            </w:r>
          </w:p>
        </w:tc>
        <w:tc>
          <w:tcPr>
            <w:tcW w:w="1112" w:type="dxa"/>
            <w:tcBorders>
              <w:tl2br w:val="nil"/>
              <w:tr2bl w:val="nil"/>
            </w:tcBorders>
            <w:noWrap w:val="0"/>
            <w:vAlign w:val="center"/>
          </w:tcPr>
          <w:p w14:paraId="51C16C1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8760</w:t>
            </w:r>
          </w:p>
        </w:tc>
      </w:tr>
      <w:tr w14:paraId="03BE8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64682BB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生化系统</w:t>
            </w:r>
          </w:p>
        </w:tc>
        <w:tc>
          <w:tcPr>
            <w:tcW w:w="1456" w:type="dxa"/>
            <w:tcBorders>
              <w:tl2br w:val="nil"/>
              <w:tr2bl w:val="nil"/>
            </w:tcBorders>
            <w:noWrap w:val="0"/>
            <w:vAlign w:val="center"/>
          </w:tcPr>
          <w:p w14:paraId="3B695DC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476" w:type="dxa"/>
            <w:tcBorders>
              <w:tl2br w:val="nil"/>
              <w:tr2bl w:val="nil"/>
            </w:tcBorders>
            <w:noWrap w:val="0"/>
            <w:vAlign w:val="center"/>
          </w:tcPr>
          <w:p w14:paraId="03D9D34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664" w:type="dxa"/>
            <w:tcBorders>
              <w:tl2br w:val="nil"/>
              <w:tr2bl w:val="nil"/>
            </w:tcBorders>
            <w:noWrap w:val="0"/>
            <w:vAlign w:val="center"/>
          </w:tcPr>
          <w:p w14:paraId="6F77C6C9">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102C1DD4">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04DECE97">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continue"/>
            <w:tcBorders>
              <w:tl2br w:val="nil"/>
              <w:tr2bl w:val="nil"/>
            </w:tcBorders>
            <w:noWrap w:val="0"/>
            <w:vAlign w:val="center"/>
          </w:tcPr>
          <w:p w14:paraId="6978EBC7">
            <w:pPr>
              <w:pageBreakBefore w:val="0"/>
              <w:wordWrap/>
              <w:bidi w:val="0"/>
              <w:adjustRightInd/>
              <w:snapToGrid/>
              <w:spacing w:line="240" w:lineRule="auto"/>
              <w:ind w:firstLine="0" w:firstLineChars="0"/>
              <w:jc w:val="center"/>
              <w:rPr>
                <w:bCs/>
                <w:color w:val="auto"/>
                <w:sz w:val="21"/>
                <w:szCs w:val="21"/>
              </w:rPr>
            </w:pPr>
          </w:p>
        </w:tc>
        <w:tc>
          <w:tcPr>
            <w:tcW w:w="1095" w:type="dxa"/>
            <w:tcBorders>
              <w:tl2br w:val="nil"/>
              <w:tr2bl w:val="nil"/>
            </w:tcBorders>
            <w:noWrap w:val="0"/>
            <w:vAlign w:val="center"/>
          </w:tcPr>
          <w:p w14:paraId="3D6D82C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58309B8D">
            <w:pPr>
              <w:pageBreakBefore w:val="0"/>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1105" w:type="dxa"/>
            <w:vMerge w:val="restart"/>
            <w:tcBorders>
              <w:tl2br w:val="nil"/>
              <w:tr2bl w:val="nil"/>
            </w:tcBorders>
            <w:noWrap w:val="0"/>
            <w:vAlign w:val="center"/>
          </w:tcPr>
          <w:p w14:paraId="7C547CC4">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rFonts w:hint="eastAsia"/>
                <w:bCs/>
                <w:color w:val="auto"/>
                <w:kern w:val="0"/>
                <w:sz w:val="21"/>
                <w:szCs w:val="21"/>
                <w:lang w:val="en-US" w:eastAsia="zh-CN"/>
              </w:rPr>
              <w:t>55-65</w:t>
            </w:r>
          </w:p>
        </w:tc>
        <w:tc>
          <w:tcPr>
            <w:tcW w:w="1112" w:type="dxa"/>
            <w:tcBorders>
              <w:tl2br w:val="nil"/>
              <w:tr2bl w:val="nil"/>
            </w:tcBorders>
            <w:noWrap w:val="0"/>
            <w:vAlign w:val="center"/>
          </w:tcPr>
          <w:p w14:paraId="5CD307C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8760</w:t>
            </w:r>
          </w:p>
        </w:tc>
      </w:tr>
      <w:tr w14:paraId="672A6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20FB1E2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污泥处置区</w:t>
            </w:r>
          </w:p>
        </w:tc>
        <w:tc>
          <w:tcPr>
            <w:tcW w:w="1456" w:type="dxa"/>
            <w:tcBorders>
              <w:tl2br w:val="nil"/>
              <w:tr2bl w:val="nil"/>
            </w:tcBorders>
            <w:noWrap w:val="0"/>
            <w:vAlign w:val="center"/>
          </w:tcPr>
          <w:p w14:paraId="253EB1C7">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bCs/>
                <w:color w:val="auto"/>
                <w:sz w:val="21"/>
                <w:szCs w:val="21"/>
              </w:rPr>
              <w:t>污泥脱水机</w:t>
            </w:r>
            <w:r>
              <w:rPr>
                <w:rFonts w:hint="eastAsia"/>
                <w:bCs/>
                <w:color w:val="auto"/>
                <w:sz w:val="21"/>
                <w:szCs w:val="21"/>
                <w:lang w:val="en-US" w:eastAsia="zh-CN"/>
              </w:rPr>
              <w:t>等</w:t>
            </w:r>
          </w:p>
        </w:tc>
        <w:tc>
          <w:tcPr>
            <w:tcW w:w="1476" w:type="dxa"/>
            <w:tcBorders>
              <w:tl2br w:val="nil"/>
              <w:tr2bl w:val="nil"/>
            </w:tcBorders>
            <w:noWrap w:val="0"/>
            <w:vAlign w:val="center"/>
          </w:tcPr>
          <w:p w14:paraId="38B977DA">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bCs/>
                <w:color w:val="auto"/>
                <w:sz w:val="21"/>
                <w:szCs w:val="21"/>
              </w:rPr>
              <w:t>污泥脱水机</w:t>
            </w:r>
            <w:r>
              <w:rPr>
                <w:rFonts w:hint="eastAsia"/>
                <w:bCs/>
                <w:color w:val="auto"/>
                <w:sz w:val="21"/>
                <w:szCs w:val="21"/>
                <w:lang w:val="en-US" w:eastAsia="zh-CN"/>
              </w:rPr>
              <w:t>等</w:t>
            </w:r>
          </w:p>
        </w:tc>
        <w:tc>
          <w:tcPr>
            <w:tcW w:w="1664" w:type="dxa"/>
            <w:tcBorders>
              <w:tl2br w:val="nil"/>
              <w:tr2bl w:val="nil"/>
            </w:tcBorders>
            <w:noWrap w:val="0"/>
            <w:vAlign w:val="center"/>
          </w:tcPr>
          <w:p w14:paraId="0882BAE0">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205B24D6">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2A56BBE7">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continue"/>
            <w:tcBorders>
              <w:tl2br w:val="nil"/>
              <w:tr2bl w:val="nil"/>
            </w:tcBorders>
            <w:noWrap w:val="0"/>
            <w:vAlign w:val="center"/>
          </w:tcPr>
          <w:p w14:paraId="1BA0CB84">
            <w:pPr>
              <w:pageBreakBefore w:val="0"/>
              <w:wordWrap/>
              <w:bidi w:val="0"/>
              <w:adjustRightInd/>
              <w:snapToGrid/>
              <w:spacing w:line="240" w:lineRule="auto"/>
              <w:ind w:firstLine="0" w:firstLineChars="0"/>
              <w:jc w:val="center"/>
              <w:rPr>
                <w:bCs/>
                <w:color w:val="auto"/>
                <w:sz w:val="21"/>
                <w:szCs w:val="21"/>
              </w:rPr>
            </w:pPr>
          </w:p>
        </w:tc>
        <w:tc>
          <w:tcPr>
            <w:tcW w:w="1095" w:type="dxa"/>
            <w:tcBorders>
              <w:tl2br w:val="nil"/>
              <w:tr2bl w:val="nil"/>
            </w:tcBorders>
            <w:noWrap w:val="0"/>
            <w:vAlign w:val="center"/>
          </w:tcPr>
          <w:p w14:paraId="510398A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7D35D8A8">
            <w:pPr>
              <w:pageBreakBefore w:val="0"/>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1105" w:type="dxa"/>
            <w:vMerge w:val="continue"/>
            <w:tcBorders>
              <w:tl2br w:val="nil"/>
              <w:tr2bl w:val="nil"/>
            </w:tcBorders>
            <w:noWrap w:val="0"/>
            <w:vAlign w:val="center"/>
          </w:tcPr>
          <w:p w14:paraId="164B09EE">
            <w:pPr>
              <w:pageBreakBefore w:val="0"/>
              <w:wordWrap/>
              <w:bidi w:val="0"/>
              <w:adjustRightInd/>
              <w:snapToGrid/>
              <w:spacing w:line="240" w:lineRule="auto"/>
              <w:ind w:firstLine="0" w:firstLineChars="0"/>
              <w:jc w:val="center"/>
              <w:rPr>
                <w:bCs/>
                <w:color w:val="auto"/>
                <w:kern w:val="0"/>
                <w:sz w:val="21"/>
                <w:szCs w:val="21"/>
              </w:rPr>
            </w:pPr>
          </w:p>
        </w:tc>
        <w:tc>
          <w:tcPr>
            <w:tcW w:w="1112" w:type="dxa"/>
            <w:tcBorders>
              <w:tl2br w:val="nil"/>
              <w:tr2bl w:val="nil"/>
            </w:tcBorders>
            <w:noWrap w:val="0"/>
            <w:vAlign w:val="center"/>
          </w:tcPr>
          <w:p w14:paraId="1FFC0CFA">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4380</w:t>
            </w:r>
          </w:p>
        </w:tc>
      </w:tr>
    </w:tbl>
    <w:p w14:paraId="6A28C44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项目固体废物污染源强核算汇总</w:t>
      </w:r>
    </w:p>
    <w:p w14:paraId="378464E0">
      <w:pPr>
        <w:pStyle w:val="15"/>
        <w:numPr>
          <w:ilvl w:val="0"/>
          <w:numId w:val="26"/>
        </w:numPr>
        <w:bidi w:val="0"/>
        <w:ind w:left="0" w:leftChars="0" w:firstLine="0" w:firstLineChars="0"/>
        <w:rPr>
          <w:color w:val="auto"/>
        </w:rPr>
      </w:pPr>
      <w:r>
        <w:rPr>
          <w:color w:val="auto"/>
        </w:rPr>
        <w:t>固体废物污染源源强核算结果及相关参数一览表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83"/>
        <w:gridCol w:w="1579"/>
        <w:gridCol w:w="1688"/>
        <w:gridCol w:w="1216"/>
        <w:gridCol w:w="1570"/>
        <w:gridCol w:w="3931"/>
        <w:gridCol w:w="1441"/>
        <w:gridCol w:w="1556"/>
      </w:tblGrid>
      <w:tr w14:paraId="778F17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02338DA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561" w:type="pct"/>
            <w:vMerge w:val="restart"/>
            <w:tcBorders>
              <w:tl2br w:val="nil"/>
              <w:tr2bl w:val="nil"/>
            </w:tcBorders>
            <w:noWrap w:val="0"/>
            <w:vAlign w:val="center"/>
          </w:tcPr>
          <w:p w14:paraId="6AA5ECA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固体废物名称</w:t>
            </w:r>
          </w:p>
        </w:tc>
        <w:tc>
          <w:tcPr>
            <w:tcW w:w="600" w:type="pct"/>
            <w:vMerge w:val="restart"/>
            <w:tcBorders>
              <w:tl2br w:val="nil"/>
              <w:tr2bl w:val="nil"/>
            </w:tcBorders>
            <w:noWrap w:val="0"/>
            <w:vAlign w:val="center"/>
          </w:tcPr>
          <w:p w14:paraId="0DF4819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固体废物属性</w:t>
            </w:r>
          </w:p>
        </w:tc>
        <w:tc>
          <w:tcPr>
            <w:tcW w:w="990" w:type="pct"/>
            <w:gridSpan w:val="2"/>
            <w:tcBorders>
              <w:tl2br w:val="nil"/>
              <w:tr2bl w:val="nil"/>
            </w:tcBorders>
            <w:noWrap w:val="0"/>
            <w:vAlign w:val="center"/>
          </w:tcPr>
          <w:p w14:paraId="563380A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产生情况</w:t>
            </w:r>
          </w:p>
        </w:tc>
        <w:tc>
          <w:tcPr>
            <w:tcW w:w="1909" w:type="pct"/>
            <w:gridSpan w:val="2"/>
            <w:tcBorders>
              <w:tl2br w:val="nil"/>
              <w:tr2bl w:val="nil"/>
            </w:tcBorders>
            <w:noWrap w:val="0"/>
            <w:vAlign w:val="center"/>
          </w:tcPr>
          <w:p w14:paraId="564814C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处置措施</w:t>
            </w:r>
          </w:p>
        </w:tc>
        <w:tc>
          <w:tcPr>
            <w:tcW w:w="553" w:type="pct"/>
            <w:vMerge w:val="restart"/>
            <w:tcBorders>
              <w:tl2br w:val="nil"/>
              <w:tr2bl w:val="nil"/>
            </w:tcBorders>
            <w:noWrap w:val="0"/>
            <w:vAlign w:val="center"/>
          </w:tcPr>
          <w:p w14:paraId="5893FC5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最终去向</w:t>
            </w:r>
          </w:p>
        </w:tc>
      </w:tr>
      <w:tr w14:paraId="5BD22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38DE0036">
            <w:pPr>
              <w:pageBreakBefore w:val="0"/>
              <w:wordWrap/>
              <w:bidi w:val="0"/>
              <w:adjustRightInd/>
              <w:snapToGrid/>
              <w:spacing w:line="240" w:lineRule="auto"/>
              <w:ind w:firstLine="0" w:firstLineChars="0"/>
              <w:jc w:val="center"/>
              <w:rPr>
                <w:bCs/>
                <w:color w:val="auto"/>
                <w:sz w:val="21"/>
                <w:szCs w:val="21"/>
              </w:rPr>
            </w:pPr>
          </w:p>
        </w:tc>
        <w:tc>
          <w:tcPr>
            <w:tcW w:w="561" w:type="pct"/>
            <w:vMerge w:val="continue"/>
            <w:tcBorders>
              <w:tl2br w:val="nil"/>
              <w:tr2bl w:val="nil"/>
            </w:tcBorders>
            <w:noWrap w:val="0"/>
            <w:vAlign w:val="center"/>
          </w:tcPr>
          <w:p w14:paraId="07E6F747">
            <w:pPr>
              <w:pageBreakBefore w:val="0"/>
              <w:wordWrap/>
              <w:bidi w:val="0"/>
              <w:adjustRightInd/>
              <w:snapToGrid/>
              <w:spacing w:line="240" w:lineRule="auto"/>
              <w:ind w:firstLine="0" w:firstLineChars="0"/>
              <w:jc w:val="center"/>
              <w:rPr>
                <w:bCs/>
                <w:color w:val="auto"/>
                <w:sz w:val="21"/>
                <w:szCs w:val="21"/>
              </w:rPr>
            </w:pPr>
          </w:p>
        </w:tc>
        <w:tc>
          <w:tcPr>
            <w:tcW w:w="600" w:type="pct"/>
            <w:vMerge w:val="continue"/>
            <w:tcBorders>
              <w:tl2br w:val="nil"/>
              <w:tr2bl w:val="nil"/>
            </w:tcBorders>
            <w:noWrap w:val="0"/>
            <w:vAlign w:val="center"/>
          </w:tcPr>
          <w:p w14:paraId="4B3EBD18">
            <w:pPr>
              <w:pageBreakBefore w:val="0"/>
              <w:wordWrap/>
              <w:bidi w:val="0"/>
              <w:adjustRightInd/>
              <w:snapToGrid/>
              <w:spacing w:line="240" w:lineRule="auto"/>
              <w:ind w:firstLine="0" w:firstLineChars="0"/>
              <w:jc w:val="center"/>
              <w:rPr>
                <w:bCs/>
                <w:color w:val="auto"/>
                <w:sz w:val="21"/>
                <w:szCs w:val="21"/>
              </w:rPr>
            </w:pPr>
          </w:p>
        </w:tc>
        <w:tc>
          <w:tcPr>
            <w:tcW w:w="432" w:type="pct"/>
            <w:tcBorders>
              <w:tl2br w:val="nil"/>
              <w:tr2bl w:val="nil"/>
            </w:tcBorders>
            <w:noWrap w:val="0"/>
            <w:vAlign w:val="center"/>
          </w:tcPr>
          <w:p w14:paraId="1699C16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558" w:type="pct"/>
            <w:tcBorders>
              <w:tl2br w:val="nil"/>
              <w:tr2bl w:val="nil"/>
            </w:tcBorders>
            <w:noWrap w:val="0"/>
            <w:vAlign w:val="center"/>
          </w:tcPr>
          <w:p w14:paraId="5A85DB2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产生量（t/a）</w:t>
            </w:r>
          </w:p>
        </w:tc>
        <w:tc>
          <w:tcPr>
            <w:tcW w:w="1397" w:type="pct"/>
            <w:tcBorders>
              <w:tl2br w:val="nil"/>
              <w:tr2bl w:val="nil"/>
            </w:tcBorders>
            <w:noWrap w:val="0"/>
            <w:vAlign w:val="center"/>
          </w:tcPr>
          <w:p w14:paraId="7314610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512" w:type="pct"/>
            <w:tcBorders>
              <w:tl2br w:val="nil"/>
              <w:tr2bl w:val="nil"/>
            </w:tcBorders>
            <w:noWrap w:val="0"/>
            <w:vAlign w:val="center"/>
          </w:tcPr>
          <w:p w14:paraId="65AE6C8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处置量（t/a）</w:t>
            </w:r>
          </w:p>
        </w:tc>
        <w:tc>
          <w:tcPr>
            <w:tcW w:w="553" w:type="pct"/>
            <w:vMerge w:val="continue"/>
            <w:tcBorders>
              <w:tl2br w:val="nil"/>
              <w:tr2bl w:val="nil"/>
            </w:tcBorders>
            <w:noWrap w:val="0"/>
            <w:vAlign w:val="center"/>
          </w:tcPr>
          <w:p w14:paraId="02B9EE30">
            <w:pPr>
              <w:pageBreakBefore w:val="0"/>
              <w:wordWrap/>
              <w:bidi w:val="0"/>
              <w:adjustRightInd/>
              <w:snapToGrid/>
              <w:spacing w:line="240" w:lineRule="auto"/>
              <w:ind w:firstLine="0" w:firstLineChars="0"/>
              <w:jc w:val="center"/>
              <w:rPr>
                <w:bCs/>
                <w:color w:val="auto"/>
                <w:sz w:val="21"/>
                <w:szCs w:val="21"/>
              </w:rPr>
            </w:pPr>
          </w:p>
        </w:tc>
      </w:tr>
      <w:tr w14:paraId="13646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5DC873CA">
            <w:pPr>
              <w:pStyle w:val="495"/>
              <w:pageBreakBefore w:val="0"/>
              <w:wordWrap/>
              <w:bidi w:val="0"/>
              <w:adjustRightInd/>
              <w:snapToGrid/>
              <w:ind w:firstLine="0" w:firstLineChars="0"/>
              <w:jc w:val="center"/>
              <w:rPr>
                <w:bCs/>
                <w:color w:val="auto"/>
                <w:sz w:val="21"/>
                <w:szCs w:val="21"/>
              </w:rPr>
            </w:pPr>
            <w:r>
              <w:rPr>
                <w:color w:val="auto"/>
                <w:sz w:val="21"/>
                <w:szCs w:val="21"/>
              </w:rPr>
              <w:t>员工办公生活</w:t>
            </w:r>
          </w:p>
        </w:tc>
        <w:tc>
          <w:tcPr>
            <w:tcW w:w="561" w:type="pct"/>
            <w:tcBorders>
              <w:tl2br w:val="nil"/>
              <w:tr2bl w:val="nil"/>
            </w:tcBorders>
            <w:noWrap w:val="0"/>
            <w:vAlign w:val="center"/>
          </w:tcPr>
          <w:p w14:paraId="4401FD0D">
            <w:pPr>
              <w:pStyle w:val="495"/>
              <w:pageBreakBefore w:val="0"/>
              <w:wordWrap/>
              <w:bidi w:val="0"/>
              <w:adjustRightInd/>
              <w:snapToGrid/>
              <w:ind w:firstLine="0" w:firstLineChars="0"/>
              <w:jc w:val="center"/>
              <w:rPr>
                <w:bCs/>
                <w:color w:val="auto"/>
                <w:sz w:val="21"/>
                <w:szCs w:val="21"/>
              </w:rPr>
            </w:pPr>
            <w:r>
              <w:rPr>
                <w:color w:val="auto"/>
                <w:sz w:val="21"/>
                <w:szCs w:val="21"/>
              </w:rPr>
              <w:t>生活垃圾</w:t>
            </w:r>
          </w:p>
        </w:tc>
        <w:tc>
          <w:tcPr>
            <w:tcW w:w="600" w:type="pct"/>
            <w:tcBorders>
              <w:tl2br w:val="nil"/>
              <w:tr2bl w:val="nil"/>
            </w:tcBorders>
            <w:noWrap w:val="0"/>
            <w:vAlign w:val="center"/>
          </w:tcPr>
          <w:p w14:paraId="06C283A3">
            <w:pPr>
              <w:pStyle w:val="495"/>
              <w:pageBreakBefore w:val="0"/>
              <w:wordWrap/>
              <w:bidi w:val="0"/>
              <w:adjustRightInd/>
              <w:snapToGrid/>
              <w:ind w:firstLine="0" w:firstLineChars="0"/>
              <w:jc w:val="center"/>
              <w:rPr>
                <w:bCs/>
                <w:color w:val="auto"/>
                <w:sz w:val="21"/>
                <w:szCs w:val="21"/>
              </w:rPr>
            </w:pPr>
            <w:r>
              <w:rPr>
                <w:color w:val="auto"/>
                <w:sz w:val="21"/>
                <w:szCs w:val="21"/>
              </w:rPr>
              <w:t>生活垃圾</w:t>
            </w:r>
          </w:p>
        </w:tc>
        <w:tc>
          <w:tcPr>
            <w:tcW w:w="432" w:type="pct"/>
            <w:tcBorders>
              <w:tl2br w:val="nil"/>
              <w:tr2bl w:val="nil"/>
            </w:tcBorders>
            <w:noWrap w:val="0"/>
            <w:vAlign w:val="center"/>
          </w:tcPr>
          <w:p w14:paraId="03687489">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7AB3C93D">
            <w:pPr>
              <w:pStyle w:val="495"/>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3.285</w:t>
            </w:r>
          </w:p>
        </w:tc>
        <w:tc>
          <w:tcPr>
            <w:tcW w:w="1397" w:type="pct"/>
            <w:tcBorders>
              <w:tl2br w:val="nil"/>
              <w:tr2bl w:val="nil"/>
            </w:tcBorders>
            <w:noWrap w:val="0"/>
            <w:vAlign w:val="center"/>
          </w:tcPr>
          <w:p w14:paraId="76026533">
            <w:pPr>
              <w:pStyle w:val="495"/>
              <w:pageBreakBefore w:val="0"/>
              <w:wordWrap/>
              <w:bidi w:val="0"/>
              <w:adjustRightInd/>
              <w:snapToGrid/>
              <w:ind w:firstLine="0" w:firstLineChars="0"/>
              <w:jc w:val="center"/>
              <w:rPr>
                <w:bCs/>
                <w:color w:val="auto"/>
                <w:sz w:val="21"/>
                <w:szCs w:val="21"/>
              </w:rPr>
            </w:pPr>
            <w:r>
              <w:rPr>
                <w:color w:val="auto"/>
                <w:sz w:val="21"/>
                <w:szCs w:val="21"/>
              </w:rPr>
              <w:t>环卫清运</w:t>
            </w:r>
          </w:p>
        </w:tc>
        <w:tc>
          <w:tcPr>
            <w:tcW w:w="512" w:type="pct"/>
            <w:tcBorders>
              <w:tl2br w:val="nil"/>
              <w:tr2bl w:val="nil"/>
            </w:tcBorders>
            <w:noWrap w:val="0"/>
            <w:vAlign w:val="center"/>
          </w:tcPr>
          <w:p w14:paraId="4C1C2B6F">
            <w:pPr>
              <w:pStyle w:val="495"/>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3.285</w:t>
            </w:r>
          </w:p>
        </w:tc>
        <w:tc>
          <w:tcPr>
            <w:tcW w:w="553" w:type="pct"/>
            <w:tcBorders>
              <w:tl2br w:val="nil"/>
              <w:tr2bl w:val="nil"/>
            </w:tcBorders>
            <w:noWrap w:val="0"/>
            <w:vAlign w:val="center"/>
          </w:tcPr>
          <w:p w14:paraId="3CFABB4D">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填埋场</w:t>
            </w:r>
          </w:p>
        </w:tc>
      </w:tr>
      <w:tr w14:paraId="5A472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02102E2B">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食堂</w:t>
            </w:r>
          </w:p>
        </w:tc>
        <w:tc>
          <w:tcPr>
            <w:tcW w:w="561" w:type="pct"/>
            <w:tcBorders>
              <w:tl2br w:val="nil"/>
              <w:tr2bl w:val="nil"/>
            </w:tcBorders>
            <w:noWrap w:val="0"/>
            <w:vAlign w:val="center"/>
          </w:tcPr>
          <w:p w14:paraId="198566DD">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食堂餐厨垃圾</w:t>
            </w:r>
          </w:p>
        </w:tc>
        <w:tc>
          <w:tcPr>
            <w:tcW w:w="600" w:type="pct"/>
            <w:tcBorders>
              <w:tl2br w:val="nil"/>
              <w:tr2bl w:val="nil"/>
            </w:tcBorders>
            <w:noWrap w:val="0"/>
            <w:vAlign w:val="center"/>
          </w:tcPr>
          <w:p w14:paraId="11BB0040">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生活垃圾</w:t>
            </w:r>
          </w:p>
        </w:tc>
        <w:tc>
          <w:tcPr>
            <w:tcW w:w="432" w:type="pct"/>
            <w:tcBorders>
              <w:tl2br w:val="nil"/>
              <w:tr2bl w:val="nil"/>
            </w:tcBorders>
            <w:noWrap w:val="0"/>
            <w:vAlign w:val="center"/>
          </w:tcPr>
          <w:p w14:paraId="4ABABDD9">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39F1628F">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1.314</w:t>
            </w:r>
          </w:p>
        </w:tc>
        <w:tc>
          <w:tcPr>
            <w:tcW w:w="1397" w:type="pct"/>
            <w:tcBorders>
              <w:tl2br w:val="nil"/>
              <w:tr2bl w:val="nil"/>
            </w:tcBorders>
            <w:noWrap w:val="0"/>
            <w:vAlign w:val="center"/>
          </w:tcPr>
          <w:p w14:paraId="0C0E3327">
            <w:pPr>
              <w:pStyle w:val="495"/>
              <w:pageBreakBefore w:val="0"/>
              <w:wordWrap/>
              <w:bidi w:val="0"/>
              <w:adjustRightInd/>
              <w:snapToGrid/>
              <w:ind w:firstLine="0" w:firstLineChars="0"/>
              <w:jc w:val="center"/>
              <w:rPr>
                <w:bCs/>
                <w:color w:val="auto"/>
                <w:sz w:val="21"/>
                <w:szCs w:val="21"/>
              </w:rPr>
            </w:pPr>
            <w:r>
              <w:rPr>
                <w:rFonts w:hint="eastAsia"/>
                <w:color w:val="auto"/>
                <w:sz w:val="21"/>
                <w:szCs w:val="21"/>
              </w:rPr>
              <w:t>有相应处理能力的单位清运处置</w:t>
            </w:r>
          </w:p>
        </w:tc>
        <w:tc>
          <w:tcPr>
            <w:tcW w:w="512" w:type="pct"/>
            <w:tcBorders>
              <w:tl2br w:val="nil"/>
              <w:tr2bl w:val="nil"/>
            </w:tcBorders>
            <w:noWrap w:val="0"/>
            <w:vAlign w:val="center"/>
          </w:tcPr>
          <w:p w14:paraId="7C9DB056">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1.314</w:t>
            </w:r>
          </w:p>
        </w:tc>
        <w:tc>
          <w:tcPr>
            <w:tcW w:w="553" w:type="pct"/>
            <w:tcBorders>
              <w:tl2br w:val="nil"/>
              <w:tr2bl w:val="nil"/>
            </w:tcBorders>
            <w:noWrap w:val="0"/>
            <w:vAlign w:val="center"/>
          </w:tcPr>
          <w:p w14:paraId="1875BD90">
            <w:pPr>
              <w:pageBreakBefore w:val="0"/>
              <w:wordWrap/>
              <w:bidi w:val="0"/>
              <w:adjustRightInd/>
              <w:snapToGrid/>
              <w:spacing w:line="240" w:lineRule="auto"/>
              <w:ind w:firstLine="0" w:firstLineChars="0"/>
              <w:jc w:val="center"/>
              <w:rPr>
                <w:bCs/>
                <w:color w:val="auto"/>
                <w:sz w:val="21"/>
                <w:szCs w:val="21"/>
              </w:rPr>
            </w:pPr>
            <w:r>
              <w:rPr>
                <w:rFonts w:hint="eastAsia"/>
                <w:color w:val="auto"/>
                <w:sz w:val="21"/>
                <w:szCs w:val="21"/>
              </w:rPr>
              <w:t>有相应处理能力的单位</w:t>
            </w:r>
          </w:p>
        </w:tc>
      </w:tr>
      <w:tr w14:paraId="75B6F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3C465908">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加药间等</w:t>
            </w:r>
          </w:p>
        </w:tc>
        <w:tc>
          <w:tcPr>
            <w:tcW w:w="561" w:type="pct"/>
            <w:tcBorders>
              <w:tl2br w:val="nil"/>
              <w:tr2bl w:val="nil"/>
            </w:tcBorders>
            <w:noWrap w:val="0"/>
            <w:vAlign w:val="center"/>
          </w:tcPr>
          <w:p w14:paraId="1AF9752B">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废包装材料</w:t>
            </w:r>
          </w:p>
        </w:tc>
        <w:tc>
          <w:tcPr>
            <w:tcW w:w="600" w:type="pct"/>
            <w:tcBorders>
              <w:tl2br w:val="nil"/>
              <w:tr2bl w:val="nil"/>
            </w:tcBorders>
            <w:noWrap w:val="0"/>
            <w:vAlign w:val="center"/>
          </w:tcPr>
          <w:p w14:paraId="1595522D">
            <w:pPr>
              <w:pStyle w:val="495"/>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79A77BBD">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3A8A20EF">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1397" w:type="pct"/>
            <w:tcBorders>
              <w:tl2br w:val="nil"/>
              <w:tr2bl w:val="nil"/>
            </w:tcBorders>
            <w:noWrap w:val="0"/>
            <w:vAlign w:val="center"/>
          </w:tcPr>
          <w:p w14:paraId="391A66CC">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外售废品回收站</w:t>
            </w:r>
          </w:p>
        </w:tc>
        <w:tc>
          <w:tcPr>
            <w:tcW w:w="512" w:type="pct"/>
            <w:tcBorders>
              <w:tl2br w:val="nil"/>
              <w:tr2bl w:val="nil"/>
            </w:tcBorders>
            <w:noWrap w:val="0"/>
            <w:vAlign w:val="center"/>
          </w:tcPr>
          <w:p w14:paraId="1FEADE23">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553" w:type="pct"/>
            <w:tcBorders>
              <w:tl2br w:val="nil"/>
              <w:tr2bl w:val="nil"/>
            </w:tcBorders>
            <w:noWrap w:val="0"/>
            <w:vAlign w:val="center"/>
          </w:tcPr>
          <w:p w14:paraId="1AEF6B30">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废品回收站</w:t>
            </w:r>
          </w:p>
        </w:tc>
      </w:tr>
      <w:tr w14:paraId="54F5F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19E8E9D3">
            <w:pPr>
              <w:pStyle w:val="495"/>
              <w:pageBreakBefore w:val="0"/>
              <w:wordWrap/>
              <w:bidi w:val="0"/>
              <w:adjustRightInd/>
              <w:snapToGrid/>
              <w:ind w:firstLine="0" w:firstLineChars="0"/>
              <w:jc w:val="center"/>
              <w:rPr>
                <w:bCs/>
                <w:color w:val="auto"/>
                <w:sz w:val="21"/>
                <w:szCs w:val="21"/>
              </w:rPr>
            </w:pPr>
            <w:r>
              <w:rPr>
                <w:color w:val="auto"/>
                <w:sz w:val="21"/>
                <w:szCs w:val="21"/>
              </w:rPr>
              <w:t>格栅</w:t>
            </w:r>
          </w:p>
        </w:tc>
        <w:tc>
          <w:tcPr>
            <w:tcW w:w="561" w:type="pct"/>
            <w:tcBorders>
              <w:tl2br w:val="nil"/>
              <w:tr2bl w:val="nil"/>
            </w:tcBorders>
            <w:noWrap w:val="0"/>
            <w:vAlign w:val="center"/>
          </w:tcPr>
          <w:p w14:paraId="6E0F9883">
            <w:pPr>
              <w:pStyle w:val="495"/>
              <w:pageBreakBefore w:val="0"/>
              <w:wordWrap/>
              <w:bidi w:val="0"/>
              <w:adjustRightInd/>
              <w:snapToGrid/>
              <w:ind w:firstLine="0" w:firstLineChars="0"/>
              <w:jc w:val="center"/>
              <w:rPr>
                <w:bCs/>
                <w:color w:val="auto"/>
                <w:sz w:val="21"/>
                <w:szCs w:val="21"/>
              </w:rPr>
            </w:pPr>
            <w:r>
              <w:rPr>
                <w:color w:val="auto"/>
                <w:sz w:val="21"/>
                <w:szCs w:val="21"/>
              </w:rPr>
              <w:t>栅渣</w:t>
            </w:r>
          </w:p>
        </w:tc>
        <w:tc>
          <w:tcPr>
            <w:tcW w:w="600" w:type="pct"/>
            <w:tcBorders>
              <w:tl2br w:val="nil"/>
              <w:tr2bl w:val="nil"/>
            </w:tcBorders>
            <w:noWrap w:val="0"/>
            <w:vAlign w:val="center"/>
          </w:tcPr>
          <w:p w14:paraId="0A301E87">
            <w:pPr>
              <w:pStyle w:val="495"/>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138949A3">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2A6647E1">
            <w:pPr>
              <w:pStyle w:val="495"/>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31.536</w:t>
            </w:r>
          </w:p>
        </w:tc>
        <w:tc>
          <w:tcPr>
            <w:tcW w:w="1397" w:type="pct"/>
            <w:tcBorders>
              <w:tl2br w:val="nil"/>
              <w:tr2bl w:val="nil"/>
            </w:tcBorders>
            <w:noWrap w:val="0"/>
            <w:vAlign w:val="center"/>
          </w:tcPr>
          <w:p w14:paraId="34A6B31C">
            <w:pPr>
              <w:pStyle w:val="495"/>
              <w:pageBreakBefore w:val="0"/>
              <w:wordWrap/>
              <w:bidi w:val="0"/>
              <w:adjustRightInd/>
              <w:snapToGrid/>
              <w:ind w:firstLine="0" w:firstLineChars="0"/>
              <w:jc w:val="center"/>
              <w:rPr>
                <w:bCs/>
                <w:color w:val="auto"/>
                <w:sz w:val="21"/>
                <w:szCs w:val="21"/>
              </w:rPr>
            </w:pPr>
            <w:r>
              <w:rPr>
                <w:color w:val="auto"/>
                <w:sz w:val="21"/>
                <w:szCs w:val="21"/>
              </w:rPr>
              <w:t>环卫部门清运</w:t>
            </w:r>
          </w:p>
        </w:tc>
        <w:tc>
          <w:tcPr>
            <w:tcW w:w="512" w:type="pct"/>
            <w:tcBorders>
              <w:tl2br w:val="nil"/>
              <w:tr2bl w:val="nil"/>
            </w:tcBorders>
            <w:noWrap w:val="0"/>
            <w:vAlign w:val="center"/>
          </w:tcPr>
          <w:p w14:paraId="52D2987E">
            <w:pPr>
              <w:pStyle w:val="495"/>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31.536</w:t>
            </w:r>
          </w:p>
        </w:tc>
        <w:tc>
          <w:tcPr>
            <w:tcW w:w="553" w:type="pct"/>
            <w:tcBorders>
              <w:tl2br w:val="nil"/>
              <w:tr2bl w:val="nil"/>
            </w:tcBorders>
            <w:noWrap w:val="0"/>
            <w:vAlign w:val="center"/>
          </w:tcPr>
          <w:p w14:paraId="5D7C527A">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填埋场</w:t>
            </w:r>
          </w:p>
        </w:tc>
      </w:tr>
      <w:tr w14:paraId="41082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058C6869">
            <w:pPr>
              <w:pStyle w:val="495"/>
              <w:pageBreakBefore w:val="0"/>
              <w:wordWrap/>
              <w:bidi w:val="0"/>
              <w:adjustRightInd/>
              <w:snapToGrid/>
              <w:ind w:firstLine="0" w:firstLineChars="0"/>
              <w:jc w:val="center"/>
              <w:rPr>
                <w:bCs/>
                <w:color w:val="auto"/>
                <w:sz w:val="21"/>
                <w:szCs w:val="21"/>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561" w:type="pct"/>
            <w:tcBorders>
              <w:tl2br w:val="nil"/>
              <w:tr2bl w:val="nil"/>
            </w:tcBorders>
            <w:noWrap w:val="0"/>
            <w:vAlign w:val="center"/>
          </w:tcPr>
          <w:p w14:paraId="1F3412AF">
            <w:pPr>
              <w:pStyle w:val="495"/>
              <w:pageBreakBefore w:val="0"/>
              <w:wordWrap/>
              <w:bidi w:val="0"/>
              <w:adjustRightInd/>
              <w:snapToGrid/>
              <w:ind w:firstLine="0" w:firstLineChars="0"/>
              <w:jc w:val="center"/>
              <w:rPr>
                <w:bCs/>
                <w:color w:val="auto"/>
                <w:sz w:val="21"/>
                <w:szCs w:val="21"/>
              </w:rPr>
            </w:pPr>
            <w:r>
              <w:rPr>
                <w:color w:val="auto"/>
                <w:sz w:val="21"/>
                <w:szCs w:val="21"/>
              </w:rPr>
              <w:t>污泥</w:t>
            </w:r>
          </w:p>
        </w:tc>
        <w:tc>
          <w:tcPr>
            <w:tcW w:w="600" w:type="pct"/>
            <w:tcBorders>
              <w:tl2br w:val="nil"/>
              <w:tr2bl w:val="nil"/>
            </w:tcBorders>
            <w:noWrap w:val="0"/>
            <w:vAlign w:val="center"/>
          </w:tcPr>
          <w:p w14:paraId="5608BFF9">
            <w:pPr>
              <w:pStyle w:val="495"/>
              <w:pageBreakBefore w:val="0"/>
              <w:wordWrap/>
              <w:bidi w:val="0"/>
              <w:adjustRightInd/>
              <w:snapToGrid/>
              <w:ind w:firstLine="0" w:firstLineChars="0"/>
              <w:jc w:val="center"/>
              <w:rPr>
                <w:bCs/>
                <w:color w:val="auto"/>
                <w:sz w:val="21"/>
                <w:szCs w:val="21"/>
              </w:rPr>
            </w:pPr>
            <w:r>
              <w:rPr>
                <w:color w:val="auto"/>
                <w:sz w:val="21"/>
                <w:szCs w:val="21"/>
              </w:rPr>
              <w:t>根据鉴定结果判别</w:t>
            </w:r>
          </w:p>
        </w:tc>
        <w:tc>
          <w:tcPr>
            <w:tcW w:w="432" w:type="pct"/>
            <w:tcBorders>
              <w:tl2br w:val="nil"/>
              <w:tr2bl w:val="nil"/>
            </w:tcBorders>
            <w:noWrap w:val="0"/>
            <w:vAlign w:val="center"/>
          </w:tcPr>
          <w:p w14:paraId="7629F624">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558" w:type="pct"/>
            <w:tcBorders>
              <w:tl2br w:val="nil"/>
              <w:tr2bl w:val="nil"/>
            </w:tcBorders>
            <w:noWrap w:val="0"/>
            <w:vAlign w:val="center"/>
          </w:tcPr>
          <w:p w14:paraId="7BE21D34">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582.54</w:t>
            </w:r>
          </w:p>
        </w:tc>
        <w:tc>
          <w:tcPr>
            <w:tcW w:w="1397" w:type="pct"/>
            <w:tcBorders>
              <w:tl2br w:val="nil"/>
              <w:tr2bl w:val="nil"/>
            </w:tcBorders>
            <w:noWrap w:val="0"/>
            <w:vAlign w:val="center"/>
          </w:tcPr>
          <w:p w14:paraId="2CB6295D">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19E159B2">
            <w:pPr>
              <w:pageBreakBefore w:val="0"/>
              <w:widowControl/>
              <w:wordWrap/>
              <w:bidi w:val="0"/>
              <w:adjustRightInd/>
              <w:snapToGrid/>
              <w:spacing w:line="240" w:lineRule="auto"/>
              <w:ind w:firstLine="0" w:firstLineChars="0"/>
              <w:jc w:val="left"/>
              <w:rPr>
                <w:color w:val="auto"/>
                <w:kern w:val="0"/>
                <w:sz w:val="21"/>
                <w:szCs w:val="21"/>
                <w:lang w:bidi="ar"/>
              </w:rPr>
            </w:pPr>
            <w:r>
              <w:rPr>
                <w:color w:val="auto"/>
                <w:kern w:val="0"/>
                <w:sz w:val="21"/>
                <w:szCs w:val="21"/>
                <w:lang w:bidi="ar"/>
              </w:rPr>
              <w:t>若属危废→危废处置单位；</w:t>
            </w:r>
          </w:p>
          <w:p w14:paraId="15126CAF">
            <w:pPr>
              <w:pageBreakBefore w:val="0"/>
              <w:widowControl/>
              <w:wordWrap/>
              <w:bidi w:val="0"/>
              <w:adjustRightInd/>
              <w:snapToGrid/>
              <w:spacing w:line="240" w:lineRule="auto"/>
              <w:ind w:firstLine="0" w:firstLineChars="0"/>
              <w:jc w:val="left"/>
              <w:rPr>
                <w:bCs/>
                <w:color w:val="auto"/>
                <w:sz w:val="21"/>
                <w:szCs w:val="21"/>
              </w:rPr>
            </w:pPr>
            <w:r>
              <w:rPr>
                <w:color w:val="auto"/>
                <w:kern w:val="0"/>
                <w:sz w:val="21"/>
                <w:szCs w:val="21"/>
                <w:lang w:bidi="ar"/>
              </w:rPr>
              <w:t>若不属危废→其他第三方专业机构处置。</w:t>
            </w:r>
          </w:p>
        </w:tc>
        <w:tc>
          <w:tcPr>
            <w:tcW w:w="512" w:type="pct"/>
            <w:tcBorders>
              <w:tl2br w:val="nil"/>
              <w:tr2bl w:val="nil"/>
            </w:tcBorders>
            <w:noWrap w:val="0"/>
            <w:vAlign w:val="center"/>
          </w:tcPr>
          <w:p w14:paraId="5DB0CE99">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582.54</w:t>
            </w:r>
          </w:p>
        </w:tc>
        <w:tc>
          <w:tcPr>
            <w:tcW w:w="553" w:type="pct"/>
            <w:tcBorders>
              <w:tl2br w:val="nil"/>
              <w:tr2bl w:val="nil"/>
            </w:tcBorders>
            <w:noWrap w:val="0"/>
            <w:vAlign w:val="center"/>
          </w:tcPr>
          <w:p w14:paraId="44FE638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根据鉴定结果确定</w:t>
            </w:r>
          </w:p>
        </w:tc>
      </w:tr>
      <w:tr w14:paraId="58FEA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63CCC575">
            <w:pPr>
              <w:pStyle w:val="495"/>
              <w:pageBreakBefore w:val="0"/>
              <w:wordWrap/>
              <w:bidi w:val="0"/>
              <w:adjustRightInd/>
              <w:snapToGrid/>
              <w:ind w:firstLine="0" w:firstLineChars="0"/>
              <w:jc w:val="center"/>
              <w:rPr>
                <w:bCs/>
                <w:color w:val="auto"/>
                <w:sz w:val="21"/>
                <w:szCs w:val="21"/>
              </w:rPr>
            </w:pPr>
            <w:r>
              <w:rPr>
                <w:color w:val="auto"/>
                <w:sz w:val="21"/>
                <w:szCs w:val="21"/>
              </w:rPr>
              <w:t>生物除臭系统</w:t>
            </w:r>
          </w:p>
        </w:tc>
        <w:tc>
          <w:tcPr>
            <w:tcW w:w="561" w:type="pct"/>
            <w:tcBorders>
              <w:tl2br w:val="nil"/>
              <w:tr2bl w:val="nil"/>
            </w:tcBorders>
            <w:noWrap w:val="0"/>
            <w:vAlign w:val="center"/>
          </w:tcPr>
          <w:p w14:paraId="127959EC">
            <w:pPr>
              <w:pStyle w:val="495"/>
              <w:pageBreakBefore w:val="0"/>
              <w:wordWrap/>
              <w:bidi w:val="0"/>
              <w:adjustRightInd/>
              <w:snapToGrid/>
              <w:ind w:firstLine="0" w:firstLineChars="0"/>
              <w:jc w:val="center"/>
              <w:rPr>
                <w:bCs/>
                <w:color w:val="auto"/>
                <w:sz w:val="21"/>
                <w:szCs w:val="21"/>
              </w:rPr>
            </w:pPr>
            <w:r>
              <w:rPr>
                <w:color w:val="auto"/>
                <w:sz w:val="21"/>
                <w:szCs w:val="21"/>
              </w:rPr>
              <w:t>生物除臭系统废弃填料</w:t>
            </w:r>
          </w:p>
        </w:tc>
        <w:tc>
          <w:tcPr>
            <w:tcW w:w="600" w:type="pct"/>
            <w:tcBorders>
              <w:tl2br w:val="nil"/>
              <w:tr2bl w:val="nil"/>
            </w:tcBorders>
            <w:noWrap w:val="0"/>
            <w:vAlign w:val="center"/>
          </w:tcPr>
          <w:p w14:paraId="539C7ADD">
            <w:pPr>
              <w:pStyle w:val="495"/>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18F8249D">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558" w:type="pct"/>
            <w:tcBorders>
              <w:tl2br w:val="nil"/>
              <w:tr2bl w:val="nil"/>
            </w:tcBorders>
            <w:noWrap w:val="0"/>
            <w:vAlign w:val="center"/>
          </w:tcPr>
          <w:p w14:paraId="63145447">
            <w:pPr>
              <w:pStyle w:val="495"/>
              <w:pageBreakBefore w:val="0"/>
              <w:wordWrap/>
              <w:bidi w:val="0"/>
              <w:adjustRightInd/>
              <w:snapToGrid/>
              <w:ind w:firstLine="0" w:firstLineChars="0"/>
              <w:jc w:val="center"/>
              <w:rPr>
                <w:bCs/>
                <w:color w:val="auto"/>
                <w:sz w:val="21"/>
                <w:szCs w:val="21"/>
              </w:rPr>
            </w:pPr>
            <w:r>
              <w:rPr>
                <w:color w:val="auto"/>
                <w:sz w:val="21"/>
                <w:szCs w:val="21"/>
              </w:rPr>
              <w:t>4.6</w:t>
            </w:r>
          </w:p>
        </w:tc>
        <w:tc>
          <w:tcPr>
            <w:tcW w:w="1397" w:type="pct"/>
            <w:tcBorders>
              <w:tl2br w:val="nil"/>
              <w:tr2bl w:val="nil"/>
            </w:tcBorders>
            <w:noWrap w:val="0"/>
            <w:vAlign w:val="center"/>
          </w:tcPr>
          <w:p w14:paraId="6DA986B7">
            <w:pPr>
              <w:pStyle w:val="495"/>
              <w:pageBreakBefore w:val="0"/>
              <w:wordWrap/>
              <w:bidi w:val="0"/>
              <w:adjustRightInd/>
              <w:snapToGrid/>
              <w:ind w:firstLine="0" w:firstLineChars="0"/>
              <w:jc w:val="center"/>
              <w:rPr>
                <w:bCs/>
                <w:color w:val="auto"/>
                <w:kern w:val="0"/>
                <w:sz w:val="21"/>
                <w:szCs w:val="21"/>
                <w:lang w:bidi="ar"/>
              </w:rPr>
            </w:pPr>
            <w:r>
              <w:rPr>
                <w:color w:val="auto"/>
                <w:sz w:val="21"/>
                <w:szCs w:val="21"/>
              </w:rPr>
              <w:t>厂家回收</w:t>
            </w:r>
          </w:p>
        </w:tc>
        <w:tc>
          <w:tcPr>
            <w:tcW w:w="512" w:type="pct"/>
            <w:tcBorders>
              <w:tl2br w:val="nil"/>
              <w:tr2bl w:val="nil"/>
            </w:tcBorders>
            <w:noWrap w:val="0"/>
            <w:vAlign w:val="center"/>
          </w:tcPr>
          <w:p w14:paraId="4491E9B6">
            <w:pPr>
              <w:pStyle w:val="495"/>
              <w:pageBreakBefore w:val="0"/>
              <w:wordWrap/>
              <w:bidi w:val="0"/>
              <w:adjustRightInd/>
              <w:snapToGrid/>
              <w:ind w:firstLine="0" w:firstLineChars="0"/>
              <w:jc w:val="center"/>
              <w:rPr>
                <w:bCs/>
                <w:color w:val="auto"/>
                <w:sz w:val="21"/>
                <w:szCs w:val="21"/>
              </w:rPr>
            </w:pPr>
            <w:r>
              <w:rPr>
                <w:color w:val="auto"/>
                <w:sz w:val="21"/>
                <w:szCs w:val="21"/>
              </w:rPr>
              <w:t>4.6</w:t>
            </w:r>
          </w:p>
        </w:tc>
        <w:tc>
          <w:tcPr>
            <w:tcW w:w="553" w:type="pct"/>
            <w:tcBorders>
              <w:tl2br w:val="nil"/>
              <w:tr2bl w:val="nil"/>
            </w:tcBorders>
            <w:noWrap w:val="0"/>
            <w:vAlign w:val="center"/>
          </w:tcPr>
          <w:p w14:paraId="2DFFC0DB">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设备厂家</w:t>
            </w:r>
          </w:p>
        </w:tc>
      </w:tr>
      <w:tr w14:paraId="34011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31606D36">
            <w:pPr>
              <w:pStyle w:val="495"/>
              <w:pageBreakBefore w:val="0"/>
              <w:wordWrap/>
              <w:bidi w:val="0"/>
              <w:adjustRightInd/>
              <w:snapToGrid/>
              <w:ind w:firstLine="0" w:firstLineChars="0"/>
              <w:jc w:val="center"/>
              <w:rPr>
                <w:bCs/>
                <w:color w:val="auto"/>
                <w:sz w:val="21"/>
                <w:szCs w:val="21"/>
              </w:rPr>
            </w:pPr>
            <w:r>
              <w:rPr>
                <w:color w:val="auto"/>
                <w:sz w:val="21"/>
                <w:szCs w:val="21"/>
              </w:rPr>
              <w:t>设备维护</w:t>
            </w:r>
          </w:p>
        </w:tc>
        <w:tc>
          <w:tcPr>
            <w:tcW w:w="561" w:type="pct"/>
            <w:tcBorders>
              <w:tl2br w:val="nil"/>
              <w:tr2bl w:val="nil"/>
            </w:tcBorders>
            <w:noWrap w:val="0"/>
            <w:vAlign w:val="center"/>
          </w:tcPr>
          <w:p w14:paraId="3D94A5B6">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废机油</w:t>
            </w:r>
          </w:p>
        </w:tc>
        <w:tc>
          <w:tcPr>
            <w:tcW w:w="600" w:type="pct"/>
            <w:tcBorders>
              <w:tl2br w:val="nil"/>
              <w:tr2bl w:val="nil"/>
            </w:tcBorders>
            <w:noWrap w:val="0"/>
            <w:vAlign w:val="center"/>
          </w:tcPr>
          <w:p w14:paraId="4D694253">
            <w:pPr>
              <w:pStyle w:val="495"/>
              <w:pageBreakBefore w:val="0"/>
              <w:wordWrap/>
              <w:bidi w:val="0"/>
              <w:adjustRightInd/>
              <w:snapToGrid/>
              <w:ind w:firstLine="0" w:firstLineChars="0"/>
              <w:jc w:val="center"/>
              <w:rPr>
                <w:bCs/>
                <w:color w:val="auto"/>
                <w:sz w:val="21"/>
                <w:szCs w:val="21"/>
              </w:rPr>
            </w:pPr>
            <w:r>
              <w:rPr>
                <w:color w:val="auto"/>
                <w:sz w:val="21"/>
                <w:szCs w:val="21"/>
              </w:rPr>
              <w:t>HW08</w:t>
            </w:r>
          </w:p>
        </w:tc>
        <w:tc>
          <w:tcPr>
            <w:tcW w:w="432" w:type="pct"/>
            <w:tcBorders>
              <w:tl2br w:val="nil"/>
              <w:tr2bl w:val="nil"/>
            </w:tcBorders>
            <w:noWrap w:val="0"/>
            <w:vAlign w:val="center"/>
          </w:tcPr>
          <w:p w14:paraId="3797F0EB">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287458B1">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1397" w:type="pct"/>
            <w:vMerge w:val="restart"/>
            <w:tcBorders>
              <w:tl2br w:val="nil"/>
              <w:tr2bl w:val="nil"/>
            </w:tcBorders>
            <w:noWrap w:val="0"/>
            <w:vAlign w:val="center"/>
          </w:tcPr>
          <w:p w14:paraId="5F68B624">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512" w:type="pct"/>
            <w:tcBorders>
              <w:tl2br w:val="nil"/>
              <w:tr2bl w:val="nil"/>
            </w:tcBorders>
            <w:noWrap w:val="0"/>
            <w:vAlign w:val="center"/>
          </w:tcPr>
          <w:p w14:paraId="758C8F08">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553" w:type="pct"/>
            <w:vMerge w:val="restart"/>
            <w:tcBorders>
              <w:tl2br w:val="nil"/>
              <w:tr2bl w:val="nil"/>
            </w:tcBorders>
            <w:noWrap w:val="0"/>
            <w:vAlign w:val="center"/>
          </w:tcPr>
          <w:p w14:paraId="2725348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危废处置单位</w:t>
            </w:r>
          </w:p>
        </w:tc>
      </w:tr>
      <w:tr w14:paraId="3C83A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79E0C5F7">
            <w:pPr>
              <w:pStyle w:val="495"/>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133DEB60">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废机油桶</w:t>
            </w:r>
          </w:p>
        </w:tc>
        <w:tc>
          <w:tcPr>
            <w:tcW w:w="600" w:type="pct"/>
            <w:tcBorders>
              <w:tl2br w:val="nil"/>
              <w:tr2bl w:val="nil"/>
            </w:tcBorders>
            <w:noWrap w:val="0"/>
            <w:vAlign w:val="center"/>
          </w:tcPr>
          <w:p w14:paraId="79DD4F3D">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HW08</w:t>
            </w:r>
          </w:p>
        </w:tc>
        <w:tc>
          <w:tcPr>
            <w:tcW w:w="432" w:type="pct"/>
            <w:tcBorders>
              <w:tl2br w:val="nil"/>
              <w:tr2bl w:val="nil"/>
            </w:tcBorders>
            <w:noWrap w:val="0"/>
            <w:vAlign w:val="center"/>
          </w:tcPr>
          <w:p w14:paraId="55B30811">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227FC08B">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1397" w:type="pct"/>
            <w:vMerge w:val="continue"/>
            <w:tcBorders>
              <w:tl2br w:val="nil"/>
              <w:tr2bl w:val="nil"/>
            </w:tcBorders>
            <w:noWrap w:val="0"/>
            <w:vAlign w:val="center"/>
          </w:tcPr>
          <w:p w14:paraId="46906C81">
            <w:pPr>
              <w:pStyle w:val="495"/>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32E8B52D">
            <w:pPr>
              <w:pStyle w:val="495"/>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553" w:type="pct"/>
            <w:vMerge w:val="continue"/>
            <w:tcBorders>
              <w:tl2br w:val="nil"/>
              <w:tr2bl w:val="nil"/>
            </w:tcBorders>
            <w:noWrap w:val="0"/>
            <w:vAlign w:val="center"/>
          </w:tcPr>
          <w:p w14:paraId="2264E401">
            <w:pPr>
              <w:pageBreakBefore w:val="0"/>
              <w:wordWrap/>
              <w:bidi w:val="0"/>
              <w:adjustRightInd/>
              <w:snapToGrid/>
              <w:spacing w:line="240" w:lineRule="auto"/>
              <w:ind w:firstLine="0" w:firstLineChars="0"/>
              <w:jc w:val="center"/>
              <w:rPr>
                <w:bCs/>
                <w:color w:val="auto"/>
                <w:sz w:val="21"/>
                <w:szCs w:val="21"/>
              </w:rPr>
            </w:pPr>
          </w:p>
        </w:tc>
      </w:tr>
      <w:tr w14:paraId="72049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7C94B956">
            <w:pPr>
              <w:pStyle w:val="495"/>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5F498A92">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含油棉纱手套</w:t>
            </w:r>
          </w:p>
        </w:tc>
        <w:tc>
          <w:tcPr>
            <w:tcW w:w="600" w:type="pct"/>
            <w:tcBorders>
              <w:tl2br w:val="nil"/>
              <w:tr2bl w:val="nil"/>
            </w:tcBorders>
            <w:noWrap w:val="0"/>
            <w:vAlign w:val="center"/>
          </w:tcPr>
          <w:p w14:paraId="4DD7B672">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HW49</w:t>
            </w:r>
          </w:p>
        </w:tc>
        <w:tc>
          <w:tcPr>
            <w:tcW w:w="432" w:type="pct"/>
            <w:tcBorders>
              <w:tl2br w:val="nil"/>
              <w:tr2bl w:val="nil"/>
            </w:tcBorders>
            <w:noWrap w:val="0"/>
            <w:vAlign w:val="center"/>
          </w:tcPr>
          <w:p w14:paraId="0C4B608B">
            <w:pPr>
              <w:pageBreakBefore w:val="0"/>
              <w:widowControl/>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558" w:type="pct"/>
            <w:tcBorders>
              <w:tl2br w:val="nil"/>
              <w:tr2bl w:val="nil"/>
            </w:tcBorders>
            <w:noWrap w:val="0"/>
            <w:vAlign w:val="center"/>
          </w:tcPr>
          <w:p w14:paraId="539F101F">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0.01</w:t>
            </w:r>
          </w:p>
        </w:tc>
        <w:tc>
          <w:tcPr>
            <w:tcW w:w="1397" w:type="pct"/>
            <w:vMerge w:val="continue"/>
            <w:tcBorders>
              <w:tl2br w:val="nil"/>
              <w:tr2bl w:val="nil"/>
            </w:tcBorders>
            <w:noWrap w:val="0"/>
            <w:vAlign w:val="center"/>
          </w:tcPr>
          <w:p w14:paraId="22A175A1">
            <w:pPr>
              <w:pStyle w:val="495"/>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73FA25E2">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0.01</w:t>
            </w:r>
          </w:p>
        </w:tc>
        <w:tc>
          <w:tcPr>
            <w:tcW w:w="553" w:type="pct"/>
            <w:vMerge w:val="continue"/>
            <w:tcBorders>
              <w:tl2br w:val="nil"/>
              <w:tr2bl w:val="nil"/>
            </w:tcBorders>
            <w:noWrap w:val="0"/>
            <w:vAlign w:val="center"/>
          </w:tcPr>
          <w:p w14:paraId="4D19CE63">
            <w:pPr>
              <w:pageBreakBefore w:val="0"/>
              <w:wordWrap/>
              <w:bidi w:val="0"/>
              <w:adjustRightInd/>
              <w:snapToGrid/>
              <w:spacing w:line="240" w:lineRule="auto"/>
              <w:ind w:firstLine="0" w:firstLineChars="0"/>
              <w:jc w:val="center"/>
              <w:rPr>
                <w:bCs/>
                <w:color w:val="auto"/>
                <w:sz w:val="21"/>
                <w:szCs w:val="21"/>
              </w:rPr>
            </w:pPr>
          </w:p>
        </w:tc>
      </w:tr>
      <w:tr w14:paraId="4761A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4B8796D0">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化验室</w:t>
            </w:r>
          </w:p>
        </w:tc>
        <w:tc>
          <w:tcPr>
            <w:tcW w:w="561" w:type="pct"/>
            <w:tcBorders>
              <w:tl2br w:val="nil"/>
              <w:tr2bl w:val="nil"/>
            </w:tcBorders>
            <w:noWrap w:val="0"/>
            <w:vAlign w:val="center"/>
          </w:tcPr>
          <w:p w14:paraId="5C1182CB">
            <w:pPr>
              <w:pStyle w:val="495"/>
              <w:pageBreakBefore w:val="0"/>
              <w:wordWrap/>
              <w:bidi w:val="0"/>
              <w:adjustRightInd/>
              <w:snapToGrid/>
              <w:ind w:firstLine="0" w:firstLineChars="0"/>
              <w:jc w:val="center"/>
              <w:rPr>
                <w:bCs/>
                <w:color w:val="auto"/>
                <w:sz w:val="21"/>
                <w:szCs w:val="21"/>
              </w:rPr>
            </w:pPr>
            <w:r>
              <w:rPr>
                <w:color w:val="auto"/>
                <w:sz w:val="21"/>
                <w:szCs w:val="21"/>
              </w:rPr>
              <w:t>化验废液</w:t>
            </w:r>
          </w:p>
        </w:tc>
        <w:tc>
          <w:tcPr>
            <w:tcW w:w="600" w:type="pct"/>
            <w:tcBorders>
              <w:tl2br w:val="nil"/>
              <w:tr2bl w:val="nil"/>
            </w:tcBorders>
            <w:noWrap w:val="0"/>
            <w:vAlign w:val="center"/>
          </w:tcPr>
          <w:p w14:paraId="6535755E">
            <w:pPr>
              <w:pStyle w:val="495"/>
              <w:pageBreakBefore w:val="0"/>
              <w:wordWrap/>
              <w:bidi w:val="0"/>
              <w:adjustRightInd/>
              <w:snapToGrid/>
              <w:ind w:firstLine="0" w:firstLineChars="0"/>
              <w:jc w:val="center"/>
              <w:rPr>
                <w:bCs/>
                <w:color w:val="auto"/>
                <w:sz w:val="21"/>
                <w:szCs w:val="21"/>
              </w:rPr>
            </w:pPr>
            <w:r>
              <w:rPr>
                <w:color w:val="auto"/>
                <w:sz w:val="21"/>
                <w:szCs w:val="21"/>
              </w:rPr>
              <w:t>HW49</w:t>
            </w:r>
          </w:p>
        </w:tc>
        <w:tc>
          <w:tcPr>
            <w:tcW w:w="432" w:type="pct"/>
            <w:tcBorders>
              <w:tl2br w:val="nil"/>
              <w:tr2bl w:val="nil"/>
            </w:tcBorders>
            <w:noWrap w:val="0"/>
            <w:vAlign w:val="center"/>
          </w:tcPr>
          <w:p w14:paraId="545B15EB">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0078F9FF">
            <w:pPr>
              <w:pStyle w:val="495"/>
              <w:pageBreakBefore w:val="0"/>
              <w:wordWrap/>
              <w:bidi w:val="0"/>
              <w:adjustRightInd/>
              <w:snapToGrid/>
              <w:ind w:firstLine="0" w:firstLineChars="0"/>
              <w:jc w:val="center"/>
              <w:rPr>
                <w:bCs/>
                <w:color w:val="auto"/>
                <w:sz w:val="21"/>
                <w:szCs w:val="21"/>
              </w:rPr>
            </w:pPr>
            <w:r>
              <w:rPr>
                <w:color w:val="auto"/>
                <w:sz w:val="21"/>
                <w:szCs w:val="21"/>
              </w:rPr>
              <w:t>0.</w:t>
            </w:r>
            <w:r>
              <w:rPr>
                <w:rFonts w:hint="eastAsia"/>
                <w:color w:val="auto"/>
                <w:sz w:val="21"/>
                <w:szCs w:val="21"/>
                <w:lang w:val="en-US" w:eastAsia="zh-CN"/>
              </w:rPr>
              <w:t>1</w:t>
            </w:r>
          </w:p>
        </w:tc>
        <w:tc>
          <w:tcPr>
            <w:tcW w:w="1397" w:type="pct"/>
            <w:vMerge w:val="continue"/>
            <w:tcBorders>
              <w:tl2br w:val="nil"/>
              <w:tr2bl w:val="nil"/>
            </w:tcBorders>
            <w:noWrap w:val="0"/>
            <w:vAlign w:val="center"/>
          </w:tcPr>
          <w:p w14:paraId="48BB2F9F">
            <w:pPr>
              <w:pStyle w:val="495"/>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6EA8A867">
            <w:pPr>
              <w:pStyle w:val="495"/>
              <w:pageBreakBefore w:val="0"/>
              <w:wordWrap/>
              <w:bidi w:val="0"/>
              <w:adjustRightInd/>
              <w:snapToGrid/>
              <w:ind w:firstLine="0" w:firstLineChars="0"/>
              <w:jc w:val="center"/>
              <w:rPr>
                <w:bCs/>
                <w:color w:val="auto"/>
                <w:sz w:val="21"/>
                <w:szCs w:val="21"/>
              </w:rPr>
            </w:pPr>
            <w:r>
              <w:rPr>
                <w:color w:val="auto"/>
                <w:sz w:val="21"/>
                <w:szCs w:val="21"/>
              </w:rPr>
              <w:t>0.</w:t>
            </w:r>
            <w:r>
              <w:rPr>
                <w:rFonts w:hint="eastAsia"/>
                <w:color w:val="auto"/>
                <w:sz w:val="21"/>
                <w:szCs w:val="21"/>
                <w:lang w:val="en-US" w:eastAsia="zh-CN"/>
              </w:rPr>
              <w:t>1</w:t>
            </w:r>
          </w:p>
        </w:tc>
        <w:tc>
          <w:tcPr>
            <w:tcW w:w="553" w:type="pct"/>
            <w:vMerge w:val="continue"/>
            <w:tcBorders>
              <w:tl2br w:val="nil"/>
              <w:tr2bl w:val="nil"/>
            </w:tcBorders>
            <w:noWrap w:val="0"/>
            <w:vAlign w:val="center"/>
          </w:tcPr>
          <w:p w14:paraId="60E75205">
            <w:pPr>
              <w:pageBreakBefore w:val="0"/>
              <w:wordWrap/>
              <w:bidi w:val="0"/>
              <w:adjustRightInd/>
              <w:snapToGrid/>
              <w:spacing w:line="240" w:lineRule="auto"/>
              <w:ind w:firstLine="0" w:firstLineChars="0"/>
              <w:jc w:val="center"/>
              <w:rPr>
                <w:bCs/>
                <w:color w:val="auto"/>
                <w:sz w:val="21"/>
                <w:szCs w:val="21"/>
              </w:rPr>
            </w:pPr>
          </w:p>
        </w:tc>
      </w:tr>
      <w:tr w14:paraId="61361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306D6A18">
            <w:pPr>
              <w:pStyle w:val="495"/>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723F33B2">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废化学试剂瓶</w:t>
            </w:r>
          </w:p>
        </w:tc>
        <w:tc>
          <w:tcPr>
            <w:tcW w:w="600" w:type="pct"/>
            <w:tcBorders>
              <w:tl2br w:val="nil"/>
              <w:tr2bl w:val="nil"/>
            </w:tcBorders>
            <w:noWrap w:val="0"/>
            <w:vAlign w:val="center"/>
          </w:tcPr>
          <w:p w14:paraId="519F8141">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HW49</w:t>
            </w:r>
          </w:p>
        </w:tc>
        <w:tc>
          <w:tcPr>
            <w:tcW w:w="432" w:type="pct"/>
            <w:tcBorders>
              <w:tl2br w:val="nil"/>
              <w:tr2bl w:val="nil"/>
            </w:tcBorders>
            <w:noWrap w:val="0"/>
            <w:vAlign w:val="center"/>
          </w:tcPr>
          <w:p w14:paraId="77C2EA85">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77A21BBB">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1397" w:type="pct"/>
            <w:vMerge w:val="continue"/>
            <w:tcBorders>
              <w:tl2br w:val="nil"/>
              <w:tr2bl w:val="nil"/>
            </w:tcBorders>
            <w:noWrap w:val="0"/>
            <w:vAlign w:val="center"/>
          </w:tcPr>
          <w:p w14:paraId="088A6E87">
            <w:pPr>
              <w:pStyle w:val="495"/>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0A655C63">
            <w:pPr>
              <w:pStyle w:val="495"/>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553" w:type="pct"/>
            <w:vMerge w:val="continue"/>
            <w:tcBorders>
              <w:tl2br w:val="nil"/>
              <w:tr2bl w:val="nil"/>
            </w:tcBorders>
            <w:noWrap w:val="0"/>
            <w:vAlign w:val="center"/>
          </w:tcPr>
          <w:p w14:paraId="3FF019C4">
            <w:pPr>
              <w:pageBreakBefore w:val="0"/>
              <w:wordWrap/>
              <w:bidi w:val="0"/>
              <w:adjustRightInd/>
              <w:snapToGrid/>
              <w:spacing w:line="240" w:lineRule="auto"/>
              <w:ind w:firstLine="0" w:firstLineChars="0"/>
              <w:jc w:val="center"/>
              <w:rPr>
                <w:bCs/>
                <w:color w:val="auto"/>
                <w:sz w:val="21"/>
                <w:szCs w:val="21"/>
              </w:rPr>
            </w:pPr>
          </w:p>
        </w:tc>
      </w:tr>
    </w:tbl>
    <w:p w14:paraId="46C74A45">
      <w:pPr>
        <w:pStyle w:val="4"/>
        <w:bidi w:val="0"/>
        <w:rPr>
          <w:color w:val="auto"/>
        </w:rPr>
      </w:pPr>
      <w:bookmarkStart w:id="120" w:name="_Toc3255"/>
      <w:r>
        <w:rPr>
          <w:rFonts w:hint="eastAsia"/>
          <w:color w:val="auto"/>
          <w:lang w:val="en-US" w:eastAsia="zh-CN"/>
        </w:rPr>
        <w:t xml:space="preserve"> </w:t>
      </w:r>
      <w:bookmarkStart w:id="121" w:name="_Toc5867"/>
      <w:r>
        <w:rPr>
          <w:color w:val="auto"/>
        </w:rPr>
        <w:t>营运期</w:t>
      </w:r>
      <w:r>
        <w:rPr>
          <w:rFonts w:hint="eastAsia"/>
          <w:color w:val="auto"/>
          <w:lang w:eastAsia="zh-CN"/>
        </w:rPr>
        <w:t>“</w:t>
      </w:r>
      <w:r>
        <w:rPr>
          <w:color w:val="auto"/>
        </w:rPr>
        <w:t>三废</w:t>
      </w:r>
      <w:r>
        <w:rPr>
          <w:rFonts w:hint="eastAsia"/>
          <w:color w:val="auto"/>
          <w:lang w:eastAsia="zh-CN"/>
        </w:rPr>
        <w:t>”</w:t>
      </w:r>
      <w:r>
        <w:rPr>
          <w:color w:val="auto"/>
        </w:rPr>
        <w:t>产生及排放情况统计</w:t>
      </w:r>
      <w:bookmarkEnd w:id="120"/>
      <w:bookmarkEnd w:id="121"/>
    </w:p>
    <w:p w14:paraId="5AA9896C">
      <w:pPr>
        <w:bidi w:val="0"/>
        <w:rPr>
          <w:color w:val="auto"/>
        </w:rPr>
      </w:pPr>
      <w:r>
        <w:rPr>
          <w:color w:val="auto"/>
        </w:rPr>
        <w:t>项目运营期</w:t>
      </w:r>
      <w:r>
        <w:rPr>
          <w:rFonts w:hint="eastAsia"/>
          <w:color w:val="auto"/>
          <w:lang w:eastAsia="zh-CN"/>
        </w:rPr>
        <w:t>“</w:t>
      </w:r>
      <w:r>
        <w:rPr>
          <w:color w:val="auto"/>
        </w:rPr>
        <w:t>三废</w:t>
      </w:r>
      <w:r>
        <w:rPr>
          <w:rFonts w:hint="eastAsia"/>
          <w:color w:val="auto"/>
          <w:lang w:eastAsia="zh-CN"/>
        </w:rPr>
        <w:t>”</w:t>
      </w:r>
      <w:r>
        <w:rPr>
          <w:color w:val="auto"/>
        </w:rPr>
        <w:t>排放情况统计见</w:t>
      </w:r>
      <w:r>
        <w:rPr>
          <w:rFonts w:hint="eastAsia"/>
          <w:color w:val="auto"/>
          <w:lang w:val="en-US" w:eastAsia="zh-CN"/>
        </w:rPr>
        <w:t>下表</w:t>
      </w:r>
      <w:r>
        <w:rPr>
          <w:color w:val="auto"/>
        </w:rPr>
        <w:t>。</w:t>
      </w:r>
    </w:p>
    <w:p w14:paraId="77CAF1CE">
      <w:pPr>
        <w:pStyle w:val="15"/>
        <w:numPr>
          <w:ilvl w:val="0"/>
          <w:numId w:val="27"/>
        </w:numPr>
        <w:bidi w:val="0"/>
        <w:ind w:left="0" w:leftChars="0" w:firstLine="0" w:firstLineChars="0"/>
        <w:rPr>
          <w:color w:val="auto"/>
        </w:rPr>
      </w:pPr>
      <w:r>
        <w:rPr>
          <w:color w:val="auto"/>
        </w:rPr>
        <w:t>本项目</w:t>
      </w:r>
      <w:r>
        <w:rPr>
          <w:rFonts w:hint="eastAsia"/>
          <w:color w:val="auto"/>
          <w:lang w:eastAsia="zh-CN"/>
        </w:rPr>
        <w:t>“</w:t>
      </w:r>
      <w:r>
        <w:rPr>
          <w:color w:val="auto"/>
        </w:rPr>
        <w:t>三废</w:t>
      </w:r>
      <w:r>
        <w:rPr>
          <w:rFonts w:hint="eastAsia"/>
          <w:color w:val="auto"/>
          <w:lang w:eastAsia="zh-CN"/>
        </w:rPr>
        <w:t>”</w:t>
      </w:r>
      <w:r>
        <w:rPr>
          <w:color w:val="auto"/>
        </w:rPr>
        <w:t>排放情况统计表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52"/>
        <w:gridCol w:w="1817"/>
        <w:gridCol w:w="1459"/>
        <w:gridCol w:w="3178"/>
        <w:gridCol w:w="2727"/>
        <w:gridCol w:w="2741"/>
        <w:gridCol w:w="1598"/>
      </w:tblGrid>
      <w:tr w14:paraId="51423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tcBorders>
              <w:tl2br w:val="nil"/>
              <w:tr2bl w:val="nil"/>
            </w:tcBorders>
            <w:noWrap w:val="0"/>
            <w:vAlign w:val="center"/>
          </w:tcPr>
          <w:p w14:paraId="69F8C3B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类型</w:t>
            </w:r>
          </w:p>
        </w:tc>
        <w:tc>
          <w:tcPr>
            <w:tcW w:w="645" w:type="pct"/>
            <w:tcBorders>
              <w:tl2br w:val="nil"/>
              <w:tr2bl w:val="nil"/>
            </w:tcBorders>
            <w:noWrap w:val="0"/>
            <w:vAlign w:val="center"/>
          </w:tcPr>
          <w:p w14:paraId="713FF84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产污源点</w:t>
            </w:r>
          </w:p>
        </w:tc>
        <w:tc>
          <w:tcPr>
            <w:tcW w:w="518" w:type="pct"/>
            <w:tcBorders>
              <w:tl2br w:val="nil"/>
              <w:tr2bl w:val="nil"/>
            </w:tcBorders>
            <w:noWrap w:val="0"/>
            <w:vAlign w:val="center"/>
          </w:tcPr>
          <w:p w14:paraId="5A21916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128" w:type="pct"/>
            <w:tcBorders>
              <w:tl2br w:val="nil"/>
              <w:tr2bl w:val="nil"/>
            </w:tcBorders>
            <w:noWrap w:val="0"/>
            <w:vAlign w:val="center"/>
          </w:tcPr>
          <w:p w14:paraId="7053FDC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处理前产生量及浓度</w:t>
            </w:r>
          </w:p>
        </w:tc>
        <w:tc>
          <w:tcPr>
            <w:tcW w:w="968" w:type="pct"/>
            <w:tcBorders>
              <w:tl2br w:val="nil"/>
              <w:tr2bl w:val="nil"/>
            </w:tcBorders>
            <w:noWrap w:val="0"/>
            <w:vAlign w:val="center"/>
          </w:tcPr>
          <w:p w14:paraId="6A3E59D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处置方式</w:t>
            </w:r>
          </w:p>
        </w:tc>
        <w:tc>
          <w:tcPr>
            <w:tcW w:w="973" w:type="pct"/>
            <w:tcBorders>
              <w:tl2br w:val="nil"/>
              <w:tr2bl w:val="nil"/>
            </w:tcBorders>
            <w:noWrap w:val="0"/>
            <w:vAlign w:val="center"/>
          </w:tcPr>
          <w:p w14:paraId="2E8E7CC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处理后排放量及浓度</w:t>
            </w:r>
          </w:p>
        </w:tc>
        <w:tc>
          <w:tcPr>
            <w:tcW w:w="567" w:type="pct"/>
            <w:tcBorders>
              <w:tl2br w:val="nil"/>
              <w:tr2bl w:val="nil"/>
            </w:tcBorders>
            <w:noWrap w:val="0"/>
            <w:vAlign w:val="center"/>
          </w:tcPr>
          <w:p w14:paraId="4CB72DF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排放去向</w:t>
            </w:r>
          </w:p>
        </w:tc>
      </w:tr>
      <w:tr w14:paraId="52B2C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restart"/>
            <w:tcBorders>
              <w:tl2br w:val="nil"/>
              <w:tr2bl w:val="nil"/>
            </w:tcBorders>
            <w:noWrap w:val="0"/>
            <w:vAlign w:val="center"/>
          </w:tcPr>
          <w:p w14:paraId="0499A1EA">
            <w:pPr>
              <w:pageBreakBefore w:val="0"/>
              <w:wordWrap/>
              <w:bidi w:val="0"/>
              <w:adjustRightInd/>
              <w:snapToGrid/>
              <w:spacing w:line="240" w:lineRule="auto"/>
              <w:ind w:firstLine="0" w:firstLineChars="0"/>
              <w:jc w:val="center"/>
              <w:rPr>
                <w:color w:val="auto"/>
                <w:sz w:val="21"/>
                <w:szCs w:val="21"/>
              </w:rPr>
            </w:pPr>
            <w:r>
              <w:rPr>
                <w:color w:val="auto"/>
                <w:sz w:val="21"/>
                <w:szCs w:val="21"/>
              </w:rPr>
              <w:t>废气</w:t>
            </w:r>
          </w:p>
        </w:tc>
        <w:tc>
          <w:tcPr>
            <w:tcW w:w="645" w:type="pct"/>
            <w:tcBorders>
              <w:tl2br w:val="nil"/>
              <w:tr2bl w:val="nil"/>
            </w:tcBorders>
            <w:noWrap w:val="0"/>
            <w:vAlign w:val="center"/>
          </w:tcPr>
          <w:p w14:paraId="11616F27">
            <w:pPr>
              <w:pStyle w:val="12"/>
              <w:bidi w:val="0"/>
              <w:rPr>
                <w:rFonts w:hint="eastAsia"/>
                <w:color w:val="auto"/>
                <w:lang w:eastAsia="zh-CN"/>
              </w:rPr>
            </w:pPr>
            <w:r>
              <w:rPr>
                <w:color w:val="auto"/>
              </w:rPr>
              <w:t>预处理区</w:t>
            </w:r>
            <w:r>
              <w:rPr>
                <w:rFonts w:hint="eastAsia"/>
                <w:color w:val="auto"/>
                <w:lang w:eastAsia="zh-CN"/>
              </w:rPr>
              <w:t>、</w:t>
            </w:r>
            <w:r>
              <w:rPr>
                <w:color w:val="auto"/>
              </w:rPr>
              <w:t>生化区</w:t>
            </w:r>
            <w:r>
              <w:rPr>
                <w:rFonts w:hint="eastAsia"/>
                <w:color w:val="auto"/>
                <w:lang w:eastAsia="zh-CN"/>
              </w:rPr>
              <w:t>、</w:t>
            </w:r>
            <w:r>
              <w:rPr>
                <w:color w:val="auto"/>
              </w:rPr>
              <w:t>污泥处置区</w:t>
            </w:r>
          </w:p>
        </w:tc>
        <w:tc>
          <w:tcPr>
            <w:tcW w:w="518" w:type="pct"/>
            <w:tcBorders>
              <w:tl2br w:val="nil"/>
              <w:tr2bl w:val="nil"/>
            </w:tcBorders>
            <w:noWrap w:val="0"/>
            <w:vAlign w:val="center"/>
          </w:tcPr>
          <w:p w14:paraId="3BF3DB4F">
            <w:pPr>
              <w:pStyle w:val="12"/>
              <w:bidi w:val="0"/>
              <w:rPr>
                <w:color w:val="auto"/>
              </w:rPr>
            </w:pPr>
            <w:r>
              <w:rPr>
                <w:color w:val="auto"/>
              </w:rPr>
              <w:t>NH</w:t>
            </w:r>
            <w:r>
              <w:rPr>
                <w:color w:val="auto"/>
                <w:vertAlign w:val="subscript"/>
              </w:rPr>
              <w:t>3</w:t>
            </w:r>
            <w:r>
              <w:rPr>
                <w:color w:val="auto"/>
              </w:rPr>
              <w:t>、H</w:t>
            </w:r>
            <w:r>
              <w:rPr>
                <w:color w:val="auto"/>
                <w:vertAlign w:val="subscript"/>
              </w:rPr>
              <w:t>2</w:t>
            </w:r>
            <w:r>
              <w:rPr>
                <w:color w:val="auto"/>
              </w:rPr>
              <w:t>S</w:t>
            </w:r>
          </w:p>
        </w:tc>
        <w:tc>
          <w:tcPr>
            <w:tcW w:w="1128" w:type="pct"/>
            <w:tcBorders>
              <w:tl2br w:val="nil"/>
              <w:tr2bl w:val="nil"/>
            </w:tcBorders>
            <w:noWrap w:val="0"/>
            <w:vAlign w:val="center"/>
          </w:tcPr>
          <w:p w14:paraId="38AE1E83">
            <w:pPr>
              <w:pStyle w:val="12"/>
              <w:bidi w:val="0"/>
              <w:rPr>
                <w:color w:val="auto"/>
              </w:rPr>
            </w:pPr>
            <w:r>
              <w:rPr>
                <w:color w:val="auto"/>
              </w:rPr>
              <w:t>NH</w:t>
            </w:r>
            <w:r>
              <w:rPr>
                <w:color w:val="auto"/>
                <w:vertAlign w:val="subscript"/>
              </w:rPr>
              <w:t>3</w:t>
            </w:r>
            <w:r>
              <w:rPr>
                <w:rFonts w:hint="eastAsia"/>
                <w:color w:val="auto"/>
                <w:lang w:eastAsia="zh-CN"/>
              </w:rPr>
              <w:t>：</w:t>
            </w:r>
            <w:r>
              <w:rPr>
                <w:color w:val="auto"/>
              </w:rPr>
              <w:t>0.</w:t>
            </w:r>
            <w:r>
              <w:rPr>
                <w:rFonts w:hint="eastAsia"/>
                <w:color w:val="auto"/>
                <w:lang w:val="en-US" w:eastAsia="zh-CN"/>
              </w:rPr>
              <w:t>901</w:t>
            </w:r>
            <w:r>
              <w:rPr>
                <w:color w:val="auto"/>
              </w:rPr>
              <w:t>kg/h、H</w:t>
            </w:r>
            <w:r>
              <w:rPr>
                <w:color w:val="auto"/>
                <w:vertAlign w:val="subscript"/>
              </w:rPr>
              <w:t>2</w:t>
            </w:r>
            <w:r>
              <w:rPr>
                <w:color w:val="auto"/>
              </w:rPr>
              <w:t>S：0.</w:t>
            </w:r>
            <w:r>
              <w:rPr>
                <w:rFonts w:hint="eastAsia"/>
                <w:color w:val="auto"/>
                <w:lang w:val="en-US" w:eastAsia="zh-CN"/>
              </w:rPr>
              <w:t>013</w:t>
            </w:r>
            <w:r>
              <w:rPr>
                <w:color w:val="auto"/>
              </w:rPr>
              <w:t>kg/h</w:t>
            </w:r>
          </w:p>
        </w:tc>
        <w:tc>
          <w:tcPr>
            <w:tcW w:w="968" w:type="pct"/>
            <w:tcBorders>
              <w:tl2br w:val="nil"/>
              <w:tr2bl w:val="nil"/>
            </w:tcBorders>
            <w:noWrap w:val="0"/>
            <w:vAlign w:val="center"/>
          </w:tcPr>
          <w:p w14:paraId="009FCF73">
            <w:pPr>
              <w:pStyle w:val="12"/>
              <w:bidi w:val="0"/>
              <w:rPr>
                <w:rFonts w:hint="eastAsia"/>
                <w:color w:val="auto"/>
                <w:lang w:val="en-US" w:eastAsia="zh-CN"/>
              </w:rPr>
            </w:pPr>
            <w:r>
              <w:rPr>
                <w:color w:val="auto"/>
              </w:rPr>
              <w:t>生物除臭</w:t>
            </w:r>
            <w:r>
              <w:rPr>
                <w:rFonts w:hint="eastAsia"/>
                <w:color w:val="auto"/>
                <w:lang w:val="en-US" w:eastAsia="zh-CN"/>
              </w:rPr>
              <w:t>装置</w:t>
            </w:r>
          </w:p>
        </w:tc>
        <w:tc>
          <w:tcPr>
            <w:tcW w:w="973" w:type="pct"/>
            <w:tcBorders>
              <w:tl2br w:val="nil"/>
              <w:tr2bl w:val="nil"/>
            </w:tcBorders>
            <w:noWrap w:val="0"/>
            <w:vAlign w:val="center"/>
          </w:tcPr>
          <w:p w14:paraId="2BD8F61D">
            <w:pPr>
              <w:pStyle w:val="12"/>
              <w:bidi w:val="0"/>
              <w:rPr>
                <w:color w:val="auto"/>
              </w:rPr>
            </w:pPr>
            <w:r>
              <w:rPr>
                <w:color w:val="auto"/>
              </w:rPr>
              <w:t>NH</w:t>
            </w:r>
            <w:r>
              <w:rPr>
                <w:color w:val="auto"/>
                <w:vertAlign w:val="subscript"/>
              </w:rPr>
              <w:t>3</w:t>
            </w:r>
            <w:r>
              <w:rPr>
                <w:rFonts w:hint="eastAsia"/>
                <w:color w:val="auto"/>
                <w:lang w:eastAsia="zh-CN"/>
              </w:rPr>
              <w:t>：</w:t>
            </w:r>
            <w:r>
              <w:rPr>
                <w:color w:val="auto"/>
              </w:rPr>
              <w:t>0.</w:t>
            </w:r>
            <w:r>
              <w:rPr>
                <w:rFonts w:hint="eastAsia"/>
                <w:color w:val="auto"/>
                <w:lang w:val="en-US" w:eastAsia="zh-CN"/>
              </w:rPr>
              <w:t>0428</w:t>
            </w:r>
            <w:r>
              <w:rPr>
                <w:color w:val="auto"/>
              </w:rPr>
              <w:t>kg/h、H</w:t>
            </w:r>
            <w:r>
              <w:rPr>
                <w:color w:val="auto"/>
                <w:vertAlign w:val="subscript"/>
              </w:rPr>
              <w:t>2</w:t>
            </w:r>
            <w:r>
              <w:rPr>
                <w:color w:val="auto"/>
              </w:rPr>
              <w:t>S：0.000</w:t>
            </w:r>
            <w:r>
              <w:rPr>
                <w:rFonts w:hint="eastAsia"/>
                <w:color w:val="auto"/>
                <w:lang w:val="en-US" w:eastAsia="zh-CN"/>
              </w:rPr>
              <w:t>63</w:t>
            </w:r>
            <w:r>
              <w:rPr>
                <w:color w:val="auto"/>
              </w:rPr>
              <w:t>kg/h</w:t>
            </w:r>
          </w:p>
        </w:tc>
        <w:tc>
          <w:tcPr>
            <w:tcW w:w="567" w:type="pct"/>
            <w:vMerge w:val="restart"/>
            <w:tcBorders>
              <w:tl2br w:val="nil"/>
              <w:tr2bl w:val="nil"/>
            </w:tcBorders>
            <w:noWrap w:val="0"/>
            <w:vAlign w:val="center"/>
          </w:tcPr>
          <w:p w14:paraId="1241E088">
            <w:pPr>
              <w:pageBreakBefore w:val="0"/>
              <w:wordWrap/>
              <w:bidi w:val="0"/>
              <w:adjustRightInd/>
              <w:snapToGrid/>
              <w:spacing w:line="240" w:lineRule="auto"/>
              <w:ind w:firstLine="0" w:firstLineChars="0"/>
              <w:jc w:val="center"/>
              <w:rPr>
                <w:color w:val="auto"/>
                <w:sz w:val="21"/>
                <w:szCs w:val="21"/>
              </w:rPr>
            </w:pPr>
            <w:r>
              <w:rPr>
                <w:color w:val="auto"/>
                <w:sz w:val="21"/>
                <w:szCs w:val="21"/>
              </w:rPr>
              <w:t>大气环境</w:t>
            </w:r>
          </w:p>
        </w:tc>
      </w:tr>
      <w:tr w14:paraId="30BEF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44163FF8">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07385263">
            <w:pPr>
              <w:pStyle w:val="12"/>
              <w:bidi w:val="0"/>
              <w:rPr>
                <w:rFonts w:hint="eastAsia"/>
                <w:color w:val="auto"/>
                <w:lang w:val="en-US" w:eastAsia="zh-CN"/>
              </w:rPr>
            </w:pPr>
            <w:r>
              <w:rPr>
                <w:rFonts w:hint="eastAsia"/>
                <w:color w:val="auto"/>
                <w:lang w:val="en-US" w:eastAsia="zh-CN"/>
              </w:rPr>
              <w:t>食堂</w:t>
            </w:r>
          </w:p>
        </w:tc>
        <w:tc>
          <w:tcPr>
            <w:tcW w:w="518" w:type="pct"/>
            <w:tcBorders>
              <w:tl2br w:val="nil"/>
              <w:tr2bl w:val="nil"/>
            </w:tcBorders>
            <w:noWrap w:val="0"/>
            <w:vAlign w:val="center"/>
          </w:tcPr>
          <w:p w14:paraId="44F229DA">
            <w:pPr>
              <w:pStyle w:val="12"/>
              <w:bidi w:val="0"/>
              <w:rPr>
                <w:rFonts w:hint="default"/>
                <w:color w:val="auto"/>
                <w:lang w:val="en-US" w:eastAsia="zh-CN"/>
              </w:rPr>
            </w:pPr>
            <w:r>
              <w:rPr>
                <w:rFonts w:hint="eastAsia"/>
                <w:color w:val="auto"/>
                <w:lang w:val="en-US" w:eastAsia="zh-CN"/>
              </w:rPr>
              <w:t>食堂油烟</w:t>
            </w:r>
          </w:p>
        </w:tc>
        <w:tc>
          <w:tcPr>
            <w:tcW w:w="1128" w:type="pct"/>
            <w:tcBorders>
              <w:tl2br w:val="nil"/>
              <w:tr2bl w:val="nil"/>
            </w:tcBorders>
            <w:noWrap w:val="0"/>
            <w:vAlign w:val="center"/>
          </w:tcPr>
          <w:p w14:paraId="60D7AD23">
            <w:pPr>
              <w:pStyle w:val="12"/>
              <w:bidi w:val="0"/>
              <w:rPr>
                <w:rFonts w:hint="default"/>
                <w:color w:val="auto"/>
                <w:lang w:val="en-US" w:eastAsia="zh-CN"/>
              </w:rPr>
            </w:pPr>
            <w:r>
              <w:rPr>
                <w:rFonts w:hint="eastAsia"/>
                <w:color w:val="auto"/>
                <w:lang w:val="en-US" w:eastAsia="zh-CN"/>
              </w:rPr>
              <w:t>0.0025</w:t>
            </w:r>
            <w:r>
              <w:rPr>
                <w:color w:val="auto"/>
              </w:rPr>
              <w:t>kg/h</w:t>
            </w:r>
          </w:p>
        </w:tc>
        <w:tc>
          <w:tcPr>
            <w:tcW w:w="968" w:type="pct"/>
            <w:tcBorders>
              <w:tl2br w:val="nil"/>
              <w:tr2bl w:val="nil"/>
            </w:tcBorders>
            <w:noWrap w:val="0"/>
            <w:vAlign w:val="center"/>
          </w:tcPr>
          <w:p w14:paraId="6FF72F1D">
            <w:pPr>
              <w:pStyle w:val="12"/>
              <w:bidi w:val="0"/>
              <w:rPr>
                <w:rFonts w:hint="default"/>
                <w:color w:val="auto"/>
                <w:lang w:val="en-US" w:eastAsia="zh-CN"/>
              </w:rPr>
            </w:pPr>
            <w:r>
              <w:rPr>
                <w:rFonts w:hint="eastAsia"/>
                <w:color w:val="auto"/>
                <w:lang w:val="en-US" w:eastAsia="zh-CN"/>
              </w:rPr>
              <w:t>油烟净化器</w:t>
            </w:r>
          </w:p>
        </w:tc>
        <w:tc>
          <w:tcPr>
            <w:tcW w:w="973" w:type="pct"/>
            <w:tcBorders>
              <w:tl2br w:val="nil"/>
              <w:tr2bl w:val="nil"/>
            </w:tcBorders>
            <w:noWrap w:val="0"/>
            <w:vAlign w:val="center"/>
          </w:tcPr>
          <w:p w14:paraId="09BBBB7C">
            <w:pPr>
              <w:pStyle w:val="12"/>
              <w:bidi w:val="0"/>
              <w:rPr>
                <w:rFonts w:hint="default" w:eastAsia="宋体"/>
                <w:bCs/>
                <w:color w:val="auto"/>
                <w:szCs w:val="21"/>
                <w:lang w:val="en-US" w:eastAsia="zh-CN"/>
              </w:rPr>
            </w:pPr>
            <w:r>
              <w:rPr>
                <w:rFonts w:hint="eastAsia"/>
                <w:color w:val="auto"/>
                <w:lang w:val="en-US" w:eastAsia="zh-CN"/>
              </w:rPr>
              <w:t>0.0009</w:t>
            </w:r>
            <w:r>
              <w:rPr>
                <w:color w:val="auto"/>
              </w:rPr>
              <w:t>kg/h</w:t>
            </w:r>
          </w:p>
        </w:tc>
        <w:tc>
          <w:tcPr>
            <w:tcW w:w="567" w:type="pct"/>
            <w:vMerge w:val="continue"/>
            <w:tcBorders>
              <w:tl2br w:val="nil"/>
              <w:tr2bl w:val="nil"/>
            </w:tcBorders>
            <w:noWrap w:val="0"/>
            <w:vAlign w:val="center"/>
          </w:tcPr>
          <w:p w14:paraId="58D3FCD5">
            <w:pPr>
              <w:pageBreakBefore w:val="0"/>
              <w:wordWrap/>
              <w:bidi w:val="0"/>
              <w:adjustRightInd/>
              <w:snapToGrid/>
              <w:spacing w:line="240" w:lineRule="auto"/>
              <w:ind w:firstLine="0" w:firstLineChars="0"/>
              <w:jc w:val="center"/>
              <w:rPr>
                <w:color w:val="auto"/>
                <w:sz w:val="21"/>
                <w:szCs w:val="21"/>
              </w:rPr>
            </w:pPr>
          </w:p>
        </w:tc>
      </w:tr>
      <w:tr w14:paraId="2411F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tcBorders>
              <w:tl2br w:val="nil"/>
              <w:tr2bl w:val="nil"/>
            </w:tcBorders>
            <w:noWrap w:val="0"/>
            <w:vAlign w:val="center"/>
          </w:tcPr>
          <w:p w14:paraId="5A2F17B7">
            <w:pPr>
              <w:pageBreakBefore w:val="0"/>
              <w:wordWrap/>
              <w:bidi w:val="0"/>
              <w:adjustRightInd/>
              <w:snapToGrid/>
              <w:spacing w:line="240" w:lineRule="auto"/>
              <w:ind w:firstLine="0" w:firstLineChars="0"/>
              <w:jc w:val="center"/>
              <w:rPr>
                <w:color w:val="auto"/>
                <w:sz w:val="21"/>
                <w:szCs w:val="21"/>
              </w:rPr>
            </w:pPr>
            <w:r>
              <w:rPr>
                <w:color w:val="auto"/>
                <w:sz w:val="21"/>
                <w:szCs w:val="21"/>
              </w:rPr>
              <w:t>废水</w:t>
            </w:r>
          </w:p>
        </w:tc>
        <w:tc>
          <w:tcPr>
            <w:tcW w:w="645" w:type="pct"/>
            <w:tcBorders>
              <w:tl2br w:val="nil"/>
              <w:tr2bl w:val="nil"/>
            </w:tcBorders>
            <w:noWrap w:val="0"/>
            <w:vAlign w:val="center"/>
          </w:tcPr>
          <w:p w14:paraId="4673EE4C">
            <w:pPr>
              <w:pageBreakBefore w:val="0"/>
              <w:wordWrap/>
              <w:bidi w:val="0"/>
              <w:adjustRightInd/>
              <w:snapToGrid/>
              <w:spacing w:line="240" w:lineRule="auto"/>
              <w:ind w:firstLine="0" w:firstLineChars="0"/>
              <w:jc w:val="center"/>
              <w:rPr>
                <w:snapToGrid w:val="0"/>
                <w:color w:val="auto"/>
                <w:sz w:val="21"/>
                <w:szCs w:val="21"/>
              </w:rPr>
            </w:pPr>
            <w:r>
              <w:rPr>
                <w:color w:val="auto"/>
                <w:sz w:val="21"/>
                <w:szCs w:val="21"/>
              </w:rPr>
              <w:t>综合污水</w:t>
            </w:r>
          </w:p>
        </w:tc>
        <w:tc>
          <w:tcPr>
            <w:tcW w:w="518" w:type="pct"/>
            <w:tcBorders>
              <w:tl2br w:val="nil"/>
              <w:tr2bl w:val="nil"/>
            </w:tcBorders>
            <w:noWrap w:val="0"/>
            <w:vAlign w:val="center"/>
          </w:tcPr>
          <w:p w14:paraId="14B4E59E">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pH</w:t>
            </w:r>
            <w:r>
              <w:rPr>
                <w:rFonts w:hint="eastAsia"/>
                <w:color w:val="auto"/>
                <w:sz w:val="21"/>
                <w:szCs w:val="21"/>
                <w:lang w:eastAsia="zh-CN"/>
              </w:rPr>
              <w:t>、</w:t>
            </w:r>
            <w:r>
              <w:rPr>
                <w:rFonts w:hint="eastAsia" w:eastAsia="宋体"/>
                <w:color w:val="auto"/>
                <w:sz w:val="21"/>
                <w:szCs w:val="21"/>
                <w:lang w:eastAsia="zh-CN"/>
              </w:rPr>
              <w:t>COD</w:t>
            </w:r>
            <w:r>
              <w:rPr>
                <w:rFonts w:hint="eastAsia"/>
                <w:color w:val="auto"/>
                <w:sz w:val="21"/>
                <w:szCs w:val="21"/>
                <w:lang w:eastAsia="zh-CN"/>
              </w:rPr>
              <w:t>、</w:t>
            </w: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lang w:eastAsia="zh-CN"/>
              </w:rPr>
              <w:t>、</w:t>
            </w:r>
            <w:r>
              <w:rPr>
                <w:rFonts w:hint="eastAsia" w:eastAsia="宋体"/>
                <w:color w:val="auto"/>
                <w:sz w:val="21"/>
                <w:szCs w:val="21"/>
                <w:lang w:eastAsia="zh-CN"/>
              </w:rPr>
              <w:t>SS</w:t>
            </w:r>
            <w:r>
              <w:rPr>
                <w:rFonts w:hint="eastAsia"/>
                <w:color w:val="auto"/>
                <w:sz w:val="21"/>
                <w:szCs w:val="21"/>
                <w:lang w:eastAsia="zh-CN"/>
              </w:rPr>
              <w:t>、</w:t>
            </w: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eastAsia="zh-CN"/>
              </w:rPr>
              <w:t>、</w:t>
            </w:r>
            <w:r>
              <w:rPr>
                <w:rFonts w:hint="eastAsia" w:eastAsia="宋体"/>
                <w:color w:val="auto"/>
                <w:sz w:val="21"/>
                <w:szCs w:val="21"/>
                <w:lang w:eastAsia="zh-CN"/>
              </w:rPr>
              <w:t>TP</w:t>
            </w:r>
            <w:r>
              <w:rPr>
                <w:rFonts w:hint="eastAsia"/>
                <w:color w:val="auto"/>
                <w:sz w:val="21"/>
                <w:szCs w:val="21"/>
                <w:lang w:eastAsia="zh-CN"/>
              </w:rPr>
              <w:t>、</w:t>
            </w:r>
            <w:r>
              <w:rPr>
                <w:rFonts w:hint="eastAsia" w:eastAsia="宋体"/>
                <w:color w:val="auto"/>
                <w:sz w:val="21"/>
                <w:szCs w:val="21"/>
                <w:lang w:eastAsia="zh-CN"/>
              </w:rPr>
              <w:t>TN</w:t>
            </w:r>
            <w:r>
              <w:rPr>
                <w:rFonts w:hint="eastAsia"/>
                <w:color w:val="auto"/>
                <w:sz w:val="21"/>
                <w:szCs w:val="21"/>
                <w:lang w:eastAsia="zh-CN"/>
              </w:rPr>
              <w:t>、</w:t>
            </w:r>
          </w:p>
        </w:tc>
        <w:tc>
          <w:tcPr>
            <w:tcW w:w="1128" w:type="pct"/>
            <w:tcBorders>
              <w:tl2br w:val="nil"/>
              <w:tr2bl w:val="nil"/>
            </w:tcBorders>
            <w:noWrap w:val="0"/>
            <w:vAlign w:val="center"/>
          </w:tcPr>
          <w:p w14:paraId="3634215B">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水量：3000</w:t>
            </w:r>
            <w:r>
              <w:rPr>
                <w:rFonts w:hint="eastAsia"/>
                <w:color w:val="auto"/>
                <w:sz w:val="21"/>
                <w:szCs w:val="21"/>
                <w:lang w:eastAsia="zh-CN"/>
              </w:rPr>
              <w:t>m³</w:t>
            </w:r>
            <w:r>
              <w:rPr>
                <w:color w:val="auto"/>
                <w:sz w:val="21"/>
                <w:szCs w:val="21"/>
              </w:rPr>
              <w:t>/d</w:t>
            </w:r>
          </w:p>
          <w:p w14:paraId="25896FC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COD</w:t>
            </w:r>
            <w:r>
              <w:rPr>
                <w:rFonts w:hint="eastAsia"/>
                <w:color w:val="auto"/>
                <w:sz w:val="21"/>
                <w:szCs w:val="21"/>
                <w:lang w:eastAsia="zh-CN"/>
              </w:rPr>
              <w:t>：</w:t>
            </w:r>
            <w:r>
              <w:rPr>
                <w:rFonts w:hint="eastAsia"/>
                <w:color w:val="auto"/>
                <w:sz w:val="21"/>
                <w:szCs w:val="21"/>
                <w:lang w:val="en-US" w:eastAsia="zh-CN"/>
              </w:rPr>
              <w:t>350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383.25</w:t>
            </w:r>
            <w:r>
              <w:rPr>
                <w:color w:val="auto"/>
                <w:sz w:val="21"/>
                <w:szCs w:val="21"/>
              </w:rPr>
              <w:t>t/a</w:t>
            </w:r>
            <w:r>
              <w:rPr>
                <w:rFonts w:hint="eastAsia"/>
                <w:color w:val="auto"/>
                <w:sz w:val="21"/>
                <w:szCs w:val="21"/>
                <w:lang w:eastAsia="zh-CN"/>
              </w:rPr>
              <w:t>；</w:t>
            </w:r>
          </w:p>
          <w:p w14:paraId="20675A4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vertAlign w:val="baseline"/>
                <w:lang w:eastAsia="zh-CN"/>
              </w:rPr>
              <w:t>：</w:t>
            </w:r>
            <w:r>
              <w:rPr>
                <w:rFonts w:hint="eastAsia"/>
                <w:color w:val="auto"/>
                <w:sz w:val="21"/>
                <w:szCs w:val="21"/>
                <w:vertAlign w:val="baseline"/>
                <w:lang w:val="en-US" w:eastAsia="zh-CN"/>
              </w:rPr>
              <w:t>150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164.25</w:t>
            </w:r>
            <w:r>
              <w:rPr>
                <w:color w:val="auto"/>
                <w:sz w:val="21"/>
                <w:szCs w:val="21"/>
              </w:rPr>
              <w:t>t/a</w:t>
            </w:r>
            <w:r>
              <w:rPr>
                <w:rFonts w:hint="eastAsia"/>
                <w:color w:val="auto"/>
                <w:sz w:val="21"/>
                <w:szCs w:val="21"/>
                <w:lang w:eastAsia="zh-CN"/>
              </w:rPr>
              <w:t>；</w:t>
            </w:r>
          </w:p>
          <w:p w14:paraId="1ACE527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SS</w:t>
            </w:r>
            <w:r>
              <w:rPr>
                <w:rFonts w:hint="eastAsia"/>
                <w:color w:val="auto"/>
                <w:sz w:val="21"/>
                <w:szCs w:val="21"/>
                <w:lang w:val="en-US" w:eastAsia="zh-CN"/>
              </w:rPr>
              <w:t>：400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438</w:t>
            </w:r>
            <w:r>
              <w:rPr>
                <w:color w:val="auto"/>
                <w:sz w:val="21"/>
                <w:szCs w:val="21"/>
              </w:rPr>
              <w:t>t/a</w:t>
            </w:r>
            <w:r>
              <w:rPr>
                <w:rFonts w:hint="eastAsia"/>
                <w:color w:val="auto"/>
                <w:sz w:val="21"/>
                <w:szCs w:val="21"/>
                <w:lang w:eastAsia="zh-CN"/>
              </w:rPr>
              <w:t>；</w:t>
            </w:r>
          </w:p>
          <w:p w14:paraId="0C9BF05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val="en-US" w:eastAsia="zh-CN"/>
              </w:rPr>
              <w:t>：50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69F2D8F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TP</w:t>
            </w:r>
            <w:r>
              <w:rPr>
                <w:rFonts w:hint="eastAsia"/>
                <w:color w:val="auto"/>
                <w:sz w:val="21"/>
                <w:szCs w:val="21"/>
                <w:lang w:val="en-US" w:eastAsia="zh-CN"/>
              </w:rPr>
              <w:t>：4</w:t>
            </w:r>
            <w:r>
              <w:rPr>
                <w:color w:val="auto"/>
                <w:sz w:val="21"/>
                <w:szCs w:val="21"/>
              </w:rPr>
              <w:t>mg/L</w:t>
            </w:r>
            <w:r>
              <w:rPr>
                <w:rFonts w:hint="eastAsia"/>
                <w:color w:val="auto"/>
                <w:sz w:val="21"/>
                <w:szCs w:val="21"/>
                <w:lang w:eastAsia="zh-CN"/>
              </w:rPr>
              <w:t>，</w:t>
            </w:r>
            <w:r>
              <w:rPr>
                <w:rFonts w:hint="eastAsia"/>
                <w:color w:val="auto"/>
                <w:sz w:val="21"/>
                <w:szCs w:val="21"/>
                <w:lang w:val="en-US" w:eastAsia="zh-CN"/>
              </w:rPr>
              <w:t>4.38</w:t>
            </w:r>
            <w:r>
              <w:rPr>
                <w:color w:val="auto"/>
                <w:sz w:val="21"/>
                <w:szCs w:val="21"/>
              </w:rPr>
              <w:t>t/a</w:t>
            </w:r>
            <w:r>
              <w:rPr>
                <w:rFonts w:hint="eastAsia"/>
                <w:color w:val="auto"/>
                <w:sz w:val="21"/>
                <w:szCs w:val="21"/>
                <w:lang w:eastAsia="zh-CN"/>
              </w:rPr>
              <w:t>；</w:t>
            </w:r>
          </w:p>
          <w:p w14:paraId="347F9F8B">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TN</w:t>
            </w:r>
            <w:r>
              <w:rPr>
                <w:rFonts w:hint="eastAsia"/>
                <w:color w:val="auto"/>
                <w:sz w:val="21"/>
                <w:szCs w:val="21"/>
                <w:lang w:eastAsia="zh-CN"/>
              </w:rPr>
              <w:t>：</w:t>
            </w:r>
            <w:r>
              <w:rPr>
                <w:rFonts w:hint="eastAsia"/>
                <w:color w:val="auto"/>
                <w:sz w:val="21"/>
                <w:szCs w:val="21"/>
                <w:lang w:val="en-US" w:eastAsia="zh-CN"/>
              </w:rPr>
              <w:t>80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87.6</w:t>
            </w:r>
            <w:r>
              <w:rPr>
                <w:color w:val="auto"/>
                <w:sz w:val="21"/>
                <w:szCs w:val="21"/>
              </w:rPr>
              <w:t>t/a</w:t>
            </w:r>
            <w:r>
              <w:rPr>
                <w:rFonts w:hint="eastAsia"/>
                <w:color w:val="auto"/>
                <w:sz w:val="21"/>
                <w:szCs w:val="21"/>
                <w:lang w:eastAsia="zh-CN"/>
              </w:rPr>
              <w:t>；</w:t>
            </w:r>
          </w:p>
          <w:p w14:paraId="27D886E0">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石油类</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0701DCE8">
            <w:pPr>
              <w:pageBreakBefore w:val="0"/>
              <w:wordWrap/>
              <w:bidi w:val="0"/>
              <w:adjustRightInd/>
              <w:snapToGrid/>
              <w:spacing w:line="240" w:lineRule="auto"/>
              <w:ind w:firstLine="0" w:firstLineChars="0"/>
              <w:jc w:val="center"/>
              <w:rPr>
                <w:rFonts w:hint="default"/>
                <w:color w:val="auto"/>
                <w:lang w:val="en-US"/>
              </w:rPr>
            </w:pPr>
            <w:r>
              <w:rPr>
                <w:rFonts w:hint="eastAsia" w:eastAsia="宋体"/>
                <w:color w:val="auto"/>
                <w:sz w:val="21"/>
                <w:szCs w:val="21"/>
                <w:lang w:val="en-US" w:eastAsia="zh-CN"/>
              </w:rPr>
              <w:t>甲醛</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p>
        </w:tc>
        <w:tc>
          <w:tcPr>
            <w:tcW w:w="968" w:type="pct"/>
            <w:tcBorders>
              <w:tl2br w:val="nil"/>
              <w:tr2bl w:val="nil"/>
            </w:tcBorders>
            <w:noWrap w:val="0"/>
            <w:vAlign w:val="center"/>
          </w:tcPr>
          <w:p w14:paraId="363CF6ED">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超细格栅+调节池+高级氧化预处理（预留）+水解酸化池+生化池+二沉池+磁混凝沉淀池+深床反硝化+高级氧化深度处理+紫外线消毒</w:t>
            </w:r>
          </w:p>
        </w:tc>
        <w:tc>
          <w:tcPr>
            <w:tcW w:w="973" w:type="pct"/>
            <w:tcBorders>
              <w:tl2br w:val="nil"/>
              <w:tr2bl w:val="nil"/>
            </w:tcBorders>
            <w:noWrap w:val="0"/>
            <w:vAlign w:val="center"/>
          </w:tcPr>
          <w:p w14:paraId="063B843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水量：3000</w:t>
            </w:r>
            <w:r>
              <w:rPr>
                <w:rFonts w:hint="eastAsia"/>
                <w:color w:val="auto"/>
                <w:sz w:val="21"/>
                <w:szCs w:val="21"/>
                <w:lang w:eastAsia="zh-CN"/>
              </w:rPr>
              <w:t>m³</w:t>
            </w:r>
            <w:r>
              <w:rPr>
                <w:color w:val="auto"/>
                <w:sz w:val="21"/>
                <w:szCs w:val="21"/>
              </w:rPr>
              <w:t>/d</w:t>
            </w:r>
          </w:p>
          <w:p w14:paraId="7A3E1C5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COD</w:t>
            </w:r>
            <w:r>
              <w:rPr>
                <w:rFonts w:hint="eastAsia"/>
                <w:color w:val="auto"/>
                <w:sz w:val="21"/>
                <w:szCs w:val="21"/>
                <w:lang w:eastAsia="zh-CN"/>
              </w:rPr>
              <w:t>：</w:t>
            </w:r>
            <w:r>
              <w:rPr>
                <w:rFonts w:hint="eastAsia"/>
                <w:color w:val="auto"/>
                <w:sz w:val="21"/>
                <w:szCs w:val="21"/>
                <w:lang w:val="en-US" w:eastAsia="zh-CN"/>
              </w:rPr>
              <w:t>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1B46CBA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vertAlign w:val="baseline"/>
                <w:lang w:eastAsia="zh-CN"/>
              </w:rPr>
              <w:t>：</w:t>
            </w:r>
            <w:r>
              <w:rPr>
                <w:rFonts w:hint="eastAsia"/>
                <w:color w:val="auto"/>
                <w:sz w:val="21"/>
                <w:szCs w:val="21"/>
                <w:vertAlign w:val="baseline"/>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6DD59DC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SS</w:t>
            </w:r>
            <w:r>
              <w:rPr>
                <w:rFonts w:hint="eastAsia"/>
                <w:color w:val="auto"/>
                <w:sz w:val="21"/>
                <w:szCs w:val="21"/>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5001A3B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val="en-US" w:eastAsia="zh-CN"/>
              </w:rPr>
              <w:t>：5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33670A9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TP</w:t>
            </w:r>
            <w:r>
              <w:rPr>
                <w:rFonts w:hint="eastAsia"/>
                <w:color w:val="auto"/>
                <w:sz w:val="21"/>
                <w:szCs w:val="21"/>
                <w:lang w:val="en-US" w:eastAsia="zh-CN"/>
              </w:rPr>
              <w:t>：0.5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0.5475</w:t>
            </w:r>
            <w:r>
              <w:rPr>
                <w:color w:val="auto"/>
                <w:sz w:val="21"/>
                <w:szCs w:val="21"/>
              </w:rPr>
              <w:t>t/a</w:t>
            </w:r>
            <w:r>
              <w:rPr>
                <w:rFonts w:hint="eastAsia"/>
                <w:color w:val="auto"/>
                <w:sz w:val="21"/>
                <w:szCs w:val="21"/>
                <w:lang w:eastAsia="zh-CN"/>
              </w:rPr>
              <w:t>；</w:t>
            </w:r>
          </w:p>
          <w:p w14:paraId="7ED70641">
            <w:pPr>
              <w:pageBreakBefore w:val="0"/>
              <w:wordWrap/>
              <w:bidi w:val="0"/>
              <w:adjustRightInd/>
              <w:snapToGrid/>
              <w:spacing w:line="240" w:lineRule="auto"/>
              <w:ind w:firstLine="0" w:firstLineChars="0"/>
              <w:jc w:val="center"/>
              <w:rPr>
                <w:rFonts w:hint="eastAsia"/>
                <w:color w:val="auto"/>
                <w:sz w:val="21"/>
                <w:szCs w:val="21"/>
                <w:lang w:eastAsia="zh-CN"/>
              </w:rPr>
            </w:pPr>
            <w:r>
              <w:rPr>
                <w:rFonts w:hint="eastAsia" w:eastAsia="宋体"/>
                <w:color w:val="auto"/>
                <w:sz w:val="21"/>
                <w:szCs w:val="21"/>
                <w:lang w:eastAsia="zh-CN"/>
              </w:rPr>
              <w:t>TN</w:t>
            </w:r>
            <w:r>
              <w:rPr>
                <w:rFonts w:hint="eastAsia"/>
                <w:color w:val="auto"/>
                <w:sz w:val="21"/>
                <w:szCs w:val="21"/>
                <w:lang w:eastAsia="zh-CN"/>
              </w:rPr>
              <w:t>：</w:t>
            </w:r>
            <w:r>
              <w:rPr>
                <w:rFonts w:hint="eastAsia"/>
                <w:color w:val="auto"/>
                <w:sz w:val="21"/>
                <w:szCs w:val="21"/>
                <w:lang w:val="en-US" w:eastAsia="zh-CN"/>
              </w:rPr>
              <w:t>15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16.425</w:t>
            </w:r>
            <w:r>
              <w:rPr>
                <w:color w:val="auto"/>
                <w:sz w:val="21"/>
                <w:szCs w:val="21"/>
              </w:rPr>
              <w:t>t/a</w:t>
            </w:r>
            <w:r>
              <w:rPr>
                <w:rFonts w:hint="eastAsia"/>
                <w:color w:val="auto"/>
                <w:sz w:val="21"/>
                <w:szCs w:val="21"/>
                <w:lang w:eastAsia="zh-CN"/>
              </w:rPr>
              <w:t>；</w:t>
            </w:r>
          </w:p>
          <w:p w14:paraId="6B657398">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石油类</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1F080572">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val="en-US" w:eastAsia="zh-CN"/>
              </w:rPr>
              <w:t>甲醛</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p>
        </w:tc>
        <w:tc>
          <w:tcPr>
            <w:tcW w:w="567" w:type="pct"/>
            <w:tcBorders>
              <w:tl2br w:val="nil"/>
              <w:tr2bl w:val="nil"/>
            </w:tcBorders>
            <w:noWrap w:val="0"/>
            <w:vAlign w:val="center"/>
          </w:tcPr>
          <w:p w14:paraId="6069A3D6">
            <w:pPr>
              <w:pageBreakBefore w:val="0"/>
              <w:wordWrap/>
              <w:bidi w:val="0"/>
              <w:adjustRightInd/>
              <w:snapToGrid/>
              <w:spacing w:line="240" w:lineRule="auto"/>
              <w:ind w:firstLine="0" w:firstLineChars="0"/>
              <w:jc w:val="center"/>
              <w:rPr>
                <w:rFonts w:hint="eastAsia" w:eastAsia="宋体"/>
                <w:color w:val="auto"/>
                <w:kern w:val="0"/>
                <w:sz w:val="21"/>
                <w:szCs w:val="21"/>
                <w:lang w:eastAsia="zh-CN"/>
              </w:rPr>
            </w:pPr>
            <w:r>
              <w:rPr>
                <w:rFonts w:hint="eastAsia"/>
                <w:color w:val="auto"/>
                <w:kern w:val="0"/>
                <w:sz w:val="21"/>
                <w:szCs w:val="21"/>
                <w:lang w:eastAsia="zh-CN"/>
              </w:rPr>
              <w:t>巴河</w:t>
            </w:r>
          </w:p>
        </w:tc>
      </w:tr>
      <w:tr w14:paraId="36F41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restart"/>
            <w:tcBorders>
              <w:tl2br w:val="nil"/>
              <w:tr2bl w:val="nil"/>
            </w:tcBorders>
            <w:noWrap w:val="0"/>
            <w:vAlign w:val="center"/>
          </w:tcPr>
          <w:p w14:paraId="4EECDB7B">
            <w:pPr>
              <w:pageBreakBefore w:val="0"/>
              <w:wordWrap/>
              <w:bidi w:val="0"/>
              <w:adjustRightInd/>
              <w:snapToGrid/>
              <w:spacing w:line="240" w:lineRule="auto"/>
              <w:ind w:firstLine="0" w:firstLineChars="0"/>
              <w:jc w:val="center"/>
              <w:rPr>
                <w:color w:val="auto"/>
                <w:sz w:val="21"/>
                <w:szCs w:val="21"/>
              </w:rPr>
            </w:pPr>
            <w:r>
              <w:rPr>
                <w:color w:val="auto"/>
                <w:sz w:val="21"/>
                <w:szCs w:val="21"/>
              </w:rPr>
              <w:t>固废</w:t>
            </w:r>
          </w:p>
        </w:tc>
        <w:tc>
          <w:tcPr>
            <w:tcW w:w="645" w:type="pct"/>
            <w:tcBorders>
              <w:tl2br w:val="nil"/>
              <w:tr2bl w:val="nil"/>
            </w:tcBorders>
            <w:noWrap w:val="0"/>
            <w:vAlign w:val="center"/>
          </w:tcPr>
          <w:p w14:paraId="76012D97">
            <w:pPr>
              <w:pStyle w:val="495"/>
              <w:pageBreakBefore w:val="0"/>
              <w:wordWrap/>
              <w:bidi w:val="0"/>
              <w:adjustRightInd/>
              <w:snapToGrid/>
              <w:ind w:firstLine="0" w:firstLineChars="0"/>
              <w:jc w:val="center"/>
              <w:rPr>
                <w:color w:val="auto"/>
                <w:sz w:val="21"/>
                <w:szCs w:val="21"/>
              </w:rPr>
            </w:pPr>
            <w:r>
              <w:rPr>
                <w:color w:val="auto"/>
                <w:sz w:val="21"/>
                <w:szCs w:val="21"/>
              </w:rPr>
              <w:t>员工办公生活</w:t>
            </w:r>
          </w:p>
        </w:tc>
        <w:tc>
          <w:tcPr>
            <w:tcW w:w="518" w:type="pct"/>
            <w:tcBorders>
              <w:tl2br w:val="nil"/>
              <w:tr2bl w:val="nil"/>
            </w:tcBorders>
            <w:noWrap w:val="0"/>
            <w:vAlign w:val="center"/>
          </w:tcPr>
          <w:p w14:paraId="449F5C1B">
            <w:pPr>
              <w:pStyle w:val="495"/>
              <w:pageBreakBefore w:val="0"/>
              <w:wordWrap/>
              <w:bidi w:val="0"/>
              <w:adjustRightInd/>
              <w:snapToGrid/>
              <w:ind w:firstLine="0" w:firstLineChars="0"/>
              <w:jc w:val="center"/>
              <w:rPr>
                <w:color w:val="auto"/>
                <w:sz w:val="21"/>
                <w:szCs w:val="21"/>
              </w:rPr>
            </w:pPr>
            <w:r>
              <w:rPr>
                <w:color w:val="auto"/>
                <w:sz w:val="21"/>
                <w:szCs w:val="21"/>
              </w:rPr>
              <w:t>生活垃圾</w:t>
            </w:r>
          </w:p>
        </w:tc>
        <w:tc>
          <w:tcPr>
            <w:tcW w:w="1128" w:type="pct"/>
            <w:tcBorders>
              <w:tl2br w:val="nil"/>
              <w:tr2bl w:val="nil"/>
            </w:tcBorders>
            <w:noWrap w:val="0"/>
            <w:vAlign w:val="center"/>
          </w:tcPr>
          <w:p w14:paraId="0B7C6F0F">
            <w:pPr>
              <w:pStyle w:val="495"/>
              <w:pageBreakBefore w:val="0"/>
              <w:wordWrap/>
              <w:bidi w:val="0"/>
              <w:adjustRightInd/>
              <w:snapToGrid/>
              <w:ind w:firstLine="0" w:firstLineChars="0"/>
              <w:jc w:val="center"/>
              <w:rPr>
                <w:rFonts w:hint="default"/>
                <w:color w:val="auto"/>
                <w:sz w:val="21"/>
                <w:szCs w:val="21"/>
                <w:lang w:val="en-US"/>
              </w:rPr>
            </w:pPr>
            <w:r>
              <w:rPr>
                <w:rFonts w:hint="eastAsia" w:cs="Times New Roman"/>
                <w:color w:val="auto"/>
                <w:kern w:val="2"/>
                <w:sz w:val="21"/>
                <w:szCs w:val="21"/>
                <w:lang w:val="en-US" w:eastAsia="zh-CN" w:bidi="ar-SA"/>
              </w:rPr>
              <w:t>3.285t/a</w:t>
            </w:r>
          </w:p>
        </w:tc>
        <w:tc>
          <w:tcPr>
            <w:tcW w:w="968" w:type="pct"/>
            <w:tcBorders>
              <w:tl2br w:val="nil"/>
              <w:tr2bl w:val="nil"/>
            </w:tcBorders>
            <w:noWrap w:val="0"/>
            <w:vAlign w:val="center"/>
          </w:tcPr>
          <w:p w14:paraId="21C59007">
            <w:pPr>
              <w:pStyle w:val="495"/>
              <w:pageBreakBefore w:val="0"/>
              <w:wordWrap/>
              <w:bidi w:val="0"/>
              <w:adjustRightInd/>
              <w:snapToGrid/>
              <w:ind w:firstLine="0" w:firstLineChars="0"/>
              <w:jc w:val="center"/>
              <w:rPr>
                <w:color w:val="auto"/>
                <w:kern w:val="0"/>
                <w:position w:val="-2"/>
                <w:sz w:val="21"/>
                <w:szCs w:val="21"/>
              </w:rPr>
            </w:pPr>
            <w:r>
              <w:rPr>
                <w:color w:val="auto"/>
                <w:sz w:val="21"/>
                <w:szCs w:val="21"/>
              </w:rPr>
              <w:t>环卫清运</w:t>
            </w:r>
          </w:p>
        </w:tc>
        <w:tc>
          <w:tcPr>
            <w:tcW w:w="973" w:type="pct"/>
            <w:tcBorders>
              <w:tl2br w:val="nil"/>
              <w:tr2bl w:val="nil"/>
            </w:tcBorders>
            <w:noWrap w:val="0"/>
            <w:vAlign w:val="center"/>
          </w:tcPr>
          <w:p w14:paraId="52C30456">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0244033F">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填埋场</w:t>
            </w:r>
          </w:p>
        </w:tc>
      </w:tr>
      <w:tr w14:paraId="2A781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144C3E78">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1D2C6D70">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w:t>
            </w:r>
          </w:p>
        </w:tc>
        <w:tc>
          <w:tcPr>
            <w:tcW w:w="518" w:type="pct"/>
            <w:tcBorders>
              <w:tl2br w:val="nil"/>
              <w:tr2bl w:val="nil"/>
            </w:tcBorders>
            <w:noWrap w:val="0"/>
            <w:vAlign w:val="center"/>
          </w:tcPr>
          <w:p w14:paraId="1E3A6E41">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食堂餐厨垃圾</w:t>
            </w:r>
          </w:p>
        </w:tc>
        <w:tc>
          <w:tcPr>
            <w:tcW w:w="1128" w:type="pct"/>
            <w:tcBorders>
              <w:tl2br w:val="nil"/>
              <w:tr2bl w:val="nil"/>
            </w:tcBorders>
            <w:noWrap w:val="0"/>
            <w:vAlign w:val="center"/>
          </w:tcPr>
          <w:p w14:paraId="065ECCAC">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1.314</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59A5DFA6">
            <w:pPr>
              <w:pStyle w:val="495"/>
              <w:pageBreakBefore w:val="0"/>
              <w:wordWrap/>
              <w:bidi w:val="0"/>
              <w:adjustRightInd/>
              <w:snapToGrid/>
              <w:ind w:firstLine="0" w:firstLineChars="0"/>
              <w:jc w:val="center"/>
              <w:rPr>
                <w:color w:val="auto"/>
                <w:kern w:val="0"/>
                <w:position w:val="-2"/>
                <w:sz w:val="21"/>
                <w:szCs w:val="21"/>
              </w:rPr>
            </w:pPr>
            <w:r>
              <w:rPr>
                <w:rFonts w:hint="eastAsia"/>
                <w:color w:val="auto"/>
                <w:sz w:val="21"/>
                <w:szCs w:val="21"/>
              </w:rPr>
              <w:t>有相应处理能力的单位清运处置</w:t>
            </w:r>
          </w:p>
        </w:tc>
        <w:tc>
          <w:tcPr>
            <w:tcW w:w="973" w:type="pct"/>
            <w:tcBorders>
              <w:tl2br w:val="nil"/>
              <w:tr2bl w:val="nil"/>
            </w:tcBorders>
            <w:noWrap w:val="0"/>
            <w:vAlign w:val="center"/>
          </w:tcPr>
          <w:p w14:paraId="52E97334">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154C2A26">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有相应处理能力的单位</w:t>
            </w:r>
          </w:p>
        </w:tc>
      </w:tr>
      <w:tr w14:paraId="4CD69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370D775F">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45B0495D">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加药间等</w:t>
            </w:r>
          </w:p>
        </w:tc>
        <w:tc>
          <w:tcPr>
            <w:tcW w:w="518" w:type="pct"/>
            <w:tcBorders>
              <w:tl2br w:val="nil"/>
              <w:tr2bl w:val="nil"/>
            </w:tcBorders>
            <w:noWrap w:val="0"/>
            <w:vAlign w:val="center"/>
          </w:tcPr>
          <w:p w14:paraId="2800A1B4">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废包装材料</w:t>
            </w:r>
          </w:p>
        </w:tc>
        <w:tc>
          <w:tcPr>
            <w:tcW w:w="1128" w:type="pct"/>
            <w:tcBorders>
              <w:tl2br w:val="nil"/>
              <w:tr2bl w:val="nil"/>
            </w:tcBorders>
            <w:noWrap w:val="0"/>
            <w:vAlign w:val="center"/>
          </w:tcPr>
          <w:p w14:paraId="7F3EE2B3">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69DE6F28">
            <w:pPr>
              <w:pStyle w:val="495"/>
              <w:pageBreakBefore w:val="0"/>
              <w:wordWrap/>
              <w:bidi w:val="0"/>
              <w:adjustRightInd/>
              <w:snapToGrid/>
              <w:ind w:firstLine="0" w:firstLineChars="0"/>
              <w:jc w:val="center"/>
              <w:rPr>
                <w:color w:val="auto"/>
                <w:kern w:val="0"/>
                <w:position w:val="-2"/>
                <w:sz w:val="21"/>
                <w:szCs w:val="21"/>
              </w:rPr>
            </w:pPr>
            <w:r>
              <w:rPr>
                <w:rFonts w:hint="eastAsia"/>
                <w:color w:val="auto"/>
                <w:sz w:val="21"/>
                <w:szCs w:val="21"/>
                <w:lang w:val="en-US" w:eastAsia="zh-CN"/>
              </w:rPr>
              <w:t>外售废品回收站</w:t>
            </w:r>
          </w:p>
        </w:tc>
        <w:tc>
          <w:tcPr>
            <w:tcW w:w="973" w:type="pct"/>
            <w:tcBorders>
              <w:tl2br w:val="nil"/>
              <w:tr2bl w:val="nil"/>
            </w:tcBorders>
            <w:noWrap w:val="0"/>
            <w:vAlign w:val="center"/>
          </w:tcPr>
          <w:p w14:paraId="7AFC4A4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0D91BD2D">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废品回收站</w:t>
            </w:r>
          </w:p>
        </w:tc>
      </w:tr>
      <w:tr w14:paraId="02659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1373B5EA">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34462180">
            <w:pPr>
              <w:pStyle w:val="495"/>
              <w:pageBreakBefore w:val="0"/>
              <w:wordWrap/>
              <w:bidi w:val="0"/>
              <w:adjustRightInd/>
              <w:snapToGrid/>
              <w:ind w:firstLine="0" w:firstLineChars="0"/>
              <w:jc w:val="center"/>
              <w:rPr>
                <w:color w:val="auto"/>
                <w:sz w:val="21"/>
                <w:szCs w:val="21"/>
              </w:rPr>
            </w:pPr>
            <w:r>
              <w:rPr>
                <w:color w:val="auto"/>
                <w:sz w:val="21"/>
                <w:szCs w:val="21"/>
              </w:rPr>
              <w:t>格栅</w:t>
            </w:r>
          </w:p>
        </w:tc>
        <w:tc>
          <w:tcPr>
            <w:tcW w:w="518" w:type="pct"/>
            <w:tcBorders>
              <w:tl2br w:val="nil"/>
              <w:tr2bl w:val="nil"/>
            </w:tcBorders>
            <w:noWrap w:val="0"/>
            <w:vAlign w:val="center"/>
          </w:tcPr>
          <w:p w14:paraId="635332A9">
            <w:pPr>
              <w:pStyle w:val="495"/>
              <w:pageBreakBefore w:val="0"/>
              <w:wordWrap/>
              <w:bidi w:val="0"/>
              <w:adjustRightInd/>
              <w:snapToGrid/>
              <w:ind w:firstLine="0" w:firstLineChars="0"/>
              <w:jc w:val="center"/>
              <w:rPr>
                <w:color w:val="auto"/>
                <w:sz w:val="21"/>
                <w:szCs w:val="21"/>
              </w:rPr>
            </w:pPr>
            <w:r>
              <w:rPr>
                <w:color w:val="auto"/>
                <w:sz w:val="21"/>
                <w:szCs w:val="21"/>
              </w:rPr>
              <w:t>栅渣</w:t>
            </w:r>
          </w:p>
        </w:tc>
        <w:tc>
          <w:tcPr>
            <w:tcW w:w="1128" w:type="pct"/>
            <w:tcBorders>
              <w:tl2br w:val="nil"/>
              <w:tr2bl w:val="nil"/>
            </w:tcBorders>
            <w:noWrap w:val="0"/>
            <w:vAlign w:val="center"/>
          </w:tcPr>
          <w:p w14:paraId="1D613FD0">
            <w:pPr>
              <w:pStyle w:val="495"/>
              <w:pageBreakBefore w:val="0"/>
              <w:wordWrap/>
              <w:bidi w:val="0"/>
              <w:adjustRightInd/>
              <w:snapToGrid/>
              <w:ind w:firstLine="0" w:firstLineChars="0"/>
              <w:jc w:val="center"/>
              <w:rPr>
                <w:color w:val="auto"/>
                <w:sz w:val="21"/>
                <w:szCs w:val="21"/>
              </w:rPr>
            </w:pPr>
            <w:r>
              <w:rPr>
                <w:rFonts w:hint="eastAsia" w:cs="Times New Roman"/>
                <w:color w:val="auto"/>
                <w:kern w:val="2"/>
                <w:sz w:val="21"/>
                <w:szCs w:val="21"/>
                <w:lang w:val="en-US" w:eastAsia="zh-CN" w:bidi="ar-SA"/>
              </w:rPr>
              <w:t>31.536t/a</w:t>
            </w:r>
          </w:p>
        </w:tc>
        <w:tc>
          <w:tcPr>
            <w:tcW w:w="968" w:type="pct"/>
            <w:tcBorders>
              <w:tl2br w:val="nil"/>
              <w:tr2bl w:val="nil"/>
            </w:tcBorders>
            <w:noWrap w:val="0"/>
            <w:vAlign w:val="center"/>
          </w:tcPr>
          <w:p w14:paraId="4D523781">
            <w:pPr>
              <w:pStyle w:val="495"/>
              <w:pageBreakBefore w:val="0"/>
              <w:wordWrap/>
              <w:bidi w:val="0"/>
              <w:adjustRightInd/>
              <w:snapToGrid/>
              <w:ind w:firstLine="0" w:firstLineChars="0"/>
              <w:jc w:val="center"/>
              <w:rPr>
                <w:color w:val="auto"/>
                <w:kern w:val="0"/>
                <w:position w:val="-2"/>
                <w:sz w:val="21"/>
                <w:szCs w:val="21"/>
              </w:rPr>
            </w:pPr>
            <w:r>
              <w:rPr>
                <w:color w:val="auto"/>
                <w:sz w:val="21"/>
                <w:szCs w:val="21"/>
              </w:rPr>
              <w:t>环卫部门清运</w:t>
            </w:r>
          </w:p>
        </w:tc>
        <w:tc>
          <w:tcPr>
            <w:tcW w:w="973" w:type="pct"/>
            <w:tcBorders>
              <w:tl2br w:val="nil"/>
              <w:tr2bl w:val="nil"/>
            </w:tcBorders>
            <w:noWrap w:val="0"/>
            <w:vAlign w:val="center"/>
          </w:tcPr>
          <w:p w14:paraId="351BF89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23207717">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填埋场</w:t>
            </w:r>
          </w:p>
        </w:tc>
      </w:tr>
      <w:tr w14:paraId="54FAF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019A0E44">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58AA1772">
            <w:pPr>
              <w:pStyle w:val="495"/>
              <w:pageBreakBefore w:val="0"/>
              <w:wordWrap/>
              <w:bidi w:val="0"/>
              <w:adjustRightInd/>
              <w:snapToGrid/>
              <w:ind w:firstLine="0" w:firstLineChars="0"/>
              <w:jc w:val="center"/>
              <w:rPr>
                <w:color w:val="auto"/>
                <w:sz w:val="21"/>
                <w:szCs w:val="21"/>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518" w:type="pct"/>
            <w:tcBorders>
              <w:tl2br w:val="nil"/>
              <w:tr2bl w:val="nil"/>
            </w:tcBorders>
            <w:noWrap w:val="0"/>
            <w:vAlign w:val="center"/>
          </w:tcPr>
          <w:p w14:paraId="3295EA47">
            <w:pPr>
              <w:pStyle w:val="495"/>
              <w:pageBreakBefore w:val="0"/>
              <w:wordWrap/>
              <w:bidi w:val="0"/>
              <w:adjustRightInd/>
              <w:snapToGrid/>
              <w:ind w:firstLine="0" w:firstLineChars="0"/>
              <w:jc w:val="center"/>
              <w:rPr>
                <w:color w:val="auto"/>
                <w:sz w:val="21"/>
                <w:szCs w:val="21"/>
              </w:rPr>
            </w:pPr>
            <w:r>
              <w:rPr>
                <w:color w:val="auto"/>
                <w:sz w:val="21"/>
                <w:szCs w:val="21"/>
              </w:rPr>
              <w:t>污泥</w:t>
            </w:r>
          </w:p>
        </w:tc>
        <w:tc>
          <w:tcPr>
            <w:tcW w:w="1128" w:type="pct"/>
            <w:tcBorders>
              <w:tl2br w:val="nil"/>
              <w:tr2bl w:val="nil"/>
            </w:tcBorders>
            <w:noWrap w:val="0"/>
            <w:vAlign w:val="center"/>
          </w:tcPr>
          <w:p w14:paraId="3990468E">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582.54</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42D868E4">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根据鉴定结果，确定最终处置方式。</w:t>
            </w:r>
          </w:p>
          <w:p w14:paraId="03E4D0A9">
            <w:pPr>
              <w:pageBreakBefore w:val="0"/>
              <w:widowControl/>
              <w:wordWrap/>
              <w:bidi w:val="0"/>
              <w:adjustRightInd/>
              <w:snapToGrid/>
              <w:spacing w:line="240" w:lineRule="auto"/>
              <w:ind w:firstLine="0" w:firstLineChars="0"/>
              <w:jc w:val="left"/>
              <w:rPr>
                <w:color w:val="auto"/>
                <w:kern w:val="0"/>
                <w:position w:val="-2"/>
                <w:sz w:val="21"/>
                <w:szCs w:val="21"/>
              </w:rPr>
            </w:pPr>
            <w:r>
              <w:rPr>
                <w:color w:val="auto"/>
                <w:kern w:val="0"/>
                <w:sz w:val="21"/>
                <w:szCs w:val="21"/>
                <w:lang w:bidi="ar"/>
              </w:rPr>
              <w:t>若属危废→危废处置单位；若不属危废→其他第三方专业机构处置。</w:t>
            </w:r>
          </w:p>
        </w:tc>
        <w:tc>
          <w:tcPr>
            <w:tcW w:w="973" w:type="pct"/>
            <w:tcBorders>
              <w:tl2br w:val="nil"/>
              <w:tr2bl w:val="nil"/>
            </w:tcBorders>
            <w:noWrap w:val="0"/>
            <w:vAlign w:val="center"/>
          </w:tcPr>
          <w:p w14:paraId="727E068B">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1E875C97">
            <w:pPr>
              <w:pageBreakBefore w:val="0"/>
              <w:wordWrap/>
              <w:bidi w:val="0"/>
              <w:adjustRightInd/>
              <w:snapToGrid/>
              <w:spacing w:line="240" w:lineRule="auto"/>
              <w:ind w:firstLine="0" w:firstLineChars="0"/>
              <w:jc w:val="center"/>
              <w:rPr>
                <w:color w:val="auto"/>
                <w:kern w:val="0"/>
                <w:position w:val="-2"/>
                <w:sz w:val="21"/>
                <w:szCs w:val="21"/>
              </w:rPr>
            </w:pPr>
            <w:r>
              <w:rPr>
                <w:bCs/>
                <w:color w:val="auto"/>
                <w:sz w:val="21"/>
                <w:szCs w:val="21"/>
              </w:rPr>
              <w:t>根据鉴定结果确定</w:t>
            </w:r>
          </w:p>
        </w:tc>
      </w:tr>
      <w:tr w14:paraId="21032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02979ECE">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71807D27">
            <w:pPr>
              <w:pStyle w:val="495"/>
              <w:pageBreakBefore w:val="0"/>
              <w:wordWrap/>
              <w:bidi w:val="0"/>
              <w:adjustRightInd/>
              <w:snapToGrid/>
              <w:ind w:firstLine="0" w:firstLineChars="0"/>
              <w:jc w:val="center"/>
              <w:rPr>
                <w:color w:val="auto"/>
                <w:sz w:val="21"/>
                <w:szCs w:val="21"/>
              </w:rPr>
            </w:pPr>
            <w:r>
              <w:rPr>
                <w:color w:val="auto"/>
                <w:sz w:val="21"/>
                <w:szCs w:val="21"/>
              </w:rPr>
              <w:t>生物除臭系统</w:t>
            </w:r>
          </w:p>
        </w:tc>
        <w:tc>
          <w:tcPr>
            <w:tcW w:w="518" w:type="pct"/>
            <w:tcBorders>
              <w:tl2br w:val="nil"/>
              <w:tr2bl w:val="nil"/>
            </w:tcBorders>
            <w:noWrap w:val="0"/>
            <w:vAlign w:val="center"/>
          </w:tcPr>
          <w:p w14:paraId="28CF3B87">
            <w:pPr>
              <w:pStyle w:val="495"/>
              <w:pageBreakBefore w:val="0"/>
              <w:wordWrap/>
              <w:bidi w:val="0"/>
              <w:adjustRightInd/>
              <w:snapToGrid/>
              <w:ind w:firstLine="0" w:firstLineChars="0"/>
              <w:jc w:val="center"/>
              <w:rPr>
                <w:color w:val="auto"/>
                <w:sz w:val="21"/>
                <w:szCs w:val="21"/>
              </w:rPr>
            </w:pPr>
            <w:r>
              <w:rPr>
                <w:color w:val="auto"/>
                <w:sz w:val="21"/>
                <w:szCs w:val="21"/>
              </w:rPr>
              <w:t>生物除臭系统废弃填料</w:t>
            </w:r>
          </w:p>
        </w:tc>
        <w:tc>
          <w:tcPr>
            <w:tcW w:w="1128" w:type="pct"/>
            <w:tcBorders>
              <w:tl2br w:val="nil"/>
              <w:tr2bl w:val="nil"/>
            </w:tcBorders>
            <w:noWrap w:val="0"/>
            <w:vAlign w:val="center"/>
          </w:tcPr>
          <w:p w14:paraId="1EA7F812">
            <w:pPr>
              <w:pStyle w:val="495"/>
              <w:pageBreakBefore w:val="0"/>
              <w:wordWrap/>
              <w:bidi w:val="0"/>
              <w:adjustRightInd/>
              <w:snapToGrid/>
              <w:ind w:firstLine="0" w:firstLineChars="0"/>
              <w:jc w:val="center"/>
              <w:rPr>
                <w:color w:val="auto"/>
                <w:sz w:val="21"/>
                <w:szCs w:val="21"/>
              </w:rPr>
            </w:pPr>
            <w:r>
              <w:rPr>
                <w:color w:val="auto"/>
                <w:sz w:val="21"/>
                <w:szCs w:val="21"/>
              </w:rPr>
              <w:t>4.6</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71DC94FA">
            <w:pPr>
              <w:pStyle w:val="495"/>
              <w:pageBreakBefore w:val="0"/>
              <w:wordWrap/>
              <w:bidi w:val="0"/>
              <w:adjustRightInd/>
              <w:snapToGrid/>
              <w:ind w:firstLine="0" w:firstLineChars="0"/>
              <w:jc w:val="center"/>
              <w:rPr>
                <w:color w:val="auto"/>
                <w:kern w:val="0"/>
                <w:position w:val="-2"/>
                <w:sz w:val="21"/>
                <w:szCs w:val="21"/>
              </w:rPr>
            </w:pPr>
            <w:r>
              <w:rPr>
                <w:color w:val="auto"/>
                <w:sz w:val="21"/>
                <w:szCs w:val="21"/>
              </w:rPr>
              <w:t>厂家回收</w:t>
            </w:r>
          </w:p>
        </w:tc>
        <w:tc>
          <w:tcPr>
            <w:tcW w:w="973" w:type="pct"/>
            <w:tcBorders>
              <w:tl2br w:val="nil"/>
              <w:tr2bl w:val="nil"/>
            </w:tcBorders>
            <w:noWrap w:val="0"/>
            <w:vAlign w:val="center"/>
          </w:tcPr>
          <w:p w14:paraId="57AA9A61">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3AFF5B6C">
            <w:pPr>
              <w:pageBreakBefore w:val="0"/>
              <w:wordWrap/>
              <w:bidi w:val="0"/>
              <w:adjustRightInd/>
              <w:snapToGrid/>
              <w:spacing w:line="240" w:lineRule="auto"/>
              <w:ind w:firstLine="0" w:firstLineChars="0"/>
              <w:jc w:val="center"/>
              <w:rPr>
                <w:color w:val="auto"/>
                <w:kern w:val="0"/>
                <w:position w:val="-2"/>
                <w:sz w:val="21"/>
                <w:szCs w:val="21"/>
              </w:rPr>
            </w:pPr>
            <w:r>
              <w:rPr>
                <w:rFonts w:hint="eastAsia"/>
                <w:bCs/>
                <w:color w:val="auto"/>
                <w:sz w:val="21"/>
                <w:szCs w:val="21"/>
                <w:lang w:val="en-US" w:eastAsia="zh-CN"/>
              </w:rPr>
              <w:t>设备厂家</w:t>
            </w:r>
          </w:p>
        </w:tc>
      </w:tr>
      <w:tr w14:paraId="2BC6A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35974F5C">
            <w:pPr>
              <w:pageBreakBefore w:val="0"/>
              <w:wordWrap/>
              <w:bidi w:val="0"/>
              <w:adjustRightInd/>
              <w:snapToGrid/>
              <w:spacing w:line="240" w:lineRule="auto"/>
              <w:ind w:firstLine="0" w:firstLineChars="0"/>
              <w:jc w:val="center"/>
              <w:rPr>
                <w:color w:val="auto"/>
                <w:sz w:val="21"/>
                <w:szCs w:val="21"/>
              </w:rPr>
            </w:pPr>
          </w:p>
        </w:tc>
        <w:tc>
          <w:tcPr>
            <w:tcW w:w="645" w:type="pct"/>
            <w:vMerge w:val="restart"/>
            <w:tcBorders>
              <w:tl2br w:val="nil"/>
              <w:tr2bl w:val="nil"/>
            </w:tcBorders>
            <w:noWrap w:val="0"/>
            <w:vAlign w:val="center"/>
          </w:tcPr>
          <w:p w14:paraId="4BFF4D27">
            <w:pPr>
              <w:pStyle w:val="495"/>
              <w:pageBreakBefore w:val="0"/>
              <w:wordWrap/>
              <w:bidi w:val="0"/>
              <w:adjustRightInd/>
              <w:snapToGrid/>
              <w:ind w:firstLine="0" w:firstLineChars="0"/>
              <w:jc w:val="center"/>
              <w:rPr>
                <w:color w:val="auto"/>
                <w:sz w:val="21"/>
                <w:szCs w:val="21"/>
              </w:rPr>
            </w:pPr>
            <w:r>
              <w:rPr>
                <w:color w:val="auto"/>
                <w:sz w:val="21"/>
                <w:szCs w:val="21"/>
              </w:rPr>
              <w:t>设备维护</w:t>
            </w:r>
          </w:p>
        </w:tc>
        <w:tc>
          <w:tcPr>
            <w:tcW w:w="518" w:type="pct"/>
            <w:tcBorders>
              <w:tl2br w:val="nil"/>
              <w:tr2bl w:val="nil"/>
            </w:tcBorders>
            <w:noWrap w:val="0"/>
            <w:vAlign w:val="center"/>
          </w:tcPr>
          <w:p w14:paraId="3CA964B5">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w:t>
            </w:r>
          </w:p>
        </w:tc>
        <w:tc>
          <w:tcPr>
            <w:tcW w:w="1128" w:type="pct"/>
            <w:tcBorders>
              <w:tl2br w:val="nil"/>
              <w:tr2bl w:val="nil"/>
            </w:tcBorders>
            <w:noWrap w:val="0"/>
            <w:vAlign w:val="center"/>
          </w:tcPr>
          <w:p w14:paraId="40C1F143">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restart"/>
            <w:tcBorders>
              <w:tl2br w:val="nil"/>
              <w:tr2bl w:val="nil"/>
            </w:tcBorders>
            <w:noWrap w:val="0"/>
            <w:vAlign w:val="center"/>
          </w:tcPr>
          <w:p w14:paraId="72C23696">
            <w:pPr>
              <w:pStyle w:val="495"/>
              <w:pageBreakBefore w:val="0"/>
              <w:wordWrap/>
              <w:bidi w:val="0"/>
              <w:adjustRightInd/>
              <w:snapToGrid/>
              <w:ind w:firstLine="0" w:firstLineChars="0"/>
              <w:jc w:val="center"/>
              <w:rPr>
                <w:color w:val="auto"/>
                <w:kern w:val="0"/>
                <w:position w:val="-2"/>
                <w:sz w:val="21"/>
                <w:szCs w:val="21"/>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973" w:type="pct"/>
            <w:tcBorders>
              <w:tl2br w:val="nil"/>
              <w:tr2bl w:val="nil"/>
            </w:tcBorders>
            <w:noWrap w:val="0"/>
            <w:vAlign w:val="center"/>
          </w:tcPr>
          <w:p w14:paraId="74B721E8">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restart"/>
            <w:tcBorders>
              <w:tl2br w:val="nil"/>
              <w:tr2bl w:val="nil"/>
            </w:tcBorders>
            <w:noWrap w:val="0"/>
            <w:vAlign w:val="center"/>
          </w:tcPr>
          <w:p w14:paraId="0CE24425">
            <w:pPr>
              <w:pageBreakBefore w:val="0"/>
              <w:wordWrap/>
              <w:bidi w:val="0"/>
              <w:adjustRightInd/>
              <w:snapToGrid/>
              <w:spacing w:line="240" w:lineRule="auto"/>
              <w:ind w:firstLine="0" w:firstLineChars="0"/>
              <w:jc w:val="center"/>
              <w:rPr>
                <w:color w:val="auto"/>
                <w:kern w:val="0"/>
                <w:position w:val="-2"/>
                <w:sz w:val="21"/>
                <w:szCs w:val="21"/>
              </w:rPr>
            </w:pPr>
            <w:r>
              <w:rPr>
                <w:bCs/>
                <w:color w:val="auto"/>
                <w:sz w:val="21"/>
                <w:szCs w:val="21"/>
              </w:rPr>
              <w:t>危废处置单位</w:t>
            </w:r>
          </w:p>
        </w:tc>
      </w:tr>
      <w:tr w14:paraId="3AF9F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09AB83B8">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7FB91BB4">
            <w:pPr>
              <w:pStyle w:val="495"/>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07242294">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废机油桶</w:t>
            </w:r>
          </w:p>
        </w:tc>
        <w:tc>
          <w:tcPr>
            <w:tcW w:w="1128" w:type="pct"/>
            <w:tcBorders>
              <w:tl2br w:val="nil"/>
              <w:tr2bl w:val="nil"/>
            </w:tcBorders>
            <w:noWrap w:val="0"/>
            <w:vAlign w:val="center"/>
          </w:tcPr>
          <w:p w14:paraId="3683EAD7">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continue"/>
            <w:tcBorders>
              <w:tl2br w:val="nil"/>
              <w:tr2bl w:val="nil"/>
            </w:tcBorders>
            <w:noWrap w:val="0"/>
            <w:vAlign w:val="center"/>
          </w:tcPr>
          <w:p w14:paraId="7C0D7DDB">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51D0EA48">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1DD2CC94">
            <w:pPr>
              <w:pageBreakBefore w:val="0"/>
              <w:wordWrap/>
              <w:bidi w:val="0"/>
              <w:adjustRightInd/>
              <w:snapToGrid/>
              <w:spacing w:line="240" w:lineRule="auto"/>
              <w:ind w:firstLine="0" w:firstLineChars="0"/>
              <w:jc w:val="center"/>
              <w:rPr>
                <w:color w:val="auto"/>
                <w:kern w:val="0"/>
                <w:position w:val="-2"/>
                <w:sz w:val="21"/>
                <w:szCs w:val="21"/>
              </w:rPr>
            </w:pPr>
          </w:p>
        </w:tc>
      </w:tr>
      <w:tr w14:paraId="5495E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43A7C718">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6F0729E0">
            <w:pPr>
              <w:pStyle w:val="495"/>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1C654EAE">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含油棉纱手套</w:t>
            </w:r>
          </w:p>
        </w:tc>
        <w:tc>
          <w:tcPr>
            <w:tcW w:w="1128" w:type="pct"/>
            <w:tcBorders>
              <w:tl2br w:val="nil"/>
              <w:tr2bl w:val="nil"/>
            </w:tcBorders>
            <w:noWrap w:val="0"/>
            <w:vAlign w:val="center"/>
          </w:tcPr>
          <w:p w14:paraId="4FCCBDEC">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continue"/>
            <w:tcBorders>
              <w:tl2br w:val="nil"/>
              <w:tr2bl w:val="nil"/>
            </w:tcBorders>
            <w:noWrap w:val="0"/>
            <w:vAlign w:val="center"/>
          </w:tcPr>
          <w:p w14:paraId="3B586125">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32D703D7">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6634A894">
            <w:pPr>
              <w:pageBreakBefore w:val="0"/>
              <w:wordWrap/>
              <w:bidi w:val="0"/>
              <w:adjustRightInd/>
              <w:snapToGrid/>
              <w:spacing w:line="240" w:lineRule="auto"/>
              <w:ind w:firstLine="0" w:firstLineChars="0"/>
              <w:jc w:val="center"/>
              <w:rPr>
                <w:color w:val="auto"/>
                <w:sz w:val="21"/>
                <w:szCs w:val="21"/>
              </w:rPr>
            </w:pPr>
          </w:p>
        </w:tc>
      </w:tr>
      <w:tr w14:paraId="7CBF2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79FCAFB2">
            <w:pPr>
              <w:pageBreakBefore w:val="0"/>
              <w:wordWrap/>
              <w:bidi w:val="0"/>
              <w:adjustRightInd/>
              <w:snapToGrid/>
              <w:spacing w:line="240" w:lineRule="auto"/>
              <w:ind w:firstLine="0" w:firstLineChars="0"/>
              <w:jc w:val="center"/>
              <w:rPr>
                <w:color w:val="auto"/>
                <w:sz w:val="21"/>
                <w:szCs w:val="21"/>
              </w:rPr>
            </w:pPr>
          </w:p>
        </w:tc>
        <w:tc>
          <w:tcPr>
            <w:tcW w:w="645" w:type="pct"/>
            <w:vMerge w:val="restart"/>
            <w:tcBorders>
              <w:tl2br w:val="nil"/>
              <w:tr2bl w:val="nil"/>
            </w:tcBorders>
            <w:noWrap w:val="0"/>
            <w:vAlign w:val="center"/>
          </w:tcPr>
          <w:p w14:paraId="611E12D7">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化验室</w:t>
            </w:r>
          </w:p>
        </w:tc>
        <w:tc>
          <w:tcPr>
            <w:tcW w:w="518" w:type="pct"/>
            <w:tcBorders>
              <w:tl2br w:val="nil"/>
              <w:tr2bl w:val="nil"/>
            </w:tcBorders>
            <w:noWrap w:val="0"/>
            <w:vAlign w:val="center"/>
          </w:tcPr>
          <w:p w14:paraId="42F21D71">
            <w:pPr>
              <w:pStyle w:val="495"/>
              <w:pageBreakBefore w:val="0"/>
              <w:wordWrap/>
              <w:bidi w:val="0"/>
              <w:adjustRightInd/>
              <w:snapToGrid/>
              <w:ind w:firstLine="0" w:firstLineChars="0"/>
              <w:jc w:val="center"/>
              <w:rPr>
                <w:color w:val="auto"/>
                <w:sz w:val="21"/>
                <w:szCs w:val="21"/>
              </w:rPr>
            </w:pPr>
            <w:r>
              <w:rPr>
                <w:color w:val="auto"/>
                <w:sz w:val="21"/>
                <w:szCs w:val="21"/>
              </w:rPr>
              <w:t>化验废液</w:t>
            </w:r>
          </w:p>
        </w:tc>
        <w:tc>
          <w:tcPr>
            <w:tcW w:w="1128" w:type="pct"/>
            <w:tcBorders>
              <w:tl2br w:val="nil"/>
              <w:tr2bl w:val="nil"/>
            </w:tcBorders>
            <w:noWrap w:val="0"/>
            <w:vAlign w:val="center"/>
          </w:tcPr>
          <w:p w14:paraId="674E8AF4">
            <w:pPr>
              <w:pStyle w:val="495"/>
              <w:pageBreakBefore w:val="0"/>
              <w:wordWrap/>
              <w:bidi w:val="0"/>
              <w:adjustRightInd/>
              <w:snapToGrid/>
              <w:ind w:firstLine="0" w:firstLineChars="0"/>
              <w:jc w:val="center"/>
              <w:rPr>
                <w:rFonts w:hint="default"/>
                <w:color w:val="auto"/>
                <w:sz w:val="21"/>
                <w:szCs w:val="21"/>
                <w:lang w:val="en-US"/>
              </w:rPr>
            </w:pPr>
            <w:r>
              <w:rPr>
                <w:color w:val="auto"/>
                <w:sz w:val="21"/>
                <w:szCs w:val="21"/>
              </w:rPr>
              <w:t>0.</w:t>
            </w:r>
            <w:r>
              <w:rPr>
                <w:rFonts w:hint="eastAsia"/>
                <w:color w:val="auto"/>
                <w:sz w:val="21"/>
                <w:szCs w:val="21"/>
                <w:lang w:val="en-US" w:eastAsia="zh-CN"/>
              </w:rPr>
              <w:t>1t/a</w:t>
            </w:r>
          </w:p>
        </w:tc>
        <w:tc>
          <w:tcPr>
            <w:tcW w:w="968" w:type="pct"/>
            <w:vMerge w:val="continue"/>
            <w:tcBorders>
              <w:tl2br w:val="nil"/>
              <w:tr2bl w:val="nil"/>
            </w:tcBorders>
            <w:noWrap w:val="0"/>
            <w:vAlign w:val="center"/>
          </w:tcPr>
          <w:p w14:paraId="479FB64A">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4B857766">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58BED20E">
            <w:pPr>
              <w:pageBreakBefore w:val="0"/>
              <w:wordWrap/>
              <w:bidi w:val="0"/>
              <w:adjustRightInd/>
              <w:snapToGrid/>
              <w:spacing w:line="240" w:lineRule="auto"/>
              <w:ind w:firstLine="0" w:firstLineChars="0"/>
              <w:jc w:val="center"/>
              <w:rPr>
                <w:color w:val="auto"/>
                <w:sz w:val="21"/>
                <w:szCs w:val="21"/>
              </w:rPr>
            </w:pPr>
          </w:p>
        </w:tc>
      </w:tr>
      <w:tr w14:paraId="1D903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33B320C3">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04855C8A">
            <w:pPr>
              <w:pStyle w:val="495"/>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7B048FB4">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废化学试剂瓶</w:t>
            </w:r>
          </w:p>
        </w:tc>
        <w:tc>
          <w:tcPr>
            <w:tcW w:w="1128" w:type="pct"/>
            <w:tcBorders>
              <w:tl2br w:val="nil"/>
              <w:tr2bl w:val="nil"/>
            </w:tcBorders>
            <w:noWrap w:val="0"/>
            <w:vAlign w:val="center"/>
          </w:tcPr>
          <w:p w14:paraId="3BA6137D">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0.5t/a</w:t>
            </w:r>
          </w:p>
        </w:tc>
        <w:tc>
          <w:tcPr>
            <w:tcW w:w="968" w:type="pct"/>
            <w:vMerge w:val="continue"/>
            <w:tcBorders>
              <w:tl2br w:val="nil"/>
              <w:tr2bl w:val="nil"/>
            </w:tcBorders>
            <w:noWrap w:val="0"/>
            <w:vAlign w:val="center"/>
          </w:tcPr>
          <w:p w14:paraId="5F3FD053">
            <w:pPr>
              <w:pageBreakBefore w:val="0"/>
              <w:wordWrap/>
              <w:bidi w:val="0"/>
              <w:adjustRightInd/>
              <w:snapToGrid/>
              <w:spacing w:line="240" w:lineRule="auto"/>
              <w:ind w:firstLine="0" w:firstLineChars="0"/>
              <w:jc w:val="center"/>
              <w:rPr>
                <w:color w:val="auto"/>
                <w:sz w:val="21"/>
                <w:szCs w:val="21"/>
              </w:rPr>
            </w:pPr>
          </w:p>
        </w:tc>
        <w:tc>
          <w:tcPr>
            <w:tcW w:w="973" w:type="pct"/>
            <w:tcBorders>
              <w:tl2br w:val="nil"/>
              <w:tr2bl w:val="nil"/>
            </w:tcBorders>
            <w:noWrap w:val="0"/>
            <w:vAlign w:val="center"/>
          </w:tcPr>
          <w:p w14:paraId="51103B10">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33EC2FE3">
            <w:pPr>
              <w:pageBreakBefore w:val="0"/>
              <w:wordWrap/>
              <w:bidi w:val="0"/>
              <w:adjustRightInd/>
              <w:snapToGrid/>
              <w:spacing w:line="240" w:lineRule="auto"/>
              <w:ind w:firstLine="0" w:firstLineChars="0"/>
              <w:jc w:val="center"/>
              <w:rPr>
                <w:color w:val="auto"/>
                <w:sz w:val="21"/>
                <w:szCs w:val="21"/>
              </w:rPr>
            </w:pPr>
          </w:p>
        </w:tc>
      </w:tr>
    </w:tbl>
    <w:p w14:paraId="72AEC938">
      <w:pPr>
        <w:pStyle w:val="4"/>
        <w:pageBreakBefore w:val="0"/>
        <w:wordWrap/>
        <w:bidi w:val="0"/>
        <w:adjustRightInd/>
        <w:snapToGrid/>
        <w:rPr>
          <w:rFonts w:ascii="Times New Roman" w:hAnsi="Times New Roman" w:eastAsia="宋体"/>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docGrid w:linePitch="286" w:charSpace="0"/>
        </w:sectPr>
      </w:pPr>
      <w:bookmarkStart w:id="122" w:name="_Toc29000"/>
      <w:bookmarkEnd w:id="122"/>
      <w:bookmarkStart w:id="123" w:name="_Toc30883"/>
    </w:p>
    <w:p w14:paraId="75DAD52A">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lang w:val="en-US" w:eastAsia="zh-CN"/>
        </w:rPr>
        <w:t xml:space="preserve"> </w:t>
      </w:r>
      <w:bookmarkStart w:id="124" w:name="_Toc15905"/>
      <w:r>
        <w:rPr>
          <w:rFonts w:ascii="Times New Roman" w:hAnsi="Times New Roman" w:eastAsia="宋体"/>
          <w:color w:val="auto"/>
        </w:rPr>
        <w:t>清洁生产</w:t>
      </w:r>
      <w:bookmarkEnd w:id="123"/>
      <w:bookmarkEnd w:id="124"/>
    </w:p>
    <w:p w14:paraId="084313AF">
      <w:pPr>
        <w:pageBreakBefore w:val="0"/>
        <w:wordWrap/>
        <w:bidi w:val="0"/>
        <w:adjustRightInd/>
        <w:snapToGrid/>
        <w:ind w:firstLine="480"/>
        <w:rPr>
          <w:color w:val="auto"/>
        </w:rPr>
      </w:pPr>
      <w:r>
        <w:rPr>
          <w:color w:val="auto"/>
        </w:rPr>
        <w:t>清洁生产是将整体预防的环境战略贯穿于整个产品、服务的生命周期中，以期</w:t>
      </w:r>
      <w:r>
        <w:rPr>
          <w:rFonts w:hint="eastAsia"/>
          <w:color w:val="auto"/>
          <w:lang w:eastAsia="zh-CN"/>
        </w:rPr>
        <w:t>提高</w:t>
      </w:r>
      <w:r>
        <w:rPr>
          <w:color w:val="auto"/>
        </w:rPr>
        <w:t>生产效率，并减少对社会和环境的风险，通过生产全过程的控制和资源、能源的合理处置，实现经济建设与环境保护协调发展。本项目作为新建污水处理厂项目，属市政环保设施，营运期的污染影响相对较小。因此，项目拟建工程在清洁生产主要体现在清洁施工、工艺优化以及科学管理等，主要在以下方面体现了清洁生产思路：</w:t>
      </w:r>
      <w:r>
        <w:rPr>
          <w:rFonts w:hint="eastAsia"/>
          <w:color w:val="auto"/>
          <w:lang w:eastAsia="zh-CN"/>
        </w:rPr>
        <w:t>（</w:t>
      </w:r>
      <w:r>
        <w:rPr>
          <w:color w:val="auto"/>
        </w:rPr>
        <w:t>1</w:t>
      </w:r>
      <w:r>
        <w:rPr>
          <w:rFonts w:hint="eastAsia"/>
          <w:color w:val="auto"/>
          <w:lang w:eastAsia="zh-CN"/>
        </w:rPr>
        <w:t>）</w:t>
      </w:r>
      <w:r>
        <w:rPr>
          <w:color w:val="auto"/>
        </w:rPr>
        <w:t>施工废水处理后回用，提高了水资源的利用率；</w:t>
      </w:r>
      <w:r>
        <w:rPr>
          <w:rFonts w:hint="eastAsia"/>
          <w:color w:val="auto"/>
          <w:lang w:eastAsia="zh-CN"/>
        </w:rPr>
        <w:t>（</w:t>
      </w:r>
      <w:r>
        <w:rPr>
          <w:color w:val="auto"/>
        </w:rPr>
        <w:t>2</w:t>
      </w:r>
      <w:r>
        <w:rPr>
          <w:rFonts w:hint="eastAsia"/>
          <w:color w:val="auto"/>
          <w:lang w:eastAsia="zh-CN"/>
        </w:rPr>
        <w:t>）</w:t>
      </w:r>
      <w:r>
        <w:rPr>
          <w:color w:val="auto"/>
        </w:rPr>
        <w:t>采取湿法作业，尽量减轻施工扬尘对环境空气质量的影响；</w:t>
      </w:r>
      <w:r>
        <w:rPr>
          <w:rFonts w:hint="eastAsia"/>
          <w:color w:val="auto"/>
          <w:lang w:eastAsia="zh-CN"/>
        </w:rPr>
        <w:t>（</w:t>
      </w:r>
      <w:r>
        <w:rPr>
          <w:color w:val="auto"/>
        </w:rPr>
        <w:t>3</w:t>
      </w:r>
      <w:r>
        <w:rPr>
          <w:rFonts w:hint="eastAsia"/>
          <w:color w:val="auto"/>
          <w:lang w:eastAsia="zh-CN"/>
        </w:rPr>
        <w:t>）</w:t>
      </w:r>
      <w:r>
        <w:rPr>
          <w:color w:val="auto"/>
        </w:rPr>
        <w:t>项目施工中通过实施环境监理制度和完善合同约束机制，可发挥节省能源、施工材料、节约生产用水和削减整个生产过程产污的积极作用；</w:t>
      </w:r>
      <w:r>
        <w:rPr>
          <w:rFonts w:hint="eastAsia"/>
          <w:color w:val="auto"/>
          <w:lang w:eastAsia="zh-CN"/>
        </w:rPr>
        <w:t>（</w:t>
      </w:r>
      <w:r>
        <w:rPr>
          <w:color w:val="auto"/>
        </w:rPr>
        <w:t>4</w:t>
      </w:r>
      <w:r>
        <w:rPr>
          <w:rFonts w:hint="eastAsia"/>
          <w:color w:val="auto"/>
          <w:lang w:eastAsia="zh-CN"/>
        </w:rPr>
        <w:t>）</w:t>
      </w:r>
      <w:r>
        <w:rPr>
          <w:color w:val="auto"/>
        </w:rPr>
        <w:t>污水处理厂及污水管的建设，提高了服务范围内的工业废水、生活污水的收集率、处理率，极大地改善了当地的地表水环境；</w:t>
      </w:r>
      <w:r>
        <w:rPr>
          <w:rFonts w:hint="eastAsia"/>
          <w:color w:val="auto"/>
          <w:lang w:eastAsia="zh-CN"/>
        </w:rPr>
        <w:t>（</w:t>
      </w:r>
      <w:r>
        <w:rPr>
          <w:color w:val="auto"/>
        </w:rPr>
        <w:t>5</w:t>
      </w:r>
      <w:r>
        <w:rPr>
          <w:rFonts w:hint="eastAsia"/>
          <w:color w:val="auto"/>
          <w:lang w:eastAsia="zh-CN"/>
        </w:rPr>
        <w:t>）</w:t>
      </w:r>
      <w:r>
        <w:rPr>
          <w:color w:val="auto"/>
        </w:rPr>
        <w:t>项目建设的绿化措施、边坡防护措施将起到抑制局部区域水土流失的作用，改善区域水土流失现状。</w:t>
      </w:r>
    </w:p>
    <w:p w14:paraId="09F8A700">
      <w:pPr>
        <w:pageBreakBefore w:val="0"/>
        <w:wordWrap/>
        <w:bidi w:val="0"/>
        <w:adjustRightInd/>
        <w:snapToGrid/>
        <w:ind w:firstLine="480"/>
        <w:rPr>
          <w:color w:val="auto"/>
        </w:rPr>
      </w:pPr>
      <w:r>
        <w:rPr>
          <w:color w:val="auto"/>
        </w:rPr>
        <w:t>污水处理厂工程本身就是一个减污工程，未经处理的污水经污水处理厂处理后有益于环境保护，因此从项目本身而言就体现了清洁生产原则。</w:t>
      </w:r>
    </w:p>
    <w:p w14:paraId="359E18C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工艺清洁生产分析</w:t>
      </w:r>
    </w:p>
    <w:p w14:paraId="5AB767E5">
      <w:pPr>
        <w:pageBreakBefore w:val="0"/>
        <w:widowControl/>
        <w:wordWrap/>
        <w:bidi w:val="0"/>
        <w:adjustRightInd/>
        <w:snapToGrid/>
        <w:ind w:firstLine="480"/>
        <w:jc w:val="left"/>
        <w:rPr>
          <w:b/>
          <w:bCs/>
          <w:color w:val="auto"/>
        </w:rPr>
      </w:pPr>
      <w:r>
        <w:rPr>
          <w:b/>
          <w:bCs/>
          <w:color w:val="auto"/>
        </w:rPr>
        <w:t>（1）污水处理工艺</w:t>
      </w:r>
    </w:p>
    <w:p w14:paraId="21DF4735">
      <w:pPr>
        <w:pageBreakBefore w:val="0"/>
        <w:widowControl/>
        <w:wordWrap/>
        <w:bidi w:val="0"/>
        <w:adjustRightInd/>
        <w:snapToGrid/>
        <w:ind w:firstLine="480"/>
        <w:rPr>
          <w:color w:val="auto"/>
        </w:rPr>
      </w:pPr>
      <w:r>
        <w:rPr>
          <w:color w:val="auto"/>
        </w:rPr>
        <w:t>本项目属新建项目，污水处理工艺如下：</w:t>
      </w:r>
    </w:p>
    <w:p w14:paraId="49C1AF3C">
      <w:pPr>
        <w:pageBreakBefore w:val="0"/>
        <w:widowControl/>
        <w:wordWrap/>
        <w:bidi w:val="0"/>
        <w:adjustRightInd/>
        <w:snapToGrid/>
        <w:ind w:firstLine="480"/>
        <w:rPr>
          <w:color w:val="auto"/>
        </w:rPr>
      </w:pPr>
      <w:r>
        <w:rPr>
          <w:rFonts w:hint="eastAsia"/>
          <w:color w:val="auto"/>
          <w:lang w:eastAsia="zh-CN"/>
        </w:rPr>
        <w:t>超细格栅+调节池+高级氧化预处理（预留）+水解酸化池+生化池+二沉池+磁混凝沉淀池+深床反硝化+高级氧化深度处理+紫外线消毒</w:t>
      </w:r>
      <w:r>
        <w:rPr>
          <w:color w:val="auto"/>
        </w:rPr>
        <w:t>。</w:t>
      </w:r>
    </w:p>
    <w:p w14:paraId="3D784941">
      <w:pPr>
        <w:pageBreakBefore w:val="0"/>
        <w:widowControl/>
        <w:wordWrap/>
        <w:bidi w:val="0"/>
        <w:adjustRightInd/>
        <w:snapToGrid/>
        <w:ind w:firstLine="480"/>
        <w:rPr>
          <w:b/>
          <w:bCs/>
          <w:color w:val="auto"/>
        </w:rPr>
      </w:pPr>
      <w:r>
        <w:rPr>
          <w:b/>
          <w:bCs/>
          <w:color w:val="auto"/>
        </w:rPr>
        <w:t>（2）出水消毒工艺</w:t>
      </w:r>
    </w:p>
    <w:p w14:paraId="24AAF66A">
      <w:pPr>
        <w:pageBreakBefore w:val="0"/>
        <w:widowControl/>
        <w:wordWrap/>
        <w:bidi w:val="0"/>
        <w:adjustRightInd/>
        <w:snapToGrid/>
        <w:ind w:firstLine="480"/>
        <w:rPr>
          <w:color w:val="auto"/>
        </w:rPr>
      </w:pPr>
      <w:r>
        <w:rPr>
          <w:color w:val="auto"/>
        </w:rPr>
        <w:t>采用紫外消毒工艺，与其他消毒工艺相比，该工艺具有处理效果稳定，环境风险小等优点。并具有占地面积小，杀菌效率高。从环境保护的角度来说，该工艺更加符合清洁生产的要求。</w:t>
      </w:r>
    </w:p>
    <w:p w14:paraId="2F430FD0">
      <w:pPr>
        <w:pageBreakBefore w:val="0"/>
        <w:widowControl/>
        <w:wordWrap/>
        <w:bidi w:val="0"/>
        <w:adjustRightInd/>
        <w:snapToGrid/>
        <w:ind w:firstLine="480"/>
        <w:rPr>
          <w:b/>
          <w:bCs/>
          <w:color w:val="auto"/>
        </w:rPr>
      </w:pPr>
      <w:r>
        <w:rPr>
          <w:b/>
          <w:bCs/>
          <w:color w:val="auto"/>
        </w:rPr>
        <w:t>（3）污泥处理工艺</w:t>
      </w:r>
    </w:p>
    <w:p w14:paraId="7842BDE8">
      <w:pPr>
        <w:bidi w:val="0"/>
        <w:rPr>
          <w:color w:val="auto"/>
        </w:rPr>
      </w:pPr>
      <w:r>
        <w:rPr>
          <w:color w:val="auto"/>
        </w:rPr>
        <w:t>本项目污泥处理与处置工艺</w:t>
      </w:r>
      <w:r>
        <w:rPr>
          <w:rFonts w:hint="eastAsia"/>
          <w:color w:val="auto"/>
        </w:rPr>
        <w:t>采用物理调理+机械浓缩+板框脱水系统</w:t>
      </w:r>
      <w:r>
        <w:rPr>
          <w:color w:val="auto"/>
        </w:rPr>
        <w:t>，含水率</w:t>
      </w:r>
      <w:r>
        <w:rPr>
          <w:rFonts w:hint="eastAsia"/>
          <w:color w:val="auto"/>
        </w:rPr>
        <w:t>小于</w:t>
      </w:r>
      <w:r>
        <w:rPr>
          <w:rFonts w:hint="eastAsia"/>
          <w:color w:val="auto"/>
          <w:lang w:val="en-US" w:eastAsia="zh-CN"/>
        </w:rPr>
        <w:t>60</w:t>
      </w:r>
      <w:r>
        <w:rPr>
          <w:color w:val="auto"/>
        </w:rPr>
        <w:t>%；污泥处置：将脱水处理后的污泥，按照鉴别结果交由具有相应资</w:t>
      </w:r>
      <w:r>
        <w:rPr>
          <w:rFonts w:hint="eastAsia"/>
          <w:color w:val="auto"/>
          <w:lang w:eastAsia="zh-CN"/>
        </w:rPr>
        <w:t>质的</w:t>
      </w:r>
      <w:r>
        <w:rPr>
          <w:color w:val="auto"/>
        </w:rPr>
        <w:t>专业处理单位进行处置或综合利用，实现固废无害化、减量化、资源化，符合清洁生产的要求。</w:t>
      </w:r>
    </w:p>
    <w:p w14:paraId="5C17FECB">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合理的节能降噪措施</w:t>
      </w:r>
    </w:p>
    <w:p w14:paraId="4F33DE86">
      <w:pPr>
        <w:pageBreakBefore w:val="0"/>
        <w:wordWrap/>
        <w:bidi w:val="0"/>
        <w:adjustRightInd/>
        <w:snapToGrid/>
        <w:ind w:firstLine="480"/>
        <w:rPr>
          <w:b/>
          <w:bCs/>
          <w:color w:val="auto"/>
        </w:rPr>
      </w:pPr>
      <w:r>
        <w:rPr>
          <w:b/>
          <w:bCs/>
          <w:color w:val="auto"/>
        </w:rPr>
        <w:t>1、工艺节能</w:t>
      </w:r>
    </w:p>
    <w:p w14:paraId="0DFB7458">
      <w:pPr>
        <w:bidi w:val="0"/>
        <w:rPr>
          <w:color w:val="auto"/>
        </w:rPr>
      </w:pPr>
      <w:r>
        <w:rPr>
          <w:color w:val="auto"/>
        </w:rPr>
        <w:t>（1）污水管充分利用现状地形、顺坡敷设，在设计厂内污水提升泵站时，进行一次提升到位，</w:t>
      </w:r>
      <w:r>
        <w:rPr>
          <w:rFonts w:hint="eastAsia"/>
          <w:color w:val="auto"/>
          <w:lang w:eastAsia="zh-CN"/>
        </w:rPr>
        <w:t>污水处理厂</w:t>
      </w:r>
      <w:r>
        <w:rPr>
          <w:color w:val="auto"/>
        </w:rPr>
        <w:t>区内各处理工序则按从高到低顺流排列，原则不再加设动力提升。</w:t>
      </w:r>
    </w:p>
    <w:p w14:paraId="43263C6D">
      <w:pPr>
        <w:bidi w:val="0"/>
        <w:rPr>
          <w:color w:val="auto"/>
        </w:rPr>
      </w:pPr>
      <w:r>
        <w:rPr>
          <w:color w:val="auto"/>
        </w:rPr>
        <w:t>（2）污水处理站主要设备选用技术先进、高效节能产品，保证设备经济运行。调节池提升泵设有水位控制系统，自动投运提升泵的数量。</w:t>
      </w:r>
    </w:p>
    <w:p w14:paraId="131DC645">
      <w:pPr>
        <w:bidi w:val="0"/>
        <w:rPr>
          <w:color w:val="auto"/>
        </w:rPr>
      </w:pPr>
      <w:r>
        <w:rPr>
          <w:color w:val="auto"/>
        </w:rPr>
        <w:t>（3）合理布局污水处理厂平面，处理工艺流程力求简短，避免迂回重复，减少管道水头损失。</w:t>
      </w:r>
    </w:p>
    <w:p w14:paraId="44D9710C">
      <w:pPr>
        <w:bidi w:val="0"/>
        <w:rPr>
          <w:b/>
          <w:bCs/>
          <w:color w:val="auto"/>
        </w:rPr>
      </w:pPr>
      <w:r>
        <w:rPr>
          <w:b/>
          <w:bCs/>
          <w:color w:val="auto"/>
        </w:rPr>
        <w:t>2、劳动资源节能</w:t>
      </w:r>
    </w:p>
    <w:p w14:paraId="5CDBB77E">
      <w:pPr>
        <w:bidi w:val="0"/>
        <w:rPr>
          <w:color w:val="auto"/>
        </w:rPr>
      </w:pPr>
      <w:r>
        <w:rPr>
          <w:color w:val="auto"/>
        </w:rPr>
        <w:t>（1）生产工人均应经过职业培训，使每个生产工人均能熟练操作，制定并严格执行相应的作业规范。</w:t>
      </w:r>
    </w:p>
    <w:p w14:paraId="36915A01">
      <w:pPr>
        <w:bidi w:val="0"/>
        <w:rPr>
          <w:color w:val="auto"/>
        </w:rPr>
      </w:pPr>
      <w:r>
        <w:rPr>
          <w:color w:val="auto"/>
        </w:rPr>
        <w:t>（2）严格控制职工数量，做到精简、高效，提倡勤俭节约、艰苦奋斗。</w:t>
      </w:r>
    </w:p>
    <w:p w14:paraId="635AE6F9">
      <w:pPr>
        <w:bidi w:val="0"/>
        <w:rPr>
          <w:b/>
          <w:bCs/>
          <w:color w:val="auto"/>
        </w:rPr>
      </w:pPr>
      <w:r>
        <w:rPr>
          <w:b/>
          <w:bCs/>
          <w:color w:val="auto"/>
        </w:rPr>
        <w:t>3、物资材料节能</w:t>
      </w:r>
    </w:p>
    <w:p w14:paraId="6662FDB9">
      <w:pPr>
        <w:bidi w:val="0"/>
        <w:rPr>
          <w:color w:val="auto"/>
        </w:rPr>
      </w:pPr>
      <w:r>
        <w:rPr>
          <w:color w:val="auto"/>
        </w:rPr>
        <w:t>节油：选用单位油耗较低的运输车辆；</w:t>
      </w:r>
    </w:p>
    <w:p w14:paraId="06207C8F">
      <w:pPr>
        <w:bidi w:val="0"/>
        <w:rPr>
          <w:color w:val="auto"/>
        </w:rPr>
      </w:pPr>
      <w:r>
        <w:rPr>
          <w:color w:val="auto"/>
        </w:rPr>
        <w:t>节电：合理选用导线截面，减少电能损耗；选用效率较高的泵。</w:t>
      </w:r>
    </w:p>
    <w:p w14:paraId="6B5E7EE5">
      <w:pPr>
        <w:bidi w:val="0"/>
        <w:rPr>
          <w:color w:val="auto"/>
        </w:rPr>
      </w:pPr>
      <w:r>
        <w:rPr>
          <w:color w:val="auto"/>
        </w:rPr>
        <w:t>节水：该项目属于污染综合整治工程，系清洁生产、环境保护项目，把节水、节能、回收资源放在重要位置。该项目实施后，节水和节能效果明显。</w:t>
      </w:r>
    </w:p>
    <w:p w14:paraId="19C00CC6">
      <w:pPr>
        <w:bidi w:val="0"/>
        <w:rPr>
          <w:b/>
          <w:bCs/>
          <w:color w:val="auto"/>
        </w:rPr>
      </w:pPr>
      <w:bookmarkStart w:id="125" w:name="_Toc143921442"/>
      <w:bookmarkStart w:id="126" w:name="_Toc162076263"/>
      <w:bookmarkStart w:id="127" w:name="_Toc150660722"/>
      <w:r>
        <w:rPr>
          <w:b/>
          <w:bCs/>
          <w:color w:val="auto"/>
        </w:rPr>
        <w:t>4、设备维护节能措施</w:t>
      </w:r>
      <w:bookmarkEnd w:id="125"/>
      <w:bookmarkEnd w:id="126"/>
      <w:bookmarkEnd w:id="127"/>
    </w:p>
    <w:p w14:paraId="6F4AA5B5">
      <w:pPr>
        <w:bidi w:val="0"/>
        <w:rPr>
          <w:color w:val="auto"/>
        </w:rPr>
      </w:pPr>
      <w:r>
        <w:rPr>
          <w:color w:val="auto"/>
        </w:rPr>
        <w:t>所有的机电设备采用性能好、运行稳定可靠、检修周期长的设备和国家推荐的节能产品；风机等采用变频调节，降低能耗。照明器具选用高效光源及相应灯具，荧光灯选用节能型。自控仪表设计选用经济、先进、节能的测控仪表和方法；电气设备的设计和选型采用节能电器，优化电路设计，减少低压电路损失；尽可能选用节能型（国家推广产品）、标准型的专用设备，所有设备均指定专人负责保养，并定期进行检修，以保证设备运行正常，保持设备状态良好，杜绝设备空转现象。注重运用科技，推广科技成果。积极采用各种有利于节能的新技术、新产品、新材料和新工艺，使生产与科研密切结合，以提高工作效率、降低生产成本。</w:t>
      </w:r>
    </w:p>
    <w:p w14:paraId="344D9E95">
      <w:pPr>
        <w:bidi w:val="0"/>
        <w:rPr>
          <w:color w:val="auto"/>
        </w:rPr>
      </w:pPr>
      <w:r>
        <w:rPr>
          <w:color w:val="auto"/>
        </w:rPr>
        <w:t>各项节能指标均应低于国家规定的有关标准。污水处理厂主要设备选用技术先进、高效节能产品，保证设备经济运行。污泥池和流化床曝气系统选用较高效率微孔曝气器，采用先进的罗茨鼓风机，供氧系统采用自动控制，根据各池中溶解氧控制要求，调节各电动调节阀开启度，将供氧量控制在较佳工况，达到节能的目的。</w:t>
      </w:r>
    </w:p>
    <w:p w14:paraId="57B6384E">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有效的二次污染防治措施</w:t>
      </w:r>
    </w:p>
    <w:p w14:paraId="648E2165">
      <w:pPr>
        <w:pageBreakBefore w:val="0"/>
        <w:wordWrap/>
        <w:bidi w:val="0"/>
        <w:adjustRightInd/>
        <w:snapToGrid/>
        <w:ind w:firstLine="480"/>
        <w:rPr>
          <w:rFonts w:hint="eastAsia"/>
          <w:color w:val="auto"/>
        </w:rPr>
      </w:pPr>
      <w:r>
        <w:rPr>
          <w:color w:val="auto"/>
        </w:rPr>
        <w:t>（1）固体废弃物：分类收集、暂存。在厂内设中转设施，并</w:t>
      </w:r>
      <w:r>
        <w:rPr>
          <w:rFonts w:hint="eastAsia"/>
          <w:color w:val="auto"/>
          <w:lang w:eastAsia="zh-CN"/>
        </w:rPr>
        <w:t>做好</w:t>
      </w:r>
      <w:r>
        <w:rPr>
          <w:color w:val="auto"/>
        </w:rPr>
        <w:t>防雨、防渗、防流失处理。格栅渣经收集、预处理后送垃圾填埋场处理，污水处理系统污泥经收集、脱水等预处理后，根据鉴别结果送第三方专业机构综合利用、处置或垃圾填埋场处置，</w:t>
      </w:r>
      <w:r>
        <w:rPr>
          <w:rFonts w:hint="eastAsia"/>
          <w:color w:val="auto"/>
          <w:lang w:val="en-US" w:eastAsia="zh-CN"/>
        </w:rPr>
        <w:t>危废由有资质单位清运处置，</w:t>
      </w:r>
      <w:r>
        <w:rPr>
          <w:color w:val="auto"/>
        </w:rPr>
        <w:t>实现固体废弃物的减量化和无害化；生活垃圾由市政环卫部门收集，定期清运。</w:t>
      </w:r>
    </w:p>
    <w:p w14:paraId="43553A16">
      <w:pPr>
        <w:pageBreakBefore w:val="0"/>
        <w:wordWrap/>
        <w:bidi w:val="0"/>
        <w:adjustRightInd/>
        <w:snapToGrid/>
        <w:ind w:firstLine="480"/>
        <w:rPr>
          <w:color w:val="auto"/>
        </w:rPr>
      </w:pPr>
      <w:r>
        <w:rPr>
          <w:color w:val="auto"/>
        </w:rPr>
        <w:t>（2）废水：员工生活污水与废水一同进入项目污水处理厂处理，出水水质满足相关行业规范要求后，排入</w:t>
      </w:r>
      <w:r>
        <w:rPr>
          <w:rFonts w:hint="eastAsia"/>
          <w:color w:val="auto"/>
          <w:lang w:eastAsia="zh-CN"/>
        </w:rPr>
        <w:t>巴河</w:t>
      </w:r>
      <w:r>
        <w:rPr>
          <w:color w:val="auto"/>
        </w:rPr>
        <w:t>。</w:t>
      </w:r>
    </w:p>
    <w:p w14:paraId="0055E4EF">
      <w:pPr>
        <w:pageBreakBefore w:val="0"/>
        <w:wordWrap/>
        <w:bidi w:val="0"/>
        <w:adjustRightInd/>
        <w:snapToGrid/>
        <w:ind w:firstLine="480"/>
        <w:rPr>
          <w:color w:val="auto"/>
        </w:rPr>
      </w:pPr>
      <w:r>
        <w:rPr>
          <w:color w:val="auto"/>
        </w:rPr>
        <w:t>（3）恶臭：本项目废气污染物主要为硫化氢、氨、硫醇类、胺类和有机酸类化合物等，主要</w:t>
      </w:r>
      <w:r>
        <w:rPr>
          <w:rFonts w:hint="eastAsia"/>
          <w:color w:val="auto"/>
          <w:lang w:eastAsia="zh-CN"/>
        </w:rPr>
        <w:t>源头</w:t>
      </w:r>
      <w:r>
        <w:rPr>
          <w:color w:val="auto"/>
        </w:rPr>
        <w:t>为污水预处理区、污泥处理区以及生化池处理系统等，经密闭、加盖收集→生物除臭系统，进行集中处置，净化效率达95%，尾气经15m排气筒达标排放；并以主要恶臭源边界设置</w:t>
      </w:r>
      <w:r>
        <w:rPr>
          <w:rFonts w:hint="eastAsia"/>
          <w:color w:val="auto"/>
          <w:lang w:val="en-US" w:eastAsia="zh-CN"/>
        </w:rPr>
        <w:t>5</w:t>
      </w:r>
      <w:r>
        <w:rPr>
          <w:color w:val="auto"/>
        </w:rPr>
        <w:t>0m的卫生防护距离。同时，据现场调查表明，在该卫生防护距离范围内无环境敏感点，不存在环保搬迁。环评要求：该范围内不得修建学校、医院、居民集居区等环境敏感点；并在厂界周边设置绿化带，以高大乔木和灌木相结合，绿化带宽度不应小于5m，控制恶臭气体散逸；减少厂内污泥暂存量，污泥运输车辆密闭，污泥运输时要避开城市中心区，避开运输高峰期，尽量减小臭气对运输线路附近大气环境的影响。</w:t>
      </w:r>
    </w:p>
    <w:p w14:paraId="64ABE685">
      <w:pPr>
        <w:pageBreakBefore w:val="0"/>
        <w:wordWrap/>
        <w:bidi w:val="0"/>
        <w:adjustRightInd/>
        <w:snapToGrid/>
        <w:ind w:firstLine="480"/>
        <w:rPr>
          <w:color w:val="auto"/>
        </w:rPr>
      </w:pPr>
      <w:r>
        <w:rPr>
          <w:color w:val="auto"/>
        </w:rPr>
        <w:t>（4）噪声：对主要噪声源如污水提升泵、水泵房、曝气机和污泥脱水机等均采取了隔声、减振、消声等措施，可使厂界噪声满足《工业企业厂界环境噪声排放标准》</w:t>
      </w:r>
      <w:r>
        <w:rPr>
          <w:rFonts w:hint="eastAsia"/>
          <w:color w:val="auto"/>
          <w:lang w:eastAsia="zh-CN"/>
        </w:rPr>
        <w:t>（</w:t>
      </w:r>
      <w:r>
        <w:rPr>
          <w:color w:val="auto"/>
        </w:rPr>
        <w:t>GB12348-2008</w:t>
      </w:r>
      <w:r>
        <w:rPr>
          <w:rFonts w:hint="eastAsia"/>
          <w:color w:val="auto"/>
          <w:lang w:eastAsia="zh-CN"/>
        </w:rPr>
        <w:t>）</w:t>
      </w:r>
      <w:r>
        <w:rPr>
          <w:rFonts w:hint="eastAsia"/>
          <w:color w:val="auto"/>
          <w:lang w:val="en-US" w:eastAsia="zh-CN"/>
        </w:rPr>
        <w:t>2</w:t>
      </w:r>
      <w:r>
        <w:rPr>
          <w:color w:val="auto"/>
        </w:rPr>
        <w:t>类标准。</w:t>
      </w:r>
    </w:p>
    <w:p w14:paraId="0A229317">
      <w:pPr>
        <w:pageBreakBefore w:val="0"/>
        <w:wordWrap/>
        <w:bidi w:val="0"/>
        <w:adjustRightInd/>
        <w:snapToGrid/>
        <w:ind w:firstLine="480"/>
        <w:rPr>
          <w:color w:val="auto"/>
        </w:rPr>
      </w:pPr>
      <w:r>
        <w:rPr>
          <w:color w:val="auto"/>
        </w:rPr>
        <w:t>本项目建设后，使用达到国内先进水平的设备，生产过程中通过加强内部和生产过程管理、使用清洁能源、废物的综合利用和有效的污染治理措施等方面采取合理可行的措施，在生产设备及废水处理工艺、污染物产生、节水节能等多方面均采取了可行的清洁生产措施，认真贯彻了</w:t>
      </w:r>
      <w:r>
        <w:rPr>
          <w:rFonts w:hint="eastAsia"/>
          <w:color w:val="auto"/>
          <w:lang w:eastAsia="zh-CN"/>
        </w:rPr>
        <w:t>“</w:t>
      </w:r>
      <w:r>
        <w:rPr>
          <w:color w:val="auto"/>
        </w:rPr>
        <w:t>节能、降耗、减污减排</w:t>
      </w:r>
      <w:r>
        <w:rPr>
          <w:rFonts w:hint="eastAsia"/>
          <w:color w:val="auto"/>
          <w:lang w:eastAsia="zh-CN"/>
        </w:rPr>
        <w:t>”</w:t>
      </w:r>
      <w:r>
        <w:rPr>
          <w:color w:val="auto"/>
        </w:rPr>
        <w:t>，项目的实施符合清洁生产的原则。</w:t>
      </w:r>
    </w:p>
    <w:p w14:paraId="630D64EF">
      <w:pPr>
        <w:pageBreakBefore w:val="0"/>
        <w:wordWrap/>
        <w:bidi w:val="0"/>
        <w:adjustRightInd/>
        <w:snapToGrid/>
        <w:ind w:firstLine="480"/>
        <w:rPr>
          <w:color w:val="auto"/>
        </w:rPr>
      </w:pPr>
      <w:r>
        <w:rPr>
          <w:color w:val="auto"/>
        </w:rPr>
        <w:t>建议运营单位在污水处理厂营运过程中，按照质量管理体系的要求，采取世界先进的清洁生产工艺，切实贯彻落实各项清洁生产措施，保障清洁生产的推进，不断进步。</w:t>
      </w:r>
    </w:p>
    <w:p w14:paraId="389463C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小结</w:t>
      </w:r>
    </w:p>
    <w:p w14:paraId="12B6F6BD">
      <w:pPr>
        <w:bidi w:val="0"/>
        <w:rPr>
          <w:color w:val="auto"/>
        </w:rPr>
      </w:pPr>
      <w:r>
        <w:rPr>
          <w:color w:val="auto"/>
        </w:rPr>
        <w:t xml:space="preserve">综上所述：拟建项目处理工艺成熟，施工期及营运期产生的污染物经处理后能够达标排放。 </w:t>
      </w:r>
    </w:p>
    <w:p w14:paraId="28A3E480">
      <w:pPr>
        <w:pStyle w:val="4"/>
        <w:pageBreakBefore w:val="0"/>
        <w:wordWrap/>
        <w:bidi w:val="0"/>
        <w:adjustRightInd/>
        <w:snapToGrid/>
        <w:rPr>
          <w:rFonts w:ascii="Times New Roman" w:hAnsi="Times New Roman" w:eastAsia="宋体"/>
          <w:color w:val="auto"/>
        </w:rPr>
      </w:pPr>
      <w:bookmarkStart w:id="128" w:name="_Toc24221"/>
      <w:r>
        <w:rPr>
          <w:rFonts w:hint="eastAsia" w:ascii="Times New Roman" w:hAnsi="Times New Roman" w:eastAsia="宋体"/>
          <w:color w:val="auto"/>
          <w:lang w:val="en-US" w:eastAsia="zh-CN"/>
        </w:rPr>
        <w:t xml:space="preserve"> </w:t>
      </w:r>
      <w:bookmarkStart w:id="129" w:name="_Toc3928"/>
      <w:r>
        <w:rPr>
          <w:rFonts w:ascii="Times New Roman" w:hAnsi="Times New Roman" w:eastAsia="宋体"/>
          <w:color w:val="auto"/>
        </w:rPr>
        <w:t>总量控制指标</w:t>
      </w:r>
      <w:bookmarkEnd w:id="128"/>
      <w:bookmarkEnd w:id="129"/>
    </w:p>
    <w:p w14:paraId="319A4CDD">
      <w:pPr>
        <w:bidi w:val="0"/>
        <w:rPr>
          <w:color w:val="auto"/>
        </w:rPr>
      </w:pPr>
      <w:bookmarkStart w:id="130" w:name="_Toc505087363"/>
      <w:r>
        <w:rPr>
          <w:color w:val="auto"/>
        </w:rPr>
        <w:t>依据《建设项目主要污染物排放总量指标审核及管理暂行办法》（环[2014]197号）以及《四川省环境保护厅办公室关于贯彻落实&lt;建设项目主要污染物排放总量指标审核及管理暂行办法&gt;的通知》（川环办发</w:t>
      </w:r>
      <w:r>
        <w:rPr>
          <w:rFonts w:hint="eastAsia"/>
          <w:color w:val="auto"/>
          <w:lang w:eastAsia="zh-CN"/>
        </w:rPr>
        <w:t>〔</w:t>
      </w:r>
      <w:r>
        <w:rPr>
          <w:color w:val="auto"/>
        </w:rPr>
        <w:t>2015</w:t>
      </w:r>
      <w:r>
        <w:rPr>
          <w:rFonts w:hint="eastAsia"/>
          <w:color w:val="auto"/>
          <w:lang w:eastAsia="zh-CN"/>
        </w:rPr>
        <w:t>〕</w:t>
      </w:r>
      <w:r>
        <w:rPr>
          <w:color w:val="auto"/>
        </w:rPr>
        <w:t>333号）中相关规定对本项目污染物总量控制指标核定排放量计算过程如下：</w:t>
      </w:r>
    </w:p>
    <w:bookmarkEnd w:id="130"/>
    <w:p w14:paraId="444D7AED">
      <w:pPr>
        <w:bidi w:val="0"/>
        <w:rPr>
          <w:color w:val="auto"/>
        </w:rPr>
      </w:pPr>
      <w:r>
        <w:rPr>
          <w:color w:val="auto"/>
        </w:rPr>
        <w:t>经分析，本项目选址位于</w:t>
      </w:r>
      <w:r>
        <w:rPr>
          <w:rFonts w:hint="eastAsia"/>
          <w:color w:val="auto"/>
          <w:lang w:eastAsia="zh-CN"/>
        </w:rPr>
        <w:t>巴中巴州区四川巴中经济开发区</w:t>
      </w:r>
      <w:r>
        <w:rPr>
          <w:color w:val="auto"/>
        </w:rPr>
        <w:t>规划用地范围内，根据地方环保部门相关要求排水</w:t>
      </w:r>
      <w:r>
        <w:rPr>
          <w:rFonts w:hint="eastAsia"/>
          <w:color w:val="auto"/>
          <w:lang w:val="en-US" w:eastAsia="zh-CN"/>
        </w:rPr>
        <w:t>达到</w:t>
      </w:r>
      <w:r>
        <w:rPr>
          <w:rFonts w:hint="eastAsia"/>
          <w:color w:val="auto"/>
        </w:rPr>
        <w:t>《城镇污水处理厂污染物排放标准》（GB18918-2002）一级A标准</w:t>
      </w:r>
      <w:r>
        <w:rPr>
          <w:rFonts w:hint="eastAsia"/>
          <w:color w:val="auto"/>
          <w:lang w:val="en-US" w:eastAsia="zh-CN"/>
        </w:rPr>
        <w:t>后</w:t>
      </w:r>
      <w:r>
        <w:rPr>
          <w:color w:val="auto"/>
        </w:rPr>
        <w:t>排入</w:t>
      </w:r>
      <w:r>
        <w:rPr>
          <w:rFonts w:hint="eastAsia"/>
          <w:color w:val="auto"/>
          <w:lang w:eastAsia="zh-CN"/>
        </w:rPr>
        <w:t>巴河</w:t>
      </w:r>
      <w:r>
        <w:rPr>
          <w:color w:val="auto"/>
        </w:rPr>
        <w:t>。</w:t>
      </w:r>
    </w:p>
    <w:p w14:paraId="609417C4">
      <w:pPr>
        <w:pageBreakBefore w:val="0"/>
        <w:wordWrap/>
        <w:bidi w:val="0"/>
        <w:adjustRightInd/>
        <w:snapToGrid/>
        <w:ind w:firstLine="480"/>
        <w:jc w:val="left"/>
        <w:rPr>
          <w:color w:val="auto"/>
        </w:rPr>
      </w:pPr>
      <w:r>
        <w:rPr>
          <w:color w:val="auto"/>
        </w:rPr>
        <w:t>因此，本项目水污染物总量控制指标的核算过程如下：</w:t>
      </w:r>
    </w:p>
    <w:p w14:paraId="342424EC">
      <w:pPr>
        <w:pageBreakBefore w:val="0"/>
        <w:wordWrap/>
        <w:bidi w:val="0"/>
        <w:adjustRightInd/>
        <w:snapToGrid/>
        <w:ind w:firstLine="480"/>
        <w:jc w:val="left"/>
        <w:rPr>
          <w:color w:val="auto"/>
        </w:rPr>
      </w:pPr>
      <w:r>
        <w:rPr>
          <w:color w:val="auto"/>
        </w:rPr>
        <w:t>COD</w:t>
      </w:r>
      <w:r>
        <w:rPr>
          <w:color w:val="auto"/>
          <w:vertAlign w:val="subscript"/>
        </w:rPr>
        <w:t>Cr</w:t>
      </w:r>
      <w:r>
        <w:rPr>
          <w:rFonts w:hint="eastAsia"/>
          <w:color w:val="auto"/>
          <w:lang w:eastAsia="zh-CN"/>
        </w:rPr>
        <w:t>、</w:t>
      </w:r>
      <w:r>
        <w:rPr>
          <w:color w:val="auto"/>
        </w:rPr>
        <w:t>NH</w:t>
      </w:r>
      <w:r>
        <w:rPr>
          <w:color w:val="auto"/>
          <w:vertAlign w:val="subscript"/>
        </w:rPr>
        <w:t>3</w:t>
      </w:r>
      <w:r>
        <w:rPr>
          <w:color w:val="auto"/>
        </w:rPr>
        <w:t>-N</w:t>
      </w:r>
      <w:r>
        <w:rPr>
          <w:rFonts w:hint="eastAsia"/>
          <w:color w:val="auto"/>
          <w:lang w:val="en-US" w:eastAsia="zh-CN"/>
        </w:rPr>
        <w:t>和TP</w:t>
      </w:r>
      <w:r>
        <w:rPr>
          <w:color w:val="auto"/>
        </w:rPr>
        <w:t>核定排放总量指标=设计水量×运行时间</w:t>
      </w:r>
      <w:r>
        <w:rPr>
          <w:color w:val="auto"/>
          <w:lang w:val="fr-FR"/>
        </w:rPr>
        <w:t>×</w:t>
      </w:r>
      <w:r>
        <w:rPr>
          <w:color w:val="auto"/>
        </w:rPr>
        <w:t>排放浓度</w:t>
      </w:r>
    </w:p>
    <w:p w14:paraId="2FD738C7">
      <w:pPr>
        <w:pageBreakBefore w:val="0"/>
        <w:wordWrap/>
        <w:bidi w:val="0"/>
        <w:adjustRightInd/>
        <w:snapToGrid/>
        <w:ind w:firstLine="480"/>
        <w:jc w:val="left"/>
        <w:rPr>
          <w:color w:val="auto"/>
          <w:lang w:val="fr-FR"/>
        </w:rPr>
      </w:pPr>
      <w:r>
        <w:rPr>
          <w:color w:val="auto"/>
        </w:rPr>
        <w:t>COD</w:t>
      </w:r>
      <w:r>
        <w:rPr>
          <w:color w:val="auto"/>
          <w:vertAlign w:val="subscript"/>
        </w:rPr>
        <w:t>Cr</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w:t>
      </w:r>
      <w:r>
        <w:rPr>
          <w:rFonts w:hint="eastAsia"/>
          <w:color w:val="auto"/>
          <w:lang w:val="en-US" w:eastAsia="zh-CN"/>
        </w:rPr>
        <w:t>50</w:t>
      </w:r>
      <w:r>
        <w:rPr>
          <w:color w:val="auto"/>
          <w:lang w:val="fr-FR"/>
        </w:rPr>
        <w:t>mg/L×</w:t>
      </w:r>
      <w:r>
        <w:rPr>
          <w:color w:val="auto"/>
        </w:rPr>
        <w:t>10</w:t>
      </w:r>
      <w:r>
        <w:rPr>
          <w:color w:val="auto"/>
          <w:vertAlign w:val="superscript"/>
        </w:rPr>
        <w:t>-6</w:t>
      </w:r>
      <w:r>
        <w:rPr>
          <w:color w:val="auto"/>
          <w:lang w:val="fr-FR"/>
        </w:rPr>
        <w:t>=</w:t>
      </w:r>
      <w:r>
        <w:rPr>
          <w:rFonts w:hint="eastAsia"/>
          <w:color w:val="auto"/>
          <w:lang w:val="en-US" w:eastAsia="zh-CN"/>
        </w:rPr>
        <w:t>54.75</w:t>
      </w:r>
      <w:r>
        <w:rPr>
          <w:color w:val="auto"/>
          <w:lang w:val="fr-FR"/>
        </w:rPr>
        <w:t>t/a</w:t>
      </w:r>
    </w:p>
    <w:p w14:paraId="587CDC12">
      <w:pPr>
        <w:pageBreakBefore w:val="0"/>
        <w:wordWrap/>
        <w:bidi w:val="0"/>
        <w:adjustRightInd/>
        <w:snapToGrid/>
        <w:ind w:firstLine="480"/>
        <w:jc w:val="left"/>
        <w:rPr>
          <w:color w:val="auto"/>
          <w:lang w:val="fr-FR"/>
        </w:rPr>
      </w:pPr>
      <w:r>
        <w:rPr>
          <w:color w:val="auto"/>
          <w:lang w:val="fr-FR"/>
        </w:rPr>
        <w:t>NH</w:t>
      </w:r>
      <w:r>
        <w:rPr>
          <w:color w:val="auto"/>
          <w:vertAlign w:val="subscript"/>
          <w:lang w:val="fr-FR"/>
        </w:rPr>
        <w:t>3</w:t>
      </w:r>
      <w:r>
        <w:rPr>
          <w:color w:val="auto"/>
          <w:lang w:val="fr-FR"/>
        </w:rPr>
        <w:t>-N</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w:t>
      </w:r>
      <w:r>
        <w:rPr>
          <w:rFonts w:hint="eastAsia"/>
          <w:color w:val="auto"/>
          <w:lang w:val="en-US" w:eastAsia="zh-CN"/>
        </w:rPr>
        <w:t>5</w:t>
      </w:r>
      <w:r>
        <w:rPr>
          <w:color w:val="auto"/>
          <w:lang w:val="fr-FR"/>
        </w:rPr>
        <w:t>mg/L×10</w:t>
      </w:r>
      <w:r>
        <w:rPr>
          <w:color w:val="auto"/>
          <w:vertAlign w:val="superscript"/>
          <w:lang w:val="fr-FR"/>
        </w:rPr>
        <w:t>-6</w:t>
      </w:r>
      <w:r>
        <w:rPr>
          <w:color w:val="auto"/>
          <w:lang w:val="fr-FR"/>
        </w:rPr>
        <w:t>=</w:t>
      </w:r>
      <w:r>
        <w:rPr>
          <w:rFonts w:hint="eastAsia"/>
          <w:color w:val="auto"/>
          <w:lang w:val="en-US" w:eastAsia="zh-CN"/>
        </w:rPr>
        <w:t>5.475</w:t>
      </w:r>
      <w:r>
        <w:rPr>
          <w:color w:val="auto"/>
          <w:lang w:val="fr-FR"/>
        </w:rPr>
        <w:t>t/a</w:t>
      </w:r>
    </w:p>
    <w:p w14:paraId="20570ACC">
      <w:pPr>
        <w:pageBreakBefore w:val="0"/>
        <w:wordWrap/>
        <w:bidi w:val="0"/>
        <w:adjustRightInd/>
        <w:snapToGrid/>
        <w:ind w:firstLine="480"/>
        <w:jc w:val="left"/>
        <w:rPr>
          <w:color w:val="auto"/>
          <w:lang w:val="fr-FR"/>
        </w:rPr>
      </w:pPr>
      <w:r>
        <w:rPr>
          <w:color w:val="auto"/>
          <w:lang w:val="fr-FR"/>
        </w:rPr>
        <w:t>TP</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d/a×0.5mg/L×10</w:t>
      </w:r>
      <w:r>
        <w:rPr>
          <w:color w:val="auto"/>
          <w:vertAlign w:val="superscript"/>
          <w:lang w:val="fr-FR"/>
        </w:rPr>
        <w:t>-6</w:t>
      </w:r>
      <w:r>
        <w:rPr>
          <w:color w:val="auto"/>
          <w:lang w:val="fr-FR"/>
        </w:rPr>
        <w:t>=</w:t>
      </w:r>
      <w:r>
        <w:rPr>
          <w:rFonts w:hint="eastAsia"/>
          <w:color w:val="auto"/>
          <w:lang w:val="en-US" w:eastAsia="zh-CN"/>
        </w:rPr>
        <w:t>0.5475</w:t>
      </w:r>
      <w:r>
        <w:rPr>
          <w:color w:val="auto"/>
          <w:lang w:val="fr-FR"/>
        </w:rPr>
        <w:t>t/a</w:t>
      </w:r>
    </w:p>
    <w:p w14:paraId="144A9019">
      <w:pPr>
        <w:pageBreakBefore w:val="0"/>
        <w:wordWrap/>
        <w:bidi w:val="0"/>
        <w:adjustRightInd/>
        <w:snapToGrid/>
        <w:ind w:firstLine="480"/>
        <w:jc w:val="left"/>
        <w:rPr>
          <w:color w:val="auto"/>
          <w:lang w:val="fr-FR"/>
        </w:rPr>
      </w:pPr>
      <w:r>
        <w:rPr>
          <w:color w:val="auto"/>
          <w:lang w:val="fr-FR"/>
        </w:rPr>
        <w:t>经分析，</w:t>
      </w:r>
      <w:r>
        <w:rPr>
          <w:color w:val="auto"/>
        </w:rPr>
        <w:t>本项目属于污水处理厂建设项目，作为区域水污染减排设施。</w:t>
      </w:r>
      <w:r>
        <w:rPr>
          <w:color w:val="auto"/>
          <w:lang w:val="fr-FR"/>
        </w:rPr>
        <w:t>同时，污水处理厂所需能源主要依靠市政电力供应（设备驱动能源为电能），不涉及主要大气污染物控制指标。</w:t>
      </w:r>
    </w:p>
    <w:p w14:paraId="7296D4EE">
      <w:pPr>
        <w:pageBreakBefore w:val="0"/>
        <w:wordWrap/>
        <w:bidi w:val="0"/>
        <w:adjustRightInd/>
        <w:snapToGrid/>
        <w:ind w:firstLine="480"/>
        <w:rPr>
          <w:color w:val="auto"/>
          <w:lang w:val="fr-FR"/>
        </w:rPr>
      </w:pPr>
      <w:r>
        <w:rPr>
          <w:color w:val="auto"/>
          <w:lang w:val="fr-FR"/>
        </w:rPr>
        <w:t>因此，本项目主要污染总量指标详见下表。</w:t>
      </w:r>
    </w:p>
    <w:p w14:paraId="48C12E77">
      <w:pPr>
        <w:pStyle w:val="13"/>
        <w:pageBreakBefore w:val="0"/>
        <w:wordWrap/>
        <w:bidi w:val="0"/>
        <w:adjustRightInd/>
        <w:snapToGrid/>
        <w:rPr>
          <w:color w:val="auto"/>
          <w:lang w:val="fr-FR"/>
        </w:rPr>
      </w:pPr>
      <w:r>
        <w:rPr>
          <w:color w:val="auto"/>
        </w:rPr>
        <w:t>表2.</w:t>
      </w:r>
      <w:r>
        <w:rPr>
          <w:rFonts w:hint="eastAsia"/>
          <w:color w:val="auto"/>
          <w:lang w:val="en-US" w:eastAsia="zh-CN"/>
        </w:rPr>
        <w:t>9</w:t>
      </w:r>
      <w:r>
        <w:rPr>
          <w:color w:val="auto"/>
        </w:rPr>
        <w:t>-</w:t>
      </w:r>
      <w:r>
        <w:rPr>
          <w:rFonts w:hint="eastAsia"/>
          <w:color w:val="auto"/>
          <w:lang w:eastAsia="zh-CN"/>
        </w:rPr>
        <w:t>1</w:t>
      </w:r>
      <w:r>
        <w:rPr>
          <w:color w:val="auto"/>
        </w:rPr>
        <w:t>本项目总量控制指标 单位：</w:t>
      </w:r>
      <w:r>
        <w:rPr>
          <w:color w:val="auto"/>
          <w:lang w:val="fr-FR"/>
        </w:rPr>
        <w:t>t/a</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28" w:type="dxa"/>
          <w:bottom w:w="0" w:type="dxa"/>
          <w:right w:w="28" w:type="dxa"/>
        </w:tblCellMar>
      </w:tblPr>
      <w:tblGrid>
        <w:gridCol w:w="2818"/>
        <w:gridCol w:w="1781"/>
        <w:gridCol w:w="2106"/>
        <w:gridCol w:w="2076"/>
      </w:tblGrid>
      <w:tr w14:paraId="68850F1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97" w:hRule="atLeast"/>
          <w:jc w:val="center"/>
        </w:trPr>
        <w:tc>
          <w:tcPr>
            <w:tcW w:w="1604" w:type="pct"/>
            <w:vMerge w:val="restart"/>
            <w:tcBorders>
              <w:tl2br w:val="nil"/>
              <w:tr2bl w:val="nil"/>
            </w:tcBorders>
            <w:noWrap w:val="0"/>
            <w:vAlign w:val="center"/>
          </w:tcPr>
          <w:p w14:paraId="133F96D6">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rPr>
              <w:t>项目指标</w:t>
            </w:r>
          </w:p>
        </w:tc>
        <w:tc>
          <w:tcPr>
            <w:tcW w:w="3395" w:type="pct"/>
            <w:gridSpan w:val="3"/>
            <w:tcBorders>
              <w:tl2br w:val="nil"/>
              <w:tr2bl w:val="nil"/>
            </w:tcBorders>
            <w:noWrap w:val="0"/>
            <w:vAlign w:val="center"/>
          </w:tcPr>
          <w:p w14:paraId="77973D6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w:t>
            </w:r>
          </w:p>
        </w:tc>
      </w:tr>
      <w:tr w14:paraId="3E9CCC7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vMerge w:val="continue"/>
            <w:tcBorders>
              <w:tl2br w:val="nil"/>
              <w:tr2bl w:val="nil"/>
            </w:tcBorders>
            <w:noWrap w:val="0"/>
            <w:vAlign w:val="center"/>
          </w:tcPr>
          <w:p w14:paraId="79A210EB">
            <w:pPr>
              <w:pageBreakBefore w:val="0"/>
              <w:wordWrap/>
              <w:bidi w:val="0"/>
              <w:adjustRightInd/>
              <w:snapToGrid/>
              <w:spacing w:line="240" w:lineRule="auto"/>
              <w:ind w:firstLine="0" w:firstLineChars="0"/>
              <w:jc w:val="center"/>
              <w:rPr>
                <w:b/>
                <w:bCs/>
                <w:color w:val="auto"/>
                <w:sz w:val="21"/>
                <w:szCs w:val="21"/>
                <w:lang w:val="fr-FR"/>
              </w:rPr>
            </w:pPr>
          </w:p>
        </w:tc>
        <w:tc>
          <w:tcPr>
            <w:tcW w:w="1014" w:type="pct"/>
            <w:tcBorders>
              <w:tl2br w:val="nil"/>
              <w:tr2bl w:val="nil"/>
            </w:tcBorders>
            <w:noWrap w:val="0"/>
            <w:vAlign w:val="center"/>
          </w:tcPr>
          <w:p w14:paraId="04F5DD87">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COD</w:t>
            </w:r>
            <w:r>
              <w:rPr>
                <w:b/>
                <w:bCs/>
                <w:color w:val="auto"/>
                <w:sz w:val="21"/>
                <w:szCs w:val="21"/>
                <w:vertAlign w:val="subscript"/>
                <w:lang w:val="fr-FR"/>
              </w:rPr>
              <w:t>Cr</w:t>
            </w:r>
          </w:p>
        </w:tc>
        <w:tc>
          <w:tcPr>
            <w:tcW w:w="1199" w:type="pct"/>
            <w:tcBorders>
              <w:tl2br w:val="nil"/>
              <w:tr2bl w:val="nil"/>
            </w:tcBorders>
            <w:noWrap w:val="0"/>
            <w:vAlign w:val="center"/>
          </w:tcPr>
          <w:p w14:paraId="79C86696">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NH</w:t>
            </w:r>
            <w:r>
              <w:rPr>
                <w:b/>
                <w:bCs/>
                <w:color w:val="auto"/>
                <w:sz w:val="21"/>
                <w:szCs w:val="21"/>
                <w:vertAlign w:val="subscript"/>
                <w:lang w:val="fr-FR"/>
              </w:rPr>
              <w:t>3</w:t>
            </w:r>
            <w:r>
              <w:rPr>
                <w:b/>
                <w:bCs/>
                <w:color w:val="auto"/>
                <w:sz w:val="21"/>
                <w:szCs w:val="21"/>
                <w:lang w:val="fr-FR"/>
              </w:rPr>
              <w:t>-N</w:t>
            </w:r>
          </w:p>
        </w:tc>
        <w:tc>
          <w:tcPr>
            <w:tcW w:w="1181" w:type="pct"/>
            <w:tcBorders>
              <w:tl2br w:val="nil"/>
              <w:tr2bl w:val="nil"/>
            </w:tcBorders>
            <w:noWrap w:val="0"/>
            <w:vAlign w:val="center"/>
          </w:tcPr>
          <w:p w14:paraId="19E471B4">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TP</w:t>
            </w:r>
          </w:p>
        </w:tc>
      </w:tr>
      <w:tr w14:paraId="7A3F51C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tcBorders>
              <w:tl2br w:val="nil"/>
              <w:tr2bl w:val="nil"/>
            </w:tcBorders>
            <w:noWrap w:val="0"/>
            <w:vAlign w:val="center"/>
          </w:tcPr>
          <w:p w14:paraId="41D4A0C8">
            <w:pPr>
              <w:pageBreakBefore w:val="0"/>
              <w:wordWrap/>
              <w:bidi w:val="0"/>
              <w:adjustRightInd/>
              <w:snapToGrid/>
              <w:spacing w:line="240" w:lineRule="auto"/>
              <w:ind w:firstLine="0" w:firstLineChars="0"/>
              <w:jc w:val="center"/>
              <w:rPr>
                <w:color w:val="auto"/>
                <w:sz w:val="21"/>
                <w:szCs w:val="21"/>
                <w:lang w:val="fr-FR"/>
              </w:rPr>
            </w:pPr>
            <w:r>
              <w:rPr>
                <w:color w:val="auto"/>
                <w:sz w:val="21"/>
                <w:szCs w:val="21"/>
              </w:rPr>
              <w:t>预测总量</w:t>
            </w:r>
          </w:p>
        </w:tc>
        <w:tc>
          <w:tcPr>
            <w:tcW w:w="1014" w:type="pct"/>
            <w:tcBorders>
              <w:tl2br w:val="nil"/>
              <w:tr2bl w:val="nil"/>
            </w:tcBorders>
            <w:noWrap w:val="0"/>
            <w:vAlign w:val="center"/>
          </w:tcPr>
          <w:p w14:paraId="25B4BFC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99" w:type="pct"/>
            <w:tcBorders>
              <w:tl2br w:val="nil"/>
              <w:tr2bl w:val="nil"/>
            </w:tcBorders>
            <w:noWrap w:val="0"/>
            <w:vAlign w:val="center"/>
          </w:tcPr>
          <w:p w14:paraId="78A5BE50">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5.475</w:t>
            </w:r>
          </w:p>
        </w:tc>
        <w:tc>
          <w:tcPr>
            <w:tcW w:w="1181" w:type="pct"/>
            <w:tcBorders>
              <w:tl2br w:val="nil"/>
              <w:tr2bl w:val="nil"/>
            </w:tcBorders>
            <w:noWrap w:val="0"/>
            <w:vAlign w:val="center"/>
          </w:tcPr>
          <w:p w14:paraId="54F1DED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0.5475</w:t>
            </w:r>
          </w:p>
        </w:tc>
      </w:tr>
      <w:tr w14:paraId="0D46D1E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tcBorders>
              <w:tl2br w:val="nil"/>
              <w:tr2bl w:val="nil"/>
            </w:tcBorders>
            <w:noWrap w:val="0"/>
            <w:vAlign w:val="center"/>
          </w:tcPr>
          <w:p w14:paraId="02DE34BA">
            <w:pPr>
              <w:pageBreakBefore w:val="0"/>
              <w:wordWrap/>
              <w:bidi w:val="0"/>
              <w:adjustRightInd/>
              <w:snapToGrid/>
              <w:spacing w:line="240" w:lineRule="auto"/>
              <w:ind w:firstLine="0" w:firstLineChars="0"/>
              <w:jc w:val="center"/>
              <w:rPr>
                <w:color w:val="auto"/>
                <w:sz w:val="21"/>
                <w:szCs w:val="21"/>
              </w:rPr>
            </w:pPr>
            <w:r>
              <w:rPr>
                <w:color w:val="auto"/>
                <w:sz w:val="21"/>
                <w:szCs w:val="21"/>
              </w:rPr>
              <w:t>核定总量</w:t>
            </w:r>
          </w:p>
        </w:tc>
        <w:tc>
          <w:tcPr>
            <w:tcW w:w="1014" w:type="pct"/>
            <w:tcBorders>
              <w:tl2br w:val="nil"/>
              <w:tr2bl w:val="nil"/>
            </w:tcBorders>
            <w:noWrap w:val="0"/>
            <w:vAlign w:val="center"/>
          </w:tcPr>
          <w:p w14:paraId="3A67C0A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99" w:type="pct"/>
            <w:tcBorders>
              <w:tl2br w:val="nil"/>
              <w:tr2bl w:val="nil"/>
            </w:tcBorders>
            <w:noWrap w:val="0"/>
            <w:vAlign w:val="center"/>
          </w:tcPr>
          <w:p w14:paraId="4B08570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81" w:type="pct"/>
            <w:tcBorders>
              <w:tl2br w:val="nil"/>
              <w:tr2bl w:val="nil"/>
            </w:tcBorders>
            <w:noWrap w:val="0"/>
            <w:vAlign w:val="center"/>
          </w:tcPr>
          <w:p w14:paraId="58C8EC8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0.5475</w:t>
            </w:r>
          </w:p>
        </w:tc>
      </w:tr>
    </w:tbl>
    <w:p w14:paraId="432092C8">
      <w:pPr>
        <w:keepNext w:val="0"/>
        <w:keepLines w:val="0"/>
        <w:pageBreakBefore w:val="0"/>
        <w:widowControl w:val="0"/>
        <w:kinsoku/>
        <w:wordWrap/>
        <w:overflowPunct/>
        <w:topLinePunct w:val="0"/>
        <w:autoSpaceDE/>
        <w:autoSpaceDN/>
        <w:bidi w:val="0"/>
        <w:adjustRightInd/>
        <w:snapToGrid/>
        <w:spacing w:before="144" w:beforeLines="50"/>
        <w:textAlignment w:val="auto"/>
        <w:rPr>
          <w:color w:val="auto"/>
        </w:rPr>
      </w:pPr>
      <w:r>
        <w:rPr>
          <w:color w:val="auto"/>
        </w:rPr>
        <w:t>综上，本项目的建设有利于完善</w:t>
      </w:r>
      <w:r>
        <w:rPr>
          <w:rFonts w:hint="eastAsia"/>
          <w:color w:val="auto"/>
          <w:lang w:val="en-US" w:eastAsia="zh-CN"/>
        </w:rPr>
        <w:t>曾口片区</w:t>
      </w:r>
      <w:r>
        <w:rPr>
          <w:color w:val="auto"/>
        </w:rPr>
        <w:t>污水处理设施建设规划，提高污水处理水平，有利于改善区域地表水环境质量现状，满足区域社会、经济以及环境保护等发展需求。本期工程建成后总量控制建议指标为：</w:t>
      </w:r>
    </w:p>
    <w:p w14:paraId="2C8339B8">
      <w:pPr>
        <w:bidi w:val="0"/>
        <w:rPr>
          <w:color w:val="auto"/>
        </w:rPr>
      </w:pPr>
      <w:r>
        <w:rPr>
          <w:color w:val="auto"/>
        </w:rPr>
        <w:t>COD</w:t>
      </w:r>
      <w:r>
        <w:rPr>
          <w:color w:val="auto"/>
          <w:vertAlign w:val="subscript"/>
        </w:rPr>
        <w:t>Cr</w:t>
      </w:r>
      <w:r>
        <w:rPr>
          <w:rFonts w:hint="eastAsia"/>
          <w:color w:val="auto"/>
          <w:lang w:eastAsia="zh-CN"/>
        </w:rPr>
        <w:t>：</w:t>
      </w:r>
      <w:r>
        <w:rPr>
          <w:rFonts w:hint="eastAsia"/>
          <w:color w:val="auto"/>
          <w:lang w:val="en-US" w:eastAsia="zh-CN"/>
        </w:rPr>
        <w:t>54.75</w:t>
      </w:r>
      <w:r>
        <w:rPr>
          <w:color w:val="auto"/>
        </w:rPr>
        <w:t>t/a、氨氮</w:t>
      </w:r>
      <w:r>
        <w:rPr>
          <w:rFonts w:hint="eastAsia"/>
          <w:color w:val="auto"/>
          <w:lang w:eastAsia="zh-CN"/>
        </w:rPr>
        <w:t>：</w:t>
      </w:r>
      <w:r>
        <w:rPr>
          <w:rFonts w:hint="eastAsia"/>
          <w:color w:val="auto"/>
          <w:lang w:val="en-US" w:eastAsia="zh-CN"/>
        </w:rPr>
        <w:t>5.475</w:t>
      </w:r>
      <w:r>
        <w:rPr>
          <w:color w:val="auto"/>
        </w:rPr>
        <w:t>t/a、TP</w:t>
      </w:r>
      <w:r>
        <w:rPr>
          <w:rFonts w:hint="eastAsia"/>
          <w:color w:val="auto"/>
          <w:lang w:eastAsia="zh-CN"/>
        </w:rPr>
        <w:t>：</w:t>
      </w:r>
      <w:r>
        <w:rPr>
          <w:rFonts w:hint="eastAsia"/>
          <w:color w:val="auto"/>
          <w:lang w:val="en-US" w:eastAsia="zh-CN"/>
        </w:rPr>
        <w:t>0.5475</w:t>
      </w:r>
      <w:r>
        <w:rPr>
          <w:color w:val="auto"/>
        </w:rPr>
        <w:t>t/a。</w:t>
      </w:r>
    </w:p>
    <w:p w14:paraId="3C21A906">
      <w:pPr>
        <w:pStyle w:val="140"/>
        <w:pageBreakBefore w:val="0"/>
        <w:wordWrap/>
        <w:bidi w:val="0"/>
        <w:adjustRightInd/>
        <w:snapToGrid/>
        <w:spacing w:line="360" w:lineRule="auto"/>
        <w:rPr>
          <w:color w:val="auto"/>
          <w:kern w:val="2"/>
          <w:szCs w:val="24"/>
        </w:rPr>
      </w:pPr>
    </w:p>
    <w:bookmarkEnd w:id="73"/>
    <w:bookmarkEnd w:id="74"/>
    <w:p w14:paraId="585EA376">
      <w:pPr>
        <w:pStyle w:val="140"/>
        <w:pageBreakBefore w:val="0"/>
        <w:wordWrap/>
        <w:bidi w:val="0"/>
        <w:adjustRightInd/>
        <w:snapToGrid/>
        <w:spacing w:line="360" w:lineRule="auto"/>
        <w:rPr>
          <w:color w:val="auto"/>
          <w:kern w:val="2"/>
          <w:szCs w:val="24"/>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286" w:charSpace="0"/>
        </w:sectPr>
      </w:pPr>
    </w:p>
    <w:p w14:paraId="3D1654E9">
      <w:pPr>
        <w:pStyle w:val="3"/>
        <w:pageBreakBefore w:val="0"/>
        <w:wordWrap/>
        <w:bidi w:val="0"/>
        <w:adjustRightInd/>
        <w:snapToGrid/>
        <w:rPr>
          <w:rFonts w:eastAsia="宋体"/>
          <w:color w:val="auto"/>
        </w:rPr>
      </w:pPr>
      <w:bookmarkStart w:id="131" w:name="_Toc9988"/>
      <w:bookmarkStart w:id="132" w:name="_Toc20925"/>
      <w:bookmarkStart w:id="133" w:name="_Toc39925200"/>
      <w:r>
        <w:rPr>
          <w:rFonts w:eastAsia="宋体"/>
          <w:color w:val="auto"/>
        </w:rPr>
        <w:t>环境现状调查与评价</w:t>
      </w:r>
      <w:bookmarkEnd w:id="131"/>
      <w:bookmarkEnd w:id="132"/>
    </w:p>
    <w:bookmarkEnd w:id="133"/>
    <w:p w14:paraId="760724EC">
      <w:pPr>
        <w:pStyle w:val="4"/>
        <w:bidi w:val="0"/>
        <w:rPr>
          <w:color w:val="auto"/>
        </w:rPr>
      </w:pPr>
      <w:bookmarkStart w:id="134" w:name="_Toc25284"/>
      <w:bookmarkStart w:id="135" w:name="_Toc286999127"/>
      <w:bookmarkStart w:id="136" w:name="_Toc362082734"/>
      <w:bookmarkStart w:id="137" w:name="_Toc374627750"/>
      <w:bookmarkStart w:id="138" w:name="_Toc505087353"/>
      <w:bookmarkStart w:id="139" w:name="_Toc7274"/>
      <w:bookmarkStart w:id="140" w:name="_Toc505087358"/>
      <w:bookmarkStart w:id="141" w:name="_Toc374627785"/>
      <w:bookmarkStart w:id="142" w:name="_Toc362082743"/>
      <w:r>
        <w:rPr>
          <w:rFonts w:hint="eastAsia"/>
          <w:color w:val="auto"/>
        </w:rPr>
        <w:t xml:space="preserve"> </w:t>
      </w:r>
      <w:bookmarkStart w:id="143" w:name="_Toc6880"/>
      <w:r>
        <w:rPr>
          <w:color w:val="auto"/>
        </w:rPr>
        <w:t>自然环境现状调查与评价</w:t>
      </w:r>
      <w:bookmarkEnd w:id="134"/>
      <w:bookmarkEnd w:id="135"/>
      <w:bookmarkEnd w:id="136"/>
      <w:bookmarkEnd w:id="137"/>
      <w:bookmarkEnd w:id="138"/>
      <w:bookmarkEnd w:id="143"/>
      <w:bookmarkStart w:id="144" w:name="_Toc374627751"/>
      <w:bookmarkStart w:id="145" w:name="_Toc11611"/>
      <w:bookmarkStart w:id="146" w:name="_Toc39925199"/>
    </w:p>
    <w:p w14:paraId="50A0DB21">
      <w:pPr>
        <w:pStyle w:val="5"/>
        <w:bidi w:val="0"/>
        <w:rPr>
          <w:color w:val="auto"/>
        </w:rPr>
      </w:pPr>
      <w:r>
        <w:rPr>
          <w:rFonts w:hint="eastAsia"/>
          <w:color w:val="auto"/>
          <w:lang w:val="en-US" w:eastAsia="zh-CN"/>
        </w:rPr>
        <w:t xml:space="preserve"> </w:t>
      </w:r>
      <w:r>
        <w:rPr>
          <w:color w:val="auto"/>
        </w:rPr>
        <w:t>地理位置</w:t>
      </w:r>
    </w:p>
    <w:p w14:paraId="5E4FA49F">
      <w:pPr>
        <w:bidi w:val="0"/>
        <w:rPr>
          <w:rFonts w:hint="eastAsia"/>
          <w:color w:val="auto"/>
          <w:lang w:eastAsia="zh-CN"/>
        </w:rPr>
      </w:pPr>
      <w:r>
        <w:rPr>
          <w:rFonts w:hint="eastAsia"/>
          <w:color w:val="auto"/>
          <w:lang w:eastAsia="zh-CN"/>
        </w:rPr>
        <w:t>巴中位于成都、重庆、西安三大城市几何中心，承东启西、南北交汇，恩阳机场、高速公路通达四方，汉巴南高铁正加速建设，是四川北向东向开放的桥头堡，联结“一带一路”和成渝——关天经济区的重要节点。</w:t>
      </w:r>
    </w:p>
    <w:p w14:paraId="14FED677">
      <w:pPr>
        <w:bidi w:val="0"/>
        <w:rPr>
          <w:rFonts w:hint="eastAsia"/>
          <w:color w:val="auto"/>
          <w:lang w:eastAsia="zh-CN"/>
        </w:rPr>
      </w:pPr>
      <w:r>
        <w:rPr>
          <w:rFonts w:hint="eastAsia"/>
          <w:color w:val="auto"/>
          <w:lang w:eastAsia="zh-CN"/>
        </w:rPr>
        <w:t>巴中市位于四川盆地东北边缘大巴山系米仓山南麓，东邻达州，南接南充，西抵广元，北与陕西省汉中市接壤。处于东经</w:t>
      </w:r>
      <w:r>
        <w:rPr>
          <w:rFonts w:hint="default"/>
          <w:color w:val="auto"/>
          <w:lang w:eastAsia="zh-CN"/>
        </w:rPr>
        <w:t>106°20'~107°49'，31°15'</w:t>
      </w:r>
      <w:r>
        <w:rPr>
          <w:rFonts w:hint="eastAsia"/>
          <w:color w:val="auto"/>
          <w:lang w:val="en-US" w:eastAsia="zh-CN"/>
        </w:rPr>
        <w:t>~</w:t>
      </w:r>
      <w:r>
        <w:rPr>
          <w:rFonts w:hint="default"/>
          <w:color w:val="auto"/>
          <w:lang w:eastAsia="zh-CN"/>
        </w:rPr>
        <w:t>32°45'</w:t>
      </w:r>
      <w:r>
        <w:rPr>
          <w:rFonts w:hint="eastAsia"/>
          <w:color w:val="auto"/>
          <w:lang w:eastAsia="zh-CN"/>
        </w:rPr>
        <w:t>，东西宽126公里，南北长165公里，辖三县两区（巴州区、恩阳区、平昌县、通江县、南江县），辐员面积12325平方公里。</w:t>
      </w:r>
    </w:p>
    <w:p w14:paraId="0A23C684">
      <w:pPr>
        <w:bidi w:val="0"/>
        <w:rPr>
          <w:rFonts w:hint="eastAsia"/>
          <w:color w:val="auto"/>
          <w:lang w:eastAsia="zh-CN"/>
        </w:rPr>
      </w:pPr>
      <w:r>
        <w:rPr>
          <w:rFonts w:hint="eastAsia"/>
          <w:color w:val="auto"/>
          <w:lang w:eastAsia="zh-CN"/>
        </w:rPr>
        <w:t>曾口区块位于曾口镇，位于巴中市主城区东南部。依托广巴达铁路、汉巴南快速铁路，构建对外铁路通道。绵巴万高速、南巴汉高速、汉巴渝高速和广巴达高速在曾口附近共同形成“两纵两横成双环”的高速公路网络。曾口距巴中机场约30公里。</w:t>
      </w:r>
    </w:p>
    <w:p w14:paraId="7ED8E7D6">
      <w:pPr>
        <w:pageBreakBefore w:val="0"/>
        <w:wordWrap/>
        <w:bidi w:val="0"/>
        <w:adjustRightInd/>
        <w:snapToGrid/>
        <w:ind w:firstLine="480"/>
        <w:rPr>
          <w:color w:val="auto"/>
        </w:rPr>
      </w:pPr>
      <w:r>
        <w:rPr>
          <w:color w:val="auto"/>
        </w:rPr>
        <w:t>本项目选址于</w:t>
      </w:r>
      <w:r>
        <w:rPr>
          <w:rFonts w:hint="eastAsia"/>
          <w:color w:val="auto"/>
        </w:rPr>
        <w:t>巴中市巴州区曾口镇寿星村13组</w:t>
      </w:r>
      <w:r>
        <w:rPr>
          <w:color w:val="auto"/>
        </w:rPr>
        <w:t>，交通便利。本项目地理位置详见附图1。</w:t>
      </w:r>
    </w:p>
    <w:p w14:paraId="281A81E4">
      <w:pPr>
        <w:pStyle w:val="5"/>
        <w:bidi w:val="0"/>
        <w:rPr>
          <w:color w:val="auto"/>
        </w:rPr>
      </w:pPr>
      <w:r>
        <w:rPr>
          <w:rFonts w:hint="eastAsia"/>
          <w:color w:val="auto"/>
          <w:lang w:val="en-US" w:eastAsia="zh-CN"/>
        </w:rPr>
        <w:t xml:space="preserve"> </w:t>
      </w:r>
      <w:r>
        <w:rPr>
          <w:color w:val="auto"/>
        </w:rPr>
        <w:t>地形</w:t>
      </w:r>
      <w:r>
        <w:rPr>
          <w:rStyle w:val="66"/>
          <w:b/>
          <w:bCs/>
          <w:color w:val="auto"/>
        </w:rPr>
        <w:t>、</w:t>
      </w:r>
      <w:r>
        <w:rPr>
          <w:color w:val="auto"/>
        </w:rPr>
        <w:t>地貌</w:t>
      </w:r>
    </w:p>
    <w:p w14:paraId="3CD1B9C8">
      <w:pPr>
        <w:pageBreakBefore w:val="0"/>
        <w:wordWrap/>
        <w:bidi w:val="0"/>
        <w:adjustRightInd/>
        <w:snapToGrid/>
        <w:ind w:firstLine="480"/>
        <w:rPr>
          <w:b/>
          <w:bCs/>
          <w:color w:val="auto"/>
        </w:rPr>
      </w:pPr>
      <w:r>
        <w:rPr>
          <w:rFonts w:hint="eastAsia"/>
          <w:b/>
          <w:bCs/>
          <w:color w:val="auto"/>
          <w:lang w:val="en-US" w:eastAsia="zh-CN"/>
        </w:rPr>
        <w:t>1、</w:t>
      </w:r>
      <w:r>
        <w:rPr>
          <w:b/>
          <w:bCs/>
          <w:color w:val="auto"/>
        </w:rPr>
        <w:t>地形地貌</w:t>
      </w:r>
    </w:p>
    <w:p w14:paraId="33CB23D4">
      <w:pPr>
        <w:pageBreakBefore w:val="0"/>
        <w:wordWrap/>
        <w:bidi w:val="0"/>
        <w:adjustRightInd/>
        <w:snapToGrid/>
        <w:ind w:firstLine="480"/>
        <w:jc w:val="left"/>
        <w:rPr>
          <w:rFonts w:hint="eastAsia"/>
          <w:color w:val="auto"/>
          <w:lang w:eastAsia="zh-CN"/>
        </w:rPr>
      </w:pPr>
      <w:r>
        <w:rPr>
          <w:rFonts w:hint="eastAsia"/>
          <w:color w:val="auto"/>
          <w:lang w:eastAsia="zh-CN"/>
        </w:rPr>
        <w:t>巴中境属盆地低山区，地势北高南低。除溪河地势较低、山峰地势较高处，大部分海拔在400米～800米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米～1400米之间，相对高差650米～1090米；山原分布于区境低山、低中山的山顶、山脊及山坡上。</w:t>
      </w:r>
    </w:p>
    <w:p w14:paraId="2BD26439">
      <w:pPr>
        <w:pageBreakBefore w:val="0"/>
        <w:wordWrap/>
        <w:bidi w:val="0"/>
        <w:adjustRightInd/>
        <w:snapToGrid/>
        <w:ind w:firstLine="480"/>
        <w:jc w:val="left"/>
        <w:rPr>
          <w:color w:val="auto"/>
        </w:rPr>
      </w:pPr>
      <w:r>
        <w:rPr>
          <w:rFonts w:hint="eastAsia"/>
          <w:color w:val="auto"/>
          <w:lang w:eastAsia="zh-CN"/>
        </w:rPr>
        <w:t>境内全部山脉源自大巴山西段与米仓山复合部分的南麓。主脉之一──老土地，源于南江县大门垭，自白庙乡宝珠山、香炉山入境，西南经石谷岭、九重山至柳岗西北崛起一峰名老土地，海拔1413米。主脉继续向西南，经南阳蒿枝坪、四方碑、瓦窑坪至枣林镇东北低巴河。沿途延伸的支脉有天城寨、永宁寨、凤头山、古楼山、龙城寨、摩天岭、方山寨、董山、东华山等。主脉之二──下八家坪，源于通江火炬乡上八家坪，经石门子入区境关渡乡，制高点名下八家坪，海拔850米。西翼至灵江桥入关渡溪，东翼向南延伸，至张中坝分出支脉两支：一支入大河坝，一支抵平昌高坑河。主脉之三──阴灵山，源于南江县元潭乡园顶子，从枣林镇西北入境。崛起一峰名阴灵山，海拔1420米。主脉之四──狮子山，源于南江县园顶子，沿巴州、南江县界西南行，单脊延伸于枣林镇西北，崛起一峰名狮子山，海拔1460米，为境内最高峰。经青山乡人头山、望乡台，复入南江龙耳山，至福星（平梁乡）西北悬地庙，又转向南江朱公山，再经福星乡（平梁乡）姜家坡、福星场、苟观寺至麻石垭天星寨，走两路口、麻石垭、塔子湾抵恩阳河。主脉之五──章怀寺，源于仪陇县福星场，由巴中市恩阳区舞凤乡连三湾入境，经落花山至龙背乡大旗山，复出境内至仪陇秋树垭，在境内沿途的支脉有大旗山、鼎山、胜前山等。</w:t>
      </w:r>
    </w:p>
    <w:p w14:paraId="40FF2053">
      <w:pPr>
        <w:pageBreakBefore w:val="0"/>
        <w:wordWrap/>
        <w:bidi w:val="0"/>
        <w:adjustRightInd/>
        <w:snapToGrid/>
        <w:ind w:firstLine="480"/>
        <w:rPr>
          <w:color w:val="auto"/>
        </w:rPr>
      </w:pPr>
      <w:r>
        <w:rPr>
          <w:color w:val="auto"/>
        </w:rPr>
        <w:t>本项目</w:t>
      </w:r>
      <w:r>
        <w:rPr>
          <w:rFonts w:hint="eastAsia"/>
          <w:color w:val="auto"/>
        </w:rPr>
        <w:t>拟建污水处理厂原始地形起伏较大，为河流阶地，拟建场地地势北侧、西侧高，东侧、南侧较低，呈阶状分布，阶坎约1-3m。现状条件下</w:t>
      </w:r>
      <w:r>
        <w:rPr>
          <w:rFonts w:hint="eastAsia"/>
          <w:color w:val="auto"/>
          <w:lang w:eastAsia="zh-CN"/>
        </w:rPr>
        <w:t>主要作为</w:t>
      </w:r>
      <w:r>
        <w:rPr>
          <w:rFonts w:hint="eastAsia"/>
          <w:color w:val="auto"/>
        </w:rPr>
        <w:t>耕植地，分布有居民房屋，地表的植物未清理，场地未开挖平整</w:t>
      </w:r>
      <w:r>
        <w:rPr>
          <w:color w:val="auto"/>
        </w:rPr>
        <w:t>。</w:t>
      </w:r>
    </w:p>
    <w:p w14:paraId="2BEF4619">
      <w:pPr>
        <w:pageBreakBefore w:val="0"/>
        <w:wordWrap/>
        <w:bidi w:val="0"/>
        <w:adjustRightInd/>
        <w:snapToGrid/>
        <w:ind w:firstLine="480"/>
        <w:rPr>
          <w:b/>
          <w:bCs/>
          <w:color w:val="auto"/>
        </w:rPr>
      </w:pPr>
      <w:r>
        <w:rPr>
          <w:rFonts w:hint="eastAsia"/>
          <w:b/>
          <w:bCs/>
          <w:color w:val="auto"/>
          <w:lang w:val="en-US" w:eastAsia="zh-CN"/>
        </w:rPr>
        <w:t>2、</w:t>
      </w:r>
      <w:r>
        <w:rPr>
          <w:b/>
          <w:bCs/>
          <w:color w:val="auto"/>
        </w:rPr>
        <w:t>地层岩性</w:t>
      </w:r>
    </w:p>
    <w:p w14:paraId="6D6C32DE">
      <w:pPr>
        <w:pageBreakBefore w:val="0"/>
        <w:widowControl/>
        <w:wordWrap/>
        <w:bidi w:val="0"/>
        <w:adjustRightInd/>
        <w:snapToGrid/>
        <w:ind w:firstLine="480"/>
        <w:jc w:val="left"/>
        <w:rPr>
          <w:rFonts w:hint="eastAsia"/>
          <w:b/>
          <w:bCs/>
          <w:color w:val="auto"/>
          <w:kern w:val="0"/>
          <w:lang w:val="en-US" w:eastAsia="zh-CN" w:bidi="ar"/>
        </w:rPr>
      </w:pPr>
      <w:r>
        <w:rPr>
          <w:rFonts w:hint="eastAsia"/>
          <w:b/>
          <w:bCs/>
          <w:color w:val="auto"/>
          <w:kern w:val="0"/>
          <w:lang w:val="en-US" w:eastAsia="zh-CN" w:bidi="ar"/>
        </w:rPr>
        <w:t>（1）区域地质构造特征</w:t>
      </w:r>
    </w:p>
    <w:p w14:paraId="6BC22660">
      <w:pPr>
        <w:pageBreakBefore w:val="0"/>
        <w:wordWrap/>
        <w:bidi w:val="0"/>
        <w:adjustRightInd/>
        <w:snapToGrid/>
        <w:rPr>
          <w:rFonts w:hint="default"/>
          <w:color w:val="auto"/>
          <w:lang w:val="en-US" w:eastAsia="zh-CN"/>
        </w:rPr>
      </w:pPr>
      <w:r>
        <w:rPr>
          <w:rFonts w:hint="eastAsia"/>
          <w:color w:val="auto"/>
          <w:lang w:val="en-US" w:eastAsia="zh-CN"/>
        </w:rPr>
        <w:t>根据《巴中市巴州区曾口片区污水处理厂、环境监测站建设项目岩土工程勘察报告（详勘）》，拟建场地位于新华夏系四川沉降带的川东褶皱带内的巴中—仪陇—平昌莲花状旋扭构造体系中。该构造体系是由一系列规模大小不一，两翼似斜平缓呈参差不齐的半环状排列的背、向斜褶皱构造形迹组成，区域地貌属大巴山南坡前山带，为构造剥蚀丘陵地貌。区内构造形态单一，未见断裂，无褶皱，地应力作用不强，岩层很平缓，拟建场地位于巴中向斜南翼，岩层产状223∠3，出露白垩系白龙组的砂岩、泥岩拟建场地无断裂和褶皱，无断裂构造通过，无新构造运动迹象，稳定性较好。</w:t>
      </w:r>
    </w:p>
    <w:p w14:paraId="4CD4C1F5">
      <w:pPr>
        <w:pageBreakBefore w:val="0"/>
        <w:widowControl/>
        <w:wordWrap/>
        <w:bidi w:val="0"/>
        <w:adjustRightInd/>
        <w:snapToGrid/>
        <w:ind w:firstLine="480"/>
        <w:jc w:val="left"/>
        <w:rPr>
          <w:rFonts w:hint="eastAsia" w:eastAsia="宋体"/>
          <w:b/>
          <w:bCs/>
          <w:color w:val="auto"/>
          <w:kern w:val="0"/>
          <w:lang w:val="en-US" w:eastAsia="zh-CN" w:bidi="ar"/>
        </w:rPr>
      </w:pPr>
      <w:r>
        <w:rPr>
          <w:rFonts w:hint="eastAsia"/>
          <w:b/>
          <w:bCs/>
          <w:color w:val="auto"/>
          <w:kern w:val="0"/>
          <w:lang w:val="en-US" w:eastAsia="zh-CN" w:bidi="ar"/>
        </w:rPr>
        <w:t>（2）地震</w:t>
      </w:r>
    </w:p>
    <w:p w14:paraId="5B88D1A0">
      <w:pPr>
        <w:pageBreakBefore w:val="0"/>
        <w:wordWrap/>
        <w:bidi w:val="0"/>
        <w:adjustRightInd/>
        <w:snapToGrid/>
        <w:rPr>
          <w:rFonts w:hint="eastAsia"/>
          <w:color w:val="auto"/>
        </w:rPr>
      </w:pPr>
      <w:r>
        <w:rPr>
          <w:rFonts w:hint="eastAsia"/>
          <w:color w:val="auto"/>
        </w:rPr>
        <w:t>根据《巴中县国土志》记载，巴中未发生过5级以上大的地震，属相对稳定区。另据《建筑抗震设计规范》（GB50011-2010）</w:t>
      </w:r>
      <w:r>
        <w:rPr>
          <w:rFonts w:hint="eastAsia"/>
          <w:color w:val="auto"/>
          <w:lang w:eastAsia="zh-CN"/>
        </w:rPr>
        <w:t>（</w:t>
      </w:r>
      <w:r>
        <w:rPr>
          <w:rFonts w:hint="eastAsia"/>
          <w:color w:val="auto"/>
        </w:rPr>
        <w:t>2016年版</w:t>
      </w:r>
      <w:r>
        <w:rPr>
          <w:rFonts w:hint="eastAsia"/>
          <w:color w:val="auto"/>
          <w:lang w:eastAsia="zh-CN"/>
        </w:rPr>
        <w:t>）</w:t>
      </w:r>
      <w:r>
        <w:rPr>
          <w:rFonts w:hint="eastAsia"/>
          <w:color w:val="auto"/>
        </w:rPr>
        <w:t>：巴中地震基本烈度为6度，第一组，地震动峰值加速度为0.05g。据历史资料及近期观测资料自1169年1月至1974年6月的近800年间，在测区西面有4.7级以上的地震活动20次，除1846年间发生在阆中的5.5级（烈度Ⅶ度）地震外，其余震中均在龙门山区。1879年5月地震造成了山岩坍塌，城垣房屋倾颓及人畜伤亡等灾害，其烈度可达Ⅶ度。据不完全统计，区内1849年至1997年间共发生地震3起，但震级多在3～4级，地震烈度多在4～5度</w:t>
      </w:r>
      <w:r>
        <w:rPr>
          <w:rFonts w:hint="eastAsia"/>
          <w:color w:val="auto"/>
          <w:lang w:eastAsia="zh-CN"/>
        </w:rPr>
        <w:t>，</w:t>
      </w:r>
      <w:r>
        <w:rPr>
          <w:rFonts w:hint="eastAsia"/>
          <w:color w:val="auto"/>
        </w:rPr>
        <w:t>震中均在调查区外。</w:t>
      </w:r>
    </w:p>
    <w:p w14:paraId="4C2DDA6D">
      <w:pPr>
        <w:pageBreakBefore w:val="0"/>
        <w:wordWrap/>
        <w:bidi w:val="0"/>
        <w:adjustRightInd/>
        <w:snapToGrid/>
        <w:rPr>
          <w:rFonts w:hint="eastAsia"/>
          <w:color w:val="auto"/>
        </w:rPr>
      </w:pPr>
      <w:r>
        <w:rPr>
          <w:rFonts w:hint="eastAsia"/>
          <w:color w:val="auto"/>
        </w:rPr>
        <w:t>2008年5.12汶川大地震对区域影响较大，巴中属于地震波及区，波及烈度约4度。区域震感强烈，但地面未见明显变形。总的来说，本区区域稳定性较好。</w:t>
      </w:r>
    </w:p>
    <w:p w14:paraId="061CECF7">
      <w:pPr>
        <w:pageBreakBefore w:val="0"/>
        <w:widowControl/>
        <w:wordWrap/>
        <w:bidi w:val="0"/>
        <w:adjustRightInd/>
        <w:snapToGrid/>
        <w:ind w:firstLine="480"/>
        <w:jc w:val="left"/>
        <w:rPr>
          <w:rFonts w:hint="eastAsia" w:eastAsia="宋体"/>
          <w:b/>
          <w:bCs/>
          <w:color w:val="auto"/>
          <w:kern w:val="0"/>
          <w:lang w:eastAsia="zh-CN" w:bidi="ar"/>
        </w:rPr>
      </w:pPr>
      <w:r>
        <w:rPr>
          <w:rFonts w:hint="eastAsia"/>
          <w:b/>
          <w:bCs/>
          <w:color w:val="auto"/>
          <w:kern w:val="0"/>
          <w:lang w:eastAsia="zh-CN" w:bidi="ar"/>
        </w:rPr>
        <w:t>（</w:t>
      </w:r>
      <w:r>
        <w:rPr>
          <w:rFonts w:hint="eastAsia"/>
          <w:b/>
          <w:bCs/>
          <w:color w:val="auto"/>
          <w:kern w:val="0"/>
          <w:lang w:val="en-US" w:eastAsia="zh-CN" w:bidi="ar"/>
        </w:rPr>
        <w:t>3</w:t>
      </w:r>
      <w:r>
        <w:rPr>
          <w:rFonts w:hint="eastAsia"/>
          <w:b/>
          <w:bCs/>
          <w:color w:val="auto"/>
          <w:kern w:val="0"/>
          <w:lang w:eastAsia="zh-CN" w:bidi="ar"/>
        </w:rPr>
        <w:t>）</w:t>
      </w:r>
      <w:r>
        <w:rPr>
          <w:rFonts w:hint="eastAsia"/>
          <w:b/>
          <w:bCs/>
          <w:color w:val="auto"/>
          <w:kern w:val="0"/>
          <w:lang w:bidi="ar"/>
        </w:rPr>
        <w:t>工程地质层的划分及评述</w:t>
      </w:r>
    </w:p>
    <w:p w14:paraId="05539BF2">
      <w:pPr>
        <w:pageBreakBefore w:val="0"/>
        <w:wordWrap/>
        <w:bidi w:val="0"/>
        <w:adjustRightInd/>
        <w:snapToGrid/>
        <w:rPr>
          <w:color w:val="auto"/>
        </w:rPr>
      </w:pPr>
      <w:r>
        <w:rPr>
          <w:color w:val="auto"/>
        </w:rPr>
        <w:t>根据野外</w:t>
      </w:r>
      <w:r>
        <w:rPr>
          <w:rFonts w:hint="eastAsia"/>
          <w:color w:val="auto"/>
        </w:rPr>
        <w:t>调查、</w:t>
      </w:r>
      <w:r>
        <w:rPr>
          <w:color w:val="auto"/>
        </w:rPr>
        <w:t>钻探揭露</w:t>
      </w:r>
      <w:r>
        <w:rPr>
          <w:rFonts w:hint="eastAsia"/>
          <w:color w:val="auto"/>
        </w:rPr>
        <w:t>和</w:t>
      </w:r>
      <w:r>
        <w:rPr>
          <w:color w:val="auto"/>
        </w:rPr>
        <w:t>室内土工试验</w:t>
      </w:r>
      <w:r>
        <w:rPr>
          <w:rFonts w:hint="eastAsia"/>
          <w:color w:val="auto"/>
        </w:rPr>
        <w:t>成</w:t>
      </w:r>
      <w:r>
        <w:rPr>
          <w:color w:val="auto"/>
        </w:rPr>
        <w:t>果，将勘探深度以</w:t>
      </w:r>
      <w:r>
        <w:rPr>
          <w:rFonts w:hint="eastAsia"/>
          <w:color w:val="auto"/>
        </w:rPr>
        <w:t>内岩（</w:t>
      </w:r>
      <w:r>
        <w:rPr>
          <w:color w:val="auto"/>
        </w:rPr>
        <w:t>土</w:t>
      </w:r>
      <w:r>
        <w:rPr>
          <w:rFonts w:hint="eastAsia"/>
          <w:color w:val="auto"/>
        </w:rPr>
        <w:t>）</w:t>
      </w:r>
      <w:r>
        <w:rPr>
          <w:color w:val="auto"/>
        </w:rPr>
        <w:t>体按其成因时代、埋藏分布规律、岩性特征及其物理力学性质</w:t>
      </w:r>
      <w:r>
        <w:rPr>
          <w:rFonts w:hint="eastAsia"/>
          <w:color w:val="auto"/>
        </w:rPr>
        <w:t>分类，主要岩土层有：第四系全新统素填土层（Q</w:t>
      </w:r>
      <w:r>
        <w:rPr>
          <w:rFonts w:hint="eastAsia"/>
          <w:color w:val="auto"/>
          <w:vertAlign w:val="subscript"/>
        </w:rPr>
        <w:t>4</w:t>
      </w:r>
      <w:r>
        <w:rPr>
          <w:rFonts w:hint="eastAsia"/>
          <w:color w:val="auto"/>
          <w:vertAlign w:val="superscript"/>
        </w:rPr>
        <w:t>ml</w:t>
      </w:r>
      <w:r>
        <w:rPr>
          <w:rFonts w:hint="eastAsia"/>
          <w:color w:val="auto"/>
        </w:rPr>
        <w:t>），第四系全新统的冲洪积成因（Q</w:t>
      </w:r>
      <w:r>
        <w:rPr>
          <w:rFonts w:hint="eastAsia"/>
          <w:color w:val="auto"/>
          <w:vertAlign w:val="subscript"/>
        </w:rPr>
        <w:t>4</w:t>
      </w:r>
      <w:r>
        <w:rPr>
          <w:rFonts w:hint="eastAsia"/>
          <w:color w:val="auto"/>
          <w:vertAlign w:val="superscript"/>
        </w:rPr>
        <w:t>al+pl</w:t>
      </w:r>
      <w:r>
        <w:rPr>
          <w:rFonts w:hint="eastAsia"/>
          <w:color w:val="auto"/>
        </w:rPr>
        <w:t>）的粉质粘土、卵石层，下伏白垩系下统白龙组（K</w:t>
      </w:r>
      <w:r>
        <w:rPr>
          <w:rFonts w:hint="eastAsia"/>
          <w:color w:val="auto"/>
          <w:vertAlign w:val="subscript"/>
        </w:rPr>
        <w:t>1b</w:t>
      </w:r>
      <w:r>
        <w:rPr>
          <w:rFonts w:hint="eastAsia"/>
          <w:color w:val="auto"/>
        </w:rPr>
        <w:t>）的的泥岩层、砂岩层。</w:t>
      </w:r>
      <w:r>
        <w:rPr>
          <w:color w:val="auto"/>
        </w:rPr>
        <w:t>将本场地内揭露</w:t>
      </w:r>
      <w:r>
        <w:rPr>
          <w:rFonts w:hint="eastAsia"/>
          <w:color w:val="auto"/>
        </w:rPr>
        <w:t>地层岩性</w:t>
      </w:r>
      <w:r>
        <w:rPr>
          <w:color w:val="auto"/>
        </w:rPr>
        <w:t>自上而下评述如下：</w:t>
      </w:r>
    </w:p>
    <w:p w14:paraId="265599A8">
      <w:pPr>
        <w:pageBreakBefore w:val="0"/>
        <w:wordWrap/>
        <w:bidi w:val="0"/>
        <w:adjustRightInd/>
        <w:snapToGrid/>
        <w:rPr>
          <w:rFonts w:hint="eastAsia" w:eastAsia="宋体"/>
          <w:color w:val="auto"/>
          <w:lang w:eastAsia="zh-CN"/>
        </w:rPr>
      </w:pPr>
      <w:r>
        <w:rPr>
          <w:rFonts w:hint="eastAsia"/>
          <w:color w:val="auto"/>
        </w:rPr>
        <w:t>1）第四系人工填土层（Q</w:t>
      </w:r>
      <w:r>
        <w:rPr>
          <w:rFonts w:hint="eastAsia"/>
          <w:color w:val="auto"/>
          <w:vertAlign w:val="subscript"/>
        </w:rPr>
        <w:t>4</w:t>
      </w:r>
      <w:r>
        <w:rPr>
          <w:rFonts w:hint="eastAsia"/>
          <w:color w:val="auto"/>
          <w:vertAlign w:val="superscript"/>
        </w:rPr>
        <w:t>ml</w:t>
      </w:r>
      <w:r>
        <w:rPr>
          <w:rFonts w:hint="eastAsia"/>
          <w:color w:val="auto"/>
          <w:lang w:eastAsia="zh-CN"/>
        </w:rPr>
        <w:t>）</w:t>
      </w:r>
    </w:p>
    <w:p w14:paraId="1A39D094">
      <w:pPr>
        <w:pageBreakBefore w:val="0"/>
        <w:wordWrap/>
        <w:bidi w:val="0"/>
        <w:adjustRightInd/>
        <w:snapToGrid/>
        <w:rPr>
          <w:rFonts w:hint="eastAsia"/>
          <w:color w:val="auto"/>
        </w:rPr>
      </w:pPr>
      <w:r>
        <w:rPr>
          <w:rFonts w:hint="eastAsia"/>
          <w:color w:val="auto"/>
        </w:rPr>
        <w:t>①素填土</w:t>
      </w:r>
      <w:r>
        <w:rPr>
          <w:rFonts w:hint="eastAsia"/>
          <w:color w:val="auto"/>
          <w:lang w:eastAsia="zh-CN"/>
        </w:rPr>
        <w:t>：</w:t>
      </w:r>
      <w:r>
        <w:rPr>
          <w:rFonts w:hint="eastAsia"/>
          <w:color w:val="auto"/>
        </w:rPr>
        <w:t>黄褐色，成分以黏性土为主，局部含碎块石，棱角形，碎块石以泥岩为主，粒径一般</w:t>
      </w:r>
      <w:r>
        <w:rPr>
          <w:color w:val="auto"/>
        </w:rPr>
        <w:t>6cm-1</w:t>
      </w:r>
      <w:r>
        <w:rPr>
          <w:rFonts w:hint="eastAsia"/>
          <w:color w:val="auto"/>
        </w:rPr>
        <w:t>5</w:t>
      </w:r>
      <w:r>
        <w:rPr>
          <w:color w:val="auto"/>
        </w:rPr>
        <w:t>cm</w:t>
      </w:r>
      <w:r>
        <w:rPr>
          <w:rFonts w:hint="eastAsia"/>
          <w:color w:val="auto"/>
        </w:rPr>
        <w:t>，性质差异大，结构松散，稍湿，岩芯采取率一般</w:t>
      </w:r>
      <w:r>
        <w:rPr>
          <w:color w:val="auto"/>
        </w:rPr>
        <w:t>65%</w:t>
      </w:r>
      <w:r>
        <w:rPr>
          <w:rFonts w:hint="eastAsia"/>
          <w:color w:val="auto"/>
        </w:rPr>
        <w:t>～</w:t>
      </w:r>
      <w:r>
        <w:rPr>
          <w:color w:val="auto"/>
        </w:rPr>
        <w:t>75%</w:t>
      </w:r>
      <w:r>
        <w:rPr>
          <w:rFonts w:hint="eastAsia"/>
          <w:color w:val="auto"/>
        </w:rPr>
        <w:t>。</w:t>
      </w:r>
    </w:p>
    <w:p w14:paraId="6B1BC92F">
      <w:pPr>
        <w:pageBreakBefore w:val="0"/>
        <w:wordWrap/>
        <w:bidi w:val="0"/>
        <w:adjustRightInd/>
        <w:snapToGrid/>
        <w:rPr>
          <w:rFonts w:hint="eastAsia"/>
          <w:color w:val="auto"/>
        </w:rPr>
      </w:pPr>
      <w:r>
        <w:rPr>
          <w:rFonts w:hint="eastAsia"/>
          <w:color w:val="auto"/>
        </w:rPr>
        <w:t>该层分布于场地ZK33、ZK47、ZK48处局部地段，素填土的填筑时间大于8年，为老填土，主要为场地内房屋地基填土，一般固结较差，场地填土厚度变化较小，场地填土揭露厚度0.80m～1.00m，堆积无序，不均匀，该层物理力学性质较差。</w:t>
      </w:r>
    </w:p>
    <w:p w14:paraId="378529FA">
      <w:pPr>
        <w:pageBreakBefore w:val="0"/>
        <w:wordWrap/>
        <w:bidi w:val="0"/>
        <w:adjustRightInd/>
        <w:snapToGrid/>
        <w:rPr>
          <w:rFonts w:hint="eastAsia"/>
          <w:color w:val="auto"/>
        </w:rPr>
      </w:pPr>
      <w:r>
        <w:rPr>
          <w:rFonts w:hint="eastAsia"/>
          <w:color w:val="auto"/>
        </w:rPr>
        <w:t>2）第四系全新统的冲洪积成因（Q</w:t>
      </w:r>
      <w:r>
        <w:rPr>
          <w:rFonts w:hint="eastAsia"/>
          <w:color w:val="auto"/>
          <w:vertAlign w:val="subscript"/>
        </w:rPr>
        <w:t>4</w:t>
      </w:r>
      <w:r>
        <w:rPr>
          <w:rFonts w:hint="eastAsia"/>
          <w:color w:val="auto"/>
          <w:vertAlign w:val="superscript"/>
        </w:rPr>
        <w:t>al+pl</w:t>
      </w:r>
      <w:r>
        <w:rPr>
          <w:rFonts w:hint="eastAsia"/>
          <w:color w:val="auto"/>
        </w:rPr>
        <w:t>）的粉质粘土、卵石层</w:t>
      </w:r>
    </w:p>
    <w:p w14:paraId="5AB84EB1">
      <w:pPr>
        <w:pageBreakBefore w:val="0"/>
        <w:wordWrap/>
        <w:bidi w:val="0"/>
        <w:adjustRightInd/>
        <w:snapToGrid/>
        <w:rPr>
          <w:color w:val="auto"/>
        </w:rPr>
      </w:pPr>
      <w:r>
        <w:rPr>
          <w:rFonts w:hint="eastAsia"/>
          <w:color w:val="auto"/>
        </w:rPr>
        <w:t>②1粉质黏土</w:t>
      </w:r>
      <w:r>
        <w:rPr>
          <w:rFonts w:hint="eastAsia"/>
          <w:color w:val="auto"/>
          <w:lang w:eastAsia="zh-CN"/>
        </w:rPr>
        <w:t>（</w:t>
      </w:r>
      <w:r>
        <w:rPr>
          <w:rFonts w:hint="eastAsia"/>
          <w:color w:val="auto"/>
        </w:rPr>
        <w:t>软塑</w:t>
      </w:r>
      <w:r>
        <w:rPr>
          <w:rFonts w:hint="eastAsia"/>
          <w:color w:val="auto"/>
          <w:lang w:eastAsia="zh-CN"/>
        </w:rPr>
        <w:t>）</w:t>
      </w:r>
      <w:r>
        <w:rPr>
          <w:rFonts w:hint="eastAsia"/>
          <w:color w:val="auto"/>
        </w:rPr>
        <w:t>：黄褐色，软塑状，稍湿，性质均匀，切面较光滑，无摇振反应，干强度，韧性中等，岩芯采取率一般为</w:t>
      </w:r>
      <w:r>
        <w:rPr>
          <w:color w:val="auto"/>
        </w:rPr>
        <w:t>86%</w:t>
      </w:r>
      <w:r>
        <w:rPr>
          <w:rFonts w:hint="eastAsia"/>
          <w:color w:val="auto"/>
        </w:rPr>
        <w:t>～</w:t>
      </w:r>
      <w:r>
        <w:rPr>
          <w:color w:val="auto"/>
        </w:rPr>
        <w:t>95%</w:t>
      </w:r>
      <w:r>
        <w:rPr>
          <w:rFonts w:hint="eastAsia"/>
          <w:color w:val="auto"/>
        </w:rPr>
        <w:t>，岩芯较完整。</w:t>
      </w:r>
    </w:p>
    <w:p w14:paraId="522ADB1D">
      <w:pPr>
        <w:pageBreakBefore w:val="0"/>
        <w:wordWrap/>
        <w:bidi w:val="0"/>
        <w:adjustRightInd/>
        <w:snapToGrid/>
        <w:rPr>
          <w:rFonts w:hint="eastAsia"/>
          <w:color w:val="auto"/>
        </w:rPr>
      </w:pPr>
      <w:r>
        <w:rPr>
          <w:rFonts w:hint="eastAsia"/>
          <w:color w:val="auto"/>
        </w:rPr>
        <w:t>该层在场地内主要分布在水塘、水田地段有分布，厚薄不均匀，揭露厚度0.70m～3.00m，顶板标高</w:t>
      </w:r>
      <w:r>
        <w:rPr>
          <w:color w:val="auto"/>
        </w:rPr>
        <w:t>321.14</w:t>
      </w:r>
      <w:r>
        <w:rPr>
          <w:rFonts w:hint="eastAsia"/>
          <w:color w:val="auto"/>
        </w:rPr>
        <w:t>～</w:t>
      </w:r>
      <w:r>
        <w:rPr>
          <w:color w:val="auto"/>
        </w:rPr>
        <w:t>331.75</w:t>
      </w:r>
      <w:r>
        <w:rPr>
          <w:rFonts w:hint="eastAsia"/>
          <w:color w:val="auto"/>
        </w:rPr>
        <w:t>m，物理力学性质较差。</w:t>
      </w:r>
    </w:p>
    <w:p w14:paraId="519F7A3D">
      <w:pPr>
        <w:pageBreakBefore w:val="0"/>
        <w:wordWrap/>
        <w:bidi w:val="0"/>
        <w:adjustRightInd/>
        <w:snapToGrid/>
        <w:rPr>
          <w:color w:val="auto"/>
        </w:rPr>
      </w:pPr>
      <w:r>
        <w:rPr>
          <w:rFonts w:hint="eastAsia"/>
          <w:color w:val="auto"/>
        </w:rPr>
        <w:t>②2粉质黏土（可塑）：黄褐色，可塑状，稍湿，性质均匀，切面较光滑，无摇振反应，干强度中等，韧性中等，岩芯采取率一般为</w:t>
      </w:r>
      <w:r>
        <w:rPr>
          <w:color w:val="auto"/>
        </w:rPr>
        <w:t>86%</w:t>
      </w:r>
      <w:r>
        <w:rPr>
          <w:rFonts w:hint="eastAsia"/>
          <w:color w:val="auto"/>
        </w:rPr>
        <w:t>～</w:t>
      </w:r>
      <w:r>
        <w:rPr>
          <w:color w:val="auto"/>
        </w:rPr>
        <w:t>95%</w:t>
      </w:r>
      <w:r>
        <w:rPr>
          <w:rFonts w:hint="eastAsia"/>
          <w:color w:val="auto"/>
        </w:rPr>
        <w:t>，岩芯较完整。</w:t>
      </w:r>
    </w:p>
    <w:p w14:paraId="5FE8D2BA">
      <w:pPr>
        <w:pageBreakBefore w:val="0"/>
        <w:wordWrap/>
        <w:bidi w:val="0"/>
        <w:adjustRightInd/>
        <w:snapToGrid/>
        <w:rPr>
          <w:rFonts w:hint="eastAsia"/>
          <w:color w:val="auto"/>
        </w:rPr>
      </w:pPr>
      <w:r>
        <w:rPr>
          <w:rFonts w:hint="eastAsia"/>
          <w:color w:val="auto"/>
        </w:rPr>
        <w:t>该层在场地内均有分布，厚薄不均匀，揭露厚度0.50m～9.70m，顶板标高</w:t>
      </w:r>
      <w:r>
        <w:rPr>
          <w:color w:val="auto"/>
        </w:rPr>
        <w:t>321.68</w:t>
      </w:r>
      <w:r>
        <w:rPr>
          <w:rFonts w:hint="eastAsia"/>
          <w:color w:val="auto"/>
        </w:rPr>
        <w:t>～</w:t>
      </w:r>
      <w:r>
        <w:rPr>
          <w:color w:val="auto"/>
        </w:rPr>
        <w:t>335.86</w:t>
      </w:r>
      <w:r>
        <w:rPr>
          <w:rFonts w:hint="eastAsia"/>
          <w:color w:val="auto"/>
        </w:rPr>
        <w:t>m，物理力学性质一般。</w:t>
      </w:r>
    </w:p>
    <w:p w14:paraId="330ED319">
      <w:pPr>
        <w:pageBreakBefore w:val="0"/>
        <w:wordWrap/>
        <w:bidi w:val="0"/>
        <w:adjustRightInd/>
        <w:snapToGrid/>
        <w:rPr>
          <w:color w:val="auto"/>
        </w:rPr>
      </w:pPr>
      <w:r>
        <w:rPr>
          <w:rFonts w:hint="eastAsia"/>
          <w:color w:val="auto"/>
        </w:rPr>
        <w:t>③1松散卵石：灰褐色，湿，卵石成分为长石石英砂岩、呈亚圆形，卵石含量约</w:t>
      </w:r>
      <w:r>
        <w:rPr>
          <w:color w:val="auto"/>
        </w:rPr>
        <w:t>55%</w:t>
      </w:r>
      <w:r>
        <w:rPr>
          <w:rFonts w:hint="eastAsia"/>
          <w:color w:val="auto"/>
        </w:rPr>
        <w:t>～</w:t>
      </w:r>
      <w:r>
        <w:rPr>
          <w:color w:val="auto"/>
        </w:rPr>
        <w:t>60%</w:t>
      </w:r>
      <w:r>
        <w:rPr>
          <w:rFonts w:hint="eastAsia"/>
          <w:color w:val="auto"/>
        </w:rPr>
        <w:t>不等，粒径一般为</w:t>
      </w:r>
      <w:r>
        <w:rPr>
          <w:color w:val="auto"/>
        </w:rPr>
        <w:t>15</w:t>
      </w:r>
      <w:r>
        <w:rPr>
          <w:rFonts w:hint="eastAsia"/>
          <w:color w:val="auto"/>
        </w:rPr>
        <w:t>～</w:t>
      </w:r>
      <w:r>
        <w:rPr>
          <w:color w:val="auto"/>
        </w:rPr>
        <w:t>70mm</w:t>
      </w:r>
      <w:r>
        <w:rPr>
          <w:rFonts w:hint="eastAsia"/>
          <w:color w:val="auto"/>
        </w:rPr>
        <w:t>，分选性中等，中等风化，间隙充填砂。</w:t>
      </w:r>
    </w:p>
    <w:p w14:paraId="4BE512CD">
      <w:pPr>
        <w:pageBreakBefore w:val="0"/>
        <w:wordWrap/>
        <w:bidi w:val="0"/>
        <w:adjustRightInd/>
        <w:snapToGrid/>
        <w:rPr>
          <w:rFonts w:hint="eastAsia"/>
          <w:color w:val="auto"/>
        </w:rPr>
      </w:pPr>
      <w:r>
        <w:rPr>
          <w:rFonts w:hint="eastAsia"/>
          <w:color w:val="auto"/>
        </w:rPr>
        <w:t>该层场地部分地段均有分布，揭露层厚0.50～2.20m，顶板标高</w:t>
      </w:r>
      <w:r>
        <w:rPr>
          <w:color w:val="auto"/>
        </w:rPr>
        <w:t>320.49</w:t>
      </w:r>
      <w:r>
        <w:rPr>
          <w:rFonts w:hint="eastAsia"/>
          <w:color w:val="auto"/>
        </w:rPr>
        <w:t>～</w:t>
      </w:r>
      <w:r>
        <w:rPr>
          <w:color w:val="auto"/>
        </w:rPr>
        <w:t>331.35</w:t>
      </w:r>
      <w:r>
        <w:rPr>
          <w:rFonts w:hint="eastAsia"/>
          <w:color w:val="auto"/>
        </w:rPr>
        <w:t>m，天然湿度状态下物理力学性质一般。</w:t>
      </w:r>
    </w:p>
    <w:p w14:paraId="0187E8FD">
      <w:pPr>
        <w:pageBreakBefore w:val="0"/>
        <w:wordWrap/>
        <w:bidi w:val="0"/>
        <w:adjustRightInd/>
        <w:snapToGrid/>
        <w:rPr>
          <w:color w:val="auto"/>
        </w:rPr>
      </w:pPr>
      <w:r>
        <w:rPr>
          <w:rFonts w:hint="eastAsia"/>
          <w:color w:val="auto"/>
        </w:rPr>
        <w:t>③2稍密卵石：灰褐色，湿，卵石成分为长石石英砂岩、呈亚圆形，卵石含量约</w:t>
      </w:r>
      <w:r>
        <w:rPr>
          <w:color w:val="auto"/>
        </w:rPr>
        <w:t>55%</w:t>
      </w:r>
      <w:r>
        <w:rPr>
          <w:rFonts w:hint="eastAsia"/>
          <w:color w:val="auto"/>
        </w:rPr>
        <w:t>～</w:t>
      </w:r>
      <w:r>
        <w:rPr>
          <w:color w:val="auto"/>
        </w:rPr>
        <w:t>65%</w:t>
      </w:r>
      <w:r>
        <w:rPr>
          <w:rFonts w:hint="eastAsia"/>
          <w:color w:val="auto"/>
        </w:rPr>
        <w:t>不等，粒径一般为</w:t>
      </w:r>
      <w:r>
        <w:rPr>
          <w:color w:val="auto"/>
        </w:rPr>
        <w:t>20</w:t>
      </w:r>
      <w:r>
        <w:rPr>
          <w:rFonts w:hint="eastAsia"/>
          <w:color w:val="auto"/>
        </w:rPr>
        <w:t>～</w:t>
      </w:r>
      <w:r>
        <w:rPr>
          <w:color w:val="auto"/>
        </w:rPr>
        <w:t>85mm</w:t>
      </w:r>
      <w:r>
        <w:rPr>
          <w:rFonts w:hint="eastAsia"/>
          <w:color w:val="auto"/>
        </w:rPr>
        <w:t>，分选性中等，中等风化，间隙充填砂。</w:t>
      </w:r>
    </w:p>
    <w:p w14:paraId="0B123EFF">
      <w:pPr>
        <w:pageBreakBefore w:val="0"/>
        <w:wordWrap/>
        <w:bidi w:val="0"/>
        <w:adjustRightInd/>
        <w:snapToGrid/>
        <w:rPr>
          <w:rFonts w:hint="eastAsia"/>
          <w:color w:val="auto"/>
        </w:rPr>
      </w:pPr>
      <w:r>
        <w:rPr>
          <w:rFonts w:hint="eastAsia"/>
          <w:color w:val="auto"/>
        </w:rPr>
        <w:t>该层内部分地段分布，揭露层厚1.00～3.40m，顶板标高</w:t>
      </w:r>
      <w:r>
        <w:rPr>
          <w:color w:val="auto"/>
        </w:rPr>
        <w:t>322.66</w:t>
      </w:r>
      <w:r>
        <w:rPr>
          <w:rFonts w:hint="eastAsia"/>
          <w:color w:val="auto"/>
        </w:rPr>
        <w:t>～</w:t>
      </w:r>
      <w:r>
        <w:rPr>
          <w:color w:val="auto"/>
        </w:rPr>
        <w:t>330.62</w:t>
      </w:r>
      <w:r>
        <w:rPr>
          <w:rFonts w:hint="eastAsia"/>
          <w:color w:val="auto"/>
        </w:rPr>
        <w:t>m，物理力学性质良好。</w:t>
      </w:r>
    </w:p>
    <w:p w14:paraId="4720C9D4">
      <w:pPr>
        <w:pageBreakBefore w:val="0"/>
        <w:wordWrap/>
        <w:bidi w:val="0"/>
        <w:adjustRightInd/>
        <w:snapToGrid/>
        <w:rPr>
          <w:rFonts w:hint="eastAsia"/>
          <w:color w:val="auto"/>
        </w:rPr>
      </w:pPr>
      <w:r>
        <w:rPr>
          <w:rFonts w:hint="eastAsia"/>
          <w:color w:val="auto"/>
        </w:rPr>
        <w:t>④1强风化砂岩</w:t>
      </w:r>
    </w:p>
    <w:p w14:paraId="3892B33D">
      <w:pPr>
        <w:pageBreakBefore w:val="0"/>
        <w:wordWrap/>
        <w:bidi w:val="0"/>
        <w:adjustRightInd/>
        <w:snapToGrid/>
        <w:rPr>
          <w:color w:val="auto"/>
        </w:rPr>
      </w:pPr>
      <w:r>
        <w:rPr>
          <w:rFonts w:hint="eastAsia"/>
          <w:color w:val="auto"/>
        </w:rPr>
        <w:t>强风化砂岩：浅灰色为主，砂质结构，薄～厚层状构造，岩石风化程度为强风化，性质均匀，节理裂隙较发育，岩芯多呈块状，少数呈柱状，岩质极软，局部手可掰碎，岩芯采取率一般</w:t>
      </w:r>
      <w:r>
        <w:rPr>
          <w:color w:val="auto"/>
        </w:rPr>
        <w:t>60%</w:t>
      </w:r>
      <w:r>
        <w:rPr>
          <w:rFonts w:hint="eastAsia"/>
          <w:color w:val="auto"/>
        </w:rPr>
        <w:t>～</w:t>
      </w:r>
      <w:r>
        <w:rPr>
          <w:color w:val="auto"/>
        </w:rPr>
        <w:t>70%</w:t>
      </w:r>
      <w:r>
        <w:rPr>
          <w:rFonts w:hint="eastAsia"/>
          <w:color w:val="auto"/>
        </w:rPr>
        <w:t>，岩石质量指标</w:t>
      </w:r>
      <w:r>
        <w:rPr>
          <w:color w:val="auto"/>
        </w:rPr>
        <w:t>RQD</w:t>
      </w:r>
      <w:r>
        <w:rPr>
          <w:rFonts w:hint="eastAsia"/>
          <w:color w:val="auto"/>
        </w:rPr>
        <w:t>值</w:t>
      </w:r>
      <w:r>
        <w:rPr>
          <w:color w:val="auto"/>
        </w:rPr>
        <w:t>20</w:t>
      </w:r>
      <w:r>
        <w:rPr>
          <w:rFonts w:hint="eastAsia"/>
          <w:color w:val="auto"/>
        </w:rPr>
        <w:t>～</w:t>
      </w:r>
      <w:r>
        <w:rPr>
          <w:color w:val="auto"/>
        </w:rPr>
        <w:t>29</w:t>
      </w:r>
      <w:r>
        <w:rPr>
          <w:rFonts w:hint="eastAsia"/>
          <w:color w:val="auto"/>
        </w:rPr>
        <w:t>。</w:t>
      </w:r>
    </w:p>
    <w:p w14:paraId="5E26BF14">
      <w:pPr>
        <w:pageBreakBefore w:val="0"/>
        <w:wordWrap/>
        <w:bidi w:val="0"/>
        <w:adjustRightInd/>
        <w:snapToGrid/>
        <w:rPr>
          <w:rFonts w:hint="eastAsia"/>
          <w:color w:val="auto"/>
        </w:rPr>
      </w:pPr>
      <w:r>
        <w:rPr>
          <w:rFonts w:hint="eastAsia"/>
          <w:color w:val="auto"/>
        </w:rPr>
        <w:t>该场地内部分地段有分布，揭露层厚0.50～3.90m，</w:t>
      </w:r>
      <w:bookmarkStart w:id="147" w:name="OLE_LINK12"/>
      <w:r>
        <w:rPr>
          <w:rFonts w:hint="eastAsia"/>
          <w:color w:val="auto"/>
        </w:rPr>
        <w:t>顶板标高</w:t>
      </w:r>
      <w:r>
        <w:rPr>
          <w:color w:val="auto"/>
        </w:rPr>
        <w:t>318.99</w:t>
      </w:r>
      <w:r>
        <w:rPr>
          <w:rFonts w:hint="eastAsia"/>
          <w:color w:val="auto"/>
        </w:rPr>
        <w:t>～</w:t>
      </w:r>
      <w:r>
        <w:rPr>
          <w:color w:val="auto"/>
        </w:rPr>
        <w:t>330.12</w:t>
      </w:r>
      <w:r>
        <w:rPr>
          <w:rFonts w:hint="eastAsia"/>
          <w:color w:val="auto"/>
        </w:rPr>
        <w:t>m</w:t>
      </w:r>
      <w:bookmarkEnd w:id="147"/>
      <w:r>
        <w:rPr>
          <w:rFonts w:hint="eastAsia"/>
          <w:color w:val="auto"/>
        </w:rPr>
        <w:t>，一般岩层表部风化强烈，质极软，手可掰碎，下部整体性质较好。</w:t>
      </w:r>
    </w:p>
    <w:p w14:paraId="3AFB3AC3">
      <w:pPr>
        <w:pageBreakBefore w:val="0"/>
        <w:wordWrap/>
        <w:bidi w:val="0"/>
        <w:adjustRightInd/>
        <w:snapToGrid/>
        <w:rPr>
          <w:rFonts w:hint="eastAsia"/>
          <w:color w:val="auto"/>
        </w:rPr>
      </w:pPr>
      <w:r>
        <w:rPr>
          <w:rFonts w:hint="eastAsia"/>
          <w:color w:val="auto"/>
        </w:rPr>
        <w:t>④2中风化砂岩（黄色）</w:t>
      </w:r>
    </w:p>
    <w:p w14:paraId="09CD02AD">
      <w:pPr>
        <w:pageBreakBefore w:val="0"/>
        <w:wordWrap/>
        <w:bidi w:val="0"/>
        <w:adjustRightInd/>
        <w:snapToGrid/>
        <w:rPr>
          <w:color w:val="auto"/>
        </w:rPr>
      </w:pPr>
      <w:r>
        <w:rPr>
          <w:rFonts w:hint="eastAsia"/>
          <w:color w:val="auto"/>
        </w:rPr>
        <w:t>中风化砂岩（黄色）：浅灰色为主，砂质结构，厚～巨厚层状构造，岩石风化程度为中等风化，节理裂隙不发育，岩芯多呈柱状，节长</w:t>
      </w:r>
      <w:r>
        <w:rPr>
          <w:color w:val="auto"/>
        </w:rPr>
        <w:t>6cm</w:t>
      </w:r>
      <w:r>
        <w:rPr>
          <w:rFonts w:hint="eastAsia"/>
          <w:color w:val="auto"/>
        </w:rPr>
        <w:t>～30</w:t>
      </w:r>
      <w:r>
        <w:rPr>
          <w:color w:val="auto"/>
        </w:rPr>
        <w:t>cm</w:t>
      </w:r>
      <w:r>
        <w:rPr>
          <w:rFonts w:hint="eastAsia"/>
          <w:color w:val="auto"/>
        </w:rPr>
        <w:t>，岩质软～较软，岩芯采取率一般</w:t>
      </w:r>
      <w:r>
        <w:rPr>
          <w:color w:val="auto"/>
        </w:rPr>
        <w:t>8</w:t>
      </w:r>
      <w:r>
        <w:rPr>
          <w:rFonts w:hint="eastAsia"/>
          <w:color w:val="auto"/>
        </w:rPr>
        <w:t>0</w:t>
      </w:r>
      <w:r>
        <w:rPr>
          <w:color w:val="auto"/>
        </w:rPr>
        <w:t>%</w:t>
      </w:r>
      <w:r>
        <w:rPr>
          <w:rFonts w:hint="eastAsia"/>
          <w:color w:val="auto"/>
        </w:rPr>
        <w:t>～</w:t>
      </w:r>
      <w:r>
        <w:rPr>
          <w:color w:val="auto"/>
        </w:rPr>
        <w:t>90%</w:t>
      </w:r>
      <w:r>
        <w:rPr>
          <w:rFonts w:hint="eastAsia"/>
          <w:color w:val="auto"/>
        </w:rPr>
        <w:t>，岩石质量指标</w:t>
      </w:r>
      <w:r>
        <w:rPr>
          <w:color w:val="auto"/>
        </w:rPr>
        <w:t>RQD</w:t>
      </w:r>
      <w:r>
        <w:rPr>
          <w:rFonts w:hint="eastAsia"/>
          <w:color w:val="auto"/>
        </w:rPr>
        <w:t>值</w:t>
      </w:r>
      <w:r>
        <w:rPr>
          <w:color w:val="auto"/>
        </w:rPr>
        <w:t>65</w:t>
      </w:r>
      <w:r>
        <w:rPr>
          <w:rFonts w:hint="eastAsia"/>
          <w:color w:val="auto"/>
        </w:rPr>
        <w:t>～</w:t>
      </w:r>
      <w:r>
        <w:rPr>
          <w:color w:val="auto"/>
        </w:rPr>
        <w:t>75</w:t>
      </w:r>
      <w:r>
        <w:rPr>
          <w:rFonts w:hint="eastAsia"/>
          <w:color w:val="auto"/>
        </w:rPr>
        <w:t>。</w:t>
      </w:r>
    </w:p>
    <w:p w14:paraId="3012E4D5">
      <w:pPr>
        <w:pageBreakBefore w:val="0"/>
        <w:wordWrap/>
        <w:bidi w:val="0"/>
        <w:adjustRightInd/>
        <w:snapToGrid/>
        <w:rPr>
          <w:rFonts w:hint="eastAsia"/>
          <w:color w:val="auto"/>
        </w:rPr>
      </w:pPr>
      <w:r>
        <w:rPr>
          <w:color w:val="auto"/>
        </w:rPr>
        <w:t>该层场</w:t>
      </w:r>
      <w:r>
        <w:rPr>
          <w:rFonts w:hint="eastAsia"/>
          <w:color w:val="auto"/>
        </w:rPr>
        <w:t>内部分地段有分布，拟建场地中风化砂岩揭露层厚0.50～5.40m，顶板标高</w:t>
      </w:r>
      <w:r>
        <w:rPr>
          <w:color w:val="auto"/>
        </w:rPr>
        <w:t>318.09</w:t>
      </w:r>
      <w:r>
        <w:rPr>
          <w:rFonts w:hint="eastAsia"/>
          <w:color w:val="auto"/>
        </w:rPr>
        <w:t>～</w:t>
      </w:r>
      <w:r>
        <w:rPr>
          <w:color w:val="auto"/>
        </w:rPr>
        <w:t>327.49</w:t>
      </w:r>
      <w:r>
        <w:rPr>
          <w:rFonts w:hint="eastAsia"/>
          <w:color w:val="auto"/>
        </w:rPr>
        <w:t>m，物理力学性质良好。</w:t>
      </w:r>
    </w:p>
    <w:p w14:paraId="60FDC6A5">
      <w:pPr>
        <w:pageBreakBefore w:val="0"/>
        <w:wordWrap/>
        <w:bidi w:val="0"/>
        <w:adjustRightInd/>
        <w:snapToGrid/>
        <w:rPr>
          <w:rFonts w:hint="eastAsia"/>
          <w:color w:val="auto"/>
        </w:rPr>
      </w:pPr>
      <w:r>
        <w:rPr>
          <w:rFonts w:hint="eastAsia"/>
          <w:color w:val="auto"/>
        </w:rPr>
        <w:t>④3中风化砂岩（灰色</w:t>
      </w:r>
      <w:r>
        <w:rPr>
          <w:color w:val="auto"/>
        </w:rPr>
        <w:t>）</w:t>
      </w:r>
    </w:p>
    <w:p w14:paraId="79FE4A02">
      <w:pPr>
        <w:pageBreakBefore w:val="0"/>
        <w:wordWrap/>
        <w:bidi w:val="0"/>
        <w:adjustRightInd/>
        <w:snapToGrid/>
        <w:rPr>
          <w:color w:val="auto"/>
        </w:rPr>
      </w:pPr>
      <w:r>
        <w:rPr>
          <w:rFonts w:hint="eastAsia"/>
          <w:color w:val="auto"/>
        </w:rPr>
        <w:t>中风化砂岩（灰色</w:t>
      </w:r>
      <w:r>
        <w:rPr>
          <w:color w:val="auto"/>
        </w:rPr>
        <w:t>）</w:t>
      </w:r>
      <w:r>
        <w:rPr>
          <w:rFonts w:hint="eastAsia"/>
          <w:color w:val="auto"/>
        </w:rPr>
        <w:t>：浅灰色为主，砂质结构，厚～巨厚层状构造，岩石风化程度为中等风化，节理裂隙不发育，岩芯多呈柱状，节长</w:t>
      </w:r>
      <w:r>
        <w:rPr>
          <w:color w:val="auto"/>
        </w:rPr>
        <w:t>6cm</w:t>
      </w:r>
      <w:r>
        <w:rPr>
          <w:rFonts w:hint="eastAsia"/>
          <w:color w:val="auto"/>
        </w:rPr>
        <w:t>～</w:t>
      </w:r>
      <w:r>
        <w:rPr>
          <w:color w:val="auto"/>
        </w:rPr>
        <w:t>43cm</w:t>
      </w:r>
      <w:r>
        <w:rPr>
          <w:rFonts w:hint="eastAsia"/>
          <w:color w:val="auto"/>
        </w:rPr>
        <w:t>，岩质软～较软，岩芯采取率一般</w:t>
      </w:r>
      <w:r>
        <w:rPr>
          <w:color w:val="auto"/>
        </w:rPr>
        <w:t>82%</w:t>
      </w:r>
      <w:r>
        <w:rPr>
          <w:rFonts w:hint="eastAsia"/>
          <w:color w:val="auto"/>
        </w:rPr>
        <w:t>～</w:t>
      </w:r>
      <w:r>
        <w:rPr>
          <w:color w:val="auto"/>
        </w:rPr>
        <w:t>90%</w:t>
      </w:r>
      <w:r>
        <w:rPr>
          <w:rFonts w:hint="eastAsia"/>
          <w:color w:val="auto"/>
        </w:rPr>
        <w:t>，岩石质量指标</w:t>
      </w:r>
      <w:r>
        <w:rPr>
          <w:color w:val="auto"/>
        </w:rPr>
        <w:t>RQD</w:t>
      </w:r>
      <w:r>
        <w:rPr>
          <w:rFonts w:hint="eastAsia"/>
          <w:color w:val="auto"/>
        </w:rPr>
        <w:t>值</w:t>
      </w:r>
      <w:r>
        <w:rPr>
          <w:color w:val="auto"/>
        </w:rPr>
        <w:t>65</w:t>
      </w:r>
      <w:r>
        <w:rPr>
          <w:rFonts w:hint="eastAsia"/>
          <w:color w:val="auto"/>
        </w:rPr>
        <w:t>～</w:t>
      </w:r>
      <w:r>
        <w:rPr>
          <w:color w:val="auto"/>
        </w:rPr>
        <w:t>75</w:t>
      </w:r>
      <w:r>
        <w:rPr>
          <w:rFonts w:hint="eastAsia"/>
          <w:color w:val="auto"/>
        </w:rPr>
        <w:t>。</w:t>
      </w:r>
    </w:p>
    <w:p w14:paraId="6C6991E4">
      <w:pPr>
        <w:pageBreakBefore w:val="0"/>
        <w:wordWrap/>
        <w:bidi w:val="0"/>
        <w:adjustRightInd/>
        <w:snapToGrid/>
        <w:rPr>
          <w:rFonts w:hint="eastAsia"/>
          <w:color w:val="auto"/>
        </w:rPr>
      </w:pPr>
      <w:r>
        <w:rPr>
          <w:color w:val="auto"/>
        </w:rPr>
        <w:t>该层场</w:t>
      </w:r>
      <w:r>
        <w:rPr>
          <w:rFonts w:hint="eastAsia"/>
          <w:color w:val="auto"/>
        </w:rPr>
        <w:t>内均有分布，拟建场地中风化砂岩最大揭露层厚15.80m，顶板标高</w:t>
      </w:r>
      <w:r>
        <w:rPr>
          <w:color w:val="auto"/>
        </w:rPr>
        <w:t>313.89</w:t>
      </w:r>
      <w:r>
        <w:rPr>
          <w:rFonts w:hint="eastAsia"/>
          <w:color w:val="auto"/>
        </w:rPr>
        <w:t>～</w:t>
      </w:r>
      <w:r>
        <w:rPr>
          <w:color w:val="auto"/>
        </w:rPr>
        <w:t>329.62</w:t>
      </w:r>
      <w:r>
        <w:rPr>
          <w:rFonts w:hint="eastAsia"/>
          <w:color w:val="auto"/>
        </w:rPr>
        <w:t>m，物理力学性质良好。</w:t>
      </w:r>
    </w:p>
    <w:p w14:paraId="16ADDEDE">
      <w:pPr>
        <w:pStyle w:val="5"/>
        <w:bidi w:val="0"/>
        <w:rPr>
          <w:color w:val="auto"/>
        </w:rPr>
      </w:pPr>
      <w:r>
        <w:rPr>
          <w:rFonts w:hint="eastAsia"/>
          <w:color w:val="auto"/>
          <w:lang w:val="en-US" w:eastAsia="zh-CN"/>
        </w:rPr>
        <w:t xml:space="preserve"> </w:t>
      </w:r>
      <w:r>
        <w:rPr>
          <w:color w:val="auto"/>
        </w:rPr>
        <w:t>气候、气象</w:t>
      </w:r>
    </w:p>
    <w:p w14:paraId="4054594B">
      <w:pPr>
        <w:pageBreakBefore w:val="0"/>
        <w:wordWrap/>
        <w:bidi w:val="0"/>
        <w:adjustRightInd/>
        <w:snapToGrid/>
        <w:rPr>
          <w:color w:val="auto"/>
        </w:rPr>
      </w:pPr>
      <w:r>
        <w:rPr>
          <w:rFonts w:hint="eastAsia"/>
          <w:color w:val="auto"/>
        </w:rPr>
        <w:t>巴中市属亚热带湿润季风气候，四季分明，雨量充沛，光照适宜，年降水分布不均，旱涝交替，年总雨量正常；日照正常略偏少，春旱、夏旱、伏旱相继出现，暴雨、大风、冰雹时有发生。</w:t>
      </w:r>
    </w:p>
    <w:p w14:paraId="73D3FD09">
      <w:pPr>
        <w:pageBreakBefore w:val="0"/>
        <w:wordWrap/>
        <w:bidi w:val="0"/>
        <w:adjustRightInd/>
        <w:snapToGrid/>
        <w:rPr>
          <w:color w:val="auto"/>
        </w:rPr>
      </w:pPr>
      <w:r>
        <w:rPr>
          <w:rFonts w:hint="eastAsia"/>
          <w:color w:val="auto"/>
        </w:rPr>
        <w:t>巴州区是南北气候的交汇地带，属于典型的亚热带湿润季风气候，四季分明，无霜期长，光照适宜，雨量充沛，</w:t>
      </w:r>
      <w:r>
        <w:rPr>
          <w:rFonts w:hint="eastAsia"/>
          <w:color w:val="auto"/>
          <w:lang w:eastAsia="zh-CN"/>
        </w:rPr>
        <w:t>极其适合</w:t>
      </w:r>
      <w:r>
        <w:rPr>
          <w:rFonts w:hint="eastAsia"/>
          <w:color w:val="auto"/>
        </w:rPr>
        <w:t>保健养生、休闲度假，素有</w:t>
      </w:r>
      <w:r>
        <w:rPr>
          <w:rFonts w:hint="eastAsia"/>
          <w:color w:val="auto"/>
          <w:lang w:eastAsia="zh-CN"/>
        </w:rPr>
        <w:t>“</w:t>
      </w:r>
      <w:r>
        <w:rPr>
          <w:rFonts w:hint="eastAsia"/>
          <w:color w:val="auto"/>
        </w:rPr>
        <w:t>川东北天然氧吧</w:t>
      </w:r>
      <w:r>
        <w:rPr>
          <w:rFonts w:hint="eastAsia"/>
          <w:color w:val="auto"/>
          <w:lang w:eastAsia="zh-CN"/>
        </w:rPr>
        <w:t>”</w:t>
      </w:r>
      <w:r>
        <w:rPr>
          <w:rFonts w:hint="eastAsia"/>
          <w:color w:val="auto"/>
        </w:rPr>
        <w:t>的称号。全区森林覆盖率</w:t>
      </w:r>
      <w:r>
        <w:rPr>
          <w:color w:val="auto"/>
        </w:rPr>
        <w:t>50.2%</w:t>
      </w:r>
      <w:r>
        <w:rPr>
          <w:rFonts w:hint="eastAsia"/>
          <w:color w:val="auto"/>
        </w:rPr>
        <w:t>、是全国平均水平的</w:t>
      </w:r>
      <w:r>
        <w:rPr>
          <w:color w:val="auto"/>
        </w:rPr>
        <w:t>3</w:t>
      </w:r>
      <w:r>
        <w:rPr>
          <w:rFonts w:hint="eastAsia"/>
          <w:color w:val="auto"/>
        </w:rPr>
        <w:t>倍，境域负氧离子平均浓度达</w:t>
      </w:r>
      <w:r>
        <w:rPr>
          <w:color w:val="auto"/>
        </w:rPr>
        <w:t>Ⅰ</w:t>
      </w:r>
      <w:r>
        <w:rPr>
          <w:rFonts w:hint="eastAsia"/>
          <w:color w:val="auto"/>
        </w:rPr>
        <w:t>级标准，农产品优产度达</w:t>
      </w:r>
      <w:r>
        <w:rPr>
          <w:color w:val="auto"/>
        </w:rPr>
        <w:t>85%</w:t>
      </w:r>
      <w:r>
        <w:rPr>
          <w:rFonts w:hint="eastAsia"/>
          <w:color w:val="auto"/>
        </w:rPr>
        <w:t>，空气质量优良率达</w:t>
      </w:r>
      <w:r>
        <w:rPr>
          <w:color w:val="auto"/>
        </w:rPr>
        <w:t>95%</w:t>
      </w:r>
      <w:r>
        <w:rPr>
          <w:rFonts w:hint="eastAsia"/>
          <w:color w:val="auto"/>
        </w:rPr>
        <w:t>以上。</w:t>
      </w:r>
    </w:p>
    <w:p w14:paraId="05E9C0B0">
      <w:pPr>
        <w:pageBreakBefore w:val="0"/>
        <w:wordWrap/>
        <w:bidi w:val="0"/>
        <w:adjustRightInd/>
        <w:snapToGrid/>
        <w:rPr>
          <w:color w:val="auto"/>
        </w:rPr>
      </w:pPr>
      <w:r>
        <w:rPr>
          <w:rFonts w:hint="eastAsia"/>
          <w:color w:val="auto"/>
        </w:rPr>
        <w:t>巴中市主要气象参数条件如下：</w:t>
      </w:r>
    </w:p>
    <w:p w14:paraId="0FEEA406">
      <w:pPr>
        <w:pageBreakBefore w:val="0"/>
        <w:wordWrap/>
        <w:bidi w:val="0"/>
        <w:adjustRightInd/>
        <w:snapToGrid/>
        <w:rPr>
          <w:color w:val="auto"/>
        </w:rPr>
      </w:pPr>
      <w:r>
        <w:rPr>
          <w:rFonts w:hint="eastAsia"/>
          <w:color w:val="auto"/>
        </w:rPr>
        <w:t>多年平均气温：</w:t>
      </w:r>
      <w:r>
        <w:rPr>
          <w:color w:val="auto"/>
        </w:rPr>
        <w:t>16.9~17.4℃</w:t>
      </w:r>
      <w:r>
        <w:rPr>
          <w:rFonts w:hint="eastAsia"/>
          <w:color w:val="auto"/>
        </w:rPr>
        <w:t>；多年极端最高气温：</w:t>
      </w:r>
      <w:r>
        <w:rPr>
          <w:color w:val="auto"/>
        </w:rPr>
        <w:t>40.3℃</w:t>
      </w:r>
      <w:r>
        <w:rPr>
          <w:rFonts w:hint="eastAsia"/>
          <w:color w:val="auto"/>
        </w:rPr>
        <w:t>；</w:t>
      </w:r>
    </w:p>
    <w:p w14:paraId="04608CD2">
      <w:pPr>
        <w:pageBreakBefore w:val="0"/>
        <w:wordWrap/>
        <w:bidi w:val="0"/>
        <w:adjustRightInd/>
        <w:snapToGrid/>
        <w:rPr>
          <w:color w:val="auto"/>
        </w:rPr>
      </w:pPr>
      <w:r>
        <w:rPr>
          <w:rFonts w:hint="eastAsia"/>
          <w:color w:val="auto"/>
        </w:rPr>
        <w:t>多年极端最低气温：</w:t>
      </w:r>
      <w:r>
        <w:rPr>
          <w:color w:val="auto"/>
        </w:rPr>
        <w:t>-5.3℃</w:t>
      </w:r>
      <w:r>
        <w:rPr>
          <w:rFonts w:hint="eastAsia"/>
          <w:color w:val="auto"/>
          <w:lang w:eastAsia="zh-CN"/>
        </w:rPr>
        <w:t>；</w:t>
      </w:r>
      <w:r>
        <w:rPr>
          <w:rFonts w:hint="eastAsia"/>
          <w:color w:val="auto"/>
        </w:rPr>
        <w:t>平均降水量：</w:t>
      </w:r>
      <w:r>
        <w:rPr>
          <w:color w:val="auto"/>
        </w:rPr>
        <w:t>1104mm</w:t>
      </w:r>
      <w:r>
        <w:rPr>
          <w:rFonts w:hint="eastAsia"/>
          <w:color w:val="auto"/>
        </w:rPr>
        <w:t>；</w:t>
      </w:r>
    </w:p>
    <w:p w14:paraId="16D544AE">
      <w:pPr>
        <w:pageBreakBefore w:val="0"/>
        <w:wordWrap/>
        <w:bidi w:val="0"/>
        <w:adjustRightInd/>
        <w:snapToGrid/>
        <w:rPr>
          <w:color w:val="auto"/>
        </w:rPr>
      </w:pPr>
      <w:r>
        <w:rPr>
          <w:rFonts w:hint="eastAsia"/>
          <w:color w:val="auto"/>
        </w:rPr>
        <w:t>降雨日数（年平均）：</w:t>
      </w:r>
      <w:r>
        <w:rPr>
          <w:color w:val="auto"/>
        </w:rPr>
        <w:t>139</w:t>
      </w:r>
      <w:r>
        <w:rPr>
          <w:rFonts w:hint="eastAsia"/>
          <w:color w:val="auto"/>
        </w:rPr>
        <w:t>天；无霜期：</w:t>
      </w:r>
      <w:r>
        <w:rPr>
          <w:color w:val="auto"/>
        </w:rPr>
        <w:t>281</w:t>
      </w:r>
      <w:r>
        <w:rPr>
          <w:rFonts w:hint="eastAsia"/>
          <w:color w:val="auto"/>
        </w:rPr>
        <w:t>天；</w:t>
      </w:r>
    </w:p>
    <w:p w14:paraId="05DED997">
      <w:pPr>
        <w:pageBreakBefore w:val="0"/>
        <w:wordWrap/>
        <w:bidi w:val="0"/>
        <w:adjustRightInd/>
        <w:snapToGrid/>
        <w:rPr>
          <w:color w:val="auto"/>
        </w:rPr>
      </w:pPr>
      <w:r>
        <w:rPr>
          <w:rFonts w:hint="eastAsia"/>
          <w:color w:val="auto"/>
        </w:rPr>
        <w:t>年均雷暴日：</w:t>
      </w:r>
      <w:r>
        <w:rPr>
          <w:color w:val="auto"/>
        </w:rPr>
        <w:t>56</w:t>
      </w:r>
      <w:r>
        <w:rPr>
          <w:rFonts w:hint="eastAsia"/>
          <w:color w:val="auto"/>
        </w:rPr>
        <w:t>天；陆地蒸发量：</w:t>
      </w:r>
      <w:r>
        <w:rPr>
          <w:color w:val="auto"/>
        </w:rPr>
        <w:t>77.2-84.7mm</w:t>
      </w:r>
      <w:r>
        <w:rPr>
          <w:rFonts w:hint="eastAsia"/>
          <w:color w:val="auto"/>
        </w:rPr>
        <w:t>；</w:t>
      </w:r>
    </w:p>
    <w:p w14:paraId="52947130">
      <w:pPr>
        <w:pageBreakBefore w:val="0"/>
        <w:wordWrap/>
        <w:bidi w:val="0"/>
        <w:adjustRightInd/>
        <w:snapToGrid/>
        <w:rPr>
          <w:color w:val="auto"/>
        </w:rPr>
      </w:pPr>
      <w:r>
        <w:rPr>
          <w:rFonts w:hint="eastAsia"/>
          <w:color w:val="auto"/>
        </w:rPr>
        <w:t>日平均相对湿度：</w:t>
      </w:r>
      <w:r>
        <w:rPr>
          <w:color w:val="auto"/>
        </w:rPr>
        <w:t>80%</w:t>
      </w:r>
      <w:r>
        <w:rPr>
          <w:rFonts w:hint="eastAsia"/>
          <w:color w:val="auto"/>
        </w:rPr>
        <w:t>；全年平均相对湿度：</w:t>
      </w:r>
      <w:r>
        <w:rPr>
          <w:color w:val="auto"/>
        </w:rPr>
        <w:t>77%</w:t>
      </w:r>
      <w:r>
        <w:rPr>
          <w:rFonts w:hint="eastAsia"/>
          <w:color w:val="auto"/>
        </w:rPr>
        <w:t>；</w:t>
      </w:r>
    </w:p>
    <w:p w14:paraId="316B1BB7">
      <w:pPr>
        <w:pageBreakBefore w:val="0"/>
        <w:wordWrap/>
        <w:bidi w:val="0"/>
        <w:adjustRightInd/>
        <w:snapToGrid/>
        <w:rPr>
          <w:color w:val="auto"/>
        </w:rPr>
      </w:pPr>
      <w:r>
        <w:rPr>
          <w:rFonts w:hint="eastAsia"/>
          <w:color w:val="auto"/>
        </w:rPr>
        <w:t>主导风向：常年冬季西北风，常年夏季西北、东南风，春秋季风向不定，</w:t>
      </w:r>
    </w:p>
    <w:p w14:paraId="012A71E8">
      <w:pPr>
        <w:pageBreakBefore w:val="0"/>
        <w:wordWrap/>
        <w:bidi w:val="0"/>
        <w:adjustRightInd/>
        <w:snapToGrid/>
        <w:rPr>
          <w:color w:val="auto"/>
        </w:rPr>
      </w:pPr>
      <w:r>
        <w:rPr>
          <w:rFonts w:hint="eastAsia"/>
          <w:color w:val="auto"/>
        </w:rPr>
        <w:t>但阵风偏西北风，亦有南风，年平均风速</w:t>
      </w:r>
      <w:r>
        <w:rPr>
          <w:color w:val="auto"/>
        </w:rPr>
        <w:t>1.27m/s</w:t>
      </w:r>
      <w:r>
        <w:rPr>
          <w:rFonts w:hint="eastAsia"/>
          <w:color w:val="auto"/>
        </w:rPr>
        <w:t>。</w:t>
      </w:r>
    </w:p>
    <w:p w14:paraId="14F6DD11">
      <w:pPr>
        <w:pStyle w:val="5"/>
        <w:bidi w:val="0"/>
        <w:rPr>
          <w:color w:val="auto"/>
        </w:rPr>
      </w:pPr>
      <w:r>
        <w:rPr>
          <w:rFonts w:hint="eastAsia"/>
          <w:color w:val="auto"/>
          <w:lang w:val="en-US" w:eastAsia="zh-CN"/>
        </w:rPr>
        <w:t xml:space="preserve"> </w:t>
      </w:r>
      <w:r>
        <w:rPr>
          <w:color w:val="auto"/>
        </w:rPr>
        <w:t>水文概况</w:t>
      </w:r>
    </w:p>
    <w:p w14:paraId="1F4D7A40">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巴中市大小河流共有1100多条，流域面积在1000km</w:t>
      </w:r>
      <w:r>
        <w:rPr>
          <w:color w:val="auto"/>
          <w:kern w:val="0"/>
          <w:sz w:val="24"/>
          <w:szCs w:val="22"/>
          <w:vertAlign w:val="superscript"/>
        </w:rPr>
        <w:t>2</w:t>
      </w:r>
      <w:r>
        <w:rPr>
          <w:color w:val="auto"/>
          <w:kern w:val="0"/>
          <w:sz w:val="24"/>
          <w:szCs w:val="22"/>
        </w:rPr>
        <w:t>以上的主要河流有巴河、恩阳河和通江河等7条，100km</w:t>
      </w:r>
      <w:r>
        <w:rPr>
          <w:color w:val="auto"/>
          <w:kern w:val="0"/>
          <w:sz w:val="24"/>
          <w:szCs w:val="22"/>
          <w:vertAlign w:val="superscript"/>
        </w:rPr>
        <w:t>2</w:t>
      </w:r>
      <w:r>
        <w:rPr>
          <w:color w:val="auto"/>
          <w:kern w:val="0"/>
          <w:sz w:val="24"/>
          <w:szCs w:val="22"/>
        </w:rPr>
        <w:t>以上的有45条，50km</w:t>
      </w:r>
      <w:r>
        <w:rPr>
          <w:color w:val="auto"/>
          <w:kern w:val="0"/>
          <w:sz w:val="24"/>
          <w:szCs w:val="22"/>
          <w:vertAlign w:val="superscript"/>
        </w:rPr>
        <w:t>2</w:t>
      </w:r>
      <w:r>
        <w:rPr>
          <w:color w:val="auto"/>
          <w:kern w:val="0"/>
          <w:sz w:val="24"/>
          <w:szCs w:val="22"/>
        </w:rPr>
        <w:t>以上的有138条，河流总长4342km，河网密度达0.33km/km</w:t>
      </w:r>
      <w:r>
        <w:rPr>
          <w:color w:val="auto"/>
          <w:kern w:val="0"/>
          <w:sz w:val="24"/>
          <w:szCs w:val="22"/>
          <w:vertAlign w:val="superscript"/>
        </w:rPr>
        <w:t>2</w:t>
      </w:r>
      <w:r>
        <w:rPr>
          <w:color w:val="auto"/>
          <w:kern w:val="0"/>
          <w:sz w:val="24"/>
          <w:szCs w:val="22"/>
        </w:rPr>
        <w:t>。河流均呈南北流向，树枝状分布，水位洪枯变幅大，部分溪河在枯水期有断流的现象。除南江县北部的焦家河属</w:t>
      </w:r>
      <w:r>
        <w:rPr>
          <w:rFonts w:hint="eastAsia"/>
          <w:color w:val="auto"/>
          <w:kern w:val="0"/>
          <w:sz w:val="24"/>
          <w:szCs w:val="22"/>
          <w:lang w:eastAsia="zh-CN"/>
        </w:rPr>
        <w:t>巴河</w:t>
      </w:r>
      <w:r>
        <w:rPr>
          <w:color w:val="auto"/>
          <w:kern w:val="0"/>
          <w:sz w:val="24"/>
          <w:szCs w:val="22"/>
        </w:rPr>
        <w:t>一级支流外，其余均属渠江水系巴河流域。</w:t>
      </w:r>
    </w:p>
    <w:p w14:paraId="2740EEA8">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巴河流域属山溪性河流，调蓄能力较小，暴雨洪水特征明显，流程短，汇流快，易形成大洪水或特大洪水，峰高量大，陡涨陡落。水位流量关系比较稳定，高水为绳套，中、低水为单一关系，水位变幅</w:t>
      </w:r>
      <w:r>
        <w:rPr>
          <w:rFonts w:hint="eastAsia"/>
          <w:color w:val="auto"/>
          <w:kern w:val="0"/>
          <w:sz w:val="24"/>
          <w:szCs w:val="22"/>
          <w:lang w:eastAsia="zh-CN"/>
        </w:rPr>
        <w:t>大部分</w:t>
      </w:r>
      <w:r>
        <w:rPr>
          <w:color w:val="auto"/>
          <w:kern w:val="0"/>
          <w:sz w:val="24"/>
          <w:szCs w:val="22"/>
        </w:rPr>
        <w:t>站都在10-23m，一次洪水历时一般6-24小时，峰顶历时0.1-1.5小时。据巴河流域主要控制站—风滩水文站，实测最高水位297.95m，最大流量26700</w:t>
      </w:r>
      <w:r>
        <w:rPr>
          <w:rFonts w:hint="eastAsia"/>
          <w:color w:val="auto"/>
          <w:kern w:val="0"/>
          <w:sz w:val="24"/>
          <w:szCs w:val="22"/>
          <w:lang w:eastAsia="zh-CN"/>
        </w:rPr>
        <w:t>m³</w:t>
      </w:r>
      <w:r>
        <w:rPr>
          <w:color w:val="auto"/>
          <w:kern w:val="0"/>
          <w:sz w:val="24"/>
          <w:szCs w:val="22"/>
        </w:rPr>
        <w:t>/s，水位涨幅18-23m。</w:t>
      </w:r>
    </w:p>
    <w:p w14:paraId="51180799">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河流经南江县、巴中市、平昌县、达川区、渠县，至渠县三汇镇注入渠江。巴河上游段在巴州区三江以上为巴河，发源于南江县玉泉乡平溪村的铁船山，横切于米仓山至大巴山的中山区海拔高程1800m，在南江县境内由东北向西南流，经玉泉、南江县城、沙河、下两、至元潭出南江县，进入巴州区境内继续南流，经枣林、在大佛寺有巴中水文站控制流域面积2732km</w:t>
      </w:r>
      <w:r>
        <w:rPr>
          <w:color w:val="auto"/>
          <w:kern w:val="0"/>
          <w:sz w:val="24"/>
          <w:szCs w:val="22"/>
          <w:vertAlign w:val="superscript"/>
        </w:rPr>
        <w:t>2</w:t>
      </w:r>
      <w:r>
        <w:rPr>
          <w:color w:val="auto"/>
          <w:kern w:val="0"/>
          <w:sz w:val="24"/>
          <w:szCs w:val="22"/>
        </w:rPr>
        <w:t>，多年平均流量61.1</w:t>
      </w:r>
      <w:r>
        <w:rPr>
          <w:rFonts w:hint="eastAsia"/>
          <w:color w:val="auto"/>
          <w:kern w:val="0"/>
          <w:sz w:val="24"/>
          <w:szCs w:val="22"/>
          <w:lang w:eastAsia="zh-CN"/>
        </w:rPr>
        <w:t>m³</w:t>
      </w:r>
      <w:r>
        <w:rPr>
          <w:color w:val="auto"/>
          <w:kern w:val="0"/>
          <w:sz w:val="24"/>
          <w:szCs w:val="22"/>
        </w:rPr>
        <w:t>/s，最大实测洪峰流量26700</w:t>
      </w:r>
      <w:r>
        <w:rPr>
          <w:rFonts w:hint="eastAsia"/>
          <w:color w:val="auto"/>
          <w:kern w:val="0"/>
          <w:sz w:val="24"/>
          <w:szCs w:val="22"/>
          <w:lang w:eastAsia="zh-CN"/>
        </w:rPr>
        <w:t>m³</w:t>
      </w:r>
      <w:r>
        <w:rPr>
          <w:color w:val="auto"/>
          <w:kern w:val="0"/>
          <w:sz w:val="24"/>
          <w:szCs w:val="22"/>
        </w:rPr>
        <w:t>/s，折东过巴中市城区北，曲折南至三江口水文站，以上流域面积2880km</w:t>
      </w:r>
      <w:r>
        <w:rPr>
          <w:color w:val="auto"/>
          <w:kern w:val="0"/>
          <w:sz w:val="24"/>
          <w:szCs w:val="22"/>
          <w:vertAlign w:val="superscript"/>
        </w:rPr>
        <w:t>2</w:t>
      </w:r>
      <w:r>
        <w:rPr>
          <w:color w:val="auto"/>
          <w:kern w:val="0"/>
          <w:sz w:val="24"/>
          <w:szCs w:val="22"/>
        </w:rPr>
        <w:t>。</w:t>
      </w:r>
    </w:p>
    <w:p w14:paraId="294E5657">
      <w:pPr>
        <w:pStyle w:val="5"/>
        <w:bidi w:val="0"/>
        <w:rPr>
          <w:color w:val="auto"/>
        </w:rPr>
      </w:pPr>
      <w:r>
        <w:rPr>
          <w:rFonts w:hint="eastAsia"/>
          <w:color w:val="auto"/>
          <w:lang w:val="en-US" w:eastAsia="zh-CN"/>
        </w:rPr>
        <w:t xml:space="preserve"> </w:t>
      </w:r>
      <w:r>
        <w:rPr>
          <w:color w:val="auto"/>
        </w:rPr>
        <w:t>水文地质条件</w:t>
      </w:r>
    </w:p>
    <w:p w14:paraId="7E7C7BBA">
      <w:pPr>
        <w:pageBreakBefore w:val="0"/>
        <w:wordWrap/>
        <w:autoSpaceDE w:val="0"/>
        <w:autoSpaceDN w:val="0"/>
        <w:bidi w:val="0"/>
        <w:adjustRightInd/>
        <w:snapToGrid/>
        <w:spacing w:before="36" w:line="360" w:lineRule="auto"/>
        <w:ind w:firstLine="480" w:firstLineChars="200"/>
        <w:jc w:val="left"/>
        <w:textAlignment w:val="baseline"/>
        <w:rPr>
          <w:rFonts w:hint="eastAsia"/>
          <w:color w:val="auto"/>
          <w:sz w:val="24"/>
          <w:szCs w:val="24"/>
        </w:rPr>
      </w:pPr>
      <w:r>
        <w:rPr>
          <w:rFonts w:hint="eastAsia"/>
          <w:color w:val="auto"/>
          <w:lang w:val="en-US" w:eastAsia="zh-CN"/>
        </w:rPr>
        <w:t>根据《巴中市巴州区曾口片区污水处理厂、环境监测站建设项目岩土工程勘察报告（详勘）》，</w:t>
      </w:r>
      <w:r>
        <w:rPr>
          <w:rFonts w:hint="eastAsia"/>
          <w:color w:val="auto"/>
          <w:sz w:val="24"/>
          <w:szCs w:val="24"/>
        </w:rPr>
        <w:t>场地内地下水自上而下分布如下：第四系松散类孔隙水、基岩裂隙水。场地内素填土层、卵石层、强风化砂岩层属弱含（透）水性地层，粉质黏土层、中风化砂岩层为场地相对隔水层。本场地地下水主要为第四系松散类孔隙水、基岩裂隙水，基岩裂隙水主要为基岩风化带网状裂隙水，富水性差，主要赋存于场地内</w:t>
      </w:r>
      <w:r>
        <w:rPr>
          <w:rFonts w:hint="eastAsia" w:hAnsi="宋体"/>
          <w:color w:val="auto"/>
          <w:sz w:val="24"/>
          <w:szCs w:val="24"/>
        </w:rPr>
        <w:t>强风</w:t>
      </w:r>
      <w:r>
        <w:rPr>
          <w:rFonts w:hint="eastAsia"/>
          <w:color w:val="auto"/>
          <w:sz w:val="24"/>
          <w:szCs w:val="24"/>
        </w:rPr>
        <w:t>泥岩、强风化砂岩中。</w:t>
      </w:r>
    </w:p>
    <w:p w14:paraId="214C2F5C">
      <w:pPr>
        <w:pageBreakBefore w:val="0"/>
        <w:wordWrap/>
        <w:autoSpaceDE w:val="0"/>
        <w:autoSpaceDN w:val="0"/>
        <w:bidi w:val="0"/>
        <w:adjustRightInd/>
        <w:snapToGrid/>
        <w:spacing w:before="36" w:line="360" w:lineRule="auto"/>
        <w:ind w:firstLine="480" w:firstLineChars="200"/>
        <w:jc w:val="left"/>
        <w:textAlignment w:val="baseline"/>
        <w:rPr>
          <w:rFonts w:hint="eastAsia"/>
          <w:color w:val="auto"/>
          <w:sz w:val="24"/>
          <w:szCs w:val="24"/>
        </w:rPr>
      </w:pPr>
      <w:r>
        <w:rPr>
          <w:rFonts w:hint="eastAsia"/>
          <w:color w:val="auto"/>
          <w:sz w:val="24"/>
          <w:szCs w:val="24"/>
        </w:rPr>
        <w:t>地下水的补给来源主要为大气降水通过入渗补给，孔隙水主要接受大气降雨及地表径流补给，基岩裂隙水主要补给为基岩裸露接受大气降雨补给及竖向孔隙水下渗补给以及区外径流补给。因而地下水的补给较弱。素填土与强风化基岩裂隙水水力联系较强，对基岩裂隙水补给较强。几个岩土层地下水存在水力联系，有统一的地下水位，素填土层间孔隙发育，透水性强，勘察期间见上层滞水渗入孔底形成积水，填土层属强透水层，含水性强、渗透系数约为8～13m/d；卵石层属强透水层，含水性强、渗透系数约为20～30m/d；粉质粘土属弱透水层，含水性强、渗透系数约为4×10</w:t>
      </w:r>
      <w:r>
        <w:rPr>
          <w:rFonts w:hint="eastAsia"/>
          <w:color w:val="auto"/>
          <w:sz w:val="24"/>
          <w:szCs w:val="24"/>
          <w:vertAlign w:val="superscript"/>
        </w:rPr>
        <w:t>-2</w:t>
      </w:r>
      <w:r>
        <w:rPr>
          <w:rFonts w:hint="eastAsia"/>
          <w:color w:val="auto"/>
          <w:sz w:val="24"/>
          <w:szCs w:val="24"/>
        </w:rPr>
        <w:t>m/d；砂岩属弱透水层，含水性弱、渗透系数约为3×10</w:t>
      </w:r>
      <w:r>
        <w:rPr>
          <w:rFonts w:hint="eastAsia"/>
          <w:color w:val="auto"/>
          <w:sz w:val="24"/>
          <w:szCs w:val="24"/>
          <w:vertAlign w:val="superscript"/>
        </w:rPr>
        <w:t>-2</w:t>
      </w:r>
      <w:r>
        <w:rPr>
          <w:rFonts w:hint="eastAsia"/>
          <w:color w:val="auto"/>
          <w:sz w:val="24"/>
          <w:szCs w:val="24"/>
        </w:rPr>
        <w:t>m/d。</w:t>
      </w:r>
    </w:p>
    <w:p w14:paraId="77962ACF">
      <w:pPr>
        <w:bidi w:val="0"/>
        <w:rPr>
          <w:rFonts w:hint="eastAsia"/>
          <w:color w:val="auto"/>
        </w:rPr>
      </w:pPr>
      <w:r>
        <w:rPr>
          <w:rFonts w:hint="eastAsia"/>
          <w:color w:val="auto"/>
        </w:rPr>
        <w:t>勘察期间测得本场地勘探深度内稳定地下水位埋深：1.02m～6.52m，地下水位标高：321.73m～323.50m，地下水位年变幅1.0～2.5m，勘察期间最高地下水位323.50m；据原区域地质资料及野外调查统计，拟建工程地段历史最高水位325.50m。水位受微地貌控制，随降雨动态变化大。</w:t>
      </w:r>
    </w:p>
    <w:p w14:paraId="4CD6ED21">
      <w:pPr>
        <w:pStyle w:val="6"/>
        <w:ind w:firstLine="361"/>
        <w:rPr>
          <w:rFonts w:cs="Times New Roman"/>
          <w:color w:val="auto"/>
        </w:rPr>
      </w:pPr>
      <w:r>
        <w:rPr>
          <w:rFonts w:cs="Times New Roman"/>
          <w:color w:val="auto"/>
        </w:rPr>
        <w:t>地下水类型及其富水性</w:t>
      </w:r>
    </w:p>
    <w:p w14:paraId="4CF73F36">
      <w:pPr>
        <w:ind w:firstLine="480"/>
        <w:rPr>
          <w:rFonts w:cs="Times New Roman"/>
          <w:color w:val="auto"/>
        </w:rPr>
      </w:pPr>
      <w:r>
        <w:rPr>
          <w:rFonts w:cs="Times New Roman"/>
          <w:color w:val="auto"/>
        </w:rPr>
        <w:t>项目评价区</w:t>
      </w:r>
      <w:r>
        <w:rPr>
          <w:rFonts w:hint="eastAsia" w:cs="Times New Roman"/>
          <w:color w:val="auto"/>
        </w:rPr>
        <w:t>地下水类型包含第四系松散类孔隙水和基岩裂隙水两大类，第四系松散岩类孔隙水主要赋存于第四系粉质粘土及砂砾卵石层松散孔隙中，基岩裂隙水主要赋存于砂岩浅层裂隙中，两者有较强的水力联系。</w:t>
      </w:r>
    </w:p>
    <w:p w14:paraId="6D397697">
      <w:pPr>
        <w:ind w:firstLine="480"/>
        <w:rPr>
          <w:rFonts w:cs="Times New Roman"/>
          <w:color w:val="auto"/>
        </w:rPr>
      </w:pPr>
      <w:r>
        <w:rPr>
          <w:rFonts w:hint="eastAsia" w:cs="Times New Roman"/>
          <w:color w:val="auto"/>
        </w:rPr>
        <w:t>（1）第四系松散岩类孔隙水</w:t>
      </w:r>
    </w:p>
    <w:p w14:paraId="74F20482">
      <w:pPr>
        <w:ind w:firstLine="480"/>
        <w:rPr>
          <w:rFonts w:cs="Times New Roman"/>
          <w:color w:val="auto"/>
        </w:rPr>
      </w:pPr>
      <w:r>
        <w:rPr>
          <w:rFonts w:hint="eastAsia" w:cs="Times New Roman"/>
          <w:color w:val="auto"/>
        </w:rPr>
        <w:t>广泛赋存于本项目评价区第四系更新世堆积的粘土、亚粘土及砂砾卵石层</w:t>
      </w:r>
      <w:r>
        <w:rPr>
          <w:rFonts w:hint="eastAsia" w:cs="Times New Roman"/>
          <w:color w:val="auto"/>
          <w:lang w:eastAsia="zh-CN"/>
        </w:rPr>
        <w:t>（</w:t>
      </w:r>
      <w:r>
        <w:rPr>
          <w:rFonts w:hint="eastAsia" w:cs="Times New Roman"/>
          <w:color w:val="auto"/>
        </w:rPr>
        <w:t>Q</w:t>
      </w:r>
      <w:r>
        <w:rPr>
          <w:rFonts w:hint="eastAsia" w:cs="Times New Roman"/>
          <w:color w:val="auto"/>
          <w:vertAlign w:val="subscript"/>
        </w:rPr>
        <w:t>3</w:t>
      </w:r>
      <w:r>
        <w:rPr>
          <w:rFonts w:hint="eastAsia" w:cs="Times New Roman"/>
          <w:color w:val="auto"/>
          <w:vertAlign w:val="superscript"/>
        </w:rPr>
        <w:t>al</w:t>
      </w:r>
      <w:r>
        <w:rPr>
          <w:rFonts w:hint="eastAsia" w:cs="Times New Roman"/>
          <w:color w:val="auto"/>
          <w:lang w:eastAsia="zh-CN"/>
        </w:rPr>
        <w:t>）</w:t>
      </w:r>
      <w:r>
        <w:rPr>
          <w:rFonts w:hint="eastAsia" w:cs="Times New Roman"/>
          <w:color w:val="auto"/>
        </w:rPr>
        <w:t>，地貌上属巴河的二、三级阶地，污水处理厂到巴河之间的一级阶地全新统砂砾卵石层</w:t>
      </w:r>
      <w:r>
        <w:rPr>
          <w:rFonts w:hint="eastAsia" w:cs="Times New Roman"/>
          <w:color w:val="auto"/>
          <w:lang w:eastAsia="zh-CN"/>
        </w:rPr>
        <w:t>（</w:t>
      </w:r>
      <w:r>
        <w:rPr>
          <w:rFonts w:hint="eastAsia" w:cs="Times New Roman"/>
          <w:color w:val="auto"/>
        </w:rPr>
        <w:t>Q</w:t>
      </w:r>
      <w:r>
        <w:rPr>
          <w:rFonts w:hint="eastAsia" w:cs="Times New Roman"/>
          <w:color w:val="auto"/>
          <w:vertAlign w:val="subscript"/>
        </w:rPr>
        <w:t>4</w:t>
      </w:r>
      <w:r>
        <w:rPr>
          <w:rFonts w:hint="eastAsia" w:cs="Times New Roman"/>
          <w:color w:val="auto"/>
          <w:vertAlign w:val="superscript"/>
        </w:rPr>
        <w:t>al</w:t>
      </w:r>
      <w:r>
        <w:rPr>
          <w:rFonts w:hint="eastAsia" w:cs="Times New Roman"/>
          <w:color w:val="auto"/>
          <w:lang w:eastAsia="zh-CN"/>
        </w:rPr>
        <w:t>）</w:t>
      </w:r>
      <w:r>
        <w:rPr>
          <w:rFonts w:hint="eastAsia" w:cs="Times New Roman"/>
          <w:color w:val="auto"/>
        </w:rPr>
        <w:t>含泥质重，也划归此类。地层整体富水性较差，根据区域水文地质资料区域上只在堆积层底部近基座面上有泉水出露，流量0.015-0.454 L/s，水量相对贫乏，单井涌水量一般在10-100 m</w:t>
      </w:r>
      <w:r>
        <w:rPr>
          <w:rFonts w:hint="eastAsia" w:cs="Times New Roman"/>
          <w:color w:val="auto"/>
          <w:vertAlign w:val="superscript"/>
        </w:rPr>
        <w:t>3</w:t>
      </w:r>
      <w:r>
        <w:rPr>
          <w:rFonts w:hint="eastAsia" w:cs="Times New Roman"/>
          <w:color w:val="auto"/>
        </w:rPr>
        <w:t>/d。</w:t>
      </w:r>
    </w:p>
    <w:p w14:paraId="4E149D21">
      <w:pPr>
        <w:ind w:firstLine="480"/>
        <w:rPr>
          <w:color w:val="auto"/>
        </w:rPr>
      </w:pPr>
      <w:r>
        <w:rPr>
          <w:rFonts w:hint="eastAsia"/>
          <w:color w:val="auto"/>
        </w:rPr>
        <w:t>（2）基岩裂隙水</w:t>
      </w:r>
    </w:p>
    <w:p w14:paraId="57E41B05">
      <w:pPr>
        <w:ind w:firstLine="480"/>
        <w:rPr>
          <w:rFonts w:cs="Times New Roman"/>
          <w:color w:val="auto"/>
        </w:rPr>
      </w:pPr>
      <w:r>
        <w:rPr>
          <w:rFonts w:hint="eastAsia"/>
          <w:color w:val="auto"/>
        </w:rPr>
        <w:t>根据项目岩土工程勘察报告，评价区“宽缓槽谷”内第四系粉质粘土及砂卵石层覆盖于下伏白垩系白龙组（</w:t>
      </w:r>
      <w:r>
        <w:rPr>
          <w:color w:val="auto"/>
        </w:rPr>
        <w:t>K</w:t>
      </w:r>
      <w:r>
        <w:rPr>
          <w:color w:val="auto"/>
          <w:vertAlign w:val="subscript"/>
        </w:rPr>
        <w:t>1</w:t>
      </w:r>
      <w:r>
        <w:rPr>
          <w:color w:val="auto"/>
        </w:rPr>
        <w:t>b</w:t>
      </w:r>
      <w:r>
        <w:rPr>
          <w:rFonts w:hint="eastAsia"/>
          <w:color w:val="auto"/>
        </w:rPr>
        <w:t>）长石石英砂岩地层之上，砂岩中浅部横张及X节理发育，由于埋藏浅，在长期外营力改造，裂隙进一步扩张，构成浅层地下水良好储存空间，裂隙发育厚度18～20</w:t>
      </w:r>
      <w:r>
        <w:rPr>
          <w:color w:val="auto"/>
        </w:rPr>
        <w:t>m</w:t>
      </w:r>
      <w:r>
        <w:rPr>
          <w:rFonts w:hint="eastAsia"/>
          <w:color w:val="auto"/>
        </w:rPr>
        <w:t>。评价区地表汇水条件好，浅层地下水主要接受大气降雨补给，槽谷两侧山体接受补给后，沿第四系孔隙及基岩裂隙带向地形低洼区域汇集，富集埋藏于地势低洼的沟谷、平坝、洼地地带。丘坡下部坡度变缓区域及槽谷内第四系之下的基岩裂隙</w:t>
      </w:r>
      <w:r>
        <w:rPr>
          <w:rFonts w:cs="Times New Roman"/>
          <w:color w:val="auto"/>
        </w:rPr>
        <w:t>是此类地下水最佳储水介质。因此，农户也较为集中地选择半坡以下及平坝而居。由于埋藏浅，径流时间短，因此地下水动态变化受气候因素影响较大。单井出水量小于50 m</w:t>
      </w:r>
      <w:r>
        <w:rPr>
          <w:rFonts w:cs="Times New Roman"/>
          <w:color w:val="auto"/>
          <w:vertAlign w:val="superscript"/>
        </w:rPr>
        <w:t>3</w:t>
      </w:r>
      <w:r>
        <w:rPr>
          <w:rFonts w:cs="Times New Roman"/>
          <w:color w:val="auto"/>
        </w:rPr>
        <w:t>/d。</w:t>
      </w:r>
    </w:p>
    <w:p w14:paraId="21532650">
      <w:pPr>
        <w:pStyle w:val="6"/>
        <w:ind w:firstLine="361"/>
        <w:rPr>
          <w:rFonts w:cs="Times New Roman"/>
          <w:color w:val="auto"/>
        </w:rPr>
      </w:pPr>
      <w:r>
        <w:rPr>
          <w:rFonts w:cs="Times New Roman"/>
          <w:color w:val="auto"/>
        </w:rPr>
        <w:t>地下水补给、径流和排泄条件</w:t>
      </w:r>
    </w:p>
    <w:p w14:paraId="58D6C099">
      <w:pPr>
        <w:ind w:firstLine="480"/>
        <w:rPr>
          <w:color w:val="auto"/>
        </w:rPr>
      </w:pPr>
      <w:r>
        <w:rPr>
          <w:rFonts w:hint="eastAsia"/>
          <w:color w:val="auto"/>
        </w:rPr>
        <w:t>评价区第四系松散岩类孔隙水及基岩裂隙水主要接受大气降雨垂直入渗补给，其次是地表水体，水库、堰塘、稻田、溪沟等对地下水均有一定的补给，评价区浅层地下水还接受来自北侧后缘的基岩裂隙水补给。由于降水的时空分布不均，因而这种补给是周期性的，当年4～10月为补给期，是地下水的峰值期，11月～次年3月为地下水消耗期，是地下水埋深、流量削减季节。评价区与广大红层丘陵地区相似，地下水一般由小沟至大沟，由支沟向主沟缓慢渗流，并以泉和渗流形式部分向低洼沟谷排泄，并最终排向当地最低侵蚀基准面，同时区内的居民打井抽汲地下水作为生产生活用水，也是常见的地下水排泄方式之一。</w:t>
      </w:r>
    </w:p>
    <w:p w14:paraId="25330913">
      <w:pPr>
        <w:pStyle w:val="6"/>
        <w:ind w:firstLine="361"/>
        <w:rPr>
          <w:rFonts w:cs="Times New Roman"/>
          <w:color w:val="auto"/>
        </w:rPr>
      </w:pPr>
      <w:r>
        <w:rPr>
          <w:rFonts w:cs="Times New Roman"/>
          <w:color w:val="auto"/>
        </w:rPr>
        <w:t>地下水水位分布调查</w:t>
      </w:r>
    </w:p>
    <w:p w14:paraId="3D593E6E">
      <w:pPr>
        <w:bidi w:val="0"/>
        <w:rPr>
          <w:color w:val="auto"/>
        </w:rPr>
      </w:pPr>
      <w:bookmarkStart w:id="148" w:name="_Hlk43892266"/>
      <w:r>
        <w:rPr>
          <w:color w:val="auto"/>
        </w:rPr>
        <w:t>评价区地下水</w:t>
      </w:r>
      <w:r>
        <w:rPr>
          <w:rFonts w:hint="eastAsia"/>
          <w:color w:val="auto"/>
        </w:rPr>
        <w:t>为降雨补给型，</w:t>
      </w:r>
      <w:r>
        <w:rPr>
          <w:color w:val="auto"/>
        </w:rPr>
        <w:t>动态具有明显季节变化特征，潜水位一般从4</w:t>
      </w:r>
      <w:r>
        <w:rPr>
          <w:rFonts w:hint="eastAsia"/>
          <w:color w:val="auto"/>
        </w:rPr>
        <w:t>-</w:t>
      </w:r>
      <w:r>
        <w:rPr>
          <w:color w:val="auto"/>
        </w:rPr>
        <w:t>5月开始上升至8月下旬最高峰出现于7</w:t>
      </w:r>
      <w:r>
        <w:rPr>
          <w:rFonts w:hint="eastAsia"/>
          <w:color w:val="auto"/>
        </w:rPr>
        <w:t>-</w:t>
      </w:r>
      <w:r>
        <w:rPr>
          <w:color w:val="auto"/>
        </w:rPr>
        <w:t>8月，最低在1</w:t>
      </w:r>
      <w:r>
        <w:rPr>
          <w:rFonts w:hint="eastAsia"/>
          <w:color w:val="auto"/>
        </w:rPr>
        <w:t>-</w:t>
      </w:r>
      <w:r>
        <w:rPr>
          <w:color w:val="auto"/>
        </w:rPr>
        <w:t>3月、12月中交替出现，动态曲线上峰谷起伏，动态变化明显。</w:t>
      </w:r>
    </w:p>
    <w:p w14:paraId="19762808">
      <w:pPr>
        <w:bidi w:val="0"/>
        <w:rPr>
          <w:color w:val="auto"/>
        </w:rPr>
      </w:pPr>
      <w:r>
        <w:rPr>
          <w:color w:val="auto"/>
        </w:rPr>
        <w:t>本项目调查显示评价区监测井井口高程介于</w:t>
      </w:r>
      <w:r>
        <w:rPr>
          <w:rFonts w:hint="eastAsia"/>
          <w:color w:val="auto"/>
        </w:rPr>
        <w:t>329.14</w:t>
      </w:r>
      <w:r>
        <w:rPr>
          <w:color w:val="auto"/>
        </w:rPr>
        <w:t>～</w:t>
      </w:r>
      <w:r>
        <w:rPr>
          <w:rFonts w:hint="eastAsia"/>
          <w:color w:val="auto"/>
        </w:rPr>
        <w:t>342.53</w:t>
      </w:r>
      <w:r>
        <w:rPr>
          <w:color w:val="auto"/>
        </w:rPr>
        <w:t xml:space="preserve"> m，枯水期水位埋深</w:t>
      </w:r>
      <w:r>
        <w:rPr>
          <w:rFonts w:hint="eastAsia"/>
          <w:color w:val="auto"/>
        </w:rPr>
        <w:t>0.61</w:t>
      </w:r>
      <w:r>
        <w:rPr>
          <w:color w:val="auto"/>
        </w:rPr>
        <w:t>～</w:t>
      </w:r>
      <w:r>
        <w:rPr>
          <w:rFonts w:hint="eastAsia"/>
          <w:color w:val="auto"/>
        </w:rPr>
        <w:t>4.90</w:t>
      </w:r>
      <w:r>
        <w:rPr>
          <w:color w:val="auto"/>
        </w:rPr>
        <w:t>m，水位高程介于</w:t>
      </w:r>
      <w:r>
        <w:rPr>
          <w:rFonts w:hint="eastAsia"/>
          <w:color w:val="auto"/>
        </w:rPr>
        <w:t>328.37</w:t>
      </w:r>
      <w:r>
        <w:rPr>
          <w:color w:val="auto"/>
        </w:rPr>
        <w:t>～</w:t>
      </w:r>
      <w:r>
        <w:rPr>
          <w:rFonts w:hint="eastAsia"/>
          <w:color w:val="auto"/>
        </w:rPr>
        <w:t>340.14</w:t>
      </w:r>
      <w:r>
        <w:rPr>
          <w:color w:val="auto"/>
        </w:rPr>
        <w:t>m，丰水期水位埋深</w:t>
      </w:r>
      <w:r>
        <w:rPr>
          <w:rFonts w:hint="eastAsia"/>
          <w:color w:val="auto"/>
        </w:rPr>
        <w:t>0.10</w:t>
      </w:r>
      <w:r>
        <w:rPr>
          <w:color w:val="auto"/>
        </w:rPr>
        <w:t>～</w:t>
      </w:r>
      <w:r>
        <w:rPr>
          <w:rFonts w:hint="eastAsia"/>
          <w:color w:val="auto"/>
        </w:rPr>
        <w:t>4.10</w:t>
      </w:r>
      <w:r>
        <w:rPr>
          <w:color w:val="auto"/>
        </w:rPr>
        <w:t>m，水位高程介于</w:t>
      </w:r>
      <w:r>
        <w:rPr>
          <w:rFonts w:hint="eastAsia"/>
          <w:color w:val="auto"/>
        </w:rPr>
        <w:t>328.57</w:t>
      </w:r>
      <w:r>
        <w:rPr>
          <w:color w:val="auto"/>
        </w:rPr>
        <w:t>～</w:t>
      </w:r>
      <w:r>
        <w:rPr>
          <w:rFonts w:hint="eastAsia"/>
          <w:color w:val="auto"/>
        </w:rPr>
        <w:t>340.64</w:t>
      </w:r>
      <w:r>
        <w:rPr>
          <w:color w:val="auto"/>
        </w:rPr>
        <w:t xml:space="preserve"> m，丰枯期水位变幅</w:t>
      </w:r>
      <w:r>
        <w:rPr>
          <w:rFonts w:hint="eastAsia"/>
          <w:color w:val="auto"/>
        </w:rPr>
        <w:t>0.21</w:t>
      </w:r>
      <w:r>
        <w:rPr>
          <w:color w:val="auto"/>
        </w:rPr>
        <w:t>～</w:t>
      </w:r>
      <w:r>
        <w:rPr>
          <w:rFonts w:hint="eastAsia"/>
          <w:color w:val="auto"/>
        </w:rPr>
        <w:t xml:space="preserve">1.72 </w:t>
      </w:r>
      <w:r>
        <w:rPr>
          <w:color w:val="auto"/>
        </w:rPr>
        <w:t>m。</w:t>
      </w:r>
    </w:p>
    <w:p w14:paraId="091532DB">
      <w:pPr>
        <w:pStyle w:val="710"/>
        <w:rPr>
          <w:rFonts w:cs="Times New Roman"/>
          <w:color w:val="auto"/>
        </w:rPr>
      </w:pPr>
      <w:r>
        <w:rPr>
          <w:rFonts w:cs="Times New Roman"/>
          <w:color w:val="auto"/>
        </w:rPr>
        <w:t>表</w:t>
      </w:r>
      <w:r>
        <w:rPr>
          <w:rFonts w:hint="eastAsia" w:cs="Times New Roman"/>
          <w:color w:val="auto"/>
          <w:lang w:val="en-US" w:eastAsia="zh-CN"/>
        </w:rPr>
        <w:t>3.1</w:t>
      </w:r>
      <w:r>
        <w:rPr>
          <w:rFonts w:cs="Times New Roman"/>
          <w:color w:val="auto"/>
        </w:rPr>
        <w:t>-1  评价区内地下水井水位观测数据</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342"/>
        <w:gridCol w:w="1022"/>
        <w:gridCol w:w="1002"/>
        <w:gridCol w:w="1101"/>
        <w:gridCol w:w="1101"/>
        <w:gridCol w:w="1101"/>
        <w:gridCol w:w="1099"/>
      </w:tblGrid>
      <w:tr w14:paraId="25AF8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63" w:type="pct"/>
            <w:vMerge w:val="restart"/>
            <w:tcBorders>
              <w:tl2br w:val="nil"/>
              <w:tr2bl w:val="nil"/>
            </w:tcBorders>
            <w:shd w:val="clear" w:color="auto" w:fill="auto"/>
            <w:tcMar>
              <w:left w:w="28" w:type="dxa"/>
              <w:right w:w="28" w:type="dxa"/>
            </w:tcMar>
            <w:vAlign w:val="center"/>
          </w:tcPr>
          <w:p w14:paraId="36E48F03">
            <w:pPr>
              <w:pStyle w:val="711"/>
              <w:rPr>
                <w:b/>
                <w:bCs/>
                <w:color w:val="auto"/>
              </w:rPr>
            </w:pPr>
            <w:r>
              <w:rPr>
                <w:rFonts w:hint="eastAsia"/>
                <w:b/>
                <w:bCs/>
                <w:color w:val="auto"/>
              </w:rPr>
              <w:t>监测点编号</w:t>
            </w:r>
          </w:p>
        </w:tc>
        <w:tc>
          <w:tcPr>
            <w:tcW w:w="784" w:type="pct"/>
            <w:vMerge w:val="restart"/>
            <w:tcBorders>
              <w:tl2br w:val="nil"/>
              <w:tr2bl w:val="nil"/>
            </w:tcBorders>
            <w:shd w:val="clear" w:color="auto" w:fill="auto"/>
            <w:tcMar>
              <w:left w:w="28" w:type="dxa"/>
              <w:right w:w="28" w:type="dxa"/>
            </w:tcMar>
            <w:vAlign w:val="center"/>
          </w:tcPr>
          <w:p w14:paraId="794F361C">
            <w:pPr>
              <w:pStyle w:val="711"/>
              <w:rPr>
                <w:b/>
                <w:bCs/>
                <w:color w:val="auto"/>
              </w:rPr>
            </w:pPr>
            <w:r>
              <w:rPr>
                <w:rFonts w:hint="eastAsia"/>
                <w:b/>
                <w:bCs/>
                <w:color w:val="auto"/>
              </w:rPr>
              <w:t>经度</w:t>
            </w:r>
          </w:p>
        </w:tc>
        <w:tc>
          <w:tcPr>
            <w:tcW w:w="597" w:type="pct"/>
            <w:vMerge w:val="restart"/>
            <w:tcBorders>
              <w:tl2br w:val="nil"/>
              <w:tr2bl w:val="nil"/>
            </w:tcBorders>
            <w:shd w:val="clear" w:color="auto" w:fill="auto"/>
            <w:tcMar>
              <w:left w:w="28" w:type="dxa"/>
              <w:right w:w="28" w:type="dxa"/>
            </w:tcMar>
            <w:vAlign w:val="center"/>
          </w:tcPr>
          <w:p w14:paraId="6EDBD012">
            <w:pPr>
              <w:pStyle w:val="711"/>
              <w:rPr>
                <w:b/>
                <w:bCs/>
                <w:color w:val="auto"/>
              </w:rPr>
            </w:pPr>
            <w:r>
              <w:rPr>
                <w:rFonts w:hint="eastAsia"/>
                <w:b/>
                <w:bCs/>
                <w:color w:val="auto"/>
              </w:rPr>
              <w:t>纬度</w:t>
            </w:r>
          </w:p>
        </w:tc>
        <w:tc>
          <w:tcPr>
            <w:tcW w:w="585" w:type="pct"/>
            <w:vMerge w:val="restart"/>
            <w:tcBorders>
              <w:tl2br w:val="nil"/>
              <w:tr2bl w:val="nil"/>
            </w:tcBorders>
            <w:shd w:val="clear" w:color="auto" w:fill="auto"/>
            <w:tcMar>
              <w:left w:w="28" w:type="dxa"/>
              <w:right w:w="28" w:type="dxa"/>
            </w:tcMar>
            <w:vAlign w:val="center"/>
          </w:tcPr>
          <w:p w14:paraId="01CA4525">
            <w:pPr>
              <w:pStyle w:val="711"/>
              <w:rPr>
                <w:rFonts w:hint="eastAsia" w:eastAsiaTheme="majorEastAsia"/>
                <w:b/>
                <w:bCs/>
                <w:color w:val="auto"/>
                <w:lang w:eastAsia="zh-CN"/>
              </w:rPr>
            </w:pPr>
            <w:r>
              <w:rPr>
                <w:rFonts w:hint="eastAsia"/>
                <w:b/>
                <w:bCs/>
                <w:color w:val="auto"/>
              </w:rPr>
              <w:t>井口高程</w:t>
            </w:r>
            <w:r>
              <w:rPr>
                <w:rFonts w:hint="eastAsia"/>
                <w:b/>
                <w:bCs/>
                <w:color w:val="auto"/>
                <w:lang w:eastAsia="zh-CN"/>
              </w:rPr>
              <w:t>（</w:t>
            </w:r>
            <w:r>
              <w:rPr>
                <w:b/>
                <w:bCs/>
                <w:color w:val="auto"/>
              </w:rPr>
              <w:t>m</w:t>
            </w:r>
            <w:r>
              <w:rPr>
                <w:rFonts w:hint="eastAsia"/>
                <w:b/>
                <w:bCs/>
                <w:color w:val="auto"/>
                <w:lang w:eastAsia="zh-CN"/>
              </w:rPr>
              <w:t>）</w:t>
            </w:r>
          </w:p>
        </w:tc>
        <w:tc>
          <w:tcPr>
            <w:tcW w:w="1286" w:type="pct"/>
            <w:gridSpan w:val="2"/>
            <w:tcBorders>
              <w:tl2br w:val="nil"/>
              <w:tr2bl w:val="nil"/>
            </w:tcBorders>
            <w:shd w:val="clear" w:color="auto" w:fill="auto"/>
            <w:tcMar>
              <w:left w:w="28" w:type="dxa"/>
              <w:right w:w="28" w:type="dxa"/>
            </w:tcMar>
            <w:vAlign w:val="center"/>
          </w:tcPr>
          <w:p w14:paraId="47CB40A2">
            <w:pPr>
              <w:pStyle w:val="711"/>
              <w:rPr>
                <w:b/>
                <w:bCs/>
                <w:color w:val="auto"/>
              </w:rPr>
            </w:pPr>
            <w:r>
              <w:rPr>
                <w:b/>
                <w:bCs/>
                <w:color w:val="auto"/>
              </w:rPr>
              <w:t>2024</w:t>
            </w:r>
            <w:r>
              <w:rPr>
                <w:rFonts w:hint="eastAsia"/>
                <w:b/>
                <w:bCs/>
                <w:color w:val="auto"/>
              </w:rPr>
              <w:t>年3月枯水期</w:t>
            </w:r>
          </w:p>
        </w:tc>
        <w:tc>
          <w:tcPr>
            <w:tcW w:w="1286" w:type="pct"/>
            <w:gridSpan w:val="2"/>
            <w:tcBorders>
              <w:tl2br w:val="nil"/>
              <w:tr2bl w:val="nil"/>
            </w:tcBorders>
            <w:shd w:val="clear" w:color="auto" w:fill="auto"/>
            <w:tcMar>
              <w:left w:w="28" w:type="dxa"/>
              <w:right w:w="28" w:type="dxa"/>
            </w:tcMar>
            <w:vAlign w:val="center"/>
          </w:tcPr>
          <w:p w14:paraId="5B7B566D">
            <w:pPr>
              <w:pStyle w:val="711"/>
              <w:rPr>
                <w:b/>
                <w:bCs/>
                <w:color w:val="auto"/>
              </w:rPr>
            </w:pPr>
            <w:r>
              <w:rPr>
                <w:b/>
                <w:bCs/>
                <w:color w:val="auto"/>
              </w:rPr>
              <w:t>2024</w:t>
            </w:r>
            <w:r>
              <w:rPr>
                <w:rFonts w:hint="eastAsia"/>
                <w:b/>
                <w:bCs/>
                <w:color w:val="auto"/>
              </w:rPr>
              <w:t>年</w:t>
            </w:r>
            <w:r>
              <w:rPr>
                <w:b/>
                <w:bCs/>
                <w:color w:val="auto"/>
              </w:rPr>
              <w:t>7</w:t>
            </w:r>
            <w:r>
              <w:rPr>
                <w:rFonts w:hint="eastAsia"/>
                <w:b/>
                <w:bCs/>
                <w:color w:val="auto"/>
              </w:rPr>
              <w:t>月丰水期</w:t>
            </w:r>
          </w:p>
        </w:tc>
      </w:tr>
      <w:tr w14:paraId="3DA58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63" w:type="pct"/>
            <w:vMerge w:val="continue"/>
            <w:tcBorders>
              <w:tl2br w:val="nil"/>
              <w:tr2bl w:val="nil"/>
            </w:tcBorders>
            <w:tcMar>
              <w:left w:w="28" w:type="dxa"/>
              <w:right w:w="28" w:type="dxa"/>
            </w:tcMar>
            <w:vAlign w:val="center"/>
          </w:tcPr>
          <w:p w14:paraId="58E8F21F">
            <w:pPr>
              <w:pStyle w:val="711"/>
              <w:rPr>
                <w:b/>
                <w:bCs/>
                <w:color w:val="auto"/>
              </w:rPr>
            </w:pPr>
          </w:p>
        </w:tc>
        <w:tc>
          <w:tcPr>
            <w:tcW w:w="784" w:type="pct"/>
            <w:vMerge w:val="continue"/>
            <w:tcBorders>
              <w:tl2br w:val="nil"/>
              <w:tr2bl w:val="nil"/>
            </w:tcBorders>
            <w:tcMar>
              <w:left w:w="28" w:type="dxa"/>
              <w:right w:w="28" w:type="dxa"/>
            </w:tcMar>
            <w:vAlign w:val="center"/>
          </w:tcPr>
          <w:p w14:paraId="7B9D77B5">
            <w:pPr>
              <w:pStyle w:val="711"/>
              <w:rPr>
                <w:b/>
                <w:bCs/>
                <w:color w:val="auto"/>
              </w:rPr>
            </w:pPr>
          </w:p>
        </w:tc>
        <w:tc>
          <w:tcPr>
            <w:tcW w:w="597" w:type="pct"/>
            <w:vMerge w:val="continue"/>
            <w:tcBorders>
              <w:tl2br w:val="nil"/>
              <w:tr2bl w:val="nil"/>
            </w:tcBorders>
            <w:tcMar>
              <w:left w:w="28" w:type="dxa"/>
              <w:right w:w="28" w:type="dxa"/>
            </w:tcMar>
            <w:vAlign w:val="center"/>
          </w:tcPr>
          <w:p w14:paraId="630662E6">
            <w:pPr>
              <w:pStyle w:val="711"/>
              <w:rPr>
                <w:b/>
                <w:bCs/>
                <w:color w:val="auto"/>
              </w:rPr>
            </w:pPr>
          </w:p>
        </w:tc>
        <w:tc>
          <w:tcPr>
            <w:tcW w:w="585" w:type="pct"/>
            <w:vMerge w:val="continue"/>
            <w:tcBorders>
              <w:tl2br w:val="nil"/>
              <w:tr2bl w:val="nil"/>
            </w:tcBorders>
            <w:tcMar>
              <w:left w:w="28" w:type="dxa"/>
              <w:right w:w="28" w:type="dxa"/>
            </w:tcMar>
            <w:vAlign w:val="center"/>
          </w:tcPr>
          <w:p w14:paraId="070CED0C">
            <w:pPr>
              <w:pStyle w:val="711"/>
              <w:rPr>
                <w:b/>
                <w:bCs/>
                <w:color w:val="auto"/>
              </w:rPr>
            </w:pPr>
          </w:p>
        </w:tc>
        <w:tc>
          <w:tcPr>
            <w:tcW w:w="643" w:type="pct"/>
            <w:tcBorders>
              <w:tl2br w:val="nil"/>
              <w:tr2bl w:val="nil"/>
            </w:tcBorders>
            <w:shd w:val="clear" w:color="auto" w:fill="auto"/>
            <w:tcMar>
              <w:left w:w="28" w:type="dxa"/>
              <w:right w:w="28" w:type="dxa"/>
            </w:tcMar>
            <w:vAlign w:val="center"/>
          </w:tcPr>
          <w:p w14:paraId="15EE9085">
            <w:pPr>
              <w:pStyle w:val="711"/>
              <w:rPr>
                <w:b/>
                <w:bCs/>
                <w:color w:val="auto"/>
              </w:rPr>
            </w:pPr>
            <w:r>
              <w:rPr>
                <w:rFonts w:hint="eastAsia"/>
                <w:b/>
                <w:bCs/>
                <w:color w:val="auto"/>
              </w:rPr>
              <w:t>水位埋深（</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7C2B09C4">
            <w:pPr>
              <w:pStyle w:val="711"/>
              <w:rPr>
                <w:b/>
                <w:bCs/>
                <w:color w:val="auto"/>
              </w:rPr>
            </w:pPr>
            <w:r>
              <w:rPr>
                <w:rFonts w:hint="eastAsia"/>
                <w:b/>
                <w:bCs/>
                <w:color w:val="auto"/>
              </w:rPr>
              <w:t>水位高程（</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1A22A109">
            <w:pPr>
              <w:pStyle w:val="711"/>
              <w:rPr>
                <w:b/>
                <w:bCs/>
                <w:color w:val="auto"/>
              </w:rPr>
            </w:pPr>
            <w:r>
              <w:rPr>
                <w:rFonts w:hint="eastAsia"/>
                <w:b/>
                <w:bCs/>
                <w:color w:val="auto"/>
              </w:rPr>
              <w:t>水位埋深（</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3D88A16C">
            <w:pPr>
              <w:pStyle w:val="711"/>
              <w:rPr>
                <w:b/>
                <w:bCs/>
                <w:color w:val="auto"/>
              </w:rPr>
            </w:pPr>
            <w:r>
              <w:rPr>
                <w:rFonts w:hint="eastAsia"/>
                <w:b/>
                <w:bCs/>
                <w:color w:val="auto"/>
              </w:rPr>
              <w:t>水位高程（</w:t>
            </w:r>
            <w:r>
              <w:rPr>
                <w:b/>
                <w:bCs/>
                <w:color w:val="auto"/>
              </w:rPr>
              <w:t>m</w:t>
            </w:r>
            <w:r>
              <w:rPr>
                <w:rFonts w:hint="eastAsia"/>
                <w:b/>
                <w:bCs/>
                <w:color w:val="auto"/>
              </w:rPr>
              <w:t>）</w:t>
            </w:r>
          </w:p>
        </w:tc>
      </w:tr>
      <w:tr w14:paraId="776FA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13266C4B">
            <w:pPr>
              <w:pStyle w:val="711"/>
              <w:rPr>
                <w:color w:val="auto"/>
              </w:rPr>
            </w:pPr>
            <w:r>
              <w:rPr>
                <w:color w:val="auto"/>
              </w:rPr>
              <w:t>1#</w:t>
            </w:r>
          </w:p>
        </w:tc>
        <w:tc>
          <w:tcPr>
            <w:tcW w:w="784" w:type="pct"/>
            <w:tcBorders>
              <w:tl2br w:val="nil"/>
              <w:tr2bl w:val="nil"/>
            </w:tcBorders>
            <w:shd w:val="clear" w:color="auto" w:fill="auto"/>
            <w:tcMar>
              <w:left w:w="28" w:type="dxa"/>
              <w:right w:w="28" w:type="dxa"/>
            </w:tcMar>
            <w:vAlign w:val="center"/>
          </w:tcPr>
          <w:p w14:paraId="44152468">
            <w:pPr>
              <w:pStyle w:val="711"/>
              <w:rPr>
                <w:color w:val="auto"/>
              </w:rPr>
            </w:pPr>
            <w:r>
              <w:rPr>
                <w:color w:val="auto"/>
              </w:rPr>
              <w:t>106.5314243</w:t>
            </w:r>
          </w:p>
        </w:tc>
        <w:tc>
          <w:tcPr>
            <w:tcW w:w="597" w:type="pct"/>
            <w:tcBorders>
              <w:tl2br w:val="nil"/>
              <w:tr2bl w:val="nil"/>
            </w:tcBorders>
            <w:shd w:val="clear" w:color="auto" w:fill="auto"/>
            <w:tcMar>
              <w:left w:w="28" w:type="dxa"/>
              <w:right w:w="28" w:type="dxa"/>
            </w:tcMar>
            <w:vAlign w:val="center"/>
          </w:tcPr>
          <w:p w14:paraId="7A22753B">
            <w:pPr>
              <w:pStyle w:val="711"/>
              <w:rPr>
                <w:color w:val="auto"/>
              </w:rPr>
            </w:pPr>
            <w:r>
              <w:rPr>
                <w:color w:val="auto"/>
              </w:rPr>
              <w:t>31.45212</w:t>
            </w:r>
          </w:p>
        </w:tc>
        <w:tc>
          <w:tcPr>
            <w:tcW w:w="585" w:type="pct"/>
            <w:tcBorders>
              <w:tl2br w:val="nil"/>
              <w:tr2bl w:val="nil"/>
            </w:tcBorders>
            <w:shd w:val="clear" w:color="auto" w:fill="auto"/>
            <w:tcMar>
              <w:left w:w="28" w:type="dxa"/>
              <w:right w:w="28" w:type="dxa"/>
            </w:tcMar>
            <w:vAlign w:val="center"/>
          </w:tcPr>
          <w:p w14:paraId="16F85544">
            <w:pPr>
              <w:pStyle w:val="711"/>
              <w:rPr>
                <w:color w:val="auto"/>
              </w:rPr>
            </w:pPr>
            <w:r>
              <w:rPr>
                <w:color w:val="auto"/>
              </w:rPr>
              <w:t xml:space="preserve">333.38 </w:t>
            </w:r>
          </w:p>
        </w:tc>
        <w:tc>
          <w:tcPr>
            <w:tcW w:w="643" w:type="pct"/>
            <w:tcBorders>
              <w:tl2br w:val="nil"/>
              <w:tr2bl w:val="nil"/>
            </w:tcBorders>
            <w:shd w:val="clear" w:color="auto" w:fill="auto"/>
            <w:tcMar>
              <w:left w:w="28" w:type="dxa"/>
              <w:right w:w="28" w:type="dxa"/>
            </w:tcMar>
            <w:vAlign w:val="center"/>
          </w:tcPr>
          <w:p w14:paraId="4FEBDCDB">
            <w:pPr>
              <w:pStyle w:val="711"/>
              <w:rPr>
                <w:color w:val="auto"/>
              </w:rPr>
            </w:pPr>
            <w:r>
              <w:rPr>
                <w:color w:val="auto"/>
              </w:rPr>
              <w:t xml:space="preserve">0.61 </w:t>
            </w:r>
          </w:p>
        </w:tc>
        <w:tc>
          <w:tcPr>
            <w:tcW w:w="643" w:type="pct"/>
            <w:tcBorders>
              <w:tl2br w:val="nil"/>
              <w:tr2bl w:val="nil"/>
            </w:tcBorders>
            <w:shd w:val="clear" w:color="auto" w:fill="auto"/>
            <w:tcMar>
              <w:left w:w="28" w:type="dxa"/>
              <w:right w:w="28" w:type="dxa"/>
            </w:tcMar>
            <w:vAlign w:val="center"/>
          </w:tcPr>
          <w:p w14:paraId="26849E85">
            <w:pPr>
              <w:pStyle w:val="711"/>
              <w:rPr>
                <w:color w:val="auto"/>
              </w:rPr>
            </w:pPr>
            <w:r>
              <w:rPr>
                <w:color w:val="auto"/>
              </w:rPr>
              <w:t xml:space="preserve">332.77 </w:t>
            </w:r>
          </w:p>
        </w:tc>
        <w:tc>
          <w:tcPr>
            <w:tcW w:w="643" w:type="pct"/>
            <w:tcBorders>
              <w:tl2br w:val="nil"/>
              <w:tr2bl w:val="nil"/>
            </w:tcBorders>
            <w:shd w:val="clear" w:color="auto" w:fill="auto"/>
            <w:tcMar>
              <w:left w:w="28" w:type="dxa"/>
              <w:right w:w="28" w:type="dxa"/>
            </w:tcMar>
            <w:vAlign w:val="center"/>
          </w:tcPr>
          <w:p w14:paraId="48C20971">
            <w:pPr>
              <w:pStyle w:val="711"/>
              <w:rPr>
                <w:color w:val="auto"/>
                <w:szCs w:val="21"/>
              </w:rPr>
            </w:pPr>
            <w:r>
              <w:rPr>
                <w:color w:val="auto"/>
                <w:szCs w:val="21"/>
              </w:rPr>
              <w:t>0.</w:t>
            </w:r>
            <w:r>
              <w:rPr>
                <w:rFonts w:hint="eastAsia"/>
                <w:color w:val="auto"/>
                <w:szCs w:val="21"/>
              </w:rPr>
              <w:t>10</w:t>
            </w:r>
            <w:r>
              <w:rPr>
                <w:color w:val="auto"/>
                <w:szCs w:val="21"/>
              </w:rPr>
              <w:t xml:space="preserve"> </w:t>
            </w:r>
          </w:p>
        </w:tc>
        <w:tc>
          <w:tcPr>
            <w:tcW w:w="643" w:type="pct"/>
            <w:tcBorders>
              <w:tl2br w:val="nil"/>
              <w:tr2bl w:val="nil"/>
            </w:tcBorders>
            <w:shd w:val="clear" w:color="auto" w:fill="auto"/>
            <w:tcMar>
              <w:left w:w="28" w:type="dxa"/>
              <w:right w:w="28" w:type="dxa"/>
            </w:tcMar>
            <w:vAlign w:val="center"/>
          </w:tcPr>
          <w:p w14:paraId="56F10592">
            <w:pPr>
              <w:pStyle w:val="711"/>
              <w:rPr>
                <w:color w:val="auto"/>
              </w:rPr>
            </w:pPr>
            <w:r>
              <w:rPr>
                <w:color w:val="auto"/>
              </w:rPr>
              <w:t>333.</w:t>
            </w:r>
            <w:r>
              <w:rPr>
                <w:rFonts w:hint="eastAsia"/>
                <w:color w:val="auto"/>
              </w:rPr>
              <w:t>26</w:t>
            </w:r>
            <w:r>
              <w:rPr>
                <w:color w:val="auto"/>
              </w:rPr>
              <w:t xml:space="preserve"> </w:t>
            </w:r>
          </w:p>
        </w:tc>
      </w:tr>
      <w:tr w14:paraId="27ED2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10EDDF07">
            <w:pPr>
              <w:pStyle w:val="711"/>
              <w:rPr>
                <w:color w:val="auto"/>
              </w:rPr>
            </w:pPr>
            <w:r>
              <w:rPr>
                <w:color w:val="auto"/>
              </w:rPr>
              <w:t>2#</w:t>
            </w:r>
          </w:p>
        </w:tc>
        <w:tc>
          <w:tcPr>
            <w:tcW w:w="784" w:type="pct"/>
            <w:tcBorders>
              <w:tl2br w:val="nil"/>
              <w:tr2bl w:val="nil"/>
            </w:tcBorders>
            <w:shd w:val="clear" w:color="auto" w:fill="auto"/>
            <w:tcMar>
              <w:left w:w="28" w:type="dxa"/>
              <w:right w:w="28" w:type="dxa"/>
            </w:tcMar>
            <w:vAlign w:val="center"/>
          </w:tcPr>
          <w:p w14:paraId="1091DAB3">
            <w:pPr>
              <w:pStyle w:val="711"/>
              <w:rPr>
                <w:color w:val="auto"/>
              </w:rPr>
            </w:pPr>
            <w:r>
              <w:rPr>
                <w:color w:val="auto"/>
              </w:rPr>
              <w:t>106.5323725</w:t>
            </w:r>
          </w:p>
        </w:tc>
        <w:tc>
          <w:tcPr>
            <w:tcW w:w="597" w:type="pct"/>
            <w:tcBorders>
              <w:tl2br w:val="nil"/>
              <w:tr2bl w:val="nil"/>
            </w:tcBorders>
            <w:shd w:val="clear" w:color="auto" w:fill="auto"/>
            <w:tcMar>
              <w:left w:w="28" w:type="dxa"/>
              <w:right w:w="28" w:type="dxa"/>
            </w:tcMar>
            <w:vAlign w:val="center"/>
          </w:tcPr>
          <w:p w14:paraId="467FBF9F">
            <w:pPr>
              <w:pStyle w:val="711"/>
              <w:rPr>
                <w:color w:val="auto"/>
              </w:rPr>
            </w:pPr>
            <w:r>
              <w:rPr>
                <w:color w:val="auto"/>
              </w:rPr>
              <w:t>31.45232</w:t>
            </w:r>
          </w:p>
        </w:tc>
        <w:tc>
          <w:tcPr>
            <w:tcW w:w="585" w:type="pct"/>
            <w:tcBorders>
              <w:tl2br w:val="nil"/>
              <w:tr2bl w:val="nil"/>
            </w:tcBorders>
            <w:shd w:val="clear" w:color="auto" w:fill="auto"/>
            <w:tcMar>
              <w:left w:w="28" w:type="dxa"/>
              <w:right w:w="28" w:type="dxa"/>
            </w:tcMar>
            <w:vAlign w:val="center"/>
          </w:tcPr>
          <w:p w14:paraId="2DE71240">
            <w:pPr>
              <w:pStyle w:val="711"/>
              <w:rPr>
                <w:color w:val="auto"/>
              </w:rPr>
            </w:pPr>
            <w:r>
              <w:rPr>
                <w:color w:val="auto"/>
              </w:rPr>
              <w:t xml:space="preserve">342.53 </w:t>
            </w:r>
          </w:p>
        </w:tc>
        <w:tc>
          <w:tcPr>
            <w:tcW w:w="643" w:type="pct"/>
            <w:tcBorders>
              <w:tl2br w:val="nil"/>
              <w:tr2bl w:val="nil"/>
            </w:tcBorders>
            <w:shd w:val="clear" w:color="auto" w:fill="auto"/>
            <w:tcMar>
              <w:left w:w="28" w:type="dxa"/>
              <w:right w:w="28" w:type="dxa"/>
            </w:tcMar>
            <w:vAlign w:val="center"/>
          </w:tcPr>
          <w:p w14:paraId="14B3F2C6">
            <w:pPr>
              <w:pStyle w:val="711"/>
              <w:rPr>
                <w:color w:val="auto"/>
              </w:rPr>
            </w:pPr>
            <w:r>
              <w:rPr>
                <w:color w:val="auto"/>
              </w:rPr>
              <w:t xml:space="preserve">2.81 </w:t>
            </w:r>
          </w:p>
        </w:tc>
        <w:tc>
          <w:tcPr>
            <w:tcW w:w="643" w:type="pct"/>
            <w:tcBorders>
              <w:tl2br w:val="nil"/>
              <w:tr2bl w:val="nil"/>
            </w:tcBorders>
            <w:shd w:val="clear" w:color="auto" w:fill="auto"/>
            <w:tcMar>
              <w:left w:w="28" w:type="dxa"/>
              <w:right w:w="28" w:type="dxa"/>
            </w:tcMar>
            <w:vAlign w:val="center"/>
          </w:tcPr>
          <w:p w14:paraId="56756162">
            <w:pPr>
              <w:pStyle w:val="711"/>
              <w:rPr>
                <w:color w:val="auto"/>
              </w:rPr>
            </w:pPr>
            <w:r>
              <w:rPr>
                <w:color w:val="auto"/>
              </w:rPr>
              <w:t xml:space="preserve">339.72 </w:t>
            </w:r>
          </w:p>
        </w:tc>
        <w:tc>
          <w:tcPr>
            <w:tcW w:w="643" w:type="pct"/>
            <w:tcBorders>
              <w:tl2br w:val="nil"/>
              <w:tr2bl w:val="nil"/>
            </w:tcBorders>
            <w:shd w:val="clear" w:color="auto" w:fill="auto"/>
            <w:tcMar>
              <w:left w:w="28" w:type="dxa"/>
              <w:right w:w="28" w:type="dxa"/>
            </w:tcMar>
            <w:vAlign w:val="center"/>
          </w:tcPr>
          <w:p w14:paraId="7025C311">
            <w:pPr>
              <w:pStyle w:val="711"/>
              <w:rPr>
                <w:color w:val="auto"/>
                <w:szCs w:val="21"/>
              </w:rPr>
            </w:pPr>
            <w:r>
              <w:rPr>
                <w:color w:val="auto"/>
                <w:szCs w:val="21"/>
              </w:rPr>
              <w:t xml:space="preserve">2.41 </w:t>
            </w:r>
          </w:p>
        </w:tc>
        <w:tc>
          <w:tcPr>
            <w:tcW w:w="643" w:type="pct"/>
            <w:tcBorders>
              <w:tl2br w:val="nil"/>
              <w:tr2bl w:val="nil"/>
            </w:tcBorders>
            <w:shd w:val="clear" w:color="auto" w:fill="auto"/>
            <w:tcMar>
              <w:left w:w="28" w:type="dxa"/>
              <w:right w:w="28" w:type="dxa"/>
            </w:tcMar>
            <w:vAlign w:val="center"/>
          </w:tcPr>
          <w:p w14:paraId="73B9548A">
            <w:pPr>
              <w:pStyle w:val="711"/>
              <w:rPr>
                <w:color w:val="auto"/>
              </w:rPr>
            </w:pPr>
            <w:r>
              <w:rPr>
                <w:color w:val="auto"/>
              </w:rPr>
              <w:t xml:space="preserve">340.12 </w:t>
            </w:r>
          </w:p>
        </w:tc>
      </w:tr>
      <w:tr w14:paraId="101ED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0AE2AA1">
            <w:pPr>
              <w:pStyle w:val="711"/>
              <w:rPr>
                <w:color w:val="auto"/>
              </w:rPr>
            </w:pPr>
            <w:r>
              <w:rPr>
                <w:color w:val="auto"/>
              </w:rPr>
              <w:t>3#</w:t>
            </w:r>
          </w:p>
        </w:tc>
        <w:tc>
          <w:tcPr>
            <w:tcW w:w="784" w:type="pct"/>
            <w:tcBorders>
              <w:tl2br w:val="nil"/>
              <w:tr2bl w:val="nil"/>
            </w:tcBorders>
            <w:shd w:val="clear" w:color="auto" w:fill="auto"/>
            <w:tcMar>
              <w:left w:w="28" w:type="dxa"/>
              <w:right w:w="28" w:type="dxa"/>
            </w:tcMar>
            <w:vAlign w:val="center"/>
          </w:tcPr>
          <w:p w14:paraId="44A6361C">
            <w:pPr>
              <w:pStyle w:val="711"/>
              <w:rPr>
                <w:color w:val="auto"/>
              </w:rPr>
            </w:pPr>
            <w:r>
              <w:rPr>
                <w:color w:val="auto"/>
              </w:rPr>
              <w:t>106.5315103</w:t>
            </w:r>
          </w:p>
        </w:tc>
        <w:tc>
          <w:tcPr>
            <w:tcW w:w="597" w:type="pct"/>
            <w:tcBorders>
              <w:tl2br w:val="nil"/>
              <w:tr2bl w:val="nil"/>
            </w:tcBorders>
            <w:shd w:val="clear" w:color="auto" w:fill="auto"/>
            <w:tcMar>
              <w:left w:w="28" w:type="dxa"/>
              <w:right w:w="28" w:type="dxa"/>
            </w:tcMar>
            <w:vAlign w:val="center"/>
          </w:tcPr>
          <w:p w14:paraId="37769EEC">
            <w:pPr>
              <w:pStyle w:val="711"/>
              <w:rPr>
                <w:color w:val="auto"/>
              </w:rPr>
            </w:pPr>
            <w:r>
              <w:rPr>
                <w:color w:val="auto"/>
              </w:rPr>
              <w:t>31.45224</w:t>
            </w:r>
          </w:p>
        </w:tc>
        <w:tc>
          <w:tcPr>
            <w:tcW w:w="585" w:type="pct"/>
            <w:tcBorders>
              <w:tl2br w:val="nil"/>
              <w:tr2bl w:val="nil"/>
            </w:tcBorders>
            <w:shd w:val="clear" w:color="auto" w:fill="auto"/>
            <w:tcMar>
              <w:left w:w="28" w:type="dxa"/>
              <w:right w:w="28" w:type="dxa"/>
            </w:tcMar>
            <w:vAlign w:val="center"/>
          </w:tcPr>
          <w:p w14:paraId="5CBB99E7">
            <w:pPr>
              <w:pStyle w:val="711"/>
              <w:rPr>
                <w:color w:val="auto"/>
              </w:rPr>
            </w:pPr>
            <w:r>
              <w:rPr>
                <w:color w:val="auto"/>
              </w:rPr>
              <w:t xml:space="preserve">337.88 </w:t>
            </w:r>
          </w:p>
        </w:tc>
        <w:tc>
          <w:tcPr>
            <w:tcW w:w="643" w:type="pct"/>
            <w:tcBorders>
              <w:tl2br w:val="nil"/>
              <w:tr2bl w:val="nil"/>
            </w:tcBorders>
            <w:shd w:val="clear" w:color="auto" w:fill="auto"/>
            <w:tcMar>
              <w:left w:w="28" w:type="dxa"/>
              <w:right w:w="28" w:type="dxa"/>
            </w:tcMar>
            <w:vAlign w:val="center"/>
          </w:tcPr>
          <w:p w14:paraId="240C086A">
            <w:pPr>
              <w:pStyle w:val="711"/>
              <w:rPr>
                <w:color w:val="auto"/>
              </w:rPr>
            </w:pPr>
            <w:r>
              <w:rPr>
                <w:color w:val="auto"/>
              </w:rPr>
              <w:t xml:space="preserve">1.72 </w:t>
            </w:r>
          </w:p>
        </w:tc>
        <w:tc>
          <w:tcPr>
            <w:tcW w:w="643" w:type="pct"/>
            <w:tcBorders>
              <w:tl2br w:val="nil"/>
              <w:tr2bl w:val="nil"/>
            </w:tcBorders>
            <w:shd w:val="clear" w:color="auto" w:fill="auto"/>
            <w:tcMar>
              <w:left w:w="28" w:type="dxa"/>
              <w:right w:w="28" w:type="dxa"/>
            </w:tcMar>
            <w:vAlign w:val="center"/>
          </w:tcPr>
          <w:p w14:paraId="7CAB87A5">
            <w:pPr>
              <w:pStyle w:val="711"/>
              <w:rPr>
                <w:color w:val="auto"/>
              </w:rPr>
            </w:pPr>
            <w:r>
              <w:rPr>
                <w:color w:val="auto"/>
              </w:rPr>
              <w:t xml:space="preserve">336.16 </w:t>
            </w:r>
          </w:p>
        </w:tc>
        <w:tc>
          <w:tcPr>
            <w:tcW w:w="643" w:type="pct"/>
            <w:tcBorders>
              <w:tl2br w:val="nil"/>
              <w:tr2bl w:val="nil"/>
            </w:tcBorders>
            <w:shd w:val="clear" w:color="auto" w:fill="auto"/>
            <w:tcMar>
              <w:left w:w="28" w:type="dxa"/>
              <w:right w:w="28" w:type="dxa"/>
            </w:tcMar>
            <w:vAlign w:val="center"/>
          </w:tcPr>
          <w:p w14:paraId="5B7FCD89">
            <w:pPr>
              <w:pStyle w:val="711"/>
              <w:rPr>
                <w:color w:val="auto"/>
                <w:szCs w:val="21"/>
              </w:rPr>
            </w:pPr>
            <w:r>
              <w:rPr>
                <w:color w:val="auto"/>
                <w:szCs w:val="21"/>
              </w:rPr>
              <w:t xml:space="preserve">1.22 </w:t>
            </w:r>
          </w:p>
        </w:tc>
        <w:tc>
          <w:tcPr>
            <w:tcW w:w="643" w:type="pct"/>
            <w:tcBorders>
              <w:tl2br w:val="nil"/>
              <w:tr2bl w:val="nil"/>
            </w:tcBorders>
            <w:shd w:val="clear" w:color="auto" w:fill="auto"/>
            <w:tcMar>
              <w:left w:w="28" w:type="dxa"/>
              <w:right w:w="28" w:type="dxa"/>
            </w:tcMar>
            <w:vAlign w:val="center"/>
          </w:tcPr>
          <w:p w14:paraId="50FCDFB4">
            <w:pPr>
              <w:pStyle w:val="711"/>
              <w:rPr>
                <w:color w:val="auto"/>
              </w:rPr>
            </w:pPr>
            <w:r>
              <w:rPr>
                <w:color w:val="auto"/>
              </w:rPr>
              <w:t xml:space="preserve">336.66 </w:t>
            </w:r>
          </w:p>
        </w:tc>
      </w:tr>
      <w:tr w14:paraId="62ACA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0AD97DED">
            <w:pPr>
              <w:pStyle w:val="711"/>
              <w:rPr>
                <w:color w:val="auto"/>
              </w:rPr>
            </w:pPr>
            <w:r>
              <w:rPr>
                <w:color w:val="auto"/>
              </w:rPr>
              <w:t>4#</w:t>
            </w:r>
          </w:p>
        </w:tc>
        <w:tc>
          <w:tcPr>
            <w:tcW w:w="784" w:type="pct"/>
            <w:tcBorders>
              <w:tl2br w:val="nil"/>
              <w:tr2bl w:val="nil"/>
            </w:tcBorders>
            <w:shd w:val="clear" w:color="auto" w:fill="auto"/>
            <w:tcMar>
              <w:left w:w="28" w:type="dxa"/>
              <w:right w:w="28" w:type="dxa"/>
            </w:tcMar>
            <w:vAlign w:val="center"/>
          </w:tcPr>
          <w:p w14:paraId="54C0AE6F">
            <w:pPr>
              <w:pStyle w:val="711"/>
              <w:rPr>
                <w:color w:val="auto"/>
              </w:rPr>
            </w:pPr>
            <w:r>
              <w:rPr>
                <w:color w:val="auto"/>
              </w:rPr>
              <w:t>106.5332358</w:t>
            </w:r>
          </w:p>
        </w:tc>
        <w:tc>
          <w:tcPr>
            <w:tcW w:w="597" w:type="pct"/>
            <w:tcBorders>
              <w:tl2br w:val="nil"/>
              <w:tr2bl w:val="nil"/>
            </w:tcBorders>
            <w:shd w:val="clear" w:color="auto" w:fill="auto"/>
            <w:tcMar>
              <w:left w:w="28" w:type="dxa"/>
              <w:right w:w="28" w:type="dxa"/>
            </w:tcMar>
            <w:vAlign w:val="center"/>
          </w:tcPr>
          <w:p w14:paraId="7EF0C125">
            <w:pPr>
              <w:pStyle w:val="711"/>
              <w:rPr>
                <w:color w:val="auto"/>
              </w:rPr>
            </w:pPr>
            <w:r>
              <w:rPr>
                <w:color w:val="auto"/>
              </w:rPr>
              <w:t>31.45119</w:t>
            </w:r>
          </w:p>
        </w:tc>
        <w:tc>
          <w:tcPr>
            <w:tcW w:w="585" w:type="pct"/>
            <w:tcBorders>
              <w:tl2br w:val="nil"/>
              <w:tr2bl w:val="nil"/>
            </w:tcBorders>
            <w:shd w:val="clear" w:color="auto" w:fill="auto"/>
            <w:tcMar>
              <w:left w:w="28" w:type="dxa"/>
              <w:right w:w="28" w:type="dxa"/>
            </w:tcMar>
            <w:vAlign w:val="center"/>
          </w:tcPr>
          <w:p w14:paraId="752EAD10">
            <w:pPr>
              <w:pStyle w:val="711"/>
              <w:rPr>
                <w:color w:val="auto"/>
              </w:rPr>
            </w:pPr>
            <w:r>
              <w:rPr>
                <w:color w:val="auto"/>
              </w:rPr>
              <w:t xml:space="preserve">334.55 </w:t>
            </w:r>
          </w:p>
        </w:tc>
        <w:tc>
          <w:tcPr>
            <w:tcW w:w="643" w:type="pct"/>
            <w:tcBorders>
              <w:tl2br w:val="nil"/>
              <w:tr2bl w:val="nil"/>
            </w:tcBorders>
            <w:shd w:val="clear" w:color="auto" w:fill="auto"/>
            <w:tcMar>
              <w:left w:w="28" w:type="dxa"/>
              <w:right w:w="28" w:type="dxa"/>
            </w:tcMar>
            <w:vAlign w:val="center"/>
          </w:tcPr>
          <w:p w14:paraId="1AB22C23">
            <w:pPr>
              <w:pStyle w:val="711"/>
              <w:rPr>
                <w:color w:val="auto"/>
              </w:rPr>
            </w:pPr>
            <w:r>
              <w:rPr>
                <w:color w:val="auto"/>
              </w:rPr>
              <w:t xml:space="preserve">2.61 </w:t>
            </w:r>
          </w:p>
        </w:tc>
        <w:tc>
          <w:tcPr>
            <w:tcW w:w="643" w:type="pct"/>
            <w:tcBorders>
              <w:tl2br w:val="nil"/>
              <w:tr2bl w:val="nil"/>
            </w:tcBorders>
            <w:shd w:val="clear" w:color="auto" w:fill="auto"/>
            <w:tcMar>
              <w:left w:w="28" w:type="dxa"/>
              <w:right w:w="28" w:type="dxa"/>
            </w:tcMar>
            <w:vAlign w:val="center"/>
          </w:tcPr>
          <w:p w14:paraId="4053EECA">
            <w:pPr>
              <w:pStyle w:val="711"/>
              <w:rPr>
                <w:color w:val="auto"/>
              </w:rPr>
            </w:pPr>
            <w:r>
              <w:rPr>
                <w:color w:val="auto"/>
              </w:rPr>
              <w:t xml:space="preserve">331.94 </w:t>
            </w:r>
          </w:p>
        </w:tc>
        <w:tc>
          <w:tcPr>
            <w:tcW w:w="643" w:type="pct"/>
            <w:tcBorders>
              <w:tl2br w:val="nil"/>
              <w:tr2bl w:val="nil"/>
            </w:tcBorders>
            <w:shd w:val="clear" w:color="auto" w:fill="auto"/>
            <w:tcMar>
              <w:left w:w="28" w:type="dxa"/>
              <w:right w:w="28" w:type="dxa"/>
            </w:tcMar>
            <w:vAlign w:val="center"/>
          </w:tcPr>
          <w:p w14:paraId="6EFC9E6F">
            <w:pPr>
              <w:pStyle w:val="711"/>
              <w:rPr>
                <w:color w:val="auto"/>
                <w:szCs w:val="21"/>
              </w:rPr>
            </w:pPr>
            <w:r>
              <w:rPr>
                <w:color w:val="auto"/>
                <w:szCs w:val="21"/>
              </w:rPr>
              <w:t xml:space="preserve">2.31 </w:t>
            </w:r>
          </w:p>
        </w:tc>
        <w:tc>
          <w:tcPr>
            <w:tcW w:w="643" w:type="pct"/>
            <w:tcBorders>
              <w:tl2br w:val="nil"/>
              <w:tr2bl w:val="nil"/>
            </w:tcBorders>
            <w:shd w:val="clear" w:color="auto" w:fill="auto"/>
            <w:tcMar>
              <w:left w:w="28" w:type="dxa"/>
              <w:right w:w="28" w:type="dxa"/>
            </w:tcMar>
            <w:vAlign w:val="center"/>
          </w:tcPr>
          <w:p w14:paraId="6C570D78">
            <w:pPr>
              <w:pStyle w:val="711"/>
              <w:rPr>
                <w:color w:val="auto"/>
              </w:rPr>
            </w:pPr>
            <w:r>
              <w:rPr>
                <w:color w:val="auto"/>
              </w:rPr>
              <w:t xml:space="preserve">332.24 </w:t>
            </w:r>
          </w:p>
        </w:tc>
      </w:tr>
      <w:tr w14:paraId="520B9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1559169A">
            <w:pPr>
              <w:pStyle w:val="711"/>
              <w:rPr>
                <w:color w:val="auto"/>
              </w:rPr>
            </w:pPr>
            <w:r>
              <w:rPr>
                <w:color w:val="auto"/>
              </w:rPr>
              <w:t>5#</w:t>
            </w:r>
          </w:p>
        </w:tc>
        <w:tc>
          <w:tcPr>
            <w:tcW w:w="784" w:type="pct"/>
            <w:tcBorders>
              <w:tl2br w:val="nil"/>
              <w:tr2bl w:val="nil"/>
            </w:tcBorders>
            <w:shd w:val="clear" w:color="auto" w:fill="auto"/>
            <w:tcMar>
              <w:left w:w="28" w:type="dxa"/>
              <w:right w:w="28" w:type="dxa"/>
            </w:tcMar>
            <w:vAlign w:val="center"/>
          </w:tcPr>
          <w:p w14:paraId="15C4D562">
            <w:pPr>
              <w:pStyle w:val="711"/>
              <w:rPr>
                <w:color w:val="auto"/>
              </w:rPr>
            </w:pPr>
            <w:r>
              <w:rPr>
                <w:color w:val="auto"/>
              </w:rPr>
              <w:t>106.5330697</w:t>
            </w:r>
          </w:p>
        </w:tc>
        <w:tc>
          <w:tcPr>
            <w:tcW w:w="597" w:type="pct"/>
            <w:tcBorders>
              <w:tl2br w:val="nil"/>
              <w:tr2bl w:val="nil"/>
            </w:tcBorders>
            <w:shd w:val="clear" w:color="auto" w:fill="auto"/>
            <w:tcMar>
              <w:left w:w="28" w:type="dxa"/>
              <w:right w:w="28" w:type="dxa"/>
            </w:tcMar>
            <w:vAlign w:val="center"/>
          </w:tcPr>
          <w:p w14:paraId="3B3AD65C">
            <w:pPr>
              <w:pStyle w:val="711"/>
              <w:rPr>
                <w:color w:val="auto"/>
              </w:rPr>
            </w:pPr>
            <w:r>
              <w:rPr>
                <w:color w:val="auto"/>
              </w:rPr>
              <w:t>31.4516</w:t>
            </w:r>
          </w:p>
        </w:tc>
        <w:tc>
          <w:tcPr>
            <w:tcW w:w="585" w:type="pct"/>
            <w:tcBorders>
              <w:tl2br w:val="nil"/>
              <w:tr2bl w:val="nil"/>
            </w:tcBorders>
            <w:shd w:val="clear" w:color="auto" w:fill="auto"/>
            <w:tcMar>
              <w:left w:w="28" w:type="dxa"/>
              <w:right w:w="28" w:type="dxa"/>
            </w:tcMar>
            <w:vAlign w:val="center"/>
          </w:tcPr>
          <w:p w14:paraId="5B3E6561">
            <w:pPr>
              <w:pStyle w:val="711"/>
              <w:rPr>
                <w:color w:val="auto"/>
              </w:rPr>
            </w:pPr>
            <w:r>
              <w:rPr>
                <w:color w:val="auto"/>
              </w:rPr>
              <w:t xml:space="preserve">329.14 </w:t>
            </w:r>
          </w:p>
        </w:tc>
        <w:tc>
          <w:tcPr>
            <w:tcW w:w="643" w:type="pct"/>
            <w:tcBorders>
              <w:tl2br w:val="nil"/>
              <w:tr2bl w:val="nil"/>
            </w:tcBorders>
            <w:shd w:val="clear" w:color="auto" w:fill="auto"/>
            <w:tcMar>
              <w:left w:w="28" w:type="dxa"/>
              <w:right w:w="28" w:type="dxa"/>
            </w:tcMar>
            <w:vAlign w:val="center"/>
          </w:tcPr>
          <w:p w14:paraId="03C431E7">
            <w:pPr>
              <w:pStyle w:val="711"/>
              <w:rPr>
                <w:color w:val="auto"/>
              </w:rPr>
            </w:pPr>
            <w:r>
              <w:rPr>
                <w:color w:val="auto"/>
              </w:rPr>
              <w:t xml:space="preserve">0.77 </w:t>
            </w:r>
          </w:p>
        </w:tc>
        <w:tc>
          <w:tcPr>
            <w:tcW w:w="643" w:type="pct"/>
            <w:tcBorders>
              <w:tl2br w:val="nil"/>
              <w:tr2bl w:val="nil"/>
            </w:tcBorders>
            <w:shd w:val="clear" w:color="auto" w:fill="auto"/>
            <w:tcMar>
              <w:left w:w="28" w:type="dxa"/>
              <w:right w:w="28" w:type="dxa"/>
            </w:tcMar>
            <w:vAlign w:val="center"/>
          </w:tcPr>
          <w:p w14:paraId="18BB2178">
            <w:pPr>
              <w:pStyle w:val="711"/>
              <w:rPr>
                <w:color w:val="auto"/>
              </w:rPr>
            </w:pPr>
            <w:r>
              <w:rPr>
                <w:color w:val="auto"/>
              </w:rPr>
              <w:t xml:space="preserve">328.37 </w:t>
            </w:r>
          </w:p>
        </w:tc>
        <w:tc>
          <w:tcPr>
            <w:tcW w:w="643" w:type="pct"/>
            <w:tcBorders>
              <w:tl2br w:val="nil"/>
              <w:tr2bl w:val="nil"/>
            </w:tcBorders>
            <w:shd w:val="clear" w:color="auto" w:fill="auto"/>
            <w:tcMar>
              <w:left w:w="28" w:type="dxa"/>
              <w:right w:w="28" w:type="dxa"/>
            </w:tcMar>
            <w:vAlign w:val="center"/>
          </w:tcPr>
          <w:p w14:paraId="5DFFB50F">
            <w:pPr>
              <w:pStyle w:val="711"/>
              <w:rPr>
                <w:color w:val="auto"/>
                <w:szCs w:val="21"/>
              </w:rPr>
            </w:pPr>
            <w:r>
              <w:rPr>
                <w:color w:val="auto"/>
                <w:szCs w:val="21"/>
              </w:rPr>
              <w:t xml:space="preserve">0.57 </w:t>
            </w:r>
          </w:p>
        </w:tc>
        <w:tc>
          <w:tcPr>
            <w:tcW w:w="643" w:type="pct"/>
            <w:tcBorders>
              <w:tl2br w:val="nil"/>
              <w:tr2bl w:val="nil"/>
            </w:tcBorders>
            <w:shd w:val="clear" w:color="auto" w:fill="auto"/>
            <w:tcMar>
              <w:left w:w="28" w:type="dxa"/>
              <w:right w:w="28" w:type="dxa"/>
            </w:tcMar>
            <w:vAlign w:val="center"/>
          </w:tcPr>
          <w:p w14:paraId="35D1F0B1">
            <w:pPr>
              <w:pStyle w:val="711"/>
              <w:rPr>
                <w:color w:val="auto"/>
              </w:rPr>
            </w:pPr>
            <w:r>
              <w:rPr>
                <w:color w:val="auto"/>
              </w:rPr>
              <w:t xml:space="preserve">328.57 </w:t>
            </w:r>
          </w:p>
        </w:tc>
      </w:tr>
      <w:tr w14:paraId="6CD30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21354049">
            <w:pPr>
              <w:pStyle w:val="711"/>
              <w:rPr>
                <w:color w:val="auto"/>
              </w:rPr>
            </w:pPr>
            <w:r>
              <w:rPr>
                <w:color w:val="auto"/>
              </w:rPr>
              <w:t>6#</w:t>
            </w:r>
          </w:p>
        </w:tc>
        <w:tc>
          <w:tcPr>
            <w:tcW w:w="784" w:type="pct"/>
            <w:tcBorders>
              <w:tl2br w:val="nil"/>
              <w:tr2bl w:val="nil"/>
            </w:tcBorders>
            <w:shd w:val="clear" w:color="auto" w:fill="auto"/>
            <w:tcMar>
              <w:left w:w="28" w:type="dxa"/>
              <w:right w:w="28" w:type="dxa"/>
            </w:tcMar>
            <w:vAlign w:val="center"/>
          </w:tcPr>
          <w:p w14:paraId="12EFFBAD">
            <w:pPr>
              <w:pStyle w:val="711"/>
              <w:rPr>
                <w:color w:val="auto"/>
              </w:rPr>
            </w:pPr>
            <w:r>
              <w:rPr>
                <w:color w:val="auto"/>
              </w:rPr>
              <w:t>106.5331817</w:t>
            </w:r>
          </w:p>
        </w:tc>
        <w:tc>
          <w:tcPr>
            <w:tcW w:w="597" w:type="pct"/>
            <w:tcBorders>
              <w:tl2br w:val="nil"/>
              <w:tr2bl w:val="nil"/>
            </w:tcBorders>
            <w:shd w:val="clear" w:color="auto" w:fill="auto"/>
            <w:tcMar>
              <w:left w:w="28" w:type="dxa"/>
              <w:right w:w="28" w:type="dxa"/>
            </w:tcMar>
            <w:vAlign w:val="center"/>
          </w:tcPr>
          <w:p w14:paraId="1B96D672">
            <w:pPr>
              <w:pStyle w:val="711"/>
              <w:rPr>
                <w:color w:val="auto"/>
              </w:rPr>
            </w:pPr>
            <w:r>
              <w:rPr>
                <w:color w:val="auto"/>
              </w:rPr>
              <w:t>31.45158</w:t>
            </w:r>
          </w:p>
        </w:tc>
        <w:tc>
          <w:tcPr>
            <w:tcW w:w="585" w:type="pct"/>
            <w:tcBorders>
              <w:tl2br w:val="nil"/>
              <w:tr2bl w:val="nil"/>
            </w:tcBorders>
            <w:shd w:val="clear" w:color="auto" w:fill="auto"/>
            <w:tcMar>
              <w:left w:w="28" w:type="dxa"/>
              <w:right w:w="28" w:type="dxa"/>
            </w:tcMar>
            <w:vAlign w:val="center"/>
          </w:tcPr>
          <w:p w14:paraId="04AD888B">
            <w:pPr>
              <w:pStyle w:val="711"/>
              <w:rPr>
                <w:color w:val="auto"/>
              </w:rPr>
            </w:pPr>
            <w:r>
              <w:rPr>
                <w:color w:val="auto"/>
              </w:rPr>
              <w:t xml:space="preserve">338.49 </w:t>
            </w:r>
          </w:p>
        </w:tc>
        <w:tc>
          <w:tcPr>
            <w:tcW w:w="643" w:type="pct"/>
            <w:tcBorders>
              <w:tl2br w:val="nil"/>
              <w:tr2bl w:val="nil"/>
            </w:tcBorders>
            <w:shd w:val="clear" w:color="auto" w:fill="auto"/>
            <w:tcMar>
              <w:left w:w="28" w:type="dxa"/>
              <w:right w:w="28" w:type="dxa"/>
            </w:tcMar>
            <w:vAlign w:val="center"/>
          </w:tcPr>
          <w:p w14:paraId="105BE7A8">
            <w:pPr>
              <w:pStyle w:val="711"/>
              <w:rPr>
                <w:color w:val="auto"/>
              </w:rPr>
            </w:pPr>
            <w:r>
              <w:rPr>
                <w:color w:val="auto"/>
              </w:rPr>
              <w:t xml:space="preserve">4.90 </w:t>
            </w:r>
          </w:p>
        </w:tc>
        <w:tc>
          <w:tcPr>
            <w:tcW w:w="643" w:type="pct"/>
            <w:tcBorders>
              <w:tl2br w:val="nil"/>
              <w:tr2bl w:val="nil"/>
            </w:tcBorders>
            <w:shd w:val="clear" w:color="auto" w:fill="auto"/>
            <w:tcMar>
              <w:left w:w="28" w:type="dxa"/>
              <w:right w:w="28" w:type="dxa"/>
            </w:tcMar>
            <w:vAlign w:val="center"/>
          </w:tcPr>
          <w:p w14:paraId="30D2E37C">
            <w:pPr>
              <w:pStyle w:val="711"/>
              <w:rPr>
                <w:color w:val="auto"/>
              </w:rPr>
            </w:pPr>
            <w:r>
              <w:rPr>
                <w:color w:val="auto"/>
              </w:rPr>
              <w:t xml:space="preserve">333.59 </w:t>
            </w:r>
          </w:p>
        </w:tc>
        <w:tc>
          <w:tcPr>
            <w:tcW w:w="643" w:type="pct"/>
            <w:tcBorders>
              <w:tl2br w:val="nil"/>
              <w:tr2bl w:val="nil"/>
            </w:tcBorders>
            <w:shd w:val="clear" w:color="auto" w:fill="auto"/>
            <w:tcMar>
              <w:left w:w="28" w:type="dxa"/>
              <w:right w:w="28" w:type="dxa"/>
            </w:tcMar>
            <w:vAlign w:val="center"/>
          </w:tcPr>
          <w:p w14:paraId="256DE284">
            <w:pPr>
              <w:pStyle w:val="711"/>
              <w:rPr>
                <w:color w:val="auto"/>
              </w:rPr>
            </w:pPr>
            <w:r>
              <w:rPr>
                <w:color w:val="auto"/>
              </w:rPr>
              <w:t xml:space="preserve">4.10 </w:t>
            </w:r>
          </w:p>
        </w:tc>
        <w:tc>
          <w:tcPr>
            <w:tcW w:w="643" w:type="pct"/>
            <w:tcBorders>
              <w:tl2br w:val="nil"/>
              <w:tr2bl w:val="nil"/>
            </w:tcBorders>
            <w:shd w:val="clear" w:color="auto" w:fill="auto"/>
            <w:tcMar>
              <w:left w:w="28" w:type="dxa"/>
              <w:right w:w="28" w:type="dxa"/>
            </w:tcMar>
            <w:vAlign w:val="center"/>
          </w:tcPr>
          <w:p w14:paraId="0397ACF6">
            <w:pPr>
              <w:pStyle w:val="711"/>
              <w:rPr>
                <w:color w:val="auto"/>
              </w:rPr>
            </w:pPr>
            <w:r>
              <w:rPr>
                <w:color w:val="auto"/>
              </w:rPr>
              <w:t xml:space="preserve">334.39 </w:t>
            </w:r>
          </w:p>
        </w:tc>
      </w:tr>
      <w:tr w14:paraId="6F169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769AF7E8">
            <w:pPr>
              <w:pStyle w:val="711"/>
              <w:rPr>
                <w:color w:val="auto"/>
              </w:rPr>
            </w:pPr>
            <w:r>
              <w:rPr>
                <w:color w:val="auto"/>
              </w:rPr>
              <w:t>7#</w:t>
            </w:r>
          </w:p>
        </w:tc>
        <w:tc>
          <w:tcPr>
            <w:tcW w:w="784" w:type="pct"/>
            <w:tcBorders>
              <w:tl2br w:val="nil"/>
              <w:tr2bl w:val="nil"/>
            </w:tcBorders>
            <w:shd w:val="clear" w:color="auto" w:fill="auto"/>
            <w:tcMar>
              <w:left w:w="28" w:type="dxa"/>
              <w:right w:w="28" w:type="dxa"/>
            </w:tcMar>
            <w:vAlign w:val="center"/>
          </w:tcPr>
          <w:p w14:paraId="3225767E">
            <w:pPr>
              <w:pStyle w:val="711"/>
              <w:rPr>
                <w:color w:val="auto"/>
              </w:rPr>
            </w:pPr>
            <w:r>
              <w:rPr>
                <w:color w:val="auto"/>
              </w:rPr>
              <w:t>106.5330407</w:t>
            </w:r>
          </w:p>
        </w:tc>
        <w:tc>
          <w:tcPr>
            <w:tcW w:w="597" w:type="pct"/>
            <w:tcBorders>
              <w:tl2br w:val="nil"/>
              <w:tr2bl w:val="nil"/>
            </w:tcBorders>
            <w:shd w:val="clear" w:color="auto" w:fill="auto"/>
            <w:tcMar>
              <w:left w:w="28" w:type="dxa"/>
              <w:right w:w="28" w:type="dxa"/>
            </w:tcMar>
            <w:vAlign w:val="center"/>
          </w:tcPr>
          <w:p w14:paraId="623F9950">
            <w:pPr>
              <w:pStyle w:val="711"/>
              <w:rPr>
                <w:color w:val="auto"/>
              </w:rPr>
            </w:pPr>
            <w:r>
              <w:rPr>
                <w:color w:val="auto"/>
              </w:rPr>
              <w:t>31.45171</w:t>
            </w:r>
          </w:p>
        </w:tc>
        <w:tc>
          <w:tcPr>
            <w:tcW w:w="585" w:type="pct"/>
            <w:tcBorders>
              <w:tl2br w:val="nil"/>
              <w:tr2bl w:val="nil"/>
            </w:tcBorders>
            <w:shd w:val="clear" w:color="auto" w:fill="auto"/>
            <w:tcMar>
              <w:left w:w="28" w:type="dxa"/>
              <w:right w:w="28" w:type="dxa"/>
            </w:tcMar>
            <w:vAlign w:val="center"/>
          </w:tcPr>
          <w:p w14:paraId="3CE96E3A">
            <w:pPr>
              <w:pStyle w:val="711"/>
              <w:rPr>
                <w:color w:val="auto"/>
              </w:rPr>
            </w:pPr>
            <w:r>
              <w:rPr>
                <w:color w:val="auto"/>
              </w:rPr>
              <w:t xml:space="preserve">331.65 </w:t>
            </w:r>
          </w:p>
        </w:tc>
        <w:tc>
          <w:tcPr>
            <w:tcW w:w="643" w:type="pct"/>
            <w:tcBorders>
              <w:tl2br w:val="nil"/>
              <w:tr2bl w:val="nil"/>
            </w:tcBorders>
            <w:shd w:val="clear" w:color="auto" w:fill="auto"/>
            <w:tcMar>
              <w:left w:w="28" w:type="dxa"/>
              <w:right w:w="28" w:type="dxa"/>
            </w:tcMar>
            <w:vAlign w:val="center"/>
          </w:tcPr>
          <w:p w14:paraId="62366A94">
            <w:pPr>
              <w:pStyle w:val="711"/>
              <w:rPr>
                <w:color w:val="auto"/>
              </w:rPr>
            </w:pPr>
            <w:r>
              <w:rPr>
                <w:color w:val="auto"/>
              </w:rPr>
              <w:t xml:space="preserve">2.01 </w:t>
            </w:r>
          </w:p>
        </w:tc>
        <w:tc>
          <w:tcPr>
            <w:tcW w:w="643" w:type="pct"/>
            <w:tcBorders>
              <w:tl2br w:val="nil"/>
              <w:tr2bl w:val="nil"/>
            </w:tcBorders>
            <w:shd w:val="clear" w:color="auto" w:fill="auto"/>
            <w:tcMar>
              <w:left w:w="28" w:type="dxa"/>
              <w:right w:w="28" w:type="dxa"/>
            </w:tcMar>
            <w:vAlign w:val="center"/>
          </w:tcPr>
          <w:p w14:paraId="5CA3A2DB">
            <w:pPr>
              <w:pStyle w:val="711"/>
              <w:rPr>
                <w:color w:val="auto"/>
              </w:rPr>
            </w:pPr>
            <w:r>
              <w:rPr>
                <w:color w:val="auto"/>
              </w:rPr>
              <w:t xml:space="preserve">329.64 </w:t>
            </w:r>
          </w:p>
        </w:tc>
        <w:tc>
          <w:tcPr>
            <w:tcW w:w="643" w:type="pct"/>
            <w:tcBorders>
              <w:tl2br w:val="nil"/>
              <w:tr2bl w:val="nil"/>
            </w:tcBorders>
            <w:shd w:val="clear" w:color="auto" w:fill="auto"/>
            <w:tcMar>
              <w:left w:w="28" w:type="dxa"/>
              <w:right w:w="28" w:type="dxa"/>
            </w:tcMar>
            <w:vAlign w:val="center"/>
          </w:tcPr>
          <w:p w14:paraId="0CAB8567">
            <w:pPr>
              <w:pStyle w:val="711"/>
              <w:rPr>
                <w:color w:val="auto"/>
              </w:rPr>
            </w:pPr>
            <w:r>
              <w:rPr>
                <w:color w:val="auto"/>
              </w:rPr>
              <w:t xml:space="preserve">0.81 </w:t>
            </w:r>
          </w:p>
        </w:tc>
        <w:tc>
          <w:tcPr>
            <w:tcW w:w="643" w:type="pct"/>
            <w:tcBorders>
              <w:tl2br w:val="nil"/>
              <w:tr2bl w:val="nil"/>
            </w:tcBorders>
            <w:shd w:val="clear" w:color="auto" w:fill="auto"/>
            <w:tcMar>
              <w:left w:w="28" w:type="dxa"/>
              <w:right w:w="28" w:type="dxa"/>
            </w:tcMar>
            <w:vAlign w:val="center"/>
          </w:tcPr>
          <w:p w14:paraId="2B296BBA">
            <w:pPr>
              <w:pStyle w:val="711"/>
              <w:rPr>
                <w:color w:val="auto"/>
              </w:rPr>
            </w:pPr>
            <w:r>
              <w:rPr>
                <w:color w:val="auto"/>
              </w:rPr>
              <w:t xml:space="preserve">330.84 </w:t>
            </w:r>
          </w:p>
        </w:tc>
      </w:tr>
      <w:tr w14:paraId="4C8DD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0D08697">
            <w:pPr>
              <w:pStyle w:val="711"/>
              <w:rPr>
                <w:color w:val="auto"/>
              </w:rPr>
            </w:pPr>
            <w:r>
              <w:rPr>
                <w:color w:val="auto"/>
              </w:rPr>
              <w:t>8#</w:t>
            </w:r>
          </w:p>
        </w:tc>
        <w:tc>
          <w:tcPr>
            <w:tcW w:w="784" w:type="pct"/>
            <w:tcBorders>
              <w:tl2br w:val="nil"/>
              <w:tr2bl w:val="nil"/>
            </w:tcBorders>
            <w:shd w:val="clear" w:color="auto" w:fill="auto"/>
            <w:tcMar>
              <w:left w:w="28" w:type="dxa"/>
              <w:right w:w="28" w:type="dxa"/>
            </w:tcMar>
            <w:vAlign w:val="center"/>
          </w:tcPr>
          <w:p w14:paraId="6AC840F8">
            <w:pPr>
              <w:pStyle w:val="711"/>
              <w:rPr>
                <w:color w:val="auto"/>
              </w:rPr>
            </w:pPr>
            <w:r>
              <w:rPr>
                <w:color w:val="auto"/>
              </w:rPr>
              <w:t>106.5332474</w:t>
            </w:r>
          </w:p>
        </w:tc>
        <w:tc>
          <w:tcPr>
            <w:tcW w:w="597" w:type="pct"/>
            <w:tcBorders>
              <w:tl2br w:val="nil"/>
              <w:tr2bl w:val="nil"/>
            </w:tcBorders>
            <w:shd w:val="clear" w:color="auto" w:fill="auto"/>
            <w:tcMar>
              <w:left w:w="28" w:type="dxa"/>
              <w:right w:w="28" w:type="dxa"/>
            </w:tcMar>
            <w:vAlign w:val="center"/>
          </w:tcPr>
          <w:p w14:paraId="1F715C70">
            <w:pPr>
              <w:pStyle w:val="711"/>
              <w:rPr>
                <w:color w:val="auto"/>
              </w:rPr>
            </w:pPr>
            <w:r>
              <w:rPr>
                <w:color w:val="auto"/>
              </w:rPr>
              <w:t>31.45241</w:t>
            </w:r>
          </w:p>
        </w:tc>
        <w:tc>
          <w:tcPr>
            <w:tcW w:w="585" w:type="pct"/>
            <w:tcBorders>
              <w:tl2br w:val="nil"/>
              <w:tr2bl w:val="nil"/>
            </w:tcBorders>
            <w:shd w:val="clear" w:color="auto" w:fill="auto"/>
            <w:tcMar>
              <w:left w:w="28" w:type="dxa"/>
              <w:right w:w="28" w:type="dxa"/>
            </w:tcMar>
            <w:vAlign w:val="center"/>
          </w:tcPr>
          <w:p w14:paraId="5AF3EF5B">
            <w:pPr>
              <w:pStyle w:val="711"/>
              <w:rPr>
                <w:color w:val="auto"/>
              </w:rPr>
            </w:pPr>
            <w:r>
              <w:rPr>
                <w:color w:val="auto"/>
              </w:rPr>
              <w:t xml:space="preserve">339.57 </w:t>
            </w:r>
          </w:p>
        </w:tc>
        <w:tc>
          <w:tcPr>
            <w:tcW w:w="643" w:type="pct"/>
            <w:tcBorders>
              <w:tl2br w:val="nil"/>
              <w:tr2bl w:val="nil"/>
            </w:tcBorders>
            <w:shd w:val="clear" w:color="auto" w:fill="auto"/>
            <w:tcMar>
              <w:left w:w="28" w:type="dxa"/>
              <w:right w:w="28" w:type="dxa"/>
            </w:tcMar>
            <w:vAlign w:val="center"/>
          </w:tcPr>
          <w:p w14:paraId="5B325883">
            <w:pPr>
              <w:pStyle w:val="711"/>
              <w:rPr>
                <w:color w:val="auto"/>
              </w:rPr>
            </w:pPr>
            <w:r>
              <w:rPr>
                <w:color w:val="auto"/>
              </w:rPr>
              <w:t xml:space="preserve">1.61 </w:t>
            </w:r>
          </w:p>
        </w:tc>
        <w:tc>
          <w:tcPr>
            <w:tcW w:w="643" w:type="pct"/>
            <w:tcBorders>
              <w:tl2br w:val="nil"/>
              <w:tr2bl w:val="nil"/>
            </w:tcBorders>
            <w:shd w:val="clear" w:color="auto" w:fill="auto"/>
            <w:tcMar>
              <w:left w:w="28" w:type="dxa"/>
              <w:right w:w="28" w:type="dxa"/>
            </w:tcMar>
            <w:vAlign w:val="center"/>
          </w:tcPr>
          <w:p w14:paraId="357A8D5B">
            <w:pPr>
              <w:pStyle w:val="711"/>
              <w:rPr>
                <w:color w:val="auto"/>
              </w:rPr>
            </w:pPr>
            <w:r>
              <w:rPr>
                <w:color w:val="auto"/>
              </w:rPr>
              <w:t xml:space="preserve">337.96 </w:t>
            </w:r>
          </w:p>
        </w:tc>
        <w:tc>
          <w:tcPr>
            <w:tcW w:w="643" w:type="pct"/>
            <w:tcBorders>
              <w:tl2br w:val="nil"/>
              <w:tr2bl w:val="nil"/>
            </w:tcBorders>
            <w:shd w:val="clear" w:color="auto" w:fill="auto"/>
            <w:tcMar>
              <w:left w:w="28" w:type="dxa"/>
              <w:right w:w="28" w:type="dxa"/>
            </w:tcMar>
            <w:vAlign w:val="center"/>
          </w:tcPr>
          <w:p w14:paraId="398DA7E3">
            <w:pPr>
              <w:pStyle w:val="711"/>
              <w:rPr>
                <w:color w:val="auto"/>
              </w:rPr>
            </w:pPr>
            <w:r>
              <w:rPr>
                <w:color w:val="auto"/>
              </w:rPr>
              <w:t xml:space="preserve">1.11 </w:t>
            </w:r>
          </w:p>
        </w:tc>
        <w:tc>
          <w:tcPr>
            <w:tcW w:w="643" w:type="pct"/>
            <w:tcBorders>
              <w:tl2br w:val="nil"/>
              <w:tr2bl w:val="nil"/>
            </w:tcBorders>
            <w:shd w:val="clear" w:color="auto" w:fill="auto"/>
            <w:tcMar>
              <w:left w:w="28" w:type="dxa"/>
              <w:right w:w="28" w:type="dxa"/>
            </w:tcMar>
            <w:vAlign w:val="center"/>
          </w:tcPr>
          <w:p w14:paraId="0A6E826A">
            <w:pPr>
              <w:pStyle w:val="711"/>
              <w:rPr>
                <w:color w:val="auto"/>
              </w:rPr>
            </w:pPr>
            <w:r>
              <w:rPr>
                <w:color w:val="auto"/>
              </w:rPr>
              <w:t xml:space="preserve">338.46 </w:t>
            </w:r>
          </w:p>
        </w:tc>
      </w:tr>
      <w:tr w14:paraId="422D8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77E0E32C">
            <w:pPr>
              <w:pStyle w:val="711"/>
              <w:rPr>
                <w:color w:val="auto"/>
              </w:rPr>
            </w:pPr>
            <w:r>
              <w:rPr>
                <w:color w:val="auto"/>
              </w:rPr>
              <w:t>9#</w:t>
            </w:r>
          </w:p>
        </w:tc>
        <w:tc>
          <w:tcPr>
            <w:tcW w:w="784" w:type="pct"/>
            <w:tcBorders>
              <w:tl2br w:val="nil"/>
              <w:tr2bl w:val="nil"/>
            </w:tcBorders>
            <w:shd w:val="clear" w:color="auto" w:fill="auto"/>
            <w:tcMar>
              <w:left w:w="28" w:type="dxa"/>
              <w:right w:w="28" w:type="dxa"/>
            </w:tcMar>
            <w:vAlign w:val="center"/>
          </w:tcPr>
          <w:p w14:paraId="09780779">
            <w:pPr>
              <w:pStyle w:val="711"/>
              <w:rPr>
                <w:color w:val="auto"/>
              </w:rPr>
            </w:pPr>
            <w:r>
              <w:rPr>
                <w:color w:val="auto"/>
              </w:rPr>
              <w:t>106.5323571</w:t>
            </w:r>
          </w:p>
        </w:tc>
        <w:tc>
          <w:tcPr>
            <w:tcW w:w="597" w:type="pct"/>
            <w:tcBorders>
              <w:tl2br w:val="nil"/>
              <w:tr2bl w:val="nil"/>
            </w:tcBorders>
            <w:shd w:val="clear" w:color="auto" w:fill="auto"/>
            <w:tcMar>
              <w:left w:w="28" w:type="dxa"/>
              <w:right w:w="28" w:type="dxa"/>
            </w:tcMar>
            <w:vAlign w:val="center"/>
          </w:tcPr>
          <w:p w14:paraId="5CC3636E">
            <w:pPr>
              <w:pStyle w:val="711"/>
              <w:rPr>
                <w:color w:val="auto"/>
              </w:rPr>
            </w:pPr>
            <w:r>
              <w:rPr>
                <w:color w:val="auto"/>
              </w:rPr>
              <w:t>31.45207</w:t>
            </w:r>
          </w:p>
        </w:tc>
        <w:tc>
          <w:tcPr>
            <w:tcW w:w="585" w:type="pct"/>
            <w:tcBorders>
              <w:tl2br w:val="nil"/>
              <w:tr2bl w:val="nil"/>
            </w:tcBorders>
            <w:shd w:val="clear" w:color="auto" w:fill="auto"/>
            <w:tcMar>
              <w:left w:w="28" w:type="dxa"/>
              <w:right w:w="28" w:type="dxa"/>
            </w:tcMar>
            <w:vAlign w:val="center"/>
          </w:tcPr>
          <w:p w14:paraId="4ECA4ED3">
            <w:pPr>
              <w:pStyle w:val="711"/>
              <w:rPr>
                <w:color w:val="auto"/>
              </w:rPr>
            </w:pPr>
            <w:r>
              <w:rPr>
                <w:color w:val="auto"/>
              </w:rPr>
              <w:t xml:space="preserve">337.37 </w:t>
            </w:r>
          </w:p>
        </w:tc>
        <w:tc>
          <w:tcPr>
            <w:tcW w:w="643" w:type="pct"/>
            <w:tcBorders>
              <w:tl2br w:val="nil"/>
              <w:tr2bl w:val="nil"/>
            </w:tcBorders>
            <w:shd w:val="clear" w:color="auto" w:fill="auto"/>
            <w:tcMar>
              <w:left w:w="28" w:type="dxa"/>
              <w:right w:w="28" w:type="dxa"/>
            </w:tcMar>
            <w:vAlign w:val="center"/>
          </w:tcPr>
          <w:p w14:paraId="423EC2A7">
            <w:pPr>
              <w:pStyle w:val="711"/>
              <w:rPr>
                <w:color w:val="auto"/>
              </w:rPr>
            </w:pPr>
            <w:r>
              <w:rPr>
                <w:color w:val="auto"/>
              </w:rPr>
              <w:t xml:space="preserve">0.67 </w:t>
            </w:r>
          </w:p>
        </w:tc>
        <w:tc>
          <w:tcPr>
            <w:tcW w:w="643" w:type="pct"/>
            <w:tcBorders>
              <w:tl2br w:val="nil"/>
              <w:tr2bl w:val="nil"/>
            </w:tcBorders>
            <w:shd w:val="clear" w:color="auto" w:fill="auto"/>
            <w:tcMar>
              <w:left w:w="28" w:type="dxa"/>
              <w:right w:w="28" w:type="dxa"/>
            </w:tcMar>
            <w:vAlign w:val="center"/>
          </w:tcPr>
          <w:p w14:paraId="7CBE5DE0">
            <w:pPr>
              <w:pStyle w:val="711"/>
              <w:rPr>
                <w:color w:val="auto"/>
              </w:rPr>
            </w:pPr>
            <w:r>
              <w:rPr>
                <w:color w:val="auto"/>
              </w:rPr>
              <w:t xml:space="preserve">336.70 </w:t>
            </w:r>
          </w:p>
        </w:tc>
        <w:tc>
          <w:tcPr>
            <w:tcW w:w="643" w:type="pct"/>
            <w:tcBorders>
              <w:tl2br w:val="nil"/>
              <w:tr2bl w:val="nil"/>
            </w:tcBorders>
            <w:shd w:val="clear" w:color="auto" w:fill="auto"/>
            <w:tcMar>
              <w:left w:w="28" w:type="dxa"/>
              <w:right w:w="28" w:type="dxa"/>
            </w:tcMar>
            <w:vAlign w:val="center"/>
          </w:tcPr>
          <w:p w14:paraId="2E245915">
            <w:pPr>
              <w:pStyle w:val="711"/>
              <w:rPr>
                <w:color w:val="auto"/>
              </w:rPr>
            </w:pPr>
            <w:r>
              <w:rPr>
                <w:color w:val="auto"/>
              </w:rPr>
              <w:t xml:space="preserve">0.37 </w:t>
            </w:r>
          </w:p>
        </w:tc>
        <w:tc>
          <w:tcPr>
            <w:tcW w:w="643" w:type="pct"/>
            <w:tcBorders>
              <w:tl2br w:val="nil"/>
              <w:tr2bl w:val="nil"/>
            </w:tcBorders>
            <w:shd w:val="clear" w:color="auto" w:fill="auto"/>
            <w:tcMar>
              <w:left w:w="28" w:type="dxa"/>
              <w:right w:w="28" w:type="dxa"/>
            </w:tcMar>
            <w:vAlign w:val="center"/>
          </w:tcPr>
          <w:p w14:paraId="437A3419">
            <w:pPr>
              <w:pStyle w:val="711"/>
              <w:rPr>
                <w:color w:val="auto"/>
              </w:rPr>
            </w:pPr>
            <w:r>
              <w:rPr>
                <w:color w:val="auto"/>
              </w:rPr>
              <w:t xml:space="preserve">337.00 </w:t>
            </w:r>
          </w:p>
        </w:tc>
      </w:tr>
      <w:tr w14:paraId="709A8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67F2C653">
            <w:pPr>
              <w:pStyle w:val="711"/>
              <w:rPr>
                <w:color w:val="auto"/>
              </w:rPr>
            </w:pPr>
            <w:r>
              <w:rPr>
                <w:color w:val="auto"/>
              </w:rPr>
              <w:t>10#</w:t>
            </w:r>
          </w:p>
        </w:tc>
        <w:tc>
          <w:tcPr>
            <w:tcW w:w="784" w:type="pct"/>
            <w:tcBorders>
              <w:tl2br w:val="nil"/>
              <w:tr2bl w:val="nil"/>
            </w:tcBorders>
            <w:shd w:val="clear" w:color="auto" w:fill="auto"/>
            <w:tcMar>
              <w:left w:w="28" w:type="dxa"/>
              <w:right w:w="28" w:type="dxa"/>
            </w:tcMar>
            <w:vAlign w:val="center"/>
          </w:tcPr>
          <w:p w14:paraId="67AF4A59">
            <w:pPr>
              <w:pStyle w:val="711"/>
              <w:rPr>
                <w:color w:val="auto"/>
              </w:rPr>
            </w:pPr>
            <w:r>
              <w:rPr>
                <w:color w:val="auto"/>
              </w:rPr>
              <w:t>106.5337079</w:t>
            </w:r>
          </w:p>
        </w:tc>
        <w:tc>
          <w:tcPr>
            <w:tcW w:w="597" w:type="pct"/>
            <w:tcBorders>
              <w:tl2br w:val="nil"/>
              <w:tr2bl w:val="nil"/>
            </w:tcBorders>
            <w:shd w:val="clear" w:color="auto" w:fill="auto"/>
            <w:tcMar>
              <w:left w:w="28" w:type="dxa"/>
              <w:right w:w="28" w:type="dxa"/>
            </w:tcMar>
            <w:vAlign w:val="center"/>
          </w:tcPr>
          <w:p w14:paraId="4AC41D43">
            <w:pPr>
              <w:pStyle w:val="711"/>
              <w:rPr>
                <w:color w:val="auto"/>
              </w:rPr>
            </w:pPr>
            <w:r>
              <w:rPr>
                <w:color w:val="auto"/>
              </w:rPr>
              <w:t>31.45134</w:t>
            </w:r>
          </w:p>
        </w:tc>
        <w:tc>
          <w:tcPr>
            <w:tcW w:w="585" w:type="pct"/>
            <w:tcBorders>
              <w:tl2br w:val="nil"/>
              <w:tr2bl w:val="nil"/>
            </w:tcBorders>
            <w:shd w:val="clear" w:color="auto" w:fill="auto"/>
            <w:tcMar>
              <w:left w:w="28" w:type="dxa"/>
              <w:right w:w="28" w:type="dxa"/>
            </w:tcMar>
            <w:vAlign w:val="center"/>
          </w:tcPr>
          <w:p w14:paraId="60A36084">
            <w:pPr>
              <w:pStyle w:val="711"/>
              <w:rPr>
                <w:color w:val="auto"/>
              </w:rPr>
            </w:pPr>
            <w:r>
              <w:rPr>
                <w:color w:val="auto"/>
              </w:rPr>
              <w:t xml:space="preserve">337.91 </w:t>
            </w:r>
          </w:p>
        </w:tc>
        <w:tc>
          <w:tcPr>
            <w:tcW w:w="643" w:type="pct"/>
            <w:tcBorders>
              <w:tl2br w:val="nil"/>
              <w:tr2bl w:val="nil"/>
            </w:tcBorders>
            <w:shd w:val="clear" w:color="auto" w:fill="auto"/>
            <w:tcMar>
              <w:left w:w="28" w:type="dxa"/>
              <w:right w:w="28" w:type="dxa"/>
            </w:tcMar>
            <w:vAlign w:val="center"/>
          </w:tcPr>
          <w:p w14:paraId="76BA853C">
            <w:pPr>
              <w:pStyle w:val="711"/>
              <w:rPr>
                <w:color w:val="auto"/>
              </w:rPr>
            </w:pPr>
            <w:r>
              <w:rPr>
                <w:color w:val="auto"/>
              </w:rPr>
              <w:t xml:space="preserve">0.72 </w:t>
            </w:r>
          </w:p>
        </w:tc>
        <w:tc>
          <w:tcPr>
            <w:tcW w:w="643" w:type="pct"/>
            <w:tcBorders>
              <w:tl2br w:val="nil"/>
              <w:tr2bl w:val="nil"/>
            </w:tcBorders>
            <w:shd w:val="clear" w:color="auto" w:fill="auto"/>
            <w:tcMar>
              <w:left w:w="28" w:type="dxa"/>
              <w:right w:w="28" w:type="dxa"/>
            </w:tcMar>
            <w:vAlign w:val="center"/>
          </w:tcPr>
          <w:p w14:paraId="6C965477">
            <w:pPr>
              <w:pStyle w:val="711"/>
              <w:rPr>
                <w:color w:val="auto"/>
              </w:rPr>
            </w:pPr>
            <w:r>
              <w:rPr>
                <w:color w:val="auto"/>
              </w:rPr>
              <w:t xml:space="preserve">337.19 </w:t>
            </w:r>
          </w:p>
        </w:tc>
        <w:tc>
          <w:tcPr>
            <w:tcW w:w="643" w:type="pct"/>
            <w:tcBorders>
              <w:tl2br w:val="nil"/>
              <w:tr2bl w:val="nil"/>
            </w:tcBorders>
            <w:shd w:val="clear" w:color="auto" w:fill="auto"/>
            <w:tcMar>
              <w:left w:w="28" w:type="dxa"/>
              <w:right w:w="28" w:type="dxa"/>
            </w:tcMar>
            <w:vAlign w:val="center"/>
          </w:tcPr>
          <w:p w14:paraId="5E335B3B">
            <w:pPr>
              <w:pStyle w:val="711"/>
              <w:rPr>
                <w:color w:val="auto"/>
              </w:rPr>
            </w:pPr>
            <w:r>
              <w:rPr>
                <w:color w:val="auto"/>
              </w:rPr>
              <w:t xml:space="preserve">0.12 </w:t>
            </w:r>
          </w:p>
        </w:tc>
        <w:tc>
          <w:tcPr>
            <w:tcW w:w="643" w:type="pct"/>
            <w:tcBorders>
              <w:tl2br w:val="nil"/>
              <w:tr2bl w:val="nil"/>
            </w:tcBorders>
            <w:shd w:val="clear" w:color="auto" w:fill="auto"/>
            <w:tcMar>
              <w:left w:w="28" w:type="dxa"/>
              <w:right w:w="28" w:type="dxa"/>
            </w:tcMar>
            <w:vAlign w:val="center"/>
          </w:tcPr>
          <w:p w14:paraId="733FC5F7">
            <w:pPr>
              <w:pStyle w:val="711"/>
              <w:rPr>
                <w:color w:val="auto"/>
              </w:rPr>
            </w:pPr>
            <w:r>
              <w:rPr>
                <w:color w:val="auto"/>
              </w:rPr>
              <w:t xml:space="preserve">337.79 </w:t>
            </w:r>
          </w:p>
        </w:tc>
      </w:tr>
      <w:tr w14:paraId="5CC6C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72F7A1AC">
            <w:pPr>
              <w:pStyle w:val="711"/>
              <w:rPr>
                <w:color w:val="auto"/>
              </w:rPr>
            </w:pPr>
            <w:r>
              <w:rPr>
                <w:color w:val="auto"/>
              </w:rPr>
              <w:t>11#</w:t>
            </w:r>
          </w:p>
        </w:tc>
        <w:tc>
          <w:tcPr>
            <w:tcW w:w="784" w:type="pct"/>
            <w:tcBorders>
              <w:tl2br w:val="nil"/>
              <w:tr2bl w:val="nil"/>
            </w:tcBorders>
            <w:shd w:val="clear" w:color="auto" w:fill="auto"/>
            <w:tcMar>
              <w:left w:w="28" w:type="dxa"/>
              <w:right w:w="28" w:type="dxa"/>
            </w:tcMar>
            <w:vAlign w:val="center"/>
          </w:tcPr>
          <w:p w14:paraId="21023C32">
            <w:pPr>
              <w:pStyle w:val="711"/>
              <w:rPr>
                <w:color w:val="auto"/>
              </w:rPr>
            </w:pPr>
            <w:r>
              <w:rPr>
                <w:color w:val="auto"/>
              </w:rPr>
              <w:t>106.5344457</w:t>
            </w:r>
          </w:p>
        </w:tc>
        <w:tc>
          <w:tcPr>
            <w:tcW w:w="597" w:type="pct"/>
            <w:tcBorders>
              <w:tl2br w:val="nil"/>
              <w:tr2bl w:val="nil"/>
            </w:tcBorders>
            <w:shd w:val="clear" w:color="auto" w:fill="auto"/>
            <w:tcMar>
              <w:left w:w="28" w:type="dxa"/>
              <w:right w:w="28" w:type="dxa"/>
            </w:tcMar>
            <w:vAlign w:val="center"/>
          </w:tcPr>
          <w:p w14:paraId="6DCC159D">
            <w:pPr>
              <w:pStyle w:val="711"/>
              <w:rPr>
                <w:color w:val="auto"/>
              </w:rPr>
            </w:pPr>
            <w:r>
              <w:rPr>
                <w:color w:val="auto"/>
              </w:rPr>
              <w:t>31.45219</w:t>
            </w:r>
          </w:p>
        </w:tc>
        <w:tc>
          <w:tcPr>
            <w:tcW w:w="585" w:type="pct"/>
            <w:tcBorders>
              <w:tl2br w:val="nil"/>
              <w:tr2bl w:val="nil"/>
            </w:tcBorders>
            <w:shd w:val="clear" w:color="auto" w:fill="auto"/>
            <w:tcMar>
              <w:left w:w="28" w:type="dxa"/>
              <w:right w:w="28" w:type="dxa"/>
            </w:tcMar>
            <w:vAlign w:val="center"/>
          </w:tcPr>
          <w:p w14:paraId="496624DE">
            <w:pPr>
              <w:pStyle w:val="711"/>
              <w:rPr>
                <w:color w:val="auto"/>
              </w:rPr>
            </w:pPr>
            <w:r>
              <w:rPr>
                <w:color w:val="auto"/>
              </w:rPr>
              <w:t xml:space="preserve">339.58 </w:t>
            </w:r>
          </w:p>
        </w:tc>
        <w:tc>
          <w:tcPr>
            <w:tcW w:w="643" w:type="pct"/>
            <w:tcBorders>
              <w:tl2br w:val="nil"/>
              <w:tr2bl w:val="nil"/>
            </w:tcBorders>
            <w:shd w:val="clear" w:color="auto" w:fill="auto"/>
            <w:tcMar>
              <w:left w:w="28" w:type="dxa"/>
              <w:right w:w="28" w:type="dxa"/>
            </w:tcMar>
            <w:vAlign w:val="center"/>
          </w:tcPr>
          <w:p w14:paraId="6EA123CD">
            <w:pPr>
              <w:pStyle w:val="711"/>
              <w:rPr>
                <w:color w:val="auto"/>
              </w:rPr>
            </w:pPr>
            <w:r>
              <w:rPr>
                <w:color w:val="auto"/>
              </w:rPr>
              <w:t xml:space="preserve">1.41 </w:t>
            </w:r>
          </w:p>
        </w:tc>
        <w:tc>
          <w:tcPr>
            <w:tcW w:w="643" w:type="pct"/>
            <w:tcBorders>
              <w:tl2br w:val="nil"/>
              <w:tr2bl w:val="nil"/>
            </w:tcBorders>
            <w:shd w:val="clear" w:color="auto" w:fill="auto"/>
            <w:tcMar>
              <w:left w:w="28" w:type="dxa"/>
              <w:right w:w="28" w:type="dxa"/>
            </w:tcMar>
            <w:vAlign w:val="center"/>
          </w:tcPr>
          <w:p w14:paraId="36E7506E">
            <w:pPr>
              <w:pStyle w:val="711"/>
              <w:rPr>
                <w:color w:val="auto"/>
              </w:rPr>
            </w:pPr>
            <w:r>
              <w:rPr>
                <w:color w:val="auto"/>
              </w:rPr>
              <w:t xml:space="preserve">338.17 </w:t>
            </w:r>
          </w:p>
        </w:tc>
        <w:tc>
          <w:tcPr>
            <w:tcW w:w="643" w:type="pct"/>
            <w:tcBorders>
              <w:tl2br w:val="nil"/>
              <w:tr2bl w:val="nil"/>
            </w:tcBorders>
            <w:shd w:val="clear" w:color="auto" w:fill="auto"/>
            <w:tcMar>
              <w:left w:w="28" w:type="dxa"/>
              <w:right w:w="28" w:type="dxa"/>
            </w:tcMar>
            <w:vAlign w:val="center"/>
          </w:tcPr>
          <w:p w14:paraId="63056799">
            <w:pPr>
              <w:pStyle w:val="711"/>
              <w:rPr>
                <w:color w:val="auto"/>
              </w:rPr>
            </w:pPr>
            <w:r>
              <w:rPr>
                <w:color w:val="auto"/>
              </w:rPr>
              <w:t xml:space="preserve">0.71 </w:t>
            </w:r>
          </w:p>
        </w:tc>
        <w:tc>
          <w:tcPr>
            <w:tcW w:w="643" w:type="pct"/>
            <w:tcBorders>
              <w:tl2br w:val="nil"/>
              <w:tr2bl w:val="nil"/>
            </w:tcBorders>
            <w:shd w:val="clear" w:color="auto" w:fill="auto"/>
            <w:tcMar>
              <w:left w:w="28" w:type="dxa"/>
              <w:right w:w="28" w:type="dxa"/>
            </w:tcMar>
            <w:vAlign w:val="center"/>
          </w:tcPr>
          <w:p w14:paraId="6164380A">
            <w:pPr>
              <w:pStyle w:val="711"/>
              <w:rPr>
                <w:color w:val="auto"/>
              </w:rPr>
            </w:pPr>
            <w:r>
              <w:rPr>
                <w:color w:val="auto"/>
              </w:rPr>
              <w:t xml:space="preserve">338.87 </w:t>
            </w:r>
          </w:p>
        </w:tc>
      </w:tr>
      <w:tr w14:paraId="0AC39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4FEEE578">
            <w:pPr>
              <w:pStyle w:val="711"/>
              <w:rPr>
                <w:color w:val="auto"/>
              </w:rPr>
            </w:pPr>
            <w:r>
              <w:rPr>
                <w:color w:val="auto"/>
              </w:rPr>
              <w:t>12#</w:t>
            </w:r>
          </w:p>
        </w:tc>
        <w:tc>
          <w:tcPr>
            <w:tcW w:w="784" w:type="pct"/>
            <w:tcBorders>
              <w:tl2br w:val="nil"/>
              <w:tr2bl w:val="nil"/>
            </w:tcBorders>
            <w:shd w:val="clear" w:color="auto" w:fill="auto"/>
            <w:tcMar>
              <w:left w:w="28" w:type="dxa"/>
              <w:right w:w="28" w:type="dxa"/>
            </w:tcMar>
            <w:vAlign w:val="center"/>
          </w:tcPr>
          <w:p w14:paraId="1AE616EB">
            <w:pPr>
              <w:pStyle w:val="711"/>
              <w:rPr>
                <w:color w:val="auto"/>
              </w:rPr>
            </w:pPr>
            <w:r>
              <w:rPr>
                <w:color w:val="auto"/>
              </w:rPr>
              <w:t>106.8930538</w:t>
            </w:r>
          </w:p>
        </w:tc>
        <w:tc>
          <w:tcPr>
            <w:tcW w:w="597" w:type="pct"/>
            <w:tcBorders>
              <w:tl2br w:val="nil"/>
              <w:tr2bl w:val="nil"/>
            </w:tcBorders>
            <w:shd w:val="clear" w:color="auto" w:fill="auto"/>
            <w:tcMar>
              <w:left w:w="28" w:type="dxa"/>
              <w:right w:w="28" w:type="dxa"/>
            </w:tcMar>
            <w:vAlign w:val="center"/>
          </w:tcPr>
          <w:p w14:paraId="080A058C">
            <w:pPr>
              <w:pStyle w:val="711"/>
              <w:rPr>
                <w:color w:val="auto"/>
              </w:rPr>
            </w:pPr>
            <w:r>
              <w:rPr>
                <w:color w:val="auto"/>
              </w:rPr>
              <w:t>31.75747</w:t>
            </w:r>
          </w:p>
        </w:tc>
        <w:tc>
          <w:tcPr>
            <w:tcW w:w="585" w:type="pct"/>
            <w:tcBorders>
              <w:tl2br w:val="nil"/>
              <w:tr2bl w:val="nil"/>
            </w:tcBorders>
            <w:shd w:val="clear" w:color="auto" w:fill="auto"/>
            <w:tcMar>
              <w:left w:w="28" w:type="dxa"/>
              <w:right w:w="28" w:type="dxa"/>
            </w:tcMar>
            <w:vAlign w:val="center"/>
          </w:tcPr>
          <w:p w14:paraId="03838CFA">
            <w:pPr>
              <w:pStyle w:val="711"/>
              <w:rPr>
                <w:color w:val="auto"/>
              </w:rPr>
            </w:pPr>
            <w:r>
              <w:rPr>
                <w:color w:val="auto"/>
              </w:rPr>
              <w:t xml:space="preserve">341.95 </w:t>
            </w:r>
          </w:p>
        </w:tc>
        <w:tc>
          <w:tcPr>
            <w:tcW w:w="643" w:type="pct"/>
            <w:tcBorders>
              <w:tl2br w:val="nil"/>
              <w:tr2bl w:val="nil"/>
            </w:tcBorders>
            <w:shd w:val="clear" w:color="auto" w:fill="auto"/>
            <w:tcMar>
              <w:left w:w="28" w:type="dxa"/>
              <w:right w:w="28" w:type="dxa"/>
            </w:tcMar>
            <w:vAlign w:val="center"/>
          </w:tcPr>
          <w:p w14:paraId="68C40060">
            <w:pPr>
              <w:pStyle w:val="711"/>
              <w:rPr>
                <w:color w:val="auto"/>
              </w:rPr>
            </w:pPr>
            <w:r>
              <w:rPr>
                <w:color w:val="auto"/>
              </w:rPr>
              <w:t xml:space="preserve">1.81 </w:t>
            </w:r>
          </w:p>
        </w:tc>
        <w:tc>
          <w:tcPr>
            <w:tcW w:w="643" w:type="pct"/>
            <w:tcBorders>
              <w:tl2br w:val="nil"/>
              <w:tr2bl w:val="nil"/>
            </w:tcBorders>
            <w:shd w:val="clear" w:color="auto" w:fill="auto"/>
            <w:tcMar>
              <w:left w:w="28" w:type="dxa"/>
              <w:right w:w="28" w:type="dxa"/>
            </w:tcMar>
            <w:vAlign w:val="center"/>
          </w:tcPr>
          <w:p w14:paraId="424F4D80">
            <w:pPr>
              <w:pStyle w:val="711"/>
              <w:rPr>
                <w:color w:val="auto"/>
              </w:rPr>
            </w:pPr>
            <w:r>
              <w:rPr>
                <w:color w:val="auto"/>
              </w:rPr>
              <w:t xml:space="preserve">340.14 </w:t>
            </w:r>
          </w:p>
        </w:tc>
        <w:tc>
          <w:tcPr>
            <w:tcW w:w="643" w:type="pct"/>
            <w:tcBorders>
              <w:tl2br w:val="nil"/>
              <w:tr2bl w:val="nil"/>
            </w:tcBorders>
            <w:shd w:val="clear" w:color="auto" w:fill="auto"/>
            <w:tcMar>
              <w:left w:w="28" w:type="dxa"/>
              <w:right w:w="28" w:type="dxa"/>
            </w:tcMar>
            <w:vAlign w:val="center"/>
          </w:tcPr>
          <w:p w14:paraId="775CED2E">
            <w:pPr>
              <w:pStyle w:val="711"/>
              <w:rPr>
                <w:color w:val="auto"/>
              </w:rPr>
            </w:pPr>
            <w:r>
              <w:rPr>
                <w:color w:val="auto"/>
              </w:rPr>
              <w:t xml:space="preserve">1.31 </w:t>
            </w:r>
          </w:p>
        </w:tc>
        <w:tc>
          <w:tcPr>
            <w:tcW w:w="643" w:type="pct"/>
            <w:tcBorders>
              <w:tl2br w:val="nil"/>
              <w:tr2bl w:val="nil"/>
            </w:tcBorders>
            <w:shd w:val="clear" w:color="auto" w:fill="auto"/>
            <w:tcMar>
              <w:left w:w="28" w:type="dxa"/>
              <w:right w:w="28" w:type="dxa"/>
            </w:tcMar>
            <w:vAlign w:val="center"/>
          </w:tcPr>
          <w:p w14:paraId="4303FB11">
            <w:pPr>
              <w:pStyle w:val="711"/>
              <w:rPr>
                <w:color w:val="auto"/>
              </w:rPr>
            </w:pPr>
            <w:r>
              <w:rPr>
                <w:color w:val="auto"/>
              </w:rPr>
              <w:t xml:space="preserve">340.64 </w:t>
            </w:r>
          </w:p>
        </w:tc>
      </w:tr>
      <w:tr w14:paraId="0F44A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0B91D3A1">
            <w:pPr>
              <w:pStyle w:val="711"/>
              <w:rPr>
                <w:color w:val="auto"/>
              </w:rPr>
            </w:pPr>
            <w:r>
              <w:rPr>
                <w:color w:val="auto"/>
              </w:rPr>
              <w:t>13#</w:t>
            </w:r>
          </w:p>
        </w:tc>
        <w:tc>
          <w:tcPr>
            <w:tcW w:w="784" w:type="pct"/>
            <w:tcBorders>
              <w:tl2br w:val="nil"/>
              <w:tr2bl w:val="nil"/>
            </w:tcBorders>
            <w:shd w:val="clear" w:color="auto" w:fill="auto"/>
            <w:tcMar>
              <w:left w:w="28" w:type="dxa"/>
              <w:right w:w="28" w:type="dxa"/>
            </w:tcMar>
            <w:vAlign w:val="center"/>
          </w:tcPr>
          <w:p w14:paraId="7470835A">
            <w:pPr>
              <w:pStyle w:val="711"/>
              <w:rPr>
                <w:color w:val="auto"/>
              </w:rPr>
            </w:pPr>
            <w:r>
              <w:rPr>
                <w:color w:val="auto"/>
              </w:rPr>
              <w:t>106.8914955</w:t>
            </w:r>
          </w:p>
        </w:tc>
        <w:tc>
          <w:tcPr>
            <w:tcW w:w="597" w:type="pct"/>
            <w:tcBorders>
              <w:tl2br w:val="nil"/>
              <w:tr2bl w:val="nil"/>
            </w:tcBorders>
            <w:shd w:val="clear" w:color="auto" w:fill="auto"/>
            <w:tcMar>
              <w:left w:w="28" w:type="dxa"/>
              <w:right w:w="28" w:type="dxa"/>
            </w:tcMar>
            <w:vAlign w:val="center"/>
          </w:tcPr>
          <w:p w14:paraId="1B6C18EC">
            <w:pPr>
              <w:pStyle w:val="711"/>
              <w:rPr>
                <w:color w:val="auto"/>
              </w:rPr>
            </w:pPr>
            <w:r>
              <w:rPr>
                <w:color w:val="auto"/>
              </w:rPr>
              <w:t>31.75676</w:t>
            </w:r>
          </w:p>
        </w:tc>
        <w:tc>
          <w:tcPr>
            <w:tcW w:w="585" w:type="pct"/>
            <w:tcBorders>
              <w:tl2br w:val="nil"/>
              <w:tr2bl w:val="nil"/>
            </w:tcBorders>
            <w:shd w:val="clear" w:color="auto" w:fill="auto"/>
            <w:tcMar>
              <w:left w:w="28" w:type="dxa"/>
              <w:right w:w="28" w:type="dxa"/>
            </w:tcMar>
            <w:vAlign w:val="center"/>
          </w:tcPr>
          <w:p w14:paraId="1D04C7B7">
            <w:pPr>
              <w:pStyle w:val="711"/>
              <w:rPr>
                <w:color w:val="auto"/>
              </w:rPr>
            </w:pPr>
            <w:r>
              <w:rPr>
                <w:color w:val="auto"/>
              </w:rPr>
              <w:t xml:space="preserve">339.54 </w:t>
            </w:r>
          </w:p>
        </w:tc>
        <w:tc>
          <w:tcPr>
            <w:tcW w:w="643" w:type="pct"/>
            <w:tcBorders>
              <w:tl2br w:val="nil"/>
              <w:tr2bl w:val="nil"/>
            </w:tcBorders>
            <w:shd w:val="clear" w:color="auto" w:fill="auto"/>
            <w:tcMar>
              <w:left w:w="28" w:type="dxa"/>
              <w:right w:w="28" w:type="dxa"/>
            </w:tcMar>
            <w:vAlign w:val="center"/>
          </w:tcPr>
          <w:p w14:paraId="5B6E70E0">
            <w:pPr>
              <w:pStyle w:val="711"/>
              <w:rPr>
                <w:color w:val="auto"/>
              </w:rPr>
            </w:pPr>
            <w:r>
              <w:rPr>
                <w:color w:val="auto"/>
              </w:rPr>
              <w:t xml:space="preserve">1.45 </w:t>
            </w:r>
          </w:p>
        </w:tc>
        <w:tc>
          <w:tcPr>
            <w:tcW w:w="643" w:type="pct"/>
            <w:tcBorders>
              <w:tl2br w:val="nil"/>
              <w:tr2bl w:val="nil"/>
            </w:tcBorders>
            <w:shd w:val="clear" w:color="auto" w:fill="auto"/>
            <w:tcMar>
              <w:left w:w="28" w:type="dxa"/>
              <w:right w:w="28" w:type="dxa"/>
            </w:tcMar>
            <w:vAlign w:val="center"/>
          </w:tcPr>
          <w:p w14:paraId="36ED2076">
            <w:pPr>
              <w:pStyle w:val="711"/>
              <w:rPr>
                <w:color w:val="auto"/>
              </w:rPr>
            </w:pPr>
            <w:r>
              <w:rPr>
                <w:color w:val="auto"/>
              </w:rPr>
              <w:t xml:space="preserve">338.09 </w:t>
            </w:r>
          </w:p>
        </w:tc>
        <w:tc>
          <w:tcPr>
            <w:tcW w:w="643" w:type="pct"/>
            <w:tcBorders>
              <w:tl2br w:val="nil"/>
              <w:tr2bl w:val="nil"/>
            </w:tcBorders>
            <w:shd w:val="clear" w:color="auto" w:fill="auto"/>
            <w:tcMar>
              <w:left w:w="28" w:type="dxa"/>
              <w:right w:w="28" w:type="dxa"/>
            </w:tcMar>
            <w:vAlign w:val="center"/>
          </w:tcPr>
          <w:p w14:paraId="4203159A">
            <w:pPr>
              <w:pStyle w:val="711"/>
              <w:rPr>
                <w:color w:val="auto"/>
              </w:rPr>
            </w:pPr>
            <w:r>
              <w:rPr>
                <w:color w:val="auto"/>
              </w:rPr>
              <w:t xml:space="preserve">1.15 </w:t>
            </w:r>
          </w:p>
        </w:tc>
        <w:tc>
          <w:tcPr>
            <w:tcW w:w="643" w:type="pct"/>
            <w:tcBorders>
              <w:tl2br w:val="nil"/>
              <w:tr2bl w:val="nil"/>
            </w:tcBorders>
            <w:shd w:val="clear" w:color="auto" w:fill="auto"/>
            <w:tcMar>
              <w:left w:w="28" w:type="dxa"/>
              <w:right w:w="28" w:type="dxa"/>
            </w:tcMar>
            <w:vAlign w:val="center"/>
          </w:tcPr>
          <w:p w14:paraId="0B607A68">
            <w:pPr>
              <w:pStyle w:val="711"/>
              <w:rPr>
                <w:color w:val="auto"/>
              </w:rPr>
            </w:pPr>
            <w:r>
              <w:rPr>
                <w:color w:val="auto"/>
              </w:rPr>
              <w:t xml:space="preserve">338.39 </w:t>
            </w:r>
          </w:p>
        </w:tc>
      </w:tr>
      <w:tr w14:paraId="01DC6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8358B6E">
            <w:pPr>
              <w:pStyle w:val="711"/>
              <w:rPr>
                <w:color w:val="auto"/>
              </w:rPr>
            </w:pPr>
            <w:r>
              <w:rPr>
                <w:color w:val="auto"/>
              </w:rPr>
              <w:t>14#</w:t>
            </w:r>
          </w:p>
        </w:tc>
        <w:tc>
          <w:tcPr>
            <w:tcW w:w="784" w:type="pct"/>
            <w:tcBorders>
              <w:tl2br w:val="nil"/>
              <w:tr2bl w:val="nil"/>
            </w:tcBorders>
            <w:shd w:val="clear" w:color="auto" w:fill="auto"/>
            <w:tcMar>
              <w:left w:w="28" w:type="dxa"/>
              <w:right w:w="28" w:type="dxa"/>
            </w:tcMar>
            <w:vAlign w:val="center"/>
          </w:tcPr>
          <w:p w14:paraId="1932D660">
            <w:pPr>
              <w:pStyle w:val="711"/>
              <w:rPr>
                <w:color w:val="auto"/>
              </w:rPr>
            </w:pPr>
            <w:r>
              <w:rPr>
                <w:color w:val="auto"/>
              </w:rPr>
              <w:t>106.8925925</w:t>
            </w:r>
          </w:p>
        </w:tc>
        <w:tc>
          <w:tcPr>
            <w:tcW w:w="597" w:type="pct"/>
            <w:tcBorders>
              <w:tl2br w:val="nil"/>
              <w:tr2bl w:val="nil"/>
            </w:tcBorders>
            <w:shd w:val="clear" w:color="auto" w:fill="auto"/>
            <w:tcMar>
              <w:left w:w="28" w:type="dxa"/>
              <w:right w:w="28" w:type="dxa"/>
            </w:tcMar>
            <w:vAlign w:val="center"/>
          </w:tcPr>
          <w:p w14:paraId="4E56EB6E">
            <w:pPr>
              <w:pStyle w:val="711"/>
              <w:rPr>
                <w:color w:val="auto"/>
              </w:rPr>
            </w:pPr>
            <w:r>
              <w:rPr>
                <w:color w:val="auto"/>
              </w:rPr>
              <w:t>31.75288</w:t>
            </w:r>
          </w:p>
        </w:tc>
        <w:tc>
          <w:tcPr>
            <w:tcW w:w="585" w:type="pct"/>
            <w:tcBorders>
              <w:tl2br w:val="nil"/>
              <w:tr2bl w:val="nil"/>
            </w:tcBorders>
            <w:shd w:val="clear" w:color="auto" w:fill="auto"/>
            <w:tcMar>
              <w:left w:w="28" w:type="dxa"/>
              <w:right w:w="28" w:type="dxa"/>
            </w:tcMar>
            <w:vAlign w:val="center"/>
          </w:tcPr>
          <w:p w14:paraId="7792AA88">
            <w:pPr>
              <w:pStyle w:val="711"/>
              <w:rPr>
                <w:color w:val="auto"/>
              </w:rPr>
            </w:pPr>
            <w:r>
              <w:rPr>
                <w:color w:val="auto"/>
              </w:rPr>
              <w:t xml:space="preserve">331.11 </w:t>
            </w:r>
          </w:p>
        </w:tc>
        <w:tc>
          <w:tcPr>
            <w:tcW w:w="643" w:type="pct"/>
            <w:tcBorders>
              <w:tl2br w:val="nil"/>
              <w:tr2bl w:val="nil"/>
            </w:tcBorders>
            <w:shd w:val="clear" w:color="auto" w:fill="auto"/>
            <w:tcMar>
              <w:left w:w="28" w:type="dxa"/>
              <w:right w:w="28" w:type="dxa"/>
            </w:tcMar>
            <w:vAlign w:val="center"/>
          </w:tcPr>
          <w:p w14:paraId="50A51FDD">
            <w:pPr>
              <w:pStyle w:val="711"/>
              <w:rPr>
                <w:color w:val="auto"/>
              </w:rPr>
            </w:pPr>
            <w:r>
              <w:rPr>
                <w:color w:val="auto"/>
              </w:rPr>
              <w:t xml:space="preserve">1.71 </w:t>
            </w:r>
          </w:p>
        </w:tc>
        <w:tc>
          <w:tcPr>
            <w:tcW w:w="643" w:type="pct"/>
            <w:tcBorders>
              <w:tl2br w:val="nil"/>
              <w:tr2bl w:val="nil"/>
            </w:tcBorders>
            <w:shd w:val="clear" w:color="auto" w:fill="auto"/>
            <w:tcMar>
              <w:left w:w="28" w:type="dxa"/>
              <w:right w:w="28" w:type="dxa"/>
            </w:tcMar>
            <w:vAlign w:val="center"/>
          </w:tcPr>
          <w:p w14:paraId="69C42FE2">
            <w:pPr>
              <w:pStyle w:val="711"/>
              <w:rPr>
                <w:color w:val="auto"/>
              </w:rPr>
            </w:pPr>
            <w:r>
              <w:rPr>
                <w:color w:val="auto"/>
              </w:rPr>
              <w:t xml:space="preserve">329.40 </w:t>
            </w:r>
          </w:p>
        </w:tc>
        <w:tc>
          <w:tcPr>
            <w:tcW w:w="643" w:type="pct"/>
            <w:tcBorders>
              <w:tl2br w:val="nil"/>
              <w:tr2bl w:val="nil"/>
            </w:tcBorders>
            <w:shd w:val="clear" w:color="auto" w:fill="auto"/>
            <w:tcMar>
              <w:left w:w="28" w:type="dxa"/>
              <w:right w:w="28" w:type="dxa"/>
            </w:tcMar>
            <w:vAlign w:val="center"/>
          </w:tcPr>
          <w:p w14:paraId="266DDFB3">
            <w:pPr>
              <w:pStyle w:val="711"/>
              <w:rPr>
                <w:color w:val="auto"/>
              </w:rPr>
            </w:pPr>
            <w:r>
              <w:rPr>
                <w:color w:val="auto"/>
              </w:rPr>
              <w:t>0.</w:t>
            </w:r>
            <w:r>
              <w:rPr>
                <w:rFonts w:hint="eastAsia"/>
                <w:color w:val="auto"/>
              </w:rPr>
              <w:t>10</w:t>
            </w:r>
            <w:r>
              <w:rPr>
                <w:color w:val="auto"/>
              </w:rPr>
              <w:t xml:space="preserve"> </w:t>
            </w:r>
          </w:p>
        </w:tc>
        <w:tc>
          <w:tcPr>
            <w:tcW w:w="643" w:type="pct"/>
            <w:tcBorders>
              <w:tl2br w:val="nil"/>
              <w:tr2bl w:val="nil"/>
            </w:tcBorders>
            <w:shd w:val="clear" w:color="auto" w:fill="auto"/>
            <w:tcMar>
              <w:left w:w="28" w:type="dxa"/>
              <w:right w:w="28" w:type="dxa"/>
            </w:tcMar>
            <w:vAlign w:val="center"/>
          </w:tcPr>
          <w:p w14:paraId="602B8D66">
            <w:pPr>
              <w:pStyle w:val="711"/>
              <w:rPr>
                <w:color w:val="auto"/>
              </w:rPr>
            </w:pPr>
            <w:r>
              <w:rPr>
                <w:color w:val="auto"/>
              </w:rPr>
              <w:t>331.</w:t>
            </w:r>
            <w:r>
              <w:rPr>
                <w:rFonts w:hint="eastAsia"/>
                <w:color w:val="auto"/>
              </w:rPr>
              <w:t>01</w:t>
            </w:r>
            <w:r>
              <w:rPr>
                <w:color w:val="auto"/>
              </w:rPr>
              <w:t xml:space="preserve"> </w:t>
            </w:r>
          </w:p>
        </w:tc>
      </w:tr>
      <w:bookmarkEnd w:id="148"/>
    </w:tbl>
    <w:p w14:paraId="375AD0AA">
      <w:pPr>
        <w:pStyle w:val="6"/>
        <w:keepNext/>
        <w:keepLines/>
        <w:pageBreakBefore w:val="0"/>
        <w:widowControl w:val="0"/>
        <w:kinsoku/>
        <w:wordWrap/>
        <w:overflowPunct/>
        <w:topLinePunct w:val="0"/>
        <w:autoSpaceDE/>
        <w:autoSpaceDN/>
        <w:bidi w:val="0"/>
        <w:adjustRightInd/>
        <w:snapToGrid/>
        <w:spacing w:before="0" w:beforeLines="50"/>
        <w:ind w:firstLine="361"/>
        <w:textAlignment w:val="auto"/>
        <w:rPr>
          <w:rFonts w:cs="Times New Roman"/>
          <w:color w:val="auto"/>
        </w:rPr>
      </w:pPr>
      <w:r>
        <w:rPr>
          <w:rFonts w:cs="Times New Roman"/>
          <w:color w:val="auto"/>
        </w:rPr>
        <w:t>水文地质试验统计</w:t>
      </w:r>
    </w:p>
    <w:p w14:paraId="3203CE3E">
      <w:pPr>
        <w:ind w:firstLine="480"/>
        <w:rPr>
          <w:rFonts w:cs="Times New Roman"/>
          <w:color w:val="auto"/>
        </w:rPr>
      </w:pPr>
      <w:r>
        <w:rPr>
          <w:rFonts w:cs="Times New Roman"/>
          <w:color w:val="auto"/>
        </w:rPr>
        <w:t>为查明本项目含水层渗透性及包气带防污性能，项目组收集了本项目评价区区域水文地质报告提供的抽水试验成果及包气带渗水试验成果。</w:t>
      </w:r>
    </w:p>
    <w:p w14:paraId="570BFB1C">
      <w:pPr>
        <w:ind w:firstLine="480"/>
        <w:rPr>
          <w:rFonts w:cs="Times New Roman"/>
          <w:color w:val="auto"/>
        </w:rPr>
      </w:pPr>
      <w:r>
        <w:rPr>
          <w:rFonts w:cs="Times New Roman"/>
          <w:color w:val="auto"/>
        </w:rPr>
        <w:t>（1）抽水试验及水文地质参数</w:t>
      </w:r>
    </w:p>
    <w:p w14:paraId="48C3A1F2">
      <w:pPr>
        <w:ind w:firstLine="480"/>
        <w:rPr>
          <w:rFonts w:cs="Times New Roman"/>
          <w:color w:val="auto"/>
        </w:rPr>
      </w:pPr>
      <w:r>
        <w:rPr>
          <w:rFonts w:cs="Times New Roman"/>
          <w:color w:val="auto"/>
        </w:rPr>
        <w:t>本项目收集了区域水文地质报告中的第四系</w:t>
      </w:r>
      <w:r>
        <w:rPr>
          <w:rFonts w:hint="eastAsia" w:cs="Times New Roman"/>
          <w:color w:val="auto"/>
        </w:rPr>
        <w:t>全新统（Q</w:t>
      </w:r>
      <w:r>
        <w:rPr>
          <w:rFonts w:hint="eastAsia" w:cs="Times New Roman"/>
          <w:color w:val="auto"/>
          <w:vertAlign w:val="subscript"/>
        </w:rPr>
        <w:t>4</w:t>
      </w:r>
      <w:r>
        <w:rPr>
          <w:rFonts w:hint="eastAsia" w:cs="Times New Roman"/>
          <w:color w:val="auto"/>
          <w:vertAlign w:val="superscript"/>
        </w:rPr>
        <w:t>al</w:t>
      </w:r>
      <w:r>
        <w:rPr>
          <w:rFonts w:hint="eastAsia" w:cs="Times New Roman"/>
          <w:color w:val="auto"/>
        </w:rPr>
        <w:t>）、</w:t>
      </w:r>
      <w:r>
        <w:rPr>
          <w:rFonts w:cs="Times New Roman"/>
          <w:color w:val="auto"/>
        </w:rPr>
        <w:t>上更新统（Q</w:t>
      </w:r>
      <w:r>
        <w:rPr>
          <w:rFonts w:cs="Times New Roman"/>
          <w:color w:val="auto"/>
          <w:vertAlign w:val="subscript"/>
        </w:rPr>
        <w:t>3</w:t>
      </w:r>
      <w:r>
        <w:rPr>
          <w:rFonts w:hint="eastAsia" w:cs="Times New Roman"/>
          <w:color w:val="auto"/>
          <w:vertAlign w:val="superscript"/>
        </w:rPr>
        <w:t>al</w:t>
      </w:r>
      <w:r>
        <w:rPr>
          <w:rFonts w:cs="Times New Roman"/>
          <w:color w:val="auto"/>
        </w:rPr>
        <w:t>）</w:t>
      </w:r>
      <w:r>
        <w:rPr>
          <w:rFonts w:hint="eastAsia" w:cs="Times New Roman"/>
          <w:color w:val="auto"/>
        </w:rPr>
        <w:t>冲积</w:t>
      </w:r>
      <w:r>
        <w:rPr>
          <w:rFonts w:cs="Times New Roman"/>
          <w:color w:val="auto"/>
        </w:rPr>
        <w:t>层</w:t>
      </w:r>
      <w:r>
        <w:rPr>
          <w:rFonts w:hint="eastAsia" w:cs="Times New Roman"/>
          <w:color w:val="auto"/>
        </w:rPr>
        <w:t>及白垩系白龙组（K</w:t>
      </w:r>
      <w:r>
        <w:rPr>
          <w:rFonts w:hint="eastAsia" w:cs="Times New Roman"/>
          <w:color w:val="auto"/>
          <w:vertAlign w:val="subscript"/>
        </w:rPr>
        <w:t>1</w:t>
      </w:r>
      <w:r>
        <w:rPr>
          <w:rFonts w:hint="eastAsia" w:cs="Times New Roman"/>
          <w:color w:val="auto"/>
        </w:rPr>
        <w:t>b）基岩浅层地下水</w:t>
      </w:r>
      <w:r>
        <w:rPr>
          <w:rFonts w:cs="Times New Roman"/>
          <w:color w:val="auto"/>
        </w:rPr>
        <w:t>中开展的抽水试验数据，见表</w:t>
      </w:r>
      <w:r>
        <w:rPr>
          <w:rFonts w:hint="eastAsia" w:cs="Times New Roman"/>
          <w:color w:val="auto"/>
          <w:lang w:val="en-US" w:eastAsia="zh-CN"/>
        </w:rPr>
        <w:t>3.1</w:t>
      </w:r>
      <w:r>
        <w:rPr>
          <w:rFonts w:cs="Times New Roman"/>
          <w:color w:val="auto"/>
        </w:rPr>
        <w:t>-2</w:t>
      </w:r>
      <w:r>
        <w:rPr>
          <w:rFonts w:hint="eastAsia" w:cs="Times New Roman"/>
          <w:color w:val="auto"/>
        </w:rPr>
        <w:t>、表</w:t>
      </w:r>
      <w:r>
        <w:rPr>
          <w:rFonts w:hint="eastAsia" w:cs="Times New Roman"/>
          <w:color w:val="auto"/>
          <w:lang w:val="en-US" w:eastAsia="zh-CN"/>
        </w:rPr>
        <w:t>3.1</w:t>
      </w:r>
      <w:r>
        <w:rPr>
          <w:rFonts w:hint="eastAsia" w:cs="Times New Roman"/>
          <w:color w:val="auto"/>
        </w:rPr>
        <w:t>-3</w:t>
      </w:r>
      <w:r>
        <w:rPr>
          <w:rFonts w:cs="Times New Roman"/>
          <w:color w:val="auto"/>
        </w:rPr>
        <w:t>。</w:t>
      </w:r>
    </w:p>
    <w:p w14:paraId="5A5A9C66">
      <w:pPr>
        <w:pStyle w:val="710"/>
        <w:rPr>
          <w:rFonts w:cs="Times New Roman"/>
          <w:color w:val="auto"/>
        </w:rPr>
      </w:pPr>
      <w:bookmarkStart w:id="149" w:name="_Toc520187804"/>
      <w:bookmarkStart w:id="150" w:name="_Toc337304730"/>
      <w:r>
        <w:rPr>
          <w:rFonts w:cs="Times New Roman"/>
          <w:color w:val="auto"/>
        </w:rPr>
        <w:t>表</w:t>
      </w:r>
      <w:r>
        <w:rPr>
          <w:rFonts w:hint="eastAsia" w:cs="Times New Roman"/>
          <w:color w:val="auto"/>
          <w:lang w:val="en-US" w:eastAsia="zh-CN"/>
        </w:rPr>
        <w:t>3.1</w:t>
      </w:r>
      <w:r>
        <w:rPr>
          <w:rFonts w:cs="Times New Roman"/>
          <w:color w:val="auto"/>
        </w:rPr>
        <w:t>-2  第四系</w:t>
      </w:r>
      <w:r>
        <w:rPr>
          <w:rFonts w:hint="eastAsia" w:cs="Times New Roman"/>
          <w:color w:val="auto"/>
        </w:rPr>
        <w:t>全新统及</w:t>
      </w:r>
      <w:r>
        <w:rPr>
          <w:rFonts w:cs="Times New Roman"/>
          <w:color w:val="auto"/>
        </w:rPr>
        <w:t>上更新统地层抽水试验成果统计表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26"/>
        <w:gridCol w:w="886"/>
        <w:gridCol w:w="968"/>
        <w:gridCol w:w="1205"/>
        <w:gridCol w:w="938"/>
        <w:gridCol w:w="697"/>
        <w:gridCol w:w="804"/>
        <w:gridCol w:w="619"/>
        <w:gridCol w:w="1004"/>
        <w:gridCol w:w="871"/>
      </w:tblGrid>
      <w:tr w14:paraId="6A3CC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restart"/>
            <w:tcBorders>
              <w:tl2br w:val="nil"/>
              <w:tr2bl w:val="nil"/>
            </w:tcBorders>
            <w:shd w:val="clear" w:color="auto" w:fill="auto"/>
            <w:vAlign w:val="center"/>
          </w:tcPr>
          <w:p w14:paraId="724A8247">
            <w:pPr>
              <w:pStyle w:val="711"/>
              <w:rPr>
                <w:b/>
                <w:bCs/>
                <w:color w:val="auto"/>
              </w:rPr>
            </w:pPr>
            <w:r>
              <w:rPr>
                <w:rFonts w:hint="eastAsia"/>
                <w:b/>
                <w:bCs/>
                <w:color w:val="auto"/>
              </w:rPr>
              <w:t>试验孔</w:t>
            </w:r>
          </w:p>
        </w:tc>
        <w:tc>
          <w:tcPr>
            <w:tcW w:w="514" w:type="pct"/>
            <w:vMerge w:val="restart"/>
            <w:tcBorders>
              <w:tl2br w:val="nil"/>
              <w:tr2bl w:val="nil"/>
            </w:tcBorders>
            <w:shd w:val="clear" w:color="auto" w:fill="auto"/>
            <w:vAlign w:val="center"/>
          </w:tcPr>
          <w:p w14:paraId="2F74E4F7">
            <w:pPr>
              <w:pStyle w:val="711"/>
              <w:rPr>
                <w:b/>
                <w:bCs/>
                <w:color w:val="auto"/>
              </w:rPr>
            </w:pPr>
            <w:r>
              <w:rPr>
                <w:rFonts w:hint="eastAsia"/>
                <w:b/>
                <w:bCs/>
                <w:color w:val="auto"/>
              </w:rPr>
              <w:t>含水层代号</w:t>
            </w:r>
          </w:p>
        </w:tc>
        <w:tc>
          <w:tcPr>
            <w:tcW w:w="561" w:type="pct"/>
            <w:vMerge w:val="restart"/>
            <w:tcBorders>
              <w:tl2br w:val="nil"/>
              <w:tr2bl w:val="nil"/>
            </w:tcBorders>
            <w:shd w:val="clear" w:color="auto" w:fill="auto"/>
            <w:vAlign w:val="center"/>
          </w:tcPr>
          <w:p w14:paraId="3280A548">
            <w:pPr>
              <w:pStyle w:val="711"/>
              <w:rPr>
                <w:b/>
                <w:bCs/>
                <w:color w:val="auto"/>
              </w:rPr>
            </w:pPr>
            <w:r>
              <w:rPr>
                <w:rFonts w:hint="eastAsia"/>
                <w:b/>
                <w:bCs/>
                <w:color w:val="auto"/>
              </w:rPr>
              <w:t>含水层厚度</w:t>
            </w:r>
          </w:p>
        </w:tc>
        <w:tc>
          <w:tcPr>
            <w:tcW w:w="699" w:type="pct"/>
            <w:vMerge w:val="restart"/>
            <w:tcBorders>
              <w:tl2br w:val="nil"/>
              <w:tr2bl w:val="nil"/>
            </w:tcBorders>
            <w:shd w:val="clear" w:color="auto" w:fill="auto"/>
            <w:vAlign w:val="center"/>
          </w:tcPr>
          <w:p w14:paraId="0C5194EC">
            <w:pPr>
              <w:pStyle w:val="711"/>
              <w:rPr>
                <w:b/>
                <w:bCs/>
                <w:color w:val="auto"/>
              </w:rPr>
            </w:pPr>
            <w:r>
              <w:rPr>
                <w:rFonts w:hint="eastAsia"/>
                <w:b/>
                <w:bCs/>
                <w:color w:val="auto"/>
              </w:rPr>
              <w:t>抽前静止水位埋深</w:t>
            </w:r>
          </w:p>
        </w:tc>
        <w:tc>
          <w:tcPr>
            <w:tcW w:w="544" w:type="pct"/>
            <w:vMerge w:val="restart"/>
            <w:tcBorders>
              <w:tl2br w:val="nil"/>
              <w:tr2bl w:val="nil"/>
            </w:tcBorders>
            <w:shd w:val="clear" w:color="auto" w:fill="auto"/>
            <w:vAlign w:val="center"/>
          </w:tcPr>
          <w:p w14:paraId="30CAEC70">
            <w:pPr>
              <w:pStyle w:val="711"/>
              <w:rPr>
                <w:b/>
                <w:bCs/>
                <w:color w:val="auto"/>
              </w:rPr>
            </w:pPr>
            <w:r>
              <w:rPr>
                <w:rFonts w:hint="eastAsia"/>
                <w:b/>
                <w:bCs/>
                <w:color w:val="auto"/>
              </w:rPr>
              <w:t>水位降深S</w:t>
            </w:r>
            <w:r>
              <w:rPr>
                <w:rFonts w:hint="eastAsia"/>
                <w:b/>
                <w:bCs/>
                <w:color w:val="auto"/>
                <w:vertAlign w:val="subscript"/>
              </w:rPr>
              <w:t>w</w:t>
            </w:r>
          </w:p>
        </w:tc>
        <w:tc>
          <w:tcPr>
            <w:tcW w:w="870" w:type="pct"/>
            <w:gridSpan w:val="2"/>
            <w:vMerge w:val="restart"/>
            <w:tcBorders>
              <w:tl2br w:val="nil"/>
              <w:tr2bl w:val="nil"/>
            </w:tcBorders>
            <w:shd w:val="clear" w:color="auto" w:fill="auto"/>
            <w:vAlign w:val="center"/>
          </w:tcPr>
          <w:p w14:paraId="73DD6232">
            <w:pPr>
              <w:pStyle w:val="711"/>
              <w:rPr>
                <w:b/>
                <w:bCs/>
                <w:color w:val="auto"/>
              </w:rPr>
            </w:pPr>
            <w:r>
              <w:rPr>
                <w:rFonts w:hint="eastAsia"/>
                <w:b/>
                <w:bCs/>
                <w:color w:val="auto"/>
              </w:rPr>
              <w:t>涌水量Q</w:t>
            </w:r>
          </w:p>
        </w:tc>
        <w:tc>
          <w:tcPr>
            <w:tcW w:w="941" w:type="pct"/>
            <w:gridSpan w:val="2"/>
            <w:vMerge w:val="restart"/>
            <w:tcBorders>
              <w:tl2br w:val="nil"/>
              <w:tr2bl w:val="nil"/>
            </w:tcBorders>
            <w:shd w:val="clear" w:color="auto" w:fill="auto"/>
            <w:vAlign w:val="center"/>
          </w:tcPr>
          <w:p w14:paraId="0F0D0C62">
            <w:pPr>
              <w:pStyle w:val="711"/>
              <w:rPr>
                <w:b/>
                <w:bCs/>
                <w:color w:val="auto"/>
              </w:rPr>
            </w:pPr>
            <w:r>
              <w:rPr>
                <w:rFonts w:hint="eastAsia"/>
                <w:b/>
                <w:bCs/>
                <w:color w:val="auto"/>
              </w:rPr>
              <w:t>渗透系数K</w:t>
            </w:r>
          </w:p>
        </w:tc>
        <w:tc>
          <w:tcPr>
            <w:tcW w:w="505" w:type="pct"/>
            <w:vMerge w:val="restart"/>
            <w:tcBorders>
              <w:tl2br w:val="nil"/>
              <w:tr2bl w:val="nil"/>
            </w:tcBorders>
            <w:shd w:val="clear" w:color="auto" w:fill="auto"/>
            <w:vAlign w:val="center"/>
          </w:tcPr>
          <w:p w14:paraId="02A0B497">
            <w:pPr>
              <w:pStyle w:val="711"/>
              <w:rPr>
                <w:b/>
                <w:bCs/>
                <w:color w:val="auto"/>
              </w:rPr>
            </w:pPr>
            <w:r>
              <w:rPr>
                <w:rFonts w:hint="eastAsia"/>
                <w:b/>
                <w:bCs/>
                <w:color w:val="auto"/>
              </w:rPr>
              <w:t>影响半径R</w:t>
            </w:r>
          </w:p>
        </w:tc>
      </w:tr>
      <w:tr w14:paraId="0517C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38866EE3">
            <w:pPr>
              <w:pStyle w:val="711"/>
              <w:rPr>
                <w:color w:val="auto"/>
              </w:rPr>
            </w:pPr>
          </w:p>
        </w:tc>
        <w:tc>
          <w:tcPr>
            <w:tcW w:w="514" w:type="pct"/>
            <w:vMerge w:val="continue"/>
            <w:tcBorders>
              <w:tl2br w:val="nil"/>
              <w:tr2bl w:val="nil"/>
            </w:tcBorders>
            <w:vAlign w:val="center"/>
          </w:tcPr>
          <w:p w14:paraId="1858D19C">
            <w:pPr>
              <w:pStyle w:val="711"/>
              <w:rPr>
                <w:color w:val="auto"/>
              </w:rPr>
            </w:pPr>
          </w:p>
        </w:tc>
        <w:tc>
          <w:tcPr>
            <w:tcW w:w="561" w:type="pct"/>
            <w:vMerge w:val="continue"/>
            <w:tcBorders>
              <w:tl2br w:val="nil"/>
              <w:tr2bl w:val="nil"/>
            </w:tcBorders>
            <w:vAlign w:val="center"/>
          </w:tcPr>
          <w:p w14:paraId="226E0AAA">
            <w:pPr>
              <w:pStyle w:val="711"/>
              <w:rPr>
                <w:color w:val="auto"/>
              </w:rPr>
            </w:pPr>
          </w:p>
        </w:tc>
        <w:tc>
          <w:tcPr>
            <w:tcW w:w="699" w:type="pct"/>
            <w:vMerge w:val="continue"/>
            <w:tcBorders>
              <w:tl2br w:val="nil"/>
              <w:tr2bl w:val="nil"/>
            </w:tcBorders>
            <w:vAlign w:val="center"/>
          </w:tcPr>
          <w:p w14:paraId="729BF00D">
            <w:pPr>
              <w:pStyle w:val="711"/>
              <w:rPr>
                <w:color w:val="auto"/>
              </w:rPr>
            </w:pPr>
          </w:p>
        </w:tc>
        <w:tc>
          <w:tcPr>
            <w:tcW w:w="544" w:type="pct"/>
            <w:vMerge w:val="continue"/>
            <w:tcBorders>
              <w:tl2br w:val="nil"/>
              <w:tr2bl w:val="nil"/>
            </w:tcBorders>
            <w:vAlign w:val="center"/>
          </w:tcPr>
          <w:p w14:paraId="635509D2">
            <w:pPr>
              <w:pStyle w:val="711"/>
              <w:rPr>
                <w:color w:val="auto"/>
              </w:rPr>
            </w:pPr>
          </w:p>
        </w:tc>
        <w:tc>
          <w:tcPr>
            <w:tcW w:w="870" w:type="pct"/>
            <w:gridSpan w:val="2"/>
            <w:vMerge w:val="continue"/>
            <w:tcBorders>
              <w:tl2br w:val="nil"/>
              <w:tr2bl w:val="nil"/>
            </w:tcBorders>
            <w:vAlign w:val="center"/>
          </w:tcPr>
          <w:p w14:paraId="5066BB18">
            <w:pPr>
              <w:pStyle w:val="711"/>
              <w:rPr>
                <w:color w:val="auto"/>
              </w:rPr>
            </w:pPr>
          </w:p>
        </w:tc>
        <w:tc>
          <w:tcPr>
            <w:tcW w:w="941" w:type="pct"/>
            <w:gridSpan w:val="2"/>
            <w:vMerge w:val="continue"/>
            <w:tcBorders>
              <w:tl2br w:val="nil"/>
              <w:tr2bl w:val="nil"/>
            </w:tcBorders>
            <w:vAlign w:val="center"/>
          </w:tcPr>
          <w:p w14:paraId="10246096">
            <w:pPr>
              <w:pStyle w:val="711"/>
              <w:rPr>
                <w:color w:val="auto"/>
              </w:rPr>
            </w:pPr>
          </w:p>
        </w:tc>
        <w:tc>
          <w:tcPr>
            <w:tcW w:w="505" w:type="pct"/>
            <w:vMerge w:val="continue"/>
            <w:tcBorders>
              <w:tl2br w:val="nil"/>
              <w:tr2bl w:val="nil"/>
            </w:tcBorders>
            <w:vAlign w:val="center"/>
          </w:tcPr>
          <w:p w14:paraId="5E9A1E4D">
            <w:pPr>
              <w:pStyle w:val="711"/>
              <w:rPr>
                <w:color w:val="auto"/>
              </w:rPr>
            </w:pPr>
          </w:p>
        </w:tc>
      </w:tr>
      <w:tr w14:paraId="5D231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7C7D8DA5">
            <w:pPr>
              <w:pStyle w:val="711"/>
              <w:rPr>
                <w:color w:val="auto"/>
              </w:rPr>
            </w:pPr>
          </w:p>
        </w:tc>
        <w:tc>
          <w:tcPr>
            <w:tcW w:w="514" w:type="pct"/>
            <w:vMerge w:val="continue"/>
            <w:tcBorders>
              <w:tl2br w:val="nil"/>
              <w:tr2bl w:val="nil"/>
            </w:tcBorders>
            <w:vAlign w:val="center"/>
          </w:tcPr>
          <w:p w14:paraId="77AFE49B">
            <w:pPr>
              <w:pStyle w:val="711"/>
              <w:rPr>
                <w:color w:val="auto"/>
              </w:rPr>
            </w:pPr>
          </w:p>
        </w:tc>
        <w:tc>
          <w:tcPr>
            <w:tcW w:w="561" w:type="pct"/>
            <w:tcBorders>
              <w:tl2br w:val="nil"/>
              <w:tr2bl w:val="nil"/>
            </w:tcBorders>
            <w:shd w:val="clear" w:color="auto" w:fill="auto"/>
            <w:vAlign w:val="center"/>
          </w:tcPr>
          <w:p w14:paraId="31E1FD47">
            <w:pPr>
              <w:pStyle w:val="711"/>
              <w:rPr>
                <w:b/>
                <w:bCs/>
                <w:color w:val="auto"/>
              </w:rPr>
            </w:pPr>
            <w:r>
              <w:rPr>
                <w:rFonts w:hint="eastAsia"/>
                <w:b/>
                <w:bCs/>
                <w:color w:val="auto"/>
              </w:rPr>
              <w:t>m</w:t>
            </w:r>
          </w:p>
        </w:tc>
        <w:tc>
          <w:tcPr>
            <w:tcW w:w="699" w:type="pct"/>
            <w:tcBorders>
              <w:tl2br w:val="nil"/>
              <w:tr2bl w:val="nil"/>
            </w:tcBorders>
            <w:shd w:val="clear" w:color="auto" w:fill="auto"/>
            <w:vAlign w:val="center"/>
          </w:tcPr>
          <w:p w14:paraId="45BE6715">
            <w:pPr>
              <w:pStyle w:val="711"/>
              <w:rPr>
                <w:b/>
                <w:bCs/>
                <w:color w:val="auto"/>
              </w:rPr>
            </w:pPr>
            <w:r>
              <w:rPr>
                <w:rFonts w:hint="eastAsia"/>
                <w:b/>
                <w:bCs/>
                <w:color w:val="auto"/>
              </w:rPr>
              <w:t>m</w:t>
            </w:r>
          </w:p>
        </w:tc>
        <w:tc>
          <w:tcPr>
            <w:tcW w:w="544" w:type="pct"/>
            <w:tcBorders>
              <w:tl2br w:val="nil"/>
              <w:tr2bl w:val="nil"/>
            </w:tcBorders>
            <w:shd w:val="clear" w:color="auto" w:fill="auto"/>
            <w:vAlign w:val="center"/>
          </w:tcPr>
          <w:p w14:paraId="348565C0">
            <w:pPr>
              <w:pStyle w:val="711"/>
              <w:rPr>
                <w:b/>
                <w:bCs/>
                <w:color w:val="auto"/>
              </w:rPr>
            </w:pPr>
            <w:r>
              <w:rPr>
                <w:rFonts w:hint="eastAsia"/>
                <w:b/>
                <w:bCs/>
                <w:color w:val="auto"/>
              </w:rPr>
              <w:t>m</w:t>
            </w:r>
          </w:p>
        </w:tc>
        <w:tc>
          <w:tcPr>
            <w:tcW w:w="404" w:type="pct"/>
            <w:tcBorders>
              <w:tl2br w:val="nil"/>
              <w:tr2bl w:val="nil"/>
            </w:tcBorders>
            <w:shd w:val="clear" w:color="auto" w:fill="auto"/>
            <w:vAlign w:val="center"/>
          </w:tcPr>
          <w:p w14:paraId="7C9D3769">
            <w:pPr>
              <w:pStyle w:val="711"/>
              <w:rPr>
                <w:b/>
                <w:bCs/>
                <w:color w:val="auto"/>
              </w:rPr>
            </w:pPr>
            <w:r>
              <w:rPr>
                <w:rFonts w:hint="eastAsia"/>
                <w:b/>
                <w:bCs/>
                <w:color w:val="auto"/>
              </w:rPr>
              <w:t>L/s</w:t>
            </w:r>
          </w:p>
        </w:tc>
        <w:tc>
          <w:tcPr>
            <w:tcW w:w="466" w:type="pct"/>
            <w:tcBorders>
              <w:tl2br w:val="nil"/>
              <w:tr2bl w:val="nil"/>
            </w:tcBorders>
            <w:shd w:val="clear" w:color="auto" w:fill="auto"/>
            <w:vAlign w:val="center"/>
          </w:tcPr>
          <w:p w14:paraId="3663ADFB">
            <w:pPr>
              <w:pStyle w:val="711"/>
              <w:rPr>
                <w:b/>
                <w:bCs/>
                <w:color w:val="auto"/>
              </w:rPr>
            </w:pPr>
            <w:r>
              <w:rPr>
                <w:rFonts w:hint="eastAsia"/>
                <w:b/>
                <w:bCs/>
                <w:color w:val="auto"/>
              </w:rPr>
              <w:t>m</w:t>
            </w:r>
            <w:r>
              <w:rPr>
                <w:rFonts w:hint="eastAsia"/>
                <w:b/>
                <w:bCs/>
                <w:color w:val="auto"/>
                <w:vertAlign w:val="superscript"/>
              </w:rPr>
              <w:t>3</w:t>
            </w:r>
            <w:r>
              <w:rPr>
                <w:rFonts w:hint="eastAsia"/>
                <w:b/>
                <w:bCs/>
                <w:color w:val="auto"/>
              </w:rPr>
              <w:t>/d</w:t>
            </w:r>
          </w:p>
        </w:tc>
        <w:tc>
          <w:tcPr>
            <w:tcW w:w="359" w:type="pct"/>
            <w:tcBorders>
              <w:tl2br w:val="nil"/>
              <w:tr2bl w:val="nil"/>
            </w:tcBorders>
            <w:shd w:val="clear" w:color="auto" w:fill="auto"/>
            <w:vAlign w:val="center"/>
          </w:tcPr>
          <w:p w14:paraId="29165352">
            <w:pPr>
              <w:pStyle w:val="711"/>
              <w:rPr>
                <w:b/>
                <w:bCs/>
                <w:color w:val="auto"/>
              </w:rPr>
            </w:pPr>
            <w:r>
              <w:rPr>
                <w:rFonts w:hint="eastAsia"/>
                <w:b/>
                <w:bCs/>
                <w:color w:val="auto"/>
              </w:rPr>
              <w:t>m/d</w:t>
            </w:r>
          </w:p>
        </w:tc>
        <w:tc>
          <w:tcPr>
            <w:tcW w:w="582" w:type="pct"/>
            <w:tcBorders>
              <w:tl2br w:val="nil"/>
              <w:tr2bl w:val="nil"/>
            </w:tcBorders>
            <w:shd w:val="clear" w:color="auto" w:fill="auto"/>
            <w:vAlign w:val="center"/>
          </w:tcPr>
          <w:p w14:paraId="58874229">
            <w:pPr>
              <w:pStyle w:val="711"/>
              <w:rPr>
                <w:b/>
                <w:bCs/>
                <w:color w:val="auto"/>
              </w:rPr>
            </w:pPr>
            <w:r>
              <w:rPr>
                <w:rFonts w:hint="eastAsia"/>
                <w:b/>
                <w:bCs/>
                <w:color w:val="auto"/>
              </w:rPr>
              <w:t>cm/s</w:t>
            </w:r>
          </w:p>
        </w:tc>
        <w:tc>
          <w:tcPr>
            <w:tcW w:w="505" w:type="pct"/>
            <w:tcBorders>
              <w:tl2br w:val="nil"/>
              <w:tr2bl w:val="nil"/>
            </w:tcBorders>
            <w:shd w:val="clear" w:color="auto" w:fill="auto"/>
            <w:vAlign w:val="center"/>
          </w:tcPr>
          <w:p w14:paraId="580202C6">
            <w:pPr>
              <w:pStyle w:val="711"/>
              <w:rPr>
                <w:color w:val="auto"/>
              </w:rPr>
            </w:pPr>
            <w:r>
              <w:rPr>
                <w:rFonts w:hint="eastAsia"/>
                <w:color w:val="auto"/>
              </w:rPr>
              <w:t>m</w:t>
            </w:r>
          </w:p>
        </w:tc>
      </w:tr>
      <w:tr w14:paraId="49120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256FF272">
            <w:pPr>
              <w:pStyle w:val="711"/>
              <w:rPr>
                <w:color w:val="auto"/>
              </w:rPr>
            </w:pPr>
            <w:r>
              <w:rPr>
                <w:rFonts w:hint="eastAsia"/>
                <w:color w:val="auto"/>
              </w:rPr>
              <w:t>23</w:t>
            </w:r>
          </w:p>
        </w:tc>
        <w:tc>
          <w:tcPr>
            <w:tcW w:w="514" w:type="pct"/>
            <w:tcBorders>
              <w:tl2br w:val="nil"/>
              <w:tr2bl w:val="nil"/>
            </w:tcBorders>
            <w:shd w:val="clear" w:color="auto" w:fill="auto"/>
            <w:vAlign w:val="center"/>
          </w:tcPr>
          <w:p w14:paraId="52B4BFA0">
            <w:pPr>
              <w:pStyle w:val="711"/>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7B285083">
            <w:pPr>
              <w:pStyle w:val="711"/>
              <w:rPr>
                <w:color w:val="auto"/>
              </w:rPr>
            </w:pPr>
            <w:r>
              <w:rPr>
                <w:rFonts w:hint="eastAsia"/>
                <w:color w:val="auto"/>
              </w:rPr>
              <w:t>17.34</w:t>
            </w:r>
          </w:p>
        </w:tc>
        <w:tc>
          <w:tcPr>
            <w:tcW w:w="699" w:type="pct"/>
            <w:tcBorders>
              <w:tl2br w:val="nil"/>
              <w:tr2bl w:val="nil"/>
            </w:tcBorders>
            <w:shd w:val="clear" w:color="auto" w:fill="auto"/>
            <w:vAlign w:val="center"/>
          </w:tcPr>
          <w:p w14:paraId="54A5A74D">
            <w:pPr>
              <w:pStyle w:val="711"/>
              <w:rPr>
                <w:color w:val="auto"/>
              </w:rPr>
            </w:pPr>
            <w:r>
              <w:rPr>
                <w:rFonts w:hint="eastAsia"/>
                <w:color w:val="auto"/>
              </w:rPr>
              <w:t>6.58</w:t>
            </w:r>
          </w:p>
        </w:tc>
        <w:tc>
          <w:tcPr>
            <w:tcW w:w="544" w:type="pct"/>
            <w:tcBorders>
              <w:tl2br w:val="nil"/>
              <w:tr2bl w:val="nil"/>
            </w:tcBorders>
            <w:shd w:val="clear" w:color="auto" w:fill="auto"/>
            <w:vAlign w:val="center"/>
          </w:tcPr>
          <w:p w14:paraId="72101C99">
            <w:pPr>
              <w:pStyle w:val="711"/>
              <w:rPr>
                <w:color w:val="auto"/>
              </w:rPr>
            </w:pPr>
            <w:r>
              <w:rPr>
                <w:rFonts w:hint="eastAsia"/>
                <w:color w:val="auto"/>
              </w:rPr>
              <w:t>6.13</w:t>
            </w:r>
          </w:p>
        </w:tc>
        <w:tc>
          <w:tcPr>
            <w:tcW w:w="404" w:type="pct"/>
            <w:tcBorders>
              <w:tl2br w:val="nil"/>
              <w:tr2bl w:val="nil"/>
            </w:tcBorders>
            <w:shd w:val="clear" w:color="auto" w:fill="auto"/>
            <w:vAlign w:val="center"/>
          </w:tcPr>
          <w:p w14:paraId="6F25FB70">
            <w:pPr>
              <w:pStyle w:val="711"/>
              <w:rPr>
                <w:color w:val="auto"/>
              </w:rPr>
            </w:pPr>
            <w:r>
              <w:rPr>
                <w:rFonts w:hint="eastAsia"/>
                <w:color w:val="auto"/>
              </w:rPr>
              <w:t>3.997</w:t>
            </w:r>
          </w:p>
        </w:tc>
        <w:tc>
          <w:tcPr>
            <w:tcW w:w="466" w:type="pct"/>
            <w:tcBorders>
              <w:tl2br w:val="nil"/>
              <w:tr2bl w:val="nil"/>
            </w:tcBorders>
            <w:shd w:val="clear" w:color="auto" w:fill="auto"/>
            <w:vAlign w:val="center"/>
          </w:tcPr>
          <w:p w14:paraId="1F2BDA38">
            <w:pPr>
              <w:pStyle w:val="711"/>
              <w:rPr>
                <w:color w:val="auto"/>
              </w:rPr>
            </w:pPr>
            <w:r>
              <w:rPr>
                <w:rFonts w:hint="eastAsia"/>
                <w:color w:val="auto"/>
              </w:rPr>
              <w:t>345.30</w:t>
            </w:r>
          </w:p>
        </w:tc>
        <w:tc>
          <w:tcPr>
            <w:tcW w:w="359" w:type="pct"/>
            <w:tcBorders>
              <w:tl2br w:val="nil"/>
              <w:tr2bl w:val="nil"/>
            </w:tcBorders>
            <w:shd w:val="clear" w:color="auto" w:fill="auto"/>
            <w:vAlign w:val="center"/>
          </w:tcPr>
          <w:p w14:paraId="705F6AC9">
            <w:pPr>
              <w:pStyle w:val="711"/>
              <w:rPr>
                <w:color w:val="auto"/>
              </w:rPr>
            </w:pPr>
            <w:r>
              <w:rPr>
                <w:rFonts w:hint="eastAsia"/>
                <w:color w:val="auto"/>
              </w:rPr>
              <w:t>4.17</w:t>
            </w:r>
          </w:p>
        </w:tc>
        <w:tc>
          <w:tcPr>
            <w:tcW w:w="582" w:type="pct"/>
            <w:tcBorders>
              <w:tl2br w:val="nil"/>
              <w:tr2bl w:val="nil"/>
            </w:tcBorders>
            <w:shd w:val="clear" w:color="auto" w:fill="auto"/>
            <w:vAlign w:val="center"/>
          </w:tcPr>
          <w:p w14:paraId="1790960F">
            <w:pPr>
              <w:pStyle w:val="711"/>
              <w:rPr>
                <w:color w:val="auto"/>
              </w:rPr>
            </w:pPr>
            <w:r>
              <w:rPr>
                <w:rFonts w:hint="eastAsia"/>
                <w:color w:val="auto"/>
              </w:rPr>
              <w:t>4.83E-03</w:t>
            </w:r>
          </w:p>
        </w:tc>
        <w:tc>
          <w:tcPr>
            <w:tcW w:w="505" w:type="pct"/>
            <w:tcBorders>
              <w:tl2br w:val="nil"/>
              <w:tr2bl w:val="nil"/>
            </w:tcBorders>
            <w:shd w:val="clear" w:color="auto" w:fill="auto"/>
            <w:vAlign w:val="center"/>
          </w:tcPr>
          <w:p w14:paraId="20D98CCD">
            <w:pPr>
              <w:pStyle w:val="711"/>
              <w:rPr>
                <w:color w:val="auto"/>
              </w:rPr>
            </w:pPr>
            <w:r>
              <w:rPr>
                <w:rFonts w:hint="eastAsia"/>
                <w:color w:val="auto"/>
              </w:rPr>
              <w:t>125</w:t>
            </w:r>
          </w:p>
        </w:tc>
      </w:tr>
      <w:tr w14:paraId="4CDB1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noWrap/>
            <w:vAlign w:val="center"/>
          </w:tcPr>
          <w:p w14:paraId="54E123A8">
            <w:pPr>
              <w:pStyle w:val="711"/>
              <w:rPr>
                <w:color w:val="auto"/>
              </w:rPr>
            </w:pPr>
            <w:r>
              <w:rPr>
                <w:rFonts w:hint="eastAsia"/>
                <w:color w:val="auto"/>
              </w:rPr>
              <w:t>24</w:t>
            </w:r>
          </w:p>
        </w:tc>
        <w:tc>
          <w:tcPr>
            <w:tcW w:w="514" w:type="pct"/>
            <w:tcBorders>
              <w:tl2br w:val="nil"/>
              <w:tr2bl w:val="nil"/>
            </w:tcBorders>
            <w:shd w:val="clear" w:color="auto" w:fill="auto"/>
            <w:vAlign w:val="center"/>
          </w:tcPr>
          <w:p w14:paraId="5C21D073">
            <w:pPr>
              <w:pStyle w:val="711"/>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1846C59D">
            <w:pPr>
              <w:pStyle w:val="711"/>
              <w:rPr>
                <w:color w:val="auto"/>
              </w:rPr>
            </w:pPr>
            <w:r>
              <w:rPr>
                <w:rFonts w:hint="eastAsia"/>
                <w:color w:val="auto"/>
              </w:rPr>
              <w:t>18.28</w:t>
            </w:r>
          </w:p>
        </w:tc>
        <w:tc>
          <w:tcPr>
            <w:tcW w:w="699" w:type="pct"/>
            <w:tcBorders>
              <w:tl2br w:val="nil"/>
              <w:tr2bl w:val="nil"/>
            </w:tcBorders>
            <w:shd w:val="clear" w:color="auto" w:fill="auto"/>
            <w:vAlign w:val="center"/>
          </w:tcPr>
          <w:p w14:paraId="6E17D8D8">
            <w:pPr>
              <w:pStyle w:val="711"/>
              <w:rPr>
                <w:color w:val="auto"/>
              </w:rPr>
            </w:pPr>
            <w:r>
              <w:rPr>
                <w:rFonts w:hint="eastAsia"/>
                <w:color w:val="auto"/>
              </w:rPr>
              <w:t>6.11</w:t>
            </w:r>
          </w:p>
        </w:tc>
        <w:tc>
          <w:tcPr>
            <w:tcW w:w="544" w:type="pct"/>
            <w:tcBorders>
              <w:tl2br w:val="nil"/>
              <w:tr2bl w:val="nil"/>
            </w:tcBorders>
            <w:shd w:val="clear" w:color="auto" w:fill="auto"/>
            <w:vAlign w:val="center"/>
          </w:tcPr>
          <w:p w14:paraId="23E6DB3E">
            <w:pPr>
              <w:pStyle w:val="711"/>
              <w:rPr>
                <w:color w:val="auto"/>
              </w:rPr>
            </w:pPr>
            <w:r>
              <w:rPr>
                <w:rFonts w:hint="eastAsia"/>
                <w:color w:val="auto"/>
              </w:rPr>
              <w:t>4.56</w:t>
            </w:r>
          </w:p>
        </w:tc>
        <w:tc>
          <w:tcPr>
            <w:tcW w:w="404" w:type="pct"/>
            <w:tcBorders>
              <w:tl2br w:val="nil"/>
              <w:tr2bl w:val="nil"/>
            </w:tcBorders>
            <w:shd w:val="clear" w:color="auto" w:fill="auto"/>
            <w:vAlign w:val="center"/>
          </w:tcPr>
          <w:p w14:paraId="6A75AE44">
            <w:pPr>
              <w:pStyle w:val="711"/>
              <w:rPr>
                <w:color w:val="auto"/>
              </w:rPr>
            </w:pPr>
            <w:r>
              <w:rPr>
                <w:rFonts w:hint="eastAsia"/>
                <w:color w:val="auto"/>
              </w:rPr>
              <w:t>4.317</w:t>
            </w:r>
          </w:p>
        </w:tc>
        <w:tc>
          <w:tcPr>
            <w:tcW w:w="466" w:type="pct"/>
            <w:tcBorders>
              <w:tl2br w:val="nil"/>
              <w:tr2bl w:val="nil"/>
            </w:tcBorders>
            <w:shd w:val="clear" w:color="auto" w:fill="auto"/>
            <w:vAlign w:val="center"/>
          </w:tcPr>
          <w:p w14:paraId="3FAB5140">
            <w:pPr>
              <w:pStyle w:val="711"/>
              <w:rPr>
                <w:color w:val="auto"/>
              </w:rPr>
            </w:pPr>
            <w:r>
              <w:rPr>
                <w:rFonts w:hint="eastAsia"/>
                <w:color w:val="auto"/>
              </w:rPr>
              <w:t>372.97</w:t>
            </w:r>
          </w:p>
        </w:tc>
        <w:tc>
          <w:tcPr>
            <w:tcW w:w="359" w:type="pct"/>
            <w:tcBorders>
              <w:tl2br w:val="nil"/>
              <w:tr2bl w:val="nil"/>
            </w:tcBorders>
            <w:shd w:val="clear" w:color="auto" w:fill="auto"/>
            <w:vAlign w:val="center"/>
          </w:tcPr>
          <w:p w14:paraId="2A58E954">
            <w:pPr>
              <w:pStyle w:val="711"/>
              <w:rPr>
                <w:color w:val="auto"/>
              </w:rPr>
            </w:pPr>
            <w:r>
              <w:rPr>
                <w:rFonts w:hint="eastAsia"/>
                <w:color w:val="auto"/>
              </w:rPr>
              <w:t>5.54</w:t>
            </w:r>
          </w:p>
        </w:tc>
        <w:tc>
          <w:tcPr>
            <w:tcW w:w="582" w:type="pct"/>
            <w:tcBorders>
              <w:tl2br w:val="nil"/>
              <w:tr2bl w:val="nil"/>
            </w:tcBorders>
            <w:shd w:val="clear" w:color="auto" w:fill="auto"/>
            <w:vAlign w:val="center"/>
          </w:tcPr>
          <w:p w14:paraId="2FFC16A1">
            <w:pPr>
              <w:pStyle w:val="711"/>
              <w:rPr>
                <w:color w:val="auto"/>
              </w:rPr>
            </w:pPr>
            <w:r>
              <w:rPr>
                <w:rFonts w:hint="eastAsia"/>
                <w:color w:val="auto"/>
              </w:rPr>
              <w:t>6.41E-03</w:t>
            </w:r>
          </w:p>
        </w:tc>
        <w:tc>
          <w:tcPr>
            <w:tcW w:w="505" w:type="pct"/>
            <w:tcBorders>
              <w:tl2br w:val="nil"/>
              <w:tr2bl w:val="nil"/>
            </w:tcBorders>
            <w:shd w:val="clear" w:color="auto" w:fill="auto"/>
            <w:vAlign w:val="center"/>
          </w:tcPr>
          <w:p w14:paraId="74FCF387">
            <w:pPr>
              <w:pStyle w:val="711"/>
              <w:rPr>
                <w:color w:val="auto"/>
              </w:rPr>
            </w:pPr>
            <w:r>
              <w:rPr>
                <w:rFonts w:hint="eastAsia"/>
                <w:color w:val="auto"/>
              </w:rPr>
              <w:t>107</w:t>
            </w:r>
          </w:p>
        </w:tc>
      </w:tr>
      <w:tr w14:paraId="45641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0B4D6802">
            <w:pPr>
              <w:pStyle w:val="711"/>
              <w:rPr>
                <w:color w:val="auto"/>
              </w:rPr>
            </w:pPr>
            <w:r>
              <w:rPr>
                <w:rFonts w:hint="eastAsia"/>
                <w:color w:val="auto"/>
              </w:rPr>
              <w:t>32</w:t>
            </w:r>
          </w:p>
        </w:tc>
        <w:tc>
          <w:tcPr>
            <w:tcW w:w="514" w:type="pct"/>
            <w:tcBorders>
              <w:tl2br w:val="nil"/>
              <w:tr2bl w:val="nil"/>
            </w:tcBorders>
            <w:shd w:val="clear" w:color="auto" w:fill="auto"/>
            <w:vAlign w:val="center"/>
          </w:tcPr>
          <w:p w14:paraId="339BD371">
            <w:pPr>
              <w:pStyle w:val="711"/>
              <w:rPr>
                <w:color w:val="auto"/>
              </w:rPr>
            </w:pPr>
            <w:r>
              <w:rPr>
                <w:rFonts w:hint="eastAsia"/>
                <w:color w:val="auto"/>
              </w:rPr>
              <w:t>Q</w:t>
            </w:r>
            <w:r>
              <w:rPr>
                <w:rFonts w:hint="eastAsia"/>
                <w:color w:val="auto"/>
                <w:vertAlign w:val="subscript"/>
              </w:rPr>
              <w:t>3</w:t>
            </w:r>
            <w:r>
              <w:rPr>
                <w:rFonts w:hint="eastAsia"/>
                <w:color w:val="auto"/>
                <w:vertAlign w:val="superscript"/>
              </w:rPr>
              <w:t>al</w:t>
            </w:r>
          </w:p>
        </w:tc>
        <w:tc>
          <w:tcPr>
            <w:tcW w:w="561" w:type="pct"/>
            <w:tcBorders>
              <w:tl2br w:val="nil"/>
              <w:tr2bl w:val="nil"/>
            </w:tcBorders>
            <w:shd w:val="clear" w:color="auto" w:fill="auto"/>
            <w:vAlign w:val="center"/>
          </w:tcPr>
          <w:p w14:paraId="7C0B7129">
            <w:pPr>
              <w:pStyle w:val="711"/>
              <w:rPr>
                <w:color w:val="auto"/>
              </w:rPr>
            </w:pPr>
            <w:r>
              <w:rPr>
                <w:rFonts w:hint="eastAsia"/>
                <w:color w:val="auto"/>
              </w:rPr>
              <w:t>12.9</w:t>
            </w:r>
          </w:p>
        </w:tc>
        <w:tc>
          <w:tcPr>
            <w:tcW w:w="699" w:type="pct"/>
            <w:tcBorders>
              <w:tl2br w:val="nil"/>
              <w:tr2bl w:val="nil"/>
            </w:tcBorders>
            <w:shd w:val="clear" w:color="auto" w:fill="auto"/>
            <w:vAlign w:val="center"/>
          </w:tcPr>
          <w:p w14:paraId="5E012D4D">
            <w:pPr>
              <w:pStyle w:val="711"/>
              <w:rPr>
                <w:color w:val="auto"/>
              </w:rPr>
            </w:pPr>
            <w:r>
              <w:rPr>
                <w:rFonts w:hint="eastAsia"/>
                <w:color w:val="auto"/>
              </w:rPr>
              <w:t>1.15</w:t>
            </w:r>
          </w:p>
        </w:tc>
        <w:tc>
          <w:tcPr>
            <w:tcW w:w="544" w:type="pct"/>
            <w:tcBorders>
              <w:tl2br w:val="nil"/>
              <w:tr2bl w:val="nil"/>
            </w:tcBorders>
            <w:shd w:val="clear" w:color="auto" w:fill="auto"/>
            <w:vAlign w:val="center"/>
          </w:tcPr>
          <w:p w14:paraId="6E33C31A">
            <w:pPr>
              <w:pStyle w:val="711"/>
              <w:rPr>
                <w:color w:val="auto"/>
              </w:rPr>
            </w:pPr>
            <w:r>
              <w:rPr>
                <w:rFonts w:hint="eastAsia"/>
                <w:color w:val="auto"/>
              </w:rPr>
              <w:t>4.18</w:t>
            </w:r>
          </w:p>
        </w:tc>
        <w:tc>
          <w:tcPr>
            <w:tcW w:w="404" w:type="pct"/>
            <w:tcBorders>
              <w:tl2br w:val="nil"/>
              <w:tr2bl w:val="nil"/>
            </w:tcBorders>
            <w:shd w:val="clear" w:color="auto" w:fill="auto"/>
            <w:vAlign w:val="center"/>
          </w:tcPr>
          <w:p w14:paraId="52D0BE5F">
            <w:pPr>
              <w:pStyle w:val="711"/>
              <w:rPr>
                <w:color w:val="auto"/>
              </w:rPr>
            </w:pPr>
            <w:r>
              <w:rPr>
                <w:rFonts w:hint="eastAsia"/>
                <w:color w:val="auto"/>
              </w:rPr>
              <w:t>4.239</w:t>
            </w:r>
          </w:p>
        </w:tc>
        <w:tc>
          <w:tcPr>
            <w:tcW w:w="466" w:type="pct"/>
            <w:tcBorders>
              <w:tl2br w:val="nil"/>
              <w:tr2bl w:val="nil"/>
            </w:tcBorders>
            <w:shd w:val="clear" w:color="auto" w:fill="auto"/>
            <w:vAlign w:val="center"/>
          </w:tcPr>
          <w:p w14:paraId="2D241B27">
            <w:pPr>
              <w:pStyle w:val="711"/>
              <w:rPr>
                <w:color w:val="auto"/>
              </w:rPr>
            </w:pPr>
            <w:r>
              <w:rPr>
                <w:rFonts w:hint="eastAsia"/>
                <w:color w:val="auto"/>
              </w:rPr>
              <w:t>366.25</w:t>
            </w:r>
          </w:p>
        </w:tc>
        <w:tc>
          <w:tcPr>
            <w:tcW w:w="359" w:type="pct"/>
            <w:tcBorders>
              <w:tl2br w:val="nil"/>
              <w:tr2bl w:val="nil"/>
            </w:tcBorders>
            <w:shd w:val="clear" w:color="auto" w:fill="auto"/>
            <w:vAlign w:val="center"/>
          </w:tcPr>
          <w:p w14:paraId="5D327C6F">
            <w:pPr>
              <w:pStyle w:val="711"/>
              <w:rPr>
                <w:color w:val="auto"/>
              </w:rPr>
            </w:pPr>
            <w:r>
              <w:rPr>
                <w:rFonts w:hint="eastAsia"/>
                <w:color w:val="auto"/>
              </w:rPr>
              <w:t>9.00</w:t>
            </w:r>
          </w:p>
        </w:tc>
        <w:tc>
          <w:tcPr>
            <w:tcW w:w="582" w:type="pct"/>
            <w:tcBorders>
              <w:tl2br w:val="nil"/>
              <w:tr2bl w:val="nil"/>
            </w:tcBorders>
            <w:shd w:val="clear" w:color="auto" w:fill="auto"/>
            <w:vAlign w:val="center"/>
          </w:tcPr>
          <w:p w14:paraId="74DCA349">
            <w:pPr>
              <w:pStyle w:val="711"/>
              <w:rPr>
                <w:color w:val="auto"/>
              </w:rPr>
            </w:pPr>
            <w:r>
              <w:rPr>
                <w:rFonts w:hint="eastAsia"/>
                <w:color w:val="auto"/>
              </w:rPr>
              <w:t>1.04E-02</w:t>
            </w:r>
          </w:p>
        </w:tc>
        <w:tc>
          <w:tcPr>
            <w:tcW w:w="505" w:type="pct"/>
            <w:tcBorders>
              <w:tl2br w:val="nil"/>
              <w:tr2bl w:val="nil"/>
            </w:tcBorders>
            <w:shd w:val="clear" w:color="auto" w:fill="auto"/>
            <w:vAlign w:val="center"/>
          </w:tcPr>
          <w:p w14:paraId="4F71161D">
            <w:pPr>
              <w:pStyle w:val="711"/>
              <w:rPr>
                <w:color w:val="auto"/>
              </w:rPr>
            </w:pPr>
            <w:r>
              <w:rPr>
                <w:rFonts w:hint="eastAsia"/>
                <w:color w:val="auto"/>
              </w:rPr>
              <w:t>90</w:t>
            </w:r>
          </w:p>
        </w:tc>
      </w:tr>
    </w:tbl>
    <w:p w14:paraId="5F310559">
      <w:pPr>
        <w:pStyle w:val="697"/>
        <w:rPr>
          <w:color w:val="auto"/>
          <w:sz w:val="21"/>
          <w:szCs w:val="21"/>
        </w:rPr>
      </w:pPr>
      <w:r>
        <w:rPr>
          <w:color w:val="auto"/>
          <w:sz w:val="21"/>
          <w:szCs w:val="21"/>
        </w:rPr>
        <w:t>注：数据参考自</w:t>
      </w:r>
      <w:r>
        <w:rPr>
          <w:rFonts w:hint="eastAsia"/>
          <w:color w:val="auto"/>
          <w:sz w:val="21"/>
          <w:szCs w:val="21"/>
        </w:rPr>
        <w:t>《1:20万仪陇幅区域水文地质普查报告》</w:t>
      </w:r>
      <w:r>
        <w:rPr>
          <w:color w:val="auto"/>
          <w:sz w:val="21"/>
          <w:szCs w:val="21"/>
        </w:rPr>
        <w:t>。</w:t>
      </w:r>
    </w:p>
    <w:p w14:paraId="22EC384F">
      <w:pPr>
        <w:pStyle w:val="710"/>
        <w:ind w:firstLine="360"/>
        <w:rPr>
          <w:rFonts w:cs="Times New Roman"/>
          <w:color w:val="auto"/>
        </w:rPr>
      </w:pPr>
      <w:r>
        <w:rPr>
          <w:rFonts w:cs="Times New Roman"/>
          <w:color w:val="auto"/>
        </w:rPr>
        <w:t>表</w:t>
      </w:r>
      <w:r>
        <w:rPr>
          <w:rFonts w:hint="eastAsia" w:cs="Times New Roman"/>
          <w:color w:val="auto"/>
          <w:lang w:val="en-US" w:eastAsia="zh-CN"/>
        </w:rPr>
        <w:t>3.1</w:t>
      </w:r>
      <w:r>
        <w:rPr>
          <w:rFonts w:hint="eastAsia" w:cs="Times New Roman"/>
          <w:color w:val="auto"/>
        </w:rPr>
        <w:t>3</w:t>
      </w:r>
      <w:r>
        <w:rPr>
          <w:rFonts w:cs="Times New Roman"/>
          <w:color w:val="auto"/>
        </w:rPr>
        <w:t xml:space="preserve">  </w:t>
      </w:r>
      <w:r>
        <w:rPr>
          <w:rFonts w:hint="eastAsia" w:cs="Times New Roman"/>
          <w:color w:val="auto"/>
        </w:rPr>
        <w:t>白垩系白龙组（K</w:t>
      </w:r>
      <w:r>
        <w:rPr>
          <w:rFonts w:hint="eastAsia" w:cs="Times New Roman"/>
          <w:color w:val="auto"/>
          <w:vertAlign w:val="subscript"/>
        </w:rPr>
        <w:t>1</w:t>
      </w:r>
      <w:r>
        <w:rPr>
          <w:rFonts w:hint="eastAsia" w:cs="Times New Roman"/>
          <w:color w:val="auto"/>
        </w:rPr>
        <w:t>b）浅层地下水</w:t>
      </w:r>
      <w:r>
        <w:rPr>
          <w:rFonts w:cs="Times New Roman"/>
          <w:color w:val="auto"/>
        </w:rPr>
        <w:t>抽水试验成果统计表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857"/>
        <w:gridCol w:w="949"/>
        <w:gridCol w:w="1267"/>
        <w:gridCol w:w="981"/>
        <w:gridCol w:w="705"/>
        <w:gridCol w:w="813"/>
        <w:gridCol w:w="625"/>
        <w:gridCol w:w="1016"/>
        <w:gridCol w:w="895"/>
      </w:tblGrid>
      <w:tr w14:paraId="399E9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restart"/>
            <w:tcBorders>
              <w:tl2br w:val="nil"/>
              <w:tr2bl w:val="nil"/>
            </w:tcBorders>
            <w:shd w:val="clear" w:color="auto" w:fill="auto"/>
            <w:vAlign w:val="center"/>
          </w:tcPr>
          <w:p w14:paraId="0120DD9D">
            <w:pPr>
              <w:pStyle w:val="711"/>
              <w:rPr>
                <w:b/>
                <w:bCs/>
                <w:color w:val="auto"/>
              </w:rPr>
            </w:pPr>
            <w:r>
              <w:rPr>
                <w:rFonts w:hint="eastAsia"/>
                <w:b/>
                <w:bCs/>
                <w:color w:val="auto"/>
              </w:rPr>
              <w:t>试验孔</w:t>
            </w:r>
          </w:p>
        </w:tc>
        <w:tc>
          <w:tcPr>
            <w:tcW w:w="491" w:type="pct"/>
            <w:vMerge w:val="restart"/>
            <w:tcBorders>
              <w:tl2br w:val="nil"/>
              <w:tr2bl w:val="nil"/>
            </w:tcBorders>
            <w:shd w:val="clear" w:color="auto" w:fill="auto"/>
            <w:vAlign w:val="center"/>
          </w:tcPr>
          <w:p w14:paraId="64E290D9">
            <w:pPr>
              <w:pStyle w:val="711"/>
              <w:rPr>
                <w:b/>
                <w:bCs/>
                <w:color w:val="auto"/>
              </w:rPr>
            </w:pPr>
            <w:r>
              <w:rPr>
                <w:rFonts w:hint="eastAsia"/>
                <w:b/>
                <w:bCs/>
                <w:color w:val="auto"/>
              </w:rPr>
              <w:t>含水层代号</w:t>
            </w:r>
          </w:p>
        </w:tc>
        <w:tc>
          <w:tcPr>
            <w:tcW w:w="544" w:type="pct"/>
            <w:vMerge w:val="restart"/>
            <w:tcBorders>
              <w:tl2br w:val="nil"/>
              <w:tr2bl w:val="nil"/>
            </w:tcBorders>
            <w:shd w:val="clear" w:color="auto" w:fill="auto"/>
            <w:vAlign w:val="center"/>
          </w:tcPr>
          <w:p w14:paraId="62DBB33E">
            <w:pPr>
              <w:pStyle w:val="711"/>
              <w:rPr>
                <w:b/>
                <w:bCs/>
                <w:color w:val="auto"/>
              </w:rPr>
            </w:pPr>
            <w:r>
              <w:rPr>
                <w:rFonts w:hint="eastAsia"/>
                <w:b/>
                <w:bCs/>
                <w:color w:val="auto"/>
              </w:rPr>
              <w:t>含水层厚度</w:t>
            </w:r>
          </w:p>
        </w:tc>
        <w:tc>
          <w:tcPr>
            <w:tcW w:w="726" w:type="pct"/>
            <w:vMerge w:val="restart"/>
            <w:tcBorders>
              <w:tl2br w:val="nil"/>
              <w:tr2bl w:val="nil"/>
            </w:tcBorders>
            <w:shd w:val="clear" w:color="auto" w:fill="auto"/>
            <w:vAlign w:val="center"/>
          </w:tcPr>
          <w:p w14:paraId="217831BC">
            <w:pPr>
              <w:pStyle w:val="711"/>
              <w:rPr>
                <w:b/>
                <w:bCs/>
                <w:color w:val="auto"/>
              </w:rPr>
            </w:pPr>
            <w:r>
              <w:rPr>
                <w:rFonts w:hint="eastAsia"/>
                <w:b/>
                <w:bCs/>
                <w:color w:val="auto"/>
              </w:rPr>
              <w:t>抽前静止水位埋深</w:t>
            </w:r>
          </w:p>
        </w:tc>
        <w:tc>
          <w:tcPr>
            <w:tcW w:w="562" w:type="pct"/>
            <w:vMerge w:val="restart"/>
            <w:tcBorders>
              <w:tl2br w:val="nil"/>
              <w:tr2bl w:val="nil"/>
            </w:tcBorders>
            <w:shd w:val="clear" w:color="auto" w:fill="auto"/>
            <w:vAlign w:val="center"/>
          </w:tcPr>
          <w:p w14:paraId="1B18B578">
            <w:pPr>
              <w:pStyle w:val="711"/>
              <w:rPr>
                <w:b/>
                <w:bCs/>
                <w:color w:val="auto"/>
              </w:rPr>
            </w:pPr>
            <w:r>
              <w:rPr>
                <w:rFonts w:hint="eastAsia"/>
                <w:b/>
                <w:bCs/>
                <w:color w:val="auto"/>
              </w:rPr>
              <w:t>水位降深Sw</w:t>
            </w:r>
          </w:p>
        </w:tc>
        <w:tc>
          <w:tcPr>
            <w:tcW w:w="870" w:type="pct"/>
            <w:gridSpan w:val="2"/>
            <w:vMerge w:val="restart"/>
            <w:tcBorders>
              <w:tl2br w:val="nil"/>
              <w:tr2bl w:val="nil"/>
            </w:tcBorders>
            <w:shd w:val="clear" w:color="auto" w:fill="auto"/>
            <w:vAlign w:val="center"/>
          </w:tcPr>
          <w:p w14:paraId="1DF66A9A">
            <w:pPr>
              <w:pStyle w:val="711"/>
              <w:rPr>
                <w:b/>
                <w:bCs/>
                <w:color w:val="auto"/>
              </w:rPr>
            </w:pPr>
            <w:r>
              <w:rPr>
                <w:rFonts w:hint="eastAsia"/>
                <w:b/>
                <w:bCs/>
                <w:color w:val="auto"/>
              </w:rPr>
              <w:t>涌水量Q</w:t>
            </w:r>
          </w:p>
        </w:tc>
        <w:tc>
          <w:tcPr>
            <w:tcW w:w="940" w:type="pct"/>
            <w:gridSpan w:val="2"/>
            <w:vMerge w:val="restart"/>
            <w:tcBorders>
              <w:tl2br w:val="nil"/>
              <w:tr2bl w:val="nil"/>
            </w:tcBorders>
            <w:shd w:val="clear" w:color="auto" w:fill="auto"/>
            <w:vAlign w:val="center"/>
          </w:tcPr>
          <w:p w14:paraId="11645DA8">
            <w:pPr>
              <w:pStyle w:val="711"/>
              <w:rPr>
                <w:b/>
                <w:bCs/>
                <w:color w:val="auto"/>
              </w:rPr>
            </w:pPr>
            <w:r>
              <w:rPr>
                <w:rFonts w:hint="eastAsia"/>
                <w:b/>
                <w:bCs/>
                <w:color w:val="auto"/>
              </w:rPr>
              <w:t>渗透系数K</w:t>
            </w:r>
          </w:p>
        </w:tc>
        <w:tc>
          <w:tcPr>
            <w:tcW w:w="513" w:type="pct"/>
            <w:vMerge w:val="restart"/>
            <w:tcBorders>
              <w:tl2br w:val="nil"/>
              <w:tr2bl w:val="nil"/>
            </w:tcBorders>
            <w:shd w:val="clear" w:color="auto" w:fill="auto"/>
            <w:vAlign w:val="center"/>
          </w:tcPr>
          <w:p w14:paraId="5269A2FD">
            <w:pPr>
              <w:pStyle w:val="711"/>
              <w:rPr>
                <w:b/>
                <w:bCs/>
                <w:color w:val="auto"/>
              </w:rPr>
            </w:pPr>
            <w:r>
              <w:rPr>
                <w:rFonts w:hint="eastAsia"/>
                <w:b/>
                <w:bCs/>
                <w:color w:val="auto"/>
              </w:rPr>
              <w:t>影响半径R</w:t>
            </w:r>
          </w:p>
        </w:tc>
      </w:tr>
      <w:tr w14:paraId="3ED47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14FFA176">
            <w:pPr>
              <w:pStyle w:val="711"/>
              <w:rPr>
                <w:color w:val="auto"/>
              </w:rPr>
            </w:pPr>
          </w:p>
        </w:tc>
        <w:tc>
          <w:tcPr>
            <w:tcW w:w="491" w:type="pct"/>
            <w:vMerge w:val="continue"/>
            <w:tcBorders>
              <w:tl2br w:val="nil"/>
              <w:tr2bl w:val="nil"/>
            </w:tcBorders>
            <w:vAlign w:val="center"/>
          </w:tcPr>
          <w:p w14:paraId="2DE1D980">
            <w:pPr>
              <w:pStyle w:val="711"/>
              <w:rPr>
                <w:color w:val="auto"/>
              </w:rPr>
            </w:pPr>
          </w:p>
        </w:tc>
        <w:tc>
          <w:tcPr>
            <w:tcW w:w="544" w:type="pct"/>
            <w:vMerge w:val="continue"/>
            <w:tcBorders>
              <w:tl2br w:val="nil"/>
              <w:tr2bl w:val="nil"/>
            </w:tcBorders>
            <w:vAlign w:val="center"/>
          </w:tcPr>
          <w:p w14:paraId="4C61CEBA">
            <w:pPr>
              <w:pStyle w:val="711"/>
              <w:rPr>
                <w:color w:val="auto"/>
              </w:rPr>
            </w:pPr>
          </w:p>
        </w:tc>
        <w:tc>
          <w:tcPr>
            <w:tcW w:w="726" w:type="pct"/>
            <w:vMerge w:val="continue"/>
            <w:tcBorders>
              <w:tl2br w:val="nil"/>
              <w:tr2bl w:val="nil"/>
            </w:tcBorders>
            <w:vAlign w:val="center"/>
          </w:tcPr>
          <w:p w14:paraId="5F449D7F">
            <w:pPr>
              <w:pStyle w:val="711"/>
              <w:rPr>
                <w:color w:val="auto"/>
              </w:rPr>
            </w:pPr>
          </w:p>
        </w:tc>
        <w:tc>
          <w:tcPr>
            <w:tcW w:w="562" w:type="pct"/>
            <w:vMerge w:val="continue"/>
            <w:tcBorders>
              <w:tl2br w:val="nil"/>
              <w:tr2bl w:val="nil"/>
            </w:tcBorders>
            <w:vAlign w:val="center"/>
          </w:tcPr>
          <w:p w14:paraId="665AE880">
            <w:pPr>
              <w:pStyle w:val="711"/>
              <w:rPr>
                <w:color w:val="auto"/>
              </w:rPr>
            </w:pPr>
          </w:p>
        </w:tc>
        <w:tc>
          <w:tcPr>
            <w:tcW w:w="870" w:type="pct"/>
            <w:gridSpan w:val="2"/>
            <w:vMerge w:val="continue"/>
            <w:tcBorders>
              <w:tl2br w:val="nil"/>
              <w:tr2bl w:val="nil"/>
            </w:tcBorders>
            <w:vAlign w:val="center"/>
          </w:tcPr>
          <w:p w14:paraId="48966EC2">
            <w:pPr>
              <w:pStyle w:val="711"/>
              <w:rPr>
                <w:color w:val="auto"/>
              </w:rPr>
            </w:pPr>
          </w:p>
        </w:tc>
        <w:tc>
          <w:tcPr>
            <w:tcW w:w="940" w:type="pct"/>
            <w:gridSpan w:val="2"/>
            <w:vMerge w:val="continue"/>
            <w:tcBorders>
              <w:tl2br w:val="nil"/>
              <w:tr2bl w:val="nil"/>
            </w:tcBorders>
            <w:vAlign w:val="center"/>
          </w:tcPr>
          <w:p w14:paraId="4E23F6C5">
            <w:pPr>
              <w:pStyle w:val="711"/>
              <w:rPr>
                <w:color w:val="auto"/>
              </w:rPr>
            </w:pPr>
          </w:p>
        </w:tc>
        <w:tc>
          <w:tcPr>
            <w:tcW w:w="513" w:type="pct"/>
            <w:vMerge w:val="continue"/>
            <w:tcBorders>
              <w:tl2br w:val="nil"/>
              <w:tr2bl w:val="nil"/>
            </w:tcBorders>
            <w:vAlign w:val="center"/>
          </w:tcPr>
          <w:p w14:paraId="54BECBCA">
            <w:pPr>
              <w:pStyle w:val="711"/>
              <w:rPr>
                <w:color w:val="auto"/>
              </w:rPr>
            </w:pPr>
          </w:p>
        </w:tc>
      </w:tr>
      <w:tr w14:paraId="70771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77D4558F">
            <w:pPr>
              <w:pStyle w:val="711"/>
              <w:rPr>
                <w:color w:val="auto"/>
              </w:rPr>
            </w:pPr>
          </w:p>
        </w:tc>
        <w:tc>
          <w:tcPr>
            <w:tcW w:w="491" w:type="pct"/>
            <w:vMerge w:val="continue"/>
            <w:tcBorders>
              <w:tl2br w:val="nil"/>
              <w:tr2bl w:val="nil"/>
            </w:tcBorders>
            <w:vAlign w:val="center"/>
          </w:tcPr>
          <w:p w14:paraId="27E34F74">
            <w:pPr>
              <w:pStyle w:val="711"/>
              <w:rPr>
                <w:color w:val="auto"/>
              </w:rPr>
            </w:pPr>
          </w:p>
        </w:tc>
        <w:tc>
          <w:tcPr>
            <w:tcW w:w="544" w:type="pct"/>
            <w:tcBorders>
              <w:tl2br w:val="nil"/>
              <w:tr2bl w:val="nil"/>
            </w:tcBorders>
            <w:shd w:val="clear" w:color="auto" w:fill="auto"/>
            <w:vAlign w:val="center"/>
          </w:tcPr>
          <w:p w14:paraId="566BDC65">
            <w:pPr>
              <w:pStyle w:val="711"/>
              <w:rPr>
                <w:b/>
                <w:bCs/>
                <w:color w:val="auto"/>
              </w:rPr>
            </w:pPr>
            <w:r>
              <w:rPr>
                <w:rFonts w:hint="eastAsia"/>
                <w:b/>
                <w:bCs/>
                <w:color w:val="auto"/>
              </w:rPr>
              <w:t>m</w:t>
            </w:r>
          </w:p>
        </w:tc>
        <w:tc>
          <w:tcPr>
            <w:tcW w:w="726" w:type="pct"/>
            <w:tcBorders>
              <w:tl2br w:val="nil"/>
              <w:tr2bl w:val="nil"/>
            </w:tcBorders>
            <w:shd w:val="clear" w:color="auto" w:fill="auto"/>
            <w:vAlign w:val="center"/>
          </w:tcPr>
          <w:p w14:paraId="02F304EF">
            <w:pPr>
              <w:pStyle w:val="711"/>
              <w:rPr>
                <w:b/>
                <w:bCs/>
                <w:color w:val="auto"/>
              </w:rPr>
            </w:pPr>
            <w:r>
              <w:rPr>
                <w:rFonts w:hint="eastAsia"/>
                <w:b/>
                <w:bCs/>
                <w:color w:val="auto"/>
              </w:rPr>
              <w:t>m</w:t>
            </w:r>
          </w:p>
        </w:tc>
        <w:tc>
          <w:tcPr>
            <w:tcW w:w="562" w:type="pct"/>
            <w:tcBorders>
              <w:tl2br w:val="nil"/>
              <w:tr2bl w:val="nil"/>
            </w:tcBorders>
            <w:shd w:val="clear" w:color="auto" w:fill="auto"/>
            <w:vAlign w:val="center"/>
          </w:tcPr>
          <w:p w14:paraId="4010EA10">
            <w:pPr>
              <w:pStyle w:val="711"/>
              <w:rPr>
                <w:b/>
                <w:bCs/>
                <w:color w:val="auto"/>
              </w:rPr>
            </w:pPr>
            <w:r>
              <w:rPr>
                <w:rFonts w:hint="eastAsia"/>
                <w:b/>
                <w:bCs/>
                <w:color w:val="auto"/>
              </w:rPr>
              <w:t>m</w:t>
            </w:r>
          </w:p>
        </w:tc>
        <w:tc>
          <w:tcPr>
            <w:tcW w:w="404" w:type="pct"/>
            <w:tcBorders>
              <w:tl2br w:val="nil"/>
              <w:tr2bl w:val="nil"/>
            </w:tcBorders>
            <w:shd w:val="clear" w:color="auto" w:fill="auto"/>
            <w:vAlign w:val="center"/>
          </w:tcPr>
          <w:p w14:paraId="63F04C38">
            <w:pPr>
              <w:pStyle w:val="711"/>
              <w:rPr>
                <w:b/>
                <w:bCs/>
                <w:color w:val="auto"/>
              </w:rPr>
            </w:pPr>
            <w:r>
              <w:rPr>
                <w:rFonts w:hint="eastAsia"/>
                <w:b/>
                <w:bCs/>
                <w:color w:val="auto"/>
              </w:rPr>
              <w:t>L/s</w:t>
            </w:r>
          </w:p>
        </w:tc>
        <w:tc>
          <w:tcPr>
            <w:tcW w:w="466" w:type="pct"/>
            <w:tcBorders>
              <w:tl2br w:val="nil"/>
              <w:tr2bl w:val="nil"/>
            </w:tcBorders>
            <w:shd w:val="clear" w:color="auto" w:fill="auto"/>
            <w:vAlign w:val="center"/>
          </w:tcPr>
          <w:p w14:paraId="14A8DA1C">
            <w:pPr>
              <w:pStyle w:val="711"/>
              <w:rPr>
                <w:b/>
                <w:bCs/>
                <w:color w:val="auto"/>
              </w:rPr>
            </w:pPr>
            <w:r>
              <w:rPr>
                <w:rFonts w:hint="eastAsia"/>
                <w:b/>
                <w:bCs/>
                <w:color w:val="auto"/>
              </w:rPr>
              <w:t>m</w:t>
            </w:r>
            <w:r>
              <w:rPr>
                <w:rFonts w:hint="eastAsia"/>
                <w:b/>
                <w:bCs/>
                <w:color w:val="auto"/>
                <w:vertAlign w:val="superscript"/>
              </w:rPr>
              <w:t>3</w:t>
            </w:r>
            <w:r>
              <w:rPr>
                <w:rFonts w:hint="eastAsia"/>
                <w:b/>
                <w:bCs/>
                <w:color w:val="auto"/>
              </w:rPr>
              <w:t>/d</w:t>
            </w:r>
          </w:p>
        </w:tc>
        <w:tc>
          <w:tcPr>
            <w:tcW w:w="358" w:type="pct"/>
            <w:tcBorders>
              <w:tl2br w:val="nil"/>
              <w:tr2bl w:val="nil"/>
            </w:tcBorders>
            <w:shd w:val="clear" w:color="auto" w:fill="auto"/>
            <w:vAlign w:val="center"/>
          </w:tcPr>
          <w:p w14:paraId="2CC42EE0">
            <w:pPr>
              <w:pStyle w:val="711"/>
              <w:rPr>
                <w:b/>
                <w:bCs/>
                <w:color w:val="auto"/>
              </w:rPr>
            </w:pPr>
            <w:r>
              <w:rPr>
                <w:rFonts w:hint="eastAsia"/>
                <w:b/>
                <w:bCs/>
                <w:color w:val="auto"/>
              </w:rPr>
              <w:t>m/d</w:t>
            </w:r>
          </w:p>
        </w:tc>
        <w:tc>
          <w:tcPr>
            <w:tcW w:w="582" w:type="pct"/>
            <w:tcBorders>
              <w:tl2br w:val="nil"/>
              <w:tr2bl w:val="nil"/>
            </w:tcBorders>
            <w:shd w:val="clear" w:color="auto" w:fill="auto"/>
            <w:vAlign w:val="center"/>
          </w:tcPr>
          <w:p w14:paraId="7D4724E2">
            <w:pPr>
              <w:pStyle w:val="711"/>
              <w:rPr>
                <w:b/>
                <w:bCs/>
                <w:color w:val="auto"/>
              </w:rPr>
            </w:pPr>
            <w:r>
              <w:rPr>
                <w:rFonts w:hint="eastAsia"/>
                <w:b/>
                <w:bCs/>
                <w:color w:val="auto"/>
              </w:rPr>
              <w:t>cm/s</w:t>
            </w:r>
          </w:p>
        </w:tc>
        <w:tc>
          <w:tcPr>
            <w:tcW w:w="513" w:type="pct"/>
            <w:tcBorders>
              <w:tl2br w:val="nil"/>
              <w:tr2bl w:val="nil"/>
            </w:tcBorders>
            <w:shd w:val="clear" w:color="auto" w:fill="auto"/>
            <w:vAlign w:val="center"/>
          </w:tcPr>
          <w:p w14:paraId="2D5EE651">
            <w:pPr>
              <w:pStyle w:val="711"/>
              <w:rPr>
                <w:b/>
                <w:bCs/>
                <w:color w:val="auto"/>
              </w:rPr>
            </w:pPr>
            <w:r>
              <w:rPr>
                <w:rFonts w:hint="eastAsia"/>
                <w:b/>
                <w:bCs/>
                <w:color w:val="auto"/>
              </w:rPr>
              <w:t>m</w:t>
            </w:r>
          </w:p>
        </w:tc>
      </w:tr>
      <w:tr w14:paraId="59EC8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23333093">
            <w:pPr>
              <w:pStyle w:val="711"/>
              <w:rPr>
                <w:color w:val="auto"/>
              </w:rPr>
            </w:pPr>
            <w:r>
              <w:rPr>
                <w:rFonts w:hint="eastAsia"/>
                <w:color w:val="auto"/>
              </w:rPr>
              <w:t>4</w:t>
            </w:r>
          </w:p>
        </w:tc>
        <w:tc>
          <w:tcPr>
            <w:tcW w:w="491" w:type="pct"/>
            <w:tcBorders>
              <w:tl2br w:val="nil"/>
              <w:tr2bl w:val="nil"/>
            </w:tcBorders>
            <w:shd w:val="clear" w:color="auto" w:fill="auto"/>
            <w:vAlign w:val="center"/>
          </w:tcPr>
          <w:p w14:paraId="7DDB379D">
            <w:pPr>
              <w:pStyle w:val="711"/>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5DF1756C">
            <w:pPr>
              <w:pStyle w:val="711"/>
              <w:rPr>
                <w:color w:val="auto"/>
              </w:rPr>
            </w:pPr>
            <w:r>
              <w:rPr>
                <w:rFonts w:hint="eastAsia"/>
                <w:color w:val="auto"/>
              </w:rPr>
              <w:t>25.87</w:t>
            </w:r>
          </w:p>
        </w:tc>
        <w:tc>
          <w:tcPr>
            <w:tcW w:w="726" w:type="pct"/>
            <w:tcBorders>
              <w:tl2br w:val="nil"/>
              <w:tr2bl w:val="nil"/>
            </w:tcBorders>
            <w:shd w:val="clear" w:color="auto" w:fill="auto"/>
            <w:vAlign w:val="center"/>
          </w:tcPr>
          <w:p w14:paraId="1332A5F3">
            <w:pPr>
              <w:pStyle w:val="711"/>
              <w:rPr>
                <w:color w:val="auto"/>
              </w:rPr>
            </w:pPr>
            <w:r>
              <w:rPr>
                <w:rFonts w:hint="eastAsia"/>
                <w:color w:val="auto"/>
              </w:rPr>
              <w:t>7.53</w:t>
            </w:r>
          </w:p>
        </w:tc>
        <w:tc>
          <w:tcPr>
            <w:tcW w:w="562" w:type="pct"/>
            <w:tcBorders>
              <w:tl2br w:val="nil"/>
              <w:tr2bl w:val="nil"/>
            </w:tcBorders>
            <w:shd w:val="clear" w:color="auto" w:fill="auto"/>
            <w:vAlign w:val="center"/>
          </w:tcPr>
          <w:p w14:paraId="19151C78">
            <w:pPr>
              <w:pStyle w:val="711"/>
              <w:rPr>
                <w:color w:val="auto"/>
              </w:rPr>
            </w:pPr>
            <w:r>
              <w:rPr>
                <w:rFonts w:hint="eastAsia"/>
                <w:color w:val="auto"/>
              </w:rPr>
              <w:t>7.6</w:t>
            </w:r>
          </w:p>
        </w:tc>
        <w:tc>
          <w:tcPr>
            <w:tcW w:w="404" w:type="pct"/>
            <w:tcBorders>
              <w:tl2br w:val="nil"/>
              <w:tr2bl w:val="nil"/>
            </w:tcBorders>
            <w:shd w:val="clear" w:color="auto" w:fill="auto"/>
            <w:vAlign w:val="center"/>
          </w:tcPr>
          <w:p w14:paraId="59F1DC1E">
            <w:pPr>
              <w:pStyle w:val="711"/>
              <w:rPr>
                <w:color w:val="auto"/>
              </w:rPr>
            </w:pPr>
            <w:r>
              <w:rPr>
                <w:rFonts w:hint="eastAsia"/>
                <w:color w:val="auto"/>
              </w:rPr>
              <w:t>5.618</w:t>
            </w:r>
          </w:p>
        </w:tc>
        <w:tc>
          <w:tcPr>
            <w:tcW w:w="466" w:type="pct"/>
            <w:tcBorders>
              <w:tl2br w:val="nil"/>
              <w:tr2bl w:val="nil"/>
            </w:tcBorders>
            <w:shd w:val="clear" w:color="auto" w:fill="auto"/>
            <w:vAlign w:val="center"/>
          </w:tcPr>
          <w:p w14:paraId="2E965167">
            <w:pPr>
              <w:pStyle w:val="711"/>
              <w:rPr>
                <w:color w:val="auto"/>
              </w:rPr>
            </w:pPr>
            <w:r>
              <w:rPr>
                <w:rFonts w:hint="eastAsia"/>
                <w:color w:val="auto"/>
              </w:rPr>
              <w:t>485.40</w:t>
            </w:r>
          </w:p>
        </w:tc>
        <w:tc>
          <w:tcPr>
            <w:tcW w:w="358" w:type="pct"/>
            <w:tcBorders>
              <w:tl2br w:val="nil"/>
              <w:tr2bl w:val="nil"/>
            </w:tcBorders>
            <w:shd w:val="clear" w:color="auto" w:fill="auto"/>
            <w:vAlign w:val="center"/>
          </w:tcPr>
          <w:p w14:paraId="57BDA27A">
            <w:pPr>
              <w:pStyle w:val="711"/>
              <w:rPr>
                <w:color w:val="auto"/>
              </w:rPr>
            </w:pPr>
            <w:r>
              <w:rPr>
                <w:rFonts w:hint="eastAsia"/>
                <w:color w:val="auto"/>
              </w:rPr>
              <w:t>1.34</w:t>
            </w:r>
          </w:p>
        </w:tc>
        <w:tc>
          <w:tcPr>
            <w:tcW w:w="582" w:type="pct"/>
            <w:tcBorders>
              <w:tl2br w:val="nil"/>
              <w:tr2bl w:val="nil"/>
            </w:tcBorders>
            <w:shd w:val="clear" w:color="auto" w:fill="auto"/>
            <w:vAlign w:val="center"/>
          </w:tcPr>
          <w:p w14:paraId="210EF5CB">
            <w:pPr>
              <w:pStyle w:val="711"/>
              <w:rPr>
                <w:color w:val="auto"/>
              </w:rPr>
            </w:pPr>
            <w:r>
              <w:rPr>
                <w:rFonts w:hint="eastAsia"/>
                <w:color w:val="auto"/>
              </w:rPr>
              <w:t>1.55E-03</w:t>
            </w:r>
          </w:p>
        </w:tc>
        <w:tc>
          <w:tcPr>
            <w:tcW w:w="513" w:type="pct"/>
            <w:tcBorders>
              <w:tl2br w:val="nil"/>
              <w:tr2bl w:val="nil"/>
            </w:tcBorders>
            <w:shd w:val="clear" w:color="auto" w:fill="auto"/>
            <w:vAlign w:val="center"/>
          </w:tcPr>
          <w:p w14:paraId="55F82D8F">
            <w:pPr>
              <w:pStyle w:val="711"/>
              <w:rPr>
                <w:color w:val="auto"/>
              </w:rPr>
            </w:pPr>
            <w:r>
              <w:rPr>
                <w:rFonts w:hint="eastAsia"/>
                <w:color w:val="auto"/>
              </w:rPr>
              <w:t>187</w:t>
            </w:r>
          </w:p>
        </w:tc>
      </w:tr>
      <w:tr w14:paraId="2AFB2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noWrap/>
            <w:vAlign w:val="center"/>
          </w:tcPr>
          <w:p w14:paraId="633D28CE">
            <w:pPr>
              <w:pStyle w:val="711"/>
              <w:rPr>
                <w:color w:val="auto"/>
              </w:rPr>
            </w:pPr>
            <w:r>
              <w:rPr>
                <w:rFonts w:hint="eastAsia"/>
                <w:color w:val="auto"/>
              </w:rPr>
              <w:t>5</w:t>
            </w:r>
          </w:p>
        </w:tc>
        <w:tc>
          <w:tcPr>
            <w:tcW w:w="491" w:type="pct"/>
            <w:tcBorders>
              <w:tl2br w:val="nil"/>
              <w:tr2bl w:val="nil"/>
            </w:tcBorders>
            <w:shd w:val="clear" w:color="auto" w:fill="auto"/>
            <w:vAlign w:val="center"/>
          </w:tcPr>
          <w:p w14:paraId="3C534BEA">
            <w:pPr>
              <w:pStyle w:val="711"/>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62942B1E">
            <w:pPr>
              <w:pStyle w:val="711"/>
              <w:rPr>
                <w:color w:val="auto"/>
              </w:rPr>
            </w:pPr>
            <w:r>
              <w:rPr>
                <w:rFonts w:hint="eastAsia"/>
                <w:color w:val="auto"/>
              </w:rPr>
              <w:t>50.4</w:t>
            </w:r>
          </w:p>
        </w:tc>
        <w:tc>
          <w:tcPr>
            <w:tcW w:w="726" w:type="pct"/>
            <w:tcBorders>
              <w:tl2br w:val="nil"/>
              <w:tr2bl w:val="nil"/>
            </w:tcBorders>
            <w:shd w:val="clear" w:color="auto" w:fill="auto"/>
            <w:vAlign w:val="center"/>
          </w:tcPr>
          <w:p w14:paraId="6947194E">
            <w:pPr>
              <w:pStyle w:val="711"/>
              <w:rPr>
                <w:color w:val="auto"/>
              </w:rPr>
            </w:pPr>
            <w:r>
              <w:rPr>
                <w:rFonts w:hint="eastAsia"/>
                <w:color w:val="auto"/>
              </w:rPr>
              <w:t>18.32</w:t>
            </w:r>
          </w:p>
        </w:tc>
        <w:tc>
          <w:tcPr>
            <w:tcW w:w="562" w:type="pct"/>
            <w:tcBorders>
              <w:tl2br w:val="nil"/>
              <w:tr2bl w:val="nil"/>
            </w:tcBorders>
            <w:shd w:val="clear" w:color="auto" w:fill="auto"/>
            <w:vAlign w:val="center"/>
          </w:tcPr>
          <w:p w14:paraId="67A2A564">
            <w:pPr>
              <w:pStyle w:val="711"/>
              <w:rPr>
                <w:color w:val="auto"/>
              </w:rPr>
            </w:pPr>
            <w:r>
              <w:rPr>
                <w:rFonts w:hint="eastAsia"/>
                <w:color w:val="auto"/>
              </w:rPr>
              <w:t>8.17</w:t>
            </w:r>
          </w:p>
        </w:tc>
        <w:tc>
          <w:tcPr>
            <w:tcW w:w="404" w:type="pct"/>
            <w:tcBorders>
              <w:tl2br w:val="nil"/>
              <w:tr2bl w:val="nil"/>
            </w:tcBorders>
            <w:shd w:val="clear" w:color="auto" w:fill="auto"/>
            <w:vAlign w:val="center"/>
          </w:tcPr>
          <w:p w14:paraId="65AFE849">
            <w:pPr>
              <w:pStyle w:val="711"/>
              <w:rPr>
                <w:color w:val="auto"/>
              </w:rPr>
            </w:pPr>
            <w:r>
              <w:rPr>
                <w:rFonts w:hint="eastAsia"/>
                <w:color w:val="auto"/>
              </w:rPr>
              <w:t>6.009</w:t>
            </w:r>
          </w:p>
        </w:tc>
        <w:tc>
          <w:tcPr>
            <w:tcW w:w="466" w:type="pct"/>
            <w:tcBorders>
              <w:tl2br w:val="nil"/>
              <w:tr2bl w:val="nil"/>
            </w:tcBorders>
            <w:shd w:val="clear" w:color="auto" w:fill="auto"/>
            <w:vAlign w:val="center"/>
          </w:tcPr>
          <w:p w14:paraId="286F1522">
            <w:pPr>
              <w:pStyle w:val="711"/>
              <w:rPr>
                <w:color w:val="auto"/>
              </w:rPr>
            </w:pPr>
            <w:r>
              <w:rPr>
                <w:rFonts w:hint="eastAsia"/>
                <w:color w:val="auto"/>
              </w:rPr>
              <w:t>519.2</w:t>
            </w:r>
          </w:p>
        </w:tc>
        <w:tc>
          <w:tcPr>
            <w:tcW w:w="358" w:type="pct"/>
            <w:tcBorders>
              <w:tl2br w:val="nil"/>
              <w:tr2bl w:val="nil"/>
            </w:tcBorders>
            <w:shd w:val="clear" w:color="auto" w:fill="auto"/>
            <w:vAlign w:val="center"/>
          </w:tcPr>
          <w:p w14:paraId="488A804F">
            <w:pPr>
              <w:pStyle w:val="711"/>
              <w:rPr>
                <w:color w:val="auto"/>
              </w:rPr>
            </w:pPr>
            <w:r>
              <w:rPr>
                <w:rFonts w:hint="eastAsia"/>
                <w:color w:val="auto"/>
              </w:rPr>
              <w:t>1.68</w:t>
            </w:r>
          </w:p>
        </w:tc>
        <w:tc>
          <w:tcPr>
            <w:tcW w:w="582" w:type="pct"/>
            <w:tcBorders>
              <w:tl2br w:val="nil"/>
              <w:tr2bl w:val="nil"/>
            </w:tcBorders>
            <w:shd w:val="clear" w:color="auto" w:fill="auto"/>
            <w:vAlign w:val="center"/>
          </w:tcPr>
          <w:p w14:paraId="04693111">
            <w:pPr>
              <w:pStyle w:val="711"/>
              <w:rPr>
                <w:color w:val="auto"/>
              </w:rPr>
            </w:pPr>
            <w:r>
              <w:rPr>
                <w:rFonts w:hint="eastAsia"/>
                <w:color w:val="auto"/>
              </w:rPr>
              <w:t>1.94E-03</w:t>
            </w:r>
          </w:p>
        </w:tc>
        <w:tc>
          <w:tcPr>
            <w:tcW w:w="513" w:type="pct"/>
            <w:tcBorders>
              <w:tl2br w:val="nil"/>
              <w:tr2bl w:val="nil"/>
            </w:tcBorders>
            <w:shd w:val="clear" w:color="auto" w:fill="auto"/>
            <w:vAlign w:val="center"/>
          </w:tcPr>
          <w:p w14:paraId="528C0EE6">
            <w:pPr>
              <w:pStyle w:val="711"/>
              <w:rPr>
                <w:color w:val="auto"/>
              </w:rPr>
            </w:pPr>
            <w:r>
              <w:rPr>
                <w:rFonts w:hint="eastAsia"/>
                <w:color w:val="auto"/>
              </w:rPr>
              <w:t>154</w:t>
            </w:r>
          </w:p>
        </w:tc>
      </w:tr>
      <w:tr w14:paraId="1054C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016258F3">
            <w:pPr>
              <w:pStyle w:val="711"/>
              <w:rPr>
                <w:color w:val="auto"/>
              </w:rPr>
            </w:pPr>
            <w:r>
              <w:rPr>
                <w:rFonts w:hint="eastAsia"/>
                <w:color w:val="auto"/>
              </w:rPr>
              <w:t>21</w:t>
            </w:r>
          </w:p>
        </w:tc>
        <w:tc>
          <w:tcPr>
            <w:tcW w:w="491" w:type="pct"/>
            <w:tcBorders>
              <w:tl2br w:val="nil"/>
              <w:tr2bl w:val="nil"/>
            </w:tcBorders>
            <w:shd w:val="clear" w:color="auto" w:fill="auto"/>
            <w:vAlign w:val="center"/>
          </w:tcPr>
          <w:p w14:paraId="34FB111C">
            <w:pPr>
              <w:pStyle w:val="711"/>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1ECC26CF">
            <w:pPr>
              <w:pStyle w:val="711"/>
              <w:rPr>
                <w:color w:val="auto"/>
              </w:rPr>
            </w:pPr>
            <w:r>
              <w:rPr>
                <w:rFonts w:hint="eastAsia"/>
                <w:color w:val="auto"/>
              </w:rPr>
              <w:t>18.2</w:t>
            </w:r>
          </w:p>
        </w:tc>
        <w:tc>
          <w:tcPr>
            <w:tcW w:w="726" w:type="pct"/>
            <w:tcBorders>
              <w:tl2br w:val="nil"/>
              <w:tr2bl w:val="nil"/>
            </w:tcBorders>
            <w:shd w:val="clear" w:color="auto" w:fill="auto"/>
            <w:vAlign w:val="center"/>
          </w:tcPr>
          <w:p w14:paraId="18F984B1">
            <w:pPr>
              <w:pStyle w:val="711"/>
              <w:rPr>
                <w:color w:val="auto"/>
              </w:rPr>
            </w:pPr>
            <w:r>
              <w:rPr>
                <w:rFonts w:hint="eastAsia"/>
                <w:color w:val="auto"/>
              </w:rPr>
              <w:t>4.67</w:t>
            </w:r>
          </w:p>
        </w:tc>
        <w:tc>
          <w:tcPr>
            <w:tcW w:w="562" w:type="pct"/>
            <w:tcBorders>
              <w:tl2br w:val="nil"/>
              <w:tr2bl w:val="nil"/>
            </w:tcBorders>
            <w:shd w:val="clear" w:color="auto" w:fill="auto"/>
            <w:vAlign w:val="center"/>
          </w:tcPr>
          <w:p w14:paraId="37643FF3">
            <w:pPr>
              <w:pStyle w:val="711"/>
              <w:rPr>
                <w:color w:val="auto"/>
              </w:rPr>
            </w:pPr>
            <w:r>
              <w:rPr>
                <w:rFonts w:hint="eastAsia"/>
                <w:color w:val="auto"/>
              </w:rPr>
              <w:t>4.65</w:t>
            </w:r>
          </w:p>
        </w:tc>
        <w:tc>
          <w:tcPr>
            <w:tcW w:w="404" w:type="pct"/>
            <w:tcBorders>
              <w:tl2br w:val="nil"/>
              <w:tr2bl w:val="nil"/>
            </w:tcBorders>
            <w:shd w:val="clear" w:color="auto" w:fill="auto"/>
            <w:vAlign w:val="center"/>
          </w:tcPr>
          <w:p w14:paraId="1BF60D9B">
            <w:pPr>
              <w:pStyle w:val="711"/>
              <w:rPr>
                <w:color w:val="auto"/>
              </w:rPr>
            </w:pPr>
            <w:r>
              <w:rPr>
                <w:rFonts w:hint="eastAsia"/>
                <w:color w:val="auto"/>
              </w:rPr>
              <w:t>1.861</w:t>
            </w:r>
          </w:p>
        </w:tc>
        <w:tc>
          <w:tcPr>
            <w:tcW w:w="466" w:type="pct"/>
            <w:tcBorders>
              <w:tl2br w:val="nil"/>
              <w:tr2bl w:val="nil"/>
            </w:tcBorders>
            <w:shd w:val="clear" w:color="auto" w:fill="auto"/>
            <w:vAlign w:val="center"/>
          </w:tcPr>
          <w:p w14:paraId="4974B7A5">
            <w:pPr>
              <w:pStyle w:val="711"/>
              <w:rPr>
                <w:color w:val="auto"/>
              </w:rPr>
            </w:pPr>
            <w:r>
              <w:rPr>
                <w:rFonts w:hint="eastAsia"/>
                <w:color w:val="auto"/>
              </w:rPr>
              <w:t>160.79</w:t>
            </w:r>
          </w:p>
        </w:tc>
        <w:tc>
          <w:tcPr>
            <w:tcW w:w="358" w:type="pct"/>
            <w:tcBorders>
              <w:tl2br w:val="nil"/>
              <w:tr2bl w:val="nil"/>
            </w:tcBorders>
            <w:shd w:val="clear" w:color="auto" w:fill="auto"/>
            <w:vAlign w:val="center"/>
          </w:tcPr>
          <w:p w14:paraId="1DB60198">
            <w:pPr>
              <w:pStyle w:val="711"/>
              <w:rPr>
                <w:color w:val="auto"/>
              </w:rPr>
            </w:pPr>
            <w:r>
              <w:rPr>
                <w:rFonts w:hint="eastAsia"/>
                <w:color w:val="auto"/>
              </w:rPr>
              <w:t>2.21</w:t>
            </w:r>
          </w:p>
        </w:tc>
        <w:tc>
          <w:tcPr>
            <w:tcW w:w="582" w:type="pct"/>
            <w:tcBorders>
              <w:tl2br w:val="nil"/>
              <w:tr2bl w:val="nil"/>
            </w:tcBorders>
            <w:shd w:val="clear" w:color="auto" w:fill="auto"/>
            <w:vAlign w:val="center"/>
          </w:tcPr>
          <w:p w14:paraId="6A67F716">
            <w:pPr>
              <w:pStyle w:val="711"/>
              <w:rPr>
                <w:color w:val="auto"/>
              </w:rPr>
            </w:pPr>
            <w:r>
              <w:rPr>
                <w:rFonts w:hint="eastAsia"/>
                <w:color w:val="auto"/>
              </w:rPr>
              <w:t>2.56E-03</w:t>
            </w:r>
          </w:p>
        </w:tc>
        <w:tc>
          <w:tcPr>
            <w:tcW w:w="513" w:type="pct"/>
            <w:tcBorders>
              <w:tl2br w:val="nil"/>
              <w:tr2bl w:val="nil"/>
            </w:tcBorders>
            <w:shd w:val="clear" w:color="auto" w:fill="auto"/>
            <w:vAlign w:val="center"/>
          </w:tcPr>
          <w:p w14:paraId="317F0326">
            <w:pPr>
              <w:pStyle w:val="711"/>
              <w:rPr>
                <w:color w:val="auto"/>
              </w:rPr>
            </w:pPr>
            <w:r>
              <w:rPr>
                <w:rFonts w:hint="eastAsia"/>
                <w:color w:val="auto"/>
              </w:rPr>
              <w:t>59</w:t>
            </w:r>
          </w:p>
        </w:tc>
      </w:tr>
    </w:tbl>
    <w:p w14:paraId="5D6BAE87">
      <w:pPr>
        <w:pStyle w:val="697"/>
        <w:rPr>
          <w:color w:val="auto"/>
          <w:sz w:val="22"/>
          <w:szCs w:val="22"/>
        </w:rPr>
      </w:pPr>
      <w:r>
        <w:rPr>
          <w:color w:val="auto"/>
          <w:sz w:val="22"/>
          <w:szCs w:val="22"/>
        </w:rPr>
        <w:t>注：数据参考自</w:t>
      </w:r>
      <w:r>
        <w:rPr>
          <w:rFonts w:hint="eastAsia"/>
          <w:color w:val="auto"/>
          <w:sz w:val="22"/>
          <w:szCs w:val="22"/>
        </w:rPr>
        <w:t>《1:20万仪陇幅区域水文地质普查报告》</w:t>
      </w:r>
      <w:r>
        <w:rPr>
          <w:color w:val="auto"/>
          <w:sz w:val="22"/>
          <w:szCs w:val="22"/>
        </w:rPr>
        <w:t>。</w:t>
      </w:r>
    </w:p>
    <w:p w14:paraId="77018CDC">
      <w:pPr>
        <w:ind w:firstLine="480"/>
        <w:rPr>
          <w:rFonts w:hint="default" w:ascii="Times New Roman" w:hAnsi="Times New Roman" w:cs="Times New Roman"/>
          <w:color w:val="auto"/>
        </w:rPr>
      </w:pPr>
      <w:r>
        <w:rPr>
          <w:rFonts w:hint="default" w:ascii="Times New Roman" w:hAnsi="Times New Roman" w:cs="Times New Roman"/>
          <w:color w:val="auto"/>
        </w:rPr>
        <w:t>根据表</w:t>
      </w:r>
      <w:r>
        <w:rPr>
          <w:rFonts w:hint="default" w:ascii="Times New Roman" w:hAnsi="Times New Roman" w:cs="Times New Roman"/>
          <w:color w:val="auto"/>
          <w:lang w:val="en-US" w:eastAsia="zh-CN"/>
        </w:rPr>
        <w:t>3.1</w:t>
      </w:r>
      <w:r>
        <w:rPr>
          <w:rFonts w:hint="default" w:ascii="Times New Roman" w:hAnsi="Times New Roman" w:cs="Times New Roman"/>
          <w:color w:val="auto"/>
        </w:rPr>
        <w:t>-2，评价区内主要地层第四系全新统（Q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）及上更新统（Q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）冲积层渗透系数为4.17～9.00 m/d（4.83×10</w:t>
      </w:r>
      <w:r>
        <w:rPr>
          <w:rFonts w:hint="default" w:ascii="Times New Roman" w:hAnsi="Times New Roman" w:cs="Times New Roman"/>
          <w:color w:val="auto"/>
          <w:vertAlign w:val="superscript"/>
        </w:rPr>
        <w:t>-3</w:t>
      </w:r>
      <w:r>
        <w:rPr>
          <w:rFonts w:hint="default" w:ascii="Times New Roman" w:hAnsi="Times New Roman" w:cs="Times New Roman"/>
          <w:color w:val="auto"/>
        </w:rPr>
        <w:t>～1.05×10</w:t>
      </w:r>
      <w:r>
        <w:rPr>
          <w:rFonts w:hint="default" w:ascii="Times New Roman" w:hAnsi="Times New Roman" w:cs="Times New Roman"/>
          <w:color w:val="auto"/>
          <w:vertAlign w:val="superscript"/>
        </w:rPr>
        <w:t>-2</w:t>
      </w:r>
      <w:r>
        <w:rPr>
          <w:rFonts w:hint="default" w:ascii="Times New Roman" w:hAnsi="Times New Roman" w:cs="Times New Roman"/>
          <w:color w:val="auto"/>
        </w:rPr>
        <w:t xml:space="preserve"> cm/s）；根据表6.3-3，白垩系白龙组（K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b）含水层渗透系数为1.34～2.21m/d（1.55×10</w:t>
      </w:r>
      <w:r>
        <w:rPr>
          <w:rFonts w:hint="default" w:ascii="Times New Roman" w:hAnsi="Times New Roman" w:cs="Times New Roman"/>
          <w:color w:val="auto"/>
          <w:vertAlign w:val="superscript"/>
        </w:rPr>
        <w:t>-3</w:t>
      </w:r>
      <w:r>
        <w:rPr>
          <w:rFonts w:hint="default" w:ascii="Times New Roman" w:hAnsi="Times New Roman" w:cs="Times New Roman"/>
          <w:color w:val="auto"/>
        </w:rPr>
        <w:t>～2.56×10</w:t>
      </w:r>
      <w:r>
        <w:rPr>
          <w:rFonts w:hint="default" w:ascii="Times New Roman" w:hAnsi="Times New Roman" w:cs="Times New Roman"/>
          <w:color w:val="auto"/>
          <w:vertAlign w:val="superscript"/>
        </w:rPr>
        <w:t>-3</w:t>
      </w:r>
      <w:r>
        <w:rPr>
          <w:rFonts w:hint="default" w:ascii="Times New Roman" w:hAnsi="Times New Roman" w:cs="Times New Roman"/>
          <w:color w:val="auto"/>
        </w:rPr>
        <w:t>cm/s）。上述数据说明评价区松散岩类孔隙水含水层及白垩系白龙组含水层渗透系数均较大，属于中等透水岩组。</w:t>
      </w:r>
    </w:p>
    <w:p w14:paraId="137445A2">
      <w:pPr>
        <w:ind w:firstLine="480"/>
        <w:rPr>
          <w:rFonts w:hint="default" w:ascii="Times New Roman" w:hAnsi="Times New Roman" w:cs="Times New Roman"/>
          <w:color w:val="auto"/>
        </w:rPr>
      </w:pPr>
      <w:r>
        <w:rPr>
          <w:rFonts w:hint="default" w:ascii="Times New Roman" w:hAnsi="Times New Roman" w:cs="Times New Roman"/>
          <w:color w:val="auto"/>
        </w:rPr>
        <w:t>（2）渗水试验</w:t>
      </w:r>
      <w:bookmarkEnd w:id="149"/>
      <w:bookmarkEnd w:id="150"/>
    </w:p>
    <w:p w14:paraId="1023E18F">
      <w:pPr>
        <w:ind w:firstLine="480"/>
        <w:rPr>
          <w:rFonts w:hint="default" w:ascii="Times New Roman" w:hAnsi="Times New Roman" w:cs="Times New Roman"/>
          <w:color w:val="auto"/>
        </w:rPr>
      </w:pPr>
      <w:r>
        <w:rPr>
          <w:rFonts w:hint="default" w:ascii="Times New Roman" w:hAnsi="Times New Roman" w:cs="Times New Roman"/>
          <w:color w:val="auto"/>
        </w:rPr>
        <w:t>本项目现场选取2处试验点，使用双环法进行试坑渗水试验。采用下式计算包气带渗透系数：</w:t>
      </w:r>
    </w:p>
    <w:p w14:paraId="081ABE9A">
      <w:pPr>
        <w:widowControl/>
        <w:ind w:firstLine="480"/>
        <w:jc w:val="center"/>
        <w:rPr>
          <w:rFonts w:cs="Times New Roman"/>
          <w:color w:val="auto"/>
          <w:kern w:val="0"/>
          <w:szCs w:val="21"/>
        </w:rPr>
      </w:pPr>
      <m:oMathPara>
        <m:oMath>
          <m:r>
            <m:rPr/>
            <w:rPr>
              <w:rFonts w:ascii="Cambria Math" w:hAnsi="Cambria Math" w:eastAsia="Cambria Math" w:cs="Times New Roman"/>
              <w:color w:val="auto"/>
              <w:kern w:val="0"/>
              <w:szCs w:val="21"/>
            </w:rPr>
            <m:t>K</m:t>
          </m:r>
          <m:r>
            <m:rPr>
              <m:sty m:val="p"/>
            </m:rPr>
            <w:rPr>
              <w:rFonts w:ascii="Cambria Math" w:hAnsi="Cambria Math" w:eastAsia="Cambria Math" w:cs="Times New Roman"/>
              <w:color w:val="auto"/>
              <w:kern w:val="0"/>
              <w:szCs w:val="21"/>
            </w:rPr>
            <m:t>=</m:t>
          </m:r>
          <m:f>
            <m:fPr>
              <m:ctrlPr>
                <w:rPr>
                  <w:rFonts w:ascii="Cambria Math" w:hAnsi="Cambria Math" w:eastAsia="Cambria Math" w:cs="Times New Roman"/>
                  <w:color w:val="auto"/>
                  <w:kern w:val="0"/>
                  <w:szCs w:val="21"/>
                </w:rPr>
              </m:ctrlPr>
            </m:fPr>
            <m:num>
              <m:r>
                <m:rPr>
                  <m:sty m:val="p"/>
                </m:rPr>
                <w:rPr>
                  <w:rFonts w:ascii="Cambria Math" w:hAnsi="Cambria Math" w:eastAsia="Cambria Math" w:cs="Times New Roman"/>
                  <w:color w:val="auto"/>
                  <w:kern w:val="0"/>
                  <w:szCs w:val="21"/>
                </w:rPr>
                <m:t>16.67QZ</m:t>
              </m:r>
              <m:ctrlPr>
                <w:rPr>
                  <w:rFonts w:ascii="Cambria Math" w:hAnsi="Cambria Math" w:eastAsia="Cambria Math" w:cs="Times New Roman"/>
                  <w:color w:val="auto"/>
                  <w:kern w:val="0"/>
                  <w:szCs w:val="21"/>
                </w:rPr>
              </m:ctrlPr>
            </m:num>
            <m:den>
              <m:r>
                <m:rPr>
                  <m:sty m:val="p"/>
                </m:rPr>
                <w:rPr>
                  <w:rFonts w:ascii="Cambria Math" w:hAnsi="Cambria Math" w:eastAsia="Cambria Math" w:cs="Times New Roman"/>
                  <w:color w:val="auto"/>
                  <w:kern w:val="0"/>
                  <w:szCs w:val="21"/>
                </w:rPr>
                <m:t>F</m:t>
              </m:r>
              <m:r>
                <m:rPr>
                  <m:sty m:val="p"/>
                </m:rPr>
                <w:rPr>
                  <w:rFonts w:ascii="Cambria Math" w:hAnsi="Cambria Math" w:cs="Times New Roman"/>
                  <w:color w:val="auto"/>
                  <w:kern w:val="0"/>
                  <w:szCs w:val="21"/>
                </w:rPr>
                <m:t>（H+Z+0.5</m:t>
              </m:r>
              <m:sSub>
                <m:sSubPr>
                  <m:ctrlPr>
                    <w:rPr>
                      <w:rFonts w:ascii="Cambria Math" w:hAnsi="Cambria Math" w:cs="Times New Roman"/>
                      <w:color w:val="auto"/>
                      <w:kern w:val="0"/>
                      <w:szCs w:val="21"/>
                    </w:rPr>
                  </m:ctrlPr>
                </m:sSubPr>
                <m:e>
                  <m:r>
                    <m:rPr/>
                    <w:rPr>
                      <w:rFonts w:ascii="Cambria Math" w:hAnsi="Cambria Math" w:cs="Times New Roman"/>
                      <w:color w:val="auto"/>
                      <w:kern w:val="0"/>
                      <w:szCs w:val="21"/>
                    </w:rPr>
                    <m:t>H</m:t>
                  </m:r>
                  <m:ctrlPr>
                    <w:rPr>
                      <w:rFonts w:ascii="Cambria Math" w:hAnsi="Cambria Math" w:cs="Times New Roman"/>
                      <w:color w:val="auto"/>
                      <w:kern w:val="0"/>
                      <w:szCs w:val="21"/>
                    </w:rPr>
                  </m:ctrlPr>
                </m:e>
                <m:sub>
                  <m:r>
                    <m:rPr/>
                    <w:rPr>
                      <w:rFonts w:ascii="Cambria Math" w:hAnsi="Cambria Math" w:cs="Times New Roman"/>
                      <w:color w:val="auto"/>
                      <w:kern w:val="0"/>
                      <w:szCs w:val="21"/>
                    </w:rPr>
                    <m:t>a</m:t>
                  </m:r>
                  <m:ctrlPr>
                    <w:rPr>
                      <w:rFonts w:ascii="Cambria Math" w:hAnsi="Cambria Math" w:cs="Times New Roman"/>
                      <w:color w:val="auto"/>
                      <w:kern w:val="0"/>
                      <w:szCs w:val="21"/>
                    </w:rPr>
                  </m:ctrlPr>
                </m:sub>
              </m:sSub>
              <m:r>
                <m:rPr>
                  <m:sty m:val="p"/>
                </m:rPr>
                <w:rPr>
                  <w:rFonts w:ascii="Cambria Math" w:hAnsi="Cambria Math" w:cs="Times New Roman"/>
                  <w:color w:val="auto"/>
                  <w:kern w:val="0"/>
                  <w:szCs w:val="21"/>
                </w:rPr>
                <m:t>）</m:t>
              </m:r>
              <m:ctrlPr>
                <w:rPr>
                  <w:rFonts w:ascii="Cambria Math" w:hAnsi="Cambria Math" w:eastAsia="Cambria Math" w:cs="Times New Roman"/>
                  <w:color w:val="auto"/>
                  <w:kern w:val="0"/>
                  <w:szCs w:val="21"/>
                </w:rPr>
              </m:ctrlPr>
            </m:den>
          </m:f>
        </m:oMath>
      </m:oMathPara>
    </w:p>
    <w:p w14:paraId="050ED2E5">
      <w:pPr>
        <w:widowControl/>
        <w:ind w:firstLine="480"/>
        <w:jc w:val="left"/>
        <w:rPr>
          <w:rFonts w:cs="Times New Roman"/>
          <w:color w:val="auto"/>
          <w:kern w:val="0"/>
          <w:szCs w:val="21"/>
        </w:rPr>
      </w:pPr>
      <w:r>
        <w:rPr>
          <w:rFonts w:cs="Times New Roman"/>
          <w:color w:val="auto"/>
          <w:kern w:val="0"/>
          <w:szCs w:val="21"/>
        </w:rPr>
        <w:t>式中：K—渗透系数（cm/s）；</w:t>
      </w:r>
    </w:p>
    <w:p w14:paraId="24BD5078">
      <w:pPr>
        <w:widowControl/>
        <w:ind w:firstLine="720" w:firstLineChars="300"/>
        <w:jc w:val="left"/>
        <w:rPr>
          <w:rFonts w:cs="Times New Roman"/>
          <w:color w:val="auto"/>
          <w:kern w:val="0"/>
          <w:szCs w:val="21"/>
        </w:rPr>
      </w:pPr>
      <w:r>
        <w:rPr>
          <w:rFonts w:cs="Times New Roman"/>
          <w:color w:val="auto"/>
          <w:kern w:val="0"/>
          <w:szCs w:val="21"/>
        </w:rPr>
        <w:t>Q—内环的注入流量（L/min）；</w:t>
      </w:r>
    </w:p>
    <w:p w14:paraId="0DC4C4B1">
      <w:pPr>
        <w:widowControl/>
        <w:ind w:firstLine="720" w:firstLineChars="300"/>
        <w:jc w:val="left"/>
        <w:rPr>
          <w:rFonts w:cs="Times New Roman"/>
          <w:color w:val="auto"/>
          <w:kern w:val="0"/>
          <w:szCs w:val="21"/>
        </w:rPr>
      </w:pPr>
      <w:r>
        <w:rPr>
          <w:rFonts w:cs="Times New Roman"/>
          <w:color w:val="auto"/>
          <w:kern w:val="0"/>
          <w:szCs w:val="21"/>
        </w:rPr>
        <w:t>F—内环的底面积（cm</w:t>
      </w:r>
      <w:r>
        <w:rPr>
          <w:rFonts w:cs="Times New Roman"/>
          <w:color w:val="auto"/>
          <w:kern w:val="0"/>
          <w:szCs w:val="21"/>
          <w:vertAlign w:val="superscript"/>
        </w:rPr>
        <w:t>2</w:t>
      </w:r>
      <w:r>
        <w:rPr>
          <w:rFonts w:cs="Times New Roman"/>
          <w:color w:val="auto"/>
          <w:kern w:val="0"/>
          <w:szCs w:val="21"/>
        </w:rPr>
        <w:t>），本次取314 cm</w:t>
      </w:r>
      <w:r>
        <w:rPr>
          <w:rFonts w:cs="Times New Roman"/>
          <w:color w:val="auto"/>
          <w:kern w:val="0"/>
          <w:szCs w:val="21"/>
          <w:vertAlign w:val="superscript"/>
        </w:rPr>
        <w:t>2</w:t>
      </w:r>
      <w:r>
        <w:rPr>
          <w:rFonts w:cs="Times New Roman"/>
          <w:color w:val="auto"/>
          <w:kern w:val="0"/>
          <w:szCs w:val="21"/>
        </w:rPr>
        <w:t>；</w:t>
      </w:r>
    </w:p>
    <w:p w14:paraId="50BA7D83">
      <w:pPr>
        <w:widowControl/>
        <w:ind w:firstLine="720" w:firstLineChars="300"/>
        <w:jc w:val="left"/>
        <w:rPr>
          <w:rFonts w:cs="Times New Roman"/>
          <w:color w:val="auto"/>
          <w:kern w:val="0"/>
          <w:szCs w:val="21"/>
        </w:rPr>
      </w:pPr>
      <w:r>
        <w:rPr>
          <w:rFonts w:cs="Times New Roman"/>
          <w:color w:val="auto"/>
          <w:kern w:val="0"/>
          <w:szCs w:val="21"/>
        </w:rPr>
        <w:t>H—试验水头（cm），本次取10 cm；</w:t>
      </w:r>
    </w:p>
    <w:p w14:paraId="1D6DE1CF">
      <w:pPr>
        <w:widowControl/>
        <w:ind w:firstLine="720" w:firstLineChars="300"/>
        <w:jc w:val="left"/>
        <w:rPr>
          <w:rFonts w:cs="Times New Roman"/>
          <w:color w:val="auto"/>
          <w:kern w:val="0"/>
          <w:szCs w:val="21"/>
        </w:rPr>
      </w:pPr>
      <w:r>
        <w:rPr>
          <w:rFonts w:cs="Times New Roman"/>
          <w:color w:val="auto"/>
          <w:kern w:val="0"/>
          <w:szCs w:val="21"/>
        </w:rPr>
        <w:t>Z—下渗深度（cm）；</w:t>
      </w:r>
    </w:p>
    <w:p w14:paraId="7682D7F5">
      <w:pPr>
        <w:ind w:firstLine="679" w:firstLineChars="283"/>
        <w:rPr>
          <w:rFonts w:cs="Times New Roman"/>
          <w:color w:val="auto"/>
        </w:rPr>
      </w:pPr>
      <w:r>
        <w:rPr>
          <w:rFonts w:cs="Times New Roman"/>
          <w:color w:val="auto"/>
          <w:kern w:val="0"/>
          <w:szCs w:val="21"/>
        </w:rPr>
        <w:t>Ha—试验土层的毛细上升高度（cm），本次取</w:t>
      </w:r>
      <w:r>
        <w:rPr>
          <w:rFonts w:hint="eastAsia" w:cs="Times New Roman"/>
          <w:color w:val="auto"/>
          <w:kern w:val="0"/>
          <w:szCs w:val="21"/>
        </w:rPr>
        <w:t>27</w:t>
      </w:r>
      <w:r>
        <w:rPr>
          <w:rFonts w:cs="Times New Roman"/>
          <w:color w:val="auto"/>
          <w:kern w:val="0"/>
          <w:szCs w:val="21"/>
        </w:rPr>
        <w:t>0 cm。</w:t>
      </w:r>
    </w:p>
    <w:p w14:paraId="14A3BEE1">
      <w:pPr>
        <w:ind w:firstLine="480"/>
        <w:rPr>
          <w:rFonts w:cs="Times New Roman"/>
          <w:color w:val="auto"/>
        </w:rPr>
      </w:pPr>
      <w:r>
        <w:rPr>
          <w:rFonts w:cs="Times New Roman"/>
          <w:color w:val="auto"/>
        </w:rPr>
        <w:t>工作区包气带</w:t>
      </w:r>
      <w:r>
        <w:rPr>
          <w:rFonts w:hint="eastAsia" w:cs="Times New Roman"/>
          <w:color w:val="auto"/>
        </w:rPr>
        <w:t>粉质粘土</w:t>
      </w:r>
      <w:r>
        <w:rPr>
          <w:rFonts w:cs="Times New Roman"/>
          <w:color w:val="auto"/>
        </w:rPr>
        <w:t>渗水试验结果见</w:t>
      </w:r>
      <w:r>
        <w:rPr>
          <w:rFonts w:cs="Times New Roman"/>
          <w:color w:val="auto"/>
        </w:rPr>
        <w:fldChar w:fldCharType="begin"/>
      </w:r>
      <w:r>
        <w:rPr>
          <w:rFonts w:cs="Times New Roman"/>
          <w:color w:val="auto"/>
        </w:rPr>
        <w:instrText xml:space="preserve"> REF _Ref517300439 \h  \* MERGEFORMAT </w:instrText>
      </w:r>
      <w:r>
        <w:rPr>
          <w:rFonts w:cs="Times New Roman"/>
          <w:color w:val="auto"/>
        </w:rPr>
        <w:fldChar w:fldCharType="separate"/>
      </w:r>
      <w:r>
        <w:rPr>
          <w:rFonts w:cs="Times New Roman"/>
          <w:color w:val="auto"/>
        </w:rPr>
        <w:t>表6</w:t>
      </w:r>
      <w:r>
        <w:rPr>
          <w:rFonts w:cs="Times New Roman"/>
          <w:color w:val="auto"/>
        </w:rPr>
        <w:fldChar w:fldCharType="end"/>
      </w:r>
      <w:r>
        <w:rPr>
          <w:rFonts w:cs="Times New Roman"/>
          <w:color w:val="auto"/>
        </w:rPr>
        <w:t>.3-</w:t>
      </w:r>
      <w:r>
        <w:rPr>
          <w:rFonts w:hint="eastAsia" w:cs="Times New Roman"/>
          <w:color w:val="auto"/>
        </w:rPr>
        <w:t>4</w:t>
      </w:r>
      <w:r>
        <w:rPr>
          <w:rFonts w:cs="Times New Roman"/>
          <w:color w:val="auto"/>
        </w:rPr>
        <w:t>。通过现场2处双环渗水试验，项目区内粉质粘土层的渗透系数为0.</w:t>
      </w:r>
      <w:r>
        <w:rPr>
          <w:rFonts w:hint="eastAsia" w:cs="Times New Roman"/>
          <w:color w:val="auto"/>
        </w:rPr>
        <w:t>135</w:t>
      </w:r>
      <w:r>
        <w:rPr>
          <w:rFonts w:cs="Times New Roman"/>
          <w:color w:val="auto"/>
        </w:rPr>
        <w:t>～0.</w:t>
      </w:r>
      <w:r>
        <w:rPr>
          <w:rFonts w:hint="eastAsia" w:cs="Times New Roman"/>
          <w:color w:val="auto"/>
        </w:rPr>
        <w:t>161</w:t>
      </w:r>
      <w:r>
        <w:rPr>
          <w:rFonts w:cs="Times New Roman"/>
          <w:color w:val="auto"/>
        </w:rPr>
        <w:t xml:space="preserve"> m/d（</w:t>
      </w:r>
      <w:r>
        <w:rPr>
          <w:rFonts w:hint="eastAsia" w:cs="Times New Roman"/>
          <w:color w:val="auto"/>
        </w:rPr>
        <w:t>1.56</w:t>
      </w:r>
      <w:r>
        <w:rPr>
          <w:rFonts w:cs="Times New Roman"/>
          <w:color w:val="auto"/>
        </w:rPr>
        <w:t>×10</w:t>
      </w:r>
      <w:r>
        <w:rPr>
          <w:rFonts w:cs="Times New Roman"/>
          <w:color w:val="auto"/>
          <w:vertAlign w:val="superscript"/>
        </w:rPr>
        <w:t>-</w:t>
      </w:r>
      <w:r>
        <w:rPr>
          <w:rFonts w:hint="eastAsia" w:cs="Times New Roman"/>
          <w:color w:val="auto"/>
          <w:vertAlign w:val="superscript"/>
        </w:rPr>
        <w:t>4</w:t>
      </w:r>
      <w:r>
        <w:rPr>
          <w:rFonts w:cs="Times New Roman"/>
          <w:color w:val="auto"/>
        </w:rPr>
        <w:t>～</w:t>
      </w:r>
      <w:r>
        <w:rPr>
          <w:rFonts w:hint="eastAsia" w:cs="Times New Roman"/>
          <w:color w:val="auto"/>
        </w:rPr>
        <w:t>1.86</w:t>
      </w:r>
      <w:r>
        <w:rPr>
          <w:rFonts w:cs="Times New Roman"/>
          <w:color w:val="auto"/>
        </w:rPr>
        <w:t>×10</w:t>
      </w:r>
      <w:r>
        <w:rPr>
          <w:rFonts w:cs="Times New Roman"/>
          <w:color w:val="auto"/>
          <w:vertAlign w:val="superscript"/>
        </w:rPr>
        <w:t>-</w:t>
      </w:r>
      <w:r>
        <w:rPr>
          <w:rFonts w:hint="eastAsia" w:cs="Times New Roman"/>
          <w:color w:val="auto"/>
          <w:vertAlign w:val="superscript"/>
        </w:rPr>
        <w:t>4</w:t>
      </w:r>
      <w:r>
        <w:rPr>
          <w:rFonts w:cs="Times New Roman"/>
          <w:color w:val="auto"/>
        </w:rPr>
        <w:t>cm/s），渗透性等级为弱透水。</w:t>
      </w:r>
    </w:p>
    <w:p w14:paraId="68DE6E5D">
      <w:pPr>
        <w:pStyle w:val="710"/>
        <w:rPr>
          <w:rFonts w:cs="Times New Roman"/>
          <w:color w:val="auto"/>
        </w:rPr>
      </w:pPr>
      <w:bookmarkStart w:id="151" w:name="_Ref517300439"/>
      <w:r>
        <w:rPr>
          <w:rFonts w:cs="Times New Roman"/>
          <w:color w:val="auto"/>
        </w:rPr>
        <w:t>表</w:t>
      </w:r>
      <w:bookmarkEnd w:id="151"/>
      <w:r>
        <w:rPr>
          <w:rFonts w:hint="eastAsia" w:cs="Times New Roman"/>
          <w:color w:val="auto"/>
          <w:lang w:val="en-US" w:eastAsia="zh-CN"/>
        </w:rPr>
        <w:t>3.1</w:t>
      </w:r>
      <w:r>
        <w:rPr>
          <w:rFonts w:cs="Times New Roman"/>
          <w:color w:val="auto"/>
        </w:rPr>
        <w:t>-</w:t>
      </w:r>
      <w:r>
        <w:rPr>
          <w:rFonts w:hint="eastAsia" w:cs="Times New Roman"/>
          <w:color w:val="auto"/>
        </w:rPr>
        <w:t>4</w:t>
      </w:r>
      <w:r>
        <w:rPr>
          <w:rFonts w:cs="Times New Roman"/>
          <w:color w:val="auto"/>
        </w:rPr>
        <w:t xml:space="preserve">  双环渗水试验成果表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958"/>
        <w:gridCol w:w="1928"/>
        <w:gridCol w:w="877"/>
        <w:gridCol w:w="1594"/>
        <w:gridCol w:w="872"/>
        <w:gridCol w:w="804"/>
        <w:gridCol w:w="989"/>
      </w:tblGrid>
      <w:tr w14:paraId="39959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2AA7FC70">
            <w:pPr>
              <w:pStyle w:val="711"/>
              <w:rPr>
                <w:b/>
                <w:bCs/>
                <w:color w:val="auto"/>
              </w:rPr>
            </w:pPr>
            <w:r>
              <w:rPr>
                <w:rFonts w:hint="eastAsia"/>
                <w:b/>
                <w:bCs/>
                <w:color w:val="auto"/>
              </w:rPr>
              <w:t>编号</w:t>
            </w:r>
          </w:p>
        </w:tc>
        <w:tc>
          <w:tcPr>
            <w:tcW w:w="570" w:type="pct"/>
            <w:tcBorders>
              <w:tl2br w:val="nil"/>
              <w:tr2bl w:val="nil"/>
            </w:tcBorders>
            <w:shd w:val="clear" w:color="auto" w:fill="auto"/>
            <w:noWrap/>
            <w:tcMar>
              <w:left w:w="57" w:type="dxa"/>
              <w:right w:w="57" w:type="dxa"/>
            </w:tcMar>
            <w:vAlign w:val="center"/>
          </w:tcPr>
          <w:p w14:paraId="098C0E50">
            <w:pPr>
              <w:pStyle w:val="711"/>
              <w:rPr>
                <w:b/>
                <w:bCs/>
                <w:color w:val="auto"/>
              </w:rPr>
            </w:pPr>
            <w:r>
              <w:rPr>
                <w:rFonts w:hint="eastAsia"/>
                <w:b/>
                <w:bCs/>
                <w:color w:val="auto"/>
              </w:rPr>
              <w:t>岩性特征</w:t>
            </w:r>
          </w:p>
        </w:tc>
        <w:tc>
          <w:tcPr>
            <w:tcW w:w="665" w:type="pct"/>
            <w:tcBorders>
              <w:tl2br w:val="nil"/>
              <w:tr2bl w:val="nil"/>
            </w:tcBorders>
            <w:shd w:val="clear" w:color="auto" w:fill="auto"/>
            <w:noWrap/>
            <w:tcMar>
              <w:left w:w="57" w:type="dxa"/>
              <w:right w:w="57" w:type="dxa"/>
            </w:tcMar>
            <w:vAlign w:val="center"/>
          </w:tcPr>
          <w:p w14:paraId="5D0DBA53">
            <w:pPr>
              <w:pStyle w:val="711"/>
              <w:rPr>
                <w:b/>
                <w:bCs/>
                <w:color w:val="auto"/>
              </w:rPr>
            </w:pPr>
            <w:r>
              <w:rPr>
                <w:rFonts w:hint="eastAsia"/>
                <w:b/>
                <w:bCs/>
                <w:color w:val="auto"/>
              </w:rPr>
              <w:t>稳定流量（L/min）</w:t>
            </w:r>
          </w:p>
        </w:tc>
        <w:tc>
          <w:tcPr>
            <w:tcW w:w="665" w:type="pct"/>
            <w:tcBorders>
              <w:tl2br w:val="nil"/>
              <w:tr2bl w:val="nil"/>
            </w:tcBorders>
            <w:shd w:val="clear" w:color="auto" w:fill="auto"/>
            <w:tcMar>
              <w:left w:w="57" w:type="dxa"/>
              <w:right w:w="57" w:type="dxa"/>
            </w:tcMar>
            <w:vAlign w:val="center"/>
          </w:tcPr>
          <w:p w14:paraId="72B1E2E2">
            <w:pPr>
              <w:pStyle w:val="711"/>
              <w:rPr>
                <w:b/>
                <w:bCs/>
                <w:color w:val="auto"/>
              </w:rPr>
            </w:pPr>
            <w:r>
              <w:rPr>
                <w:rFonts w:hint="eastAsia"/>
                <w:b/>
                <w:bCs/>
                <w:color w:val="auto"/>
              </w:rPr>
              <w:t>H试验水头（cm）</w:t>
            </w:r>
          </w:p>
        </w:tc>
        <w:tc>
          <w:tcPr>
            <w:tcW w:w="1003" w:type="pct"/>
            <w:tcBorders>
              <w:tl2br w:val="nil"/>
              <w:tr2bl w:val="nil"/>
            </w:tcBorders>
            <w:shd w:val="clear" w:color="auto" w:fill="auto"/>
            <w:tcMar>
              <w:left w:w="57" w:type="dxa"/>
              <w:right w:w="57" w:type="dxa"/>
            </w:tcMar>
            <w:vAlign w:val="center"/>
          </w:tcPr>
          <w:p w14:paraId="2D59E50C">
            <w:pPr>
              <w:pStyle w:val="711"/>
              <w:rPr>
                <w:b/>
                <w:bCs/>
                <w:color w:val="auto"/>
              </w:rPr>
            </w:pPr>
            <w:r>
              <w:rPr>
                <w:rFonts w:hint="eastAsia"/>
                <w:b/>
                <w:bCs/>
                <w:color w:val="auto"/>
              </w:rPr>
              <w:t>Ha毛细上升高度（cm）150-400</w:t>
            </w:r>
          </w:p>
        </w:tc>
        <w:tc>
          <w:tcPr>
            <w:tcW w:w="492" w:type="pct"/>
            <w:tcBorders>
              <w:tl2br w:val="nil"/>
              <w:tr2bl w:val="nil"/>
            </w:tcBorders>
            <w:shd w:val="clear" w:color="auto" w:fill="auto"/>
            <w:tcMar>
              <w:left w:w="57" w:type="dxa"/>
              <w:right w:w="57" w:type="dxa"/>
            </w:tcMar>
            <w:vAlign w:val="center"/>
          </w:tcPr>
          <w:p w14:paraId="3173011A">
            <w:pPr>
              <w:pStyle w:val="711"/>
              <w:rPr>
                <w:b/>
                <w:bCs/>
                <w:color w:val="auto"/>
              </w:rPr>
            </w:pPr>
            <w:r>
              <w:rPr>
                <w:rFonts w:hint="eastAsia"/>
                <w:b/>
                <w:bCs/>
                <w:color w:val="auto"/>
              </w:rPr>
              <w:t>F</w:t>
            </w:r>
          </w:p>
          <w:p w14:paraId="6CB4DB64">
            <w:pPr>
              <w:pStyle w:val="711"/>
              <w:rPr>
                <w:b/>
                <w:bCs/>
                <w:color w:val="auto"/>
              </w:rPr>
            </w:pPr>
            <w:r>
              <w:rPr>
                <w:rFonts w:hint="eastAsia"/>
                <w:b/>
                <w:bCs/>
                <w:color w:val="auto"/>
              </w:rPr>
              <w:t>（cm</w:t>
            </w:r>
            <w:r>
              <w:rPr>
                <w:rFonts w:hint="eastAsia"/>
                <w:b/>
                <w:bCs/>
                <w:color w:val="auto"/>
                <w:vertAlign w:val="superscript"/>
              </w:rPr>
              <w:t>2</w:t>
            </w:r>
            <w:r>
              <w:rPr>
                <w:rFonts w:hint="eastAsia"/>
                <w:b/>
                <w:bCs/>
                <w:color w:val="auto"/>
              </w:rPr>
              <w:t>）</w:t>
            </w:r>
          </w:p>
        </w:tc>
        <w:tc>
          <w:tcPr>
            <w:tcW w:w="498" w:type="pct"/>
            <w:tcBorders>
              <w:tl2br w:val="nil"/>
              <w:tr2bl w:val="nil"/>
            </w:tcBorders>
            <w:shd w:val="clear" w:color="auto" w:fill="auto"/>
            <w:tcMar>
              <w:left w:w="57" w:type="dxa"/>
              <w:right w:w="57" w:type="dxa"/>
            </w:tcMar>
            <w:vAlign w:val="center"/>
          </w:tcPr>
          <w:p w14:paraId="22081317">
            <w:pPr>
              <w:pStyle w:val="711"/>
              <w:rPr>
                <w:b/>
                <w:bCs/>
                <w:color w:val="auto"/>
              </w:rPr>
            </w:pPr>
            <w:r>
              <w:rPr>
                <w:rFonts w:hint="eastAsia"/>
                <w:b/>
                <w:bCs/>
                <w:color w:val="auto"/>
              </w:rPr>
              <w:t>Z</w:t>
            </w:r>
          </w:p>
          <w:p w14:paraId="715189F4">
            <w:pPr>
              <w:pStyle w:val="711"/>
              <w:rPr>
                <w:b/>
                <w:bCs/>
                <w:color w:val="auto"/>
              </w:rPr>
            </w:pPr>
            <w:r>
              <w:rPr>
                <w:rFonts w:hint="eastAsia"/>
                <w:b/>
                <w:bCs/>
                <w:color w:val="auto"/>
              </w:rPr>
              <w:t>（cm）</w:t>
            </w:r>
          </w:p>
        </w:tc>
        <w:tc>
          <w:tcPr>
            <w:tcW w:w="697" w:type="pct"/>
            <w:tcBorders>
              <w:tl2br w:val="nil"/>
              <w:tr2bl w:val="nil"/>
            </w:tcBorders>
            <w:shd w:val="clear" w:color="auto" w:fill="auto"/>
            <w:tcMar>
              <w:left w:w="57" w:type="dxa"/>
              <w:right w:w="57" w:type="dxa"/>
            </w:tcMar>
            <w:vAlign w:val="center"/>
          </w:tcPr>
          <w:p w14:paraId="602654F1">
            <w:pPr>
              <w:pStyle w:val="711"/>
              <w:rPr>
                <w:rFonts w:hint="eastAsia" w:eastAsiaTheme="majorEastAsia"/>
                <w:b/>
                <w:bCs/>
                <w:color w:val="auto"/>
                <w:lang w:eastAsia="zh-CN"/>
              </w:rPr>
            </w:pPr>
            <w:r>
              <w:rPr>
                <w:rFonts w:hint="eastAsia"/>
                <w:b/>
                <w:bCs/>
                <w:color w:val="auto"/>
              </w:rPr>
              <w:t>K渗透系数</w:t>
            </w:r>
            <w:r>
              <w:rPr>
                <w:rFonts w:hint="eastAsia"/>
                <w:b/>
                <w:bCs/>
                <w:color w:val="auto"/>
                <w:lang w:eastAsia="zh-CN"/>
              </w:rPr>
              <w:t>（</w:t>
            </w:r>
            <w:r>
              <w:rPr>
                <w:rFonts w:hint="eastAsia"/>
                <w:b/>
                <w:bCs/>
                <w:color w:val="auto"/>
              </w:rPr>
              <w:t>cm/s</w:t>
            </w:r>
            <w:r>
              <w:rPr>
                <w:rFonts w:hint="eastAsia"/>
                <w:b/>
                <w:bCs/>
                <w:color w:val="auto"/>
                <w:lang w:eastAsia="zh-CN"/>
              </w:rPr>
              <w:t>）</w:t>
            </w:r>
          </w:p>
        </w:tc>
      </w:tr>
      <w:tr w14:paraId="4BD29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3A2C54A7">
            <w:pPr>
              <w:pStyle w:val="711"/>
              <w:rPr>
                <w:color w:val="auto"/>
              </w:rPr>
            </w:pPr>
            <w:r>
              <w:rPr>
                <w:rFonts w:hint="eastAsia"/>
                <w:color w:val="auto"/>
              </w:rPr>
              <w:t>SH01</w:t>
            </w:r>
          </w:p>
        </w:tc>
        <w:tc>
          <w:tcPr>
            <w:tcW w:w="570" w:type="pct"/>
            <w:tcBorders>
              <w:tl2br w:val="nil"/>
              <w:tr2bl w:val="nil"/>
            </w:tcBorders>
            <w:shd w:val="clear" w:color="auto" w:fill="auto"/>
            <w:noWrap/>
            <w:tcMar>
              <w:left w:w="57" w:type="dxa"/>
              <w:right w:w="57" w:type="dxa"/>
            </w:tcMar>
            <w:vAlign w:val="center"/>
          </w:tcPr>
          <w:p w14:paraId="51B85047">
            <w:pPr>
              <w:pStyle w:val="711"/>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26EC83D1">
            <w:pPr>
              <w:pStyle w:val="711"/>
              <w:rPr>
                <w:color w:val="auto"/>
              </w:rPr>
            </w:pPr>
            <w:r>
              <w:rPr>
                <w:rFonts w:hint="eastAsia"/>
                <w:color w:val="auto"/>
              </w:rPr>
              <w:t>0.01526</w:t>
            </w:r>
          </w:p>
        </w:tc>
        <w:tc>
          <w:tcPr>
            <w:tcW w:w="665" w:type="pct"/>
            <w:tcBorders>
              <w:tl2br w:val="nil"/>
              <w:tr2bl w:val="nil"/>
            </w:tcBorders>
            <w:shd w:val="clear" w:color="auto" w:fill="auto"/>
            <w:tcMar>
              <w:left w:w="57" w:type="dxa"/>
              <w:right w:w="57" w:type="dxa"/>
            </w:tcMar>
            <w:vAlign w:val="center"/>
          </w:tcPr>
          <w:p w14:paraId="5A89C277">
            <w:pPr>
              <w:pStyle w:val="711"/>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71F62B64">
            <w:pPr>
              <w:pStyle w:val="711"/>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0BEB8535">
            <w:pPr>
              <w:pStyle w:val="711"/>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6561E8B1">
            <w:pPr>
              <w:pStyle w:val="711"/>
              <w:rPr>
                <w:color w:val="auto"/>
              </w:rPr>
            </w:pPr>
            <w:r>
              <w:rPr>
                <w:rFonts w:hint="eastAsia"/>
                <w:color w:val="auto"/>
              </w:rPr>
              <w:t>81</w:t>
            </w:r>
          </w:p>
        </w:tc>
        <w:tc>
          <w:tcPr>
            <w:tcW w:w="697" w:type="pct"/>
            <w:tcBorders>
              <w:tl2br w:val="nil"/>
              <w:tr2bl w:val="nil"/>
            </w:tcBorders>
            <w:shd w:val="clear" w:color="auto" w:fill="auto"/>
            <w:tcMar>
              <w:left w:w="57" w:type="dxa"/>
              <w:right w:w="57" w:type="dxa"/>
            </w:tcMar>
            <w:vAlign w:val="center"/>
          </w:tcPr>
          <w:p w14:paraId="7828AF1B">
            <w:pPr>
              <w:pStyle w:val="711"/>
              <w:rPr>
                <w:color w:val="auto"/>
              </w:rPr>
            </w:pPr>
            <w:r>
              <w:rPr>
                <w:rFonts w:hint="eastAsia"/>
                <w:color w:val="auto"/>
              </w:rPr>
              <w:t>1.86E-04</w:t>
            </w:r>
          </w:p>
        </w:tc>
      </w:tr>
      <w:tr w14:paraId="244EA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68539D0B">
            <w:pPr>
              <w:pStyle w:val="711"/>
              <w:rPr>
                <w:color w:val="auto"/>
              </w:rPr>
            </w:pPr>
            <w:r>
              <w:rPr>
                <w:rFonts w:hint="eastAsia"/>
                <w:color w:val="auto"/>
              </w:rPr>
              <w:t>SH02</w:t>
            </w:r>
          </w:p>
        </w:tc>
        <w:tc>
          <w:tcPr>
            <w:tcW w:w="570" w:type="pct"/>
            <w:tcBorders>
              <w:tl2br w:val="nil"/>
              <w:tr2bl w:val="nil"/>
            </w:tcBorders>
            <w:shd w:val="clear" w:color="auto" w:fill="auto"/>
            <w:noWrap/>
            <w:tcMar>
              <w:left w:w="57" w:type="dxa"/>
              <w:right w:w="57" w:type="dxa"/>
            </w:tcMar>
            <w:vAlign w:val="center"/>
          </w:tcPr>
          <w:p w14:paraId="6ABCA707">
            <w:pPr>
              <w:pStyle w:val="711"/>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6260B74B">
            <w:pPr>
              <w:pStyle w:val="711"/>
              <w:rPr>
                <w:color w:val="auto"/>
              </w:rPr>
            </w:pPr>
            <w:r>
              <w:rPr>
                <w:rFonts w:hint="eastAsia"/>
                <w:color w:val="auto"/>
              </w:rPr>
              <w:t>0.01348</w:t>
            </w:r>
          </w:p>
        </w:tc>
        <w:tc>
          <w:tcPr>
            <w:tcW w:w="665" w:type="pct"/>
            <w:tcBorders>
              <w:tl2br w:val="nil"/>
              <w:tr2bl w:val="nil"/>
            </w:tcBorders>
            <w:shd w:val="clear" w:color="auto" w:fill="auto"/>
            <w:tcMar>
              <w:left w:w="57" w:type="dxa"/>
              <w:right w:w="57" w:type="dxa"/>
            </w:tcMar>
            <w:vAlign w:val="center"/>
          </w:tcPr>
          <w:p w14:paraId="3364ACD6">
            <w:pPr>
              <w:pStyle w:val="711"/>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3847597F">
            <w:pPr>
              <w:pStyle w:val="711"/>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2441291E">
            <w:pPr>
              <w:pStyle w:val="711"/>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72D31E6A">
            <w:pPr>
              <w:pStyle w:val="711"/>
              <w:rPr>
                <w:color w:val="auto"/>
              </w:rPr>
            </w:pPr>
            <w:r>
              <w:rPr>
                <w:rFonts w:hint="eastAsia"/>
                <w:color w:val="auto"/>
              </w:rPr>
              <w:t>75</w:t>
            </w:r>
          </w:p>
        </w:tc>
        <w:tc>
          <w:tcPr>
            <w:tcW w:w="697" w:type="pct"/>
            <w:tcBorders>
              <w:tl2br w:val="nil"/>
              <w:tr2bl w:val="nil"/>
            </w:tcBorders>
            <w:shd w:val="clear" w:color="auto" w:fill="auto"/>
            <w:tcMar>
              <w:left w:w="57" w:type="dxa"/>
              <w:right w:w="57" w:type="dxa"/>
            </w:tcMar>
            <w:vAlign w:val="center"/>
          </w:tcPr>
          <w:p w14:paraId="2842C364">
            <w:pPr>
              <w:pStyle w:val="711"/>
              <w:rPr>
                <w:color w:val="auto"/>
              </w:rPr>
            </w:pPr>
            <w:r>
              <w:rPr>
                <w:rFonts w:hint="eastAsia"/>
                <w:color w:val="auto"/>
              </w:rPr>
              <w:t>1.56E-04</w:t>
            </w:r>
          </w:p>
        </w:tc>
      </w:tr>
    </w:tbl>
    <w:p w14:paraId="4DCD7CD5">
      <w:pPr>
        <w:pStyle w:val="6"/>
        <w:ind w:firstLine="361"/>
        <w:rPr>
          <w:rFonts w:cs="Times New Roman"/>
          <w:color w:val="auto"/>
        </w:rPr>
      </w:pPr>
      <w:r>
        <w:rPr>
          <w:rFonts w:cs="Times New Roman"/>
          <w:color w:val="auto"/>
        </w:rPr>
        <w:t>地下水化学特征</w:t>
      </w:r>
    </w:p>
    <w:p w14:paraId="5F3ADEEE">
      <w:pPr>
        <w:ind w:firstLine="480"/>
        <w:rPr>
          <w:rFonts w:hint="default" w:ascii="Times New Roman" w:hAnsi="Times New Roman" w:cs="Times New Roman"/>
          <w:color w:val="auto"/>
        </w:rPr>
      </w:pPr>
      <w:r>
        <w:rPr>
          <w:rFonts w:hint="default" w:ascii="Times New Roman" w:hAnsi="Times New Roman" w:cs="Times New Roman"/>
          <w:color w:val="auto"/>
        </w:rPr>
        <w:t>为了查明评价区地下水水化学特征，项目组对评价区地下水水质分析结果中的宏量组分进行分析。根据各水样水化学常量组分监测结果统计（表</w:t>
      </w:r>
      <w:r>
        <w:rPr>
          <w:rFonts w:hint="default" w:ascii="Times New Roman" w:hAnsi="Times New Roman" w:eastAsia="黑体" w:cs="Times New Roman"/>
          <w:color w:val="auto"/>
          <w:lang w:val="en-US" w:eastAsia="zh-CN"/>
        </w:rPr>
        <w:t>3.1</w:t>
      </w:r>
      <w:r>
        <w:rPr>
          <w:rFonts w:hint="default" w:ascii="Times New Roman" w:hAnsi="Times New Roman" w:eastAsia="黑体" w:cs="Times New Roman"/>
          <w:color w:val="auto"/>
        </w:rPr>
        <w:t>-</w:t>
      </w:r>
      <w:r>
        <w:rPr>
          <w:rFonts w:hint="default" w:ascii="Times New Roman" w:hAnsi="Times New Roman" w:cs="Times New Roman"/>
          <w:color w:val="auto"/>
        </w:rPr>
        <w:t>5），本项目所在区域地下水矿化度在104～925 mg/L，均&lt;1g/L，属于低矿化度水；pH介于6.9～7.2，呈弱酸-弱碱性。地下水水样水化学类型为HCO</w:t>
      </w:r>
      <w:r>
        <w:rPr>
          <w:rFonts w:hint="default" w:ascii="Times New Roman" w:hAnsi="Times New Roman" w:cs="Times New Roman"/>
          <w:color w:val="auto"/>
          <w:vertAlign w:val="subscript"/>
        </w:rPr>
        <w:t>3</w:t>
      </w:r>
      <w:r>
        <w:rPr>
          <w:rFonts w:hint="default" w:ascii="Times New Roman" w:hAnsi="Times New Roman" w:cs="Times New Roman"/>
          <w:color w:val="auto"/>
        </w:rPr>
        <w:t>-Ca•Mg型，本项目区地下水Piper三线图见图</w:t>
      </w:r>
      <w:r>
        <w:rPr>
          <w:rFonts w:hint="default" w:ascii="Times New Roman" w:hAnsi="Times New Roman" w:eastAsia="黑体" w:cs="Times New Roman"/>
          <w:color w:val="auto"/>
          <w:lang w:val="en-US" w:eastAsia="zh-CN"/>
        </w:rPr>
        <w:t>3.1</w:t>
      </w:r>
      <w:r>
        <w:rPr>
          <w:rFonts w:hint="default" w:ascii="Times New Roman" w:hAnsi="Times New Roman" w:eastAsia="黑体" w:cs="Times New Roman"/>
          <w:color w:val="auto"/>
        </w:rPr>
        <w:t>-</w:t>
      </w:r>
      <w:r>
        <w:rPr>
          <w:rFonts w:hint="eastAsia" w:eastAsia="黑体" w:cs="Times New Roman"/>
          <w:color w:val="auto"/>
          <w:lang w:val="en-US" w:eastAsia="zh-CN"/>
        </w:rPr>
        <w:t>1</w:t>
      </w:r>
      <w:r>
        <w:rPr>
          <w:rFonts w:hint="default" w:ascii="Times New Roman" w:hAnsi="Times New Roman" w:cs="Times New Roman"/>
          <w:color w:val="auto"/>
        </w:rPr>
        <w:t>。</w:t>
      </w:r>
    </w:p>
    <w:p w14:paraId="70872B59">
      <w:pPr>
        <w:pStyle w:val="710"/>
        <w:rPr>
          <w:rFonts w:hint="eastAsia" w:cs="Times New Roman" w:eastAsiaTheme="minorEastAsia"/>
          <w:color w:val="auto"/>
          <w:lang w:eastAsia="zh-CN"/>
        </w:rPr>
      </w:pPr>
      <w:r>
        <w:rPr>
          <w:rFonts w:cs="Times New Roman"/>
          <w:color w:val="auto"/>
        </w:rPr>
        <w:t>表</w:t>
      </w:r>
      <w:r>
        <w:rPr>
          <w:rFonts w:hint="eastAsia" w:cs="Times New Roman"/>
          <w:color w:val="auto"/>
          <w:lang w:val="en-US" w:eastAsia="zh-CN"/>
        </w:rPr>
        <w:t>3.1</w:t>
      </w:r>
      <w:r>
        <w:rPr>
          <w:rFonts w:cs="Times New Roman"/>
          <w:color w:val="auto"/>
        </w:rPr>
        <w:t>-</w:t>
      </w:r>
      <w:r>
        <w:rPr>
          <w:rFonts w:hint="eastAsia" w:cs="Times New Roman"/>
          <w:color w:val="auto"/>
        </w:rPr>
        <w:t>5</w:t>
      </w:r>
      <w:r>
        <w:rPr>
          <w:rFonts w:cs="Times New Roman"/>
          <w:color w:val="auto"/>
        </w:rPr>
        <w:t xml:space="preserve">  水样水化学常量组分监测结果</w:t>
      </w:r>
      <w:r>
        <w:rPr>
          <w:rFonts w:hint="eastAsia" w:cs="Times New Roman"/>
          <w:color w:val="auto"/>
          <w:lang w:eastAsia="zh-CN"/>
        </w:rPr>
        <w:t>（</w:t>
      </w:r>
      <w:r>
        <w:rPr>
          <w:rFonts w:cs="Times New Roman"/>
          <w:color w:val="auto"/>
        </w:rPr>
        <w:t>mg/L</w:t>
      </w:r>
      <w:r>
        <w:rPr>
          <w:rFonts w:hint="eastAsia" w:cs="Times New Roman"/>
          <w:color w:val="auto"/>
          <w:lang w:eastAsia="zh-CN"/>
        </w:rPr>
        <w:t>）</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744"/>
        <w:gridCol w:w="535"/>
        <w:gridCol w:w="535"/>
        <w:gridCol w:w="589"/>
        <w:gridCol w:w="589"/>
        <w:gridCol w:w="700"/>
        <w:gridCol w:w="700"/>
        <w:gridCol w:w="995"/>
        <w:gridCol w:w="580"/>
        <w:gridCol w:w="599"/>
        <w:gridCol w:w="1408"/>
      </w:tblGrid>
      <w:tr w14:paraId="4A688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77628770">
            <w:pPr>
              <w:pStyle w:val="711"/>
              <w:rPr>
                <w:b/>
                <w:bCs/>
                <w:color w:val="auto"/>
              </w:rPr>
            </w:pPr>
            <w:r>
              <w:rPr>
                <w:rFonts w:hint="eastAsia"/>
                <w:b/>
                <w:bCs/>
                <w:color w:val="auto"/>
              </w:rPr>
              <w:t>监测项目</w:t>
            </w:r>
          </w:p>
        </w:tc>
        <w:tc>
          <w:tcPr>
            <w:tcW w:w="435" w:type="pct"/>
            <w:tcBorders>
              <w:tl2br w:val="nil"/>
              <w:tr2bl w:val="nil"/>
            </w:tcBorders>
            <w:shd w:val="clear" w:color="auto" w:fill="auto"/>
            <w:tcMar>
              <w:left w:w="28" w:type="dxa"/>
              <w:right w:w="28" w:type="dxa"/>
            </w:tcMar>
            <w:vAlign w:val="center"/>
          </w:tcPr>
          <w:p w14:paraId="19F2D65D">
            <w:pPr>
              <w:pStyle w:val="711"/>
              <w:rPr>
                <w:b/>
                <w:bCs/>
                <w:color w:val="auto"/>
              </w:rPr>
            </w:pPr>
            <w:r>
              <w:rPr>
                <w:rFonts w:hint="eastAsia"/>
                <w:b/>
                <w:bCs/>
                <w:color w:val="auto"/>
              </w:rPr>
              <w:t>pH值</w:t>
            </w:r>
          </w:p>
        </w:tc>
        <w:tc>
          <w:tcPr>
            <w:tcW w:w="312" w:type="pct"/>
            <w:tcBorders>
              <w:tl2br w:val="nil"/>
              <w:tr2bl w:val="nil"/>
            </w:tcBorders>
            <w:shd w:val="clear" w:color="auto" w:fill="auto"/>
            <w:tcMar>
              <w:left w:w="28" w:type="dxa"/>
              <w:right w:w="28" w:type="dxa"/>
            </w:tcMar>
            <w:vAlign w:val="center"/>
          </w:tcPr>
          <w:p w14:paraId="14167F3C">
            <w:pPr>
              <w:pStyle w:val="711"/>
              <w:rPr>
                <w:b/>
                <w:bCs/>
                <w:color w:val="auto"/>
              </w:rPr>
            </w:pPr>
            <w:r>
              <w:rPr>
                <w:rFonts w:hint="eastAsia"/>
                <w:b/>
                <w:bCs/>
                <w:color w:val="auto"/>
              </w:rPr>
              <w:t xml:space="preserve">钾 </w:t>
            </w:r>
          </w:p>
        </w:tc>
        <w:tc>
          <w:tcPr>
            <w:tcW w:w="305" w:type="pct"/>
            <w:tcBorders>
              <w:tl2br w:val="nil"/>
              <w:tr2bl w:val="nil"/>
            </w:tcBorders>
            <w:shd w:val="clear" w:color="auto" w:fill="auto"/>
            <w:tcMar>
              <w:left w:w="28" w:type="dxa"/>
              <w:right w:w="28" w:type="dxa"/>
            </w:tcMar>
            <w:vAlign w:val="center"/>
          </w:tcPr>
          <w:p w14:paraId="3E1BE548">
            <w:pPr>
              <w:pStyle w:val="711"/>
              <w:rPr>
                <w:b/>
                <w:bCs/>
                <w:color w:val="auto"/>
              </w:rPr>
            </w:pPr>
            <w:r>
              <w:rPr>
                <w:rFonts w:hint="eastAsia"/>
                <w:b/>
                <w:bCs/>
                <w:color w:val="auto"/>
              </w:rPr>
              <w:t xml:space="preserve">钠 </w:t>
            </w:r>
          </w:p>
        </w:tc>
        <w:tc>
          <w:tcPr>
            <w:tcW w:w="344" w:type="pct"/>
            <w:tcBorders>
              <w:tl2br w:val="nil"/>
              <w:tr2bl w:val="nil"/>
            </w:tcBorders>
            <w:shd w:val="clear" w:color="auto" w:fill="auto"/>
            <w:tcMar>
              <w:left w:w="28" w:type="dxa"/>
              <w:right w:w="28" w:type="dxa"/>
            </w:tcMar>
            <w:vAlign w:val="center"/>
          </w:tcPr>
          <w:p w14:paraId="4F37D5BE">
            <w:pPr>
              <w:pStyle w:val="711"/>
              <w:rPr>
                <w:b/>
                <w:bCs/>
                <w:color w:val="auto"/>
              </w:rPr>
            </w:pPr>
            <w:r>
              <w:rPr>
                <w:rFonts w:hint="eastAsia"/>
                <w:b/>
                <w:bCs/>
                <w:color w:val="auto"/>
              </w:rPr>
              <w:t xml:space="preserve">钙 </w:t>
            </w:r>
          </w:p>
        </w:tc>
        <w:tc>
          <w:tcPr>
            <w:tcW w:w="344" w:type="pct"/>
            <w:tcBorders>
              <w:tl2br w:val="nil"/>
              <w:tr2bl w:val="nil"/>
            </w:tcBorders>
            <w:shd w:val="clear" w:color="auto" w:fill="auto"/>
            <w:tcMar>
              <w:left w:w="28" w:type="dxa"/>
              <w:right w:w="28" w:type="dxa"/>
            </w:tcMar>
            <w:vAlign w:val="center"/>
          </w:tcPr>
          <w:p w14:paraId="2C0FCB04">
            <w:pPr>
              <w:pStyle w:val="711"/>
              <w:rPr>
                <w:b/>
                <w:bCs/>
                <w:color w:val="auto"/>
              </w:rPr>
            </w:pPr>
            <w:r>
              <w:rPr>
                <w:rFonts w:hint="eastAsia"/>
                <w:b/>
                <w:bCs/>
                <w:color w:val="auto"/>
              </w:rPr>
              <w:t xml:space="preserve">镁 </w:t>
            </w:r>
          </w:p>
        </w:tc>
        <w:tc>
          <w:tcPr>
            <w:tcW w:w="409" w:type="pct"/>
            <w:tcBorders>
              <w:tl2br w:val="nil"/>
              <w:tr2bl w:val="nil"/>
            </w:tcBorders>
            <w:shd w:val="clear" w:color="auto" w:fill="auto"/>
            <w:noWrap/>
            <w:tcMar>
              <w:left w:w="28" w:type="dxa"/>
              <w:right w:w="28" w:type="dxa"/>
            </w:tcMar>
            <w:vAlign w:val="center"/>
          </w:tcPr>
          <w:p w14:paraId="74EC2EFE">
            <w:pPr>
              <w:pStyle w:val="711"/>
              <w:rPr>
                <w:b/>
                <w:bCs/>
                <w:color w:val="auto"/>
              </w:rPr>
            </w:pPr>
            <w:r>
              <w:rPr>
                <w:rFonts w:hint="eastAsia"/>
                <w:b/>
                <w:bCs/>
                <w:color w:val="auto"/>
              </w:rPr>
              <w:t>氯化物</w:t>
            </w:r>
          </w:p>
        </w:tc>
        <w:tc>
          <w:tcPr>
            <w:tcW w:w="409" w:type="pct"/>
            <w:tcBorders>
              <w:tl2br w:val="nil"/>
              <w:tr2bl w:val="nil"/>
            </w:tcBorders>
            <w:shd w:val="clear" w:color="auto" w:fill="auto"/>
            <w:noWrap/>
            <w:tcMar>
              <w:left w:w="28" w:type="dxa"/>
              <w:right w:w="28" w:type="dxa"/>
            </w:tcMar>
            <w:vAlign w:val="center"/>
          </w:tcPr>
          <w:p w14:paraId="23D3BE9C">
            <w:pPr>
              <w:pStyle w:val="711"/>
              <w:rPr>
                <w:b/>
                <w:bCs/>
                <w:color w:val="auto"/>
              </w:rPr>
            </w:pPr>
            <w:r>
              <w:rPr>
                <w:rFonts w:hint="eastAsia"/>
                <w:b/>
                <w:bCs/>
                <w:color w:val="auto"/>
              </w:rPr>
              <w:t>硫酸盐</w:t>
            </w:r>
          </w:p>
        </w:tc>
        <w:tc>
          <w:tcPr>
            <w:tcW w:w="581" w:type="pct"/>
            <w:tcBorders>
              <w:tl2br w:val="nil"/>
              <w:tr2bl w:val="nil"/>
            </w:tcBorders>
            <w:shd w:val="clear" w:color="auto" w:fill="auto"/>
            <w:tcMar>
              <w:left w:w="28" w:type="dxa"/>
              <w:right w:w="28" w:type="dxa"/>
            </w:tcMar>
            <w:vAlign w:val="center"/>
          </w:tcPr>
          <w:p w14:paraId="0D4435BA">
            <w:pPr>
              <w:pStyle w:val="711"/>
              <w:rPr>
                <w:b/>
                <w:bCs/>
                <w:color w:val="auto"/>
              </w:rPr>
            </w:pPr>
            <w:r>
              <w:rPr>
                <w:rFonts w:hint="eastAsia"/>
                <w:b/>
                <w:bCs/>
                <w:color w:val="auto"/>
              </w:rPr>
              <w:t>重碳酸根</w:t>
            </w:r>
          </w:p>
        </w:tc>
        <w:tc>
          <w:tcPr>
            <w:tcW w:w="339" w:type="pct"/>
            <w:tcBorders>
              <w:tl2br w:val="nil"/>
              <w:tr2bl w:val="nil"/>
            </w:tcBorders>
            <w:shd w:val="clear" w:color="auto" w:fill="auto"/>
            <w:tcMar>
              <w:left w:w="28" w:type="dxa"/>
              <w:right w:w="28" w:type="dxa"/>
            </w:tcMar>
            <w:vAlign w:val="center"/>
          </w:tcPr>
          <w:p w14:paraId="0CCDC5E3">
            <w:pPr>
              <w:pStyle w:val="711"/>
              <w:rPr>
                <w:b/>
                <w:bCs/>
                <w:color w:val="auto"/>
              </w:rPr>
            </w:pPr>
            <w:r>
              <w:rPr>
                <w:rFonts w:hint="eastAsia"/>
                <w:b/>
                <w:bCs/>
                <w:color w:val="auto"/>
              </w:rPr>
              <w:t>碳酸根</w:t>
            </w:r>
          </w:p>
        </w:tc>
        <w:tc>
          <w:tcPr>
            <w:tcW w:w="350" w:type="pct"/>
            <w:tcBorders>
              <w:tl2br w:val="nil"/>
              <w:tr2bl w:val="nil"/>
            </w:tcBorders>
            <w:shd w:val="clear" w:color="auto" w:fill="auto"/>
            <w:noWrap/>
            <w:tcMar>
              <w:left w:w="28" w:type="dxa"/>
              <w:right w:w="28" w:type="dxa"/>
            </w:tcMar>
            <w:vAlign w:val="center"/>
          </w:tcPr>
          <w:p w14:paraId="4D2D5A79">
            <w:pPr>
              <w:pStyle w:val="711"/>
              <w:rPr>
                <w:b/>
                <w:bCs/>
                <w:color w:val="auto"/>
              </w:rPr>
            </w:pPr>
            <w:r>
              <w:rPr>
                <w:rFonts w:hint="eastAsia"/>
                <w:b/>
                <w:bCs/>
                <w:color w:val="auto"/>
              </w:rPr>
              <w:t>TDS</w:t>
            </w:r>
          </w:p>
        </w:tc>
        <w:tc>
          <w:tcPr>
            <w:tcW w:w="822" w:type="pct"/>
            <w:vMerge w:val="restart"/>
            <w:tcBorders>
              <w:tl2br w:val="nil"/>
              <w:tr2bl w:val="nil"/>
            </w:tcBorders>
            <w:shd w:val="clear" w:color="auto" w:fill="auto"/>
            <w:noWrap/>
            <w:tcMar>
              <w:left w:w="28" w:type="dxa"/>
              <w:right w:w="28" w:type="dxa"/>
            </w:tcMar>
            <w:vAlign w:val="center"/>
          </w:tcPr>
          <w:p w14:paraId="5FF4B8F5">
            <w:pPr>
              <w:pStyle w:val="711"/>
              <w:rPr>
                <w:b/>
                <w:bCs/>
                <w:color w:val="auto"/>
              </w:rPr>
            </w:pPr>
            <w:r>
              <w:rPr>
                <w:rFonts w:hint="eastAsia"/>
                <w:b/>
                <w:bCs/>
                <w:color w:val="auto"/>
              </w:rPr>
              <w:t>水化学类型</w:t>
            </w:r>
          </w:p>
        </w:tc>
      </w:tr>
      <w:tr w14:paraId="06564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27703FC2">
            <w:pPr>
              <w:pStyle w:val="711"/>
              <w:rPr>
                <w:b/>
                <w:bCs/>
                <w:color w:val="auto"/>
              </w:rPr>
            </w:pPr>
            <w:r>
              <w:rPr>
                <w:rFonts w:hint="eastAsia"/>
                <w:b/>
                <w:bCs/>
                <w:color w:val="auto"/>
              </w:rPr>
              <w:t>单位</w:t>
            </w:r>
          </w:p>
        </w:tc>
        <w:tc>
          <w:tcPr>
            <w:tcW w:w="435" w:type="pct"/>
            <w:tcBorders>
              <w:tl2br w:val="nil"/>
              <w:tr2bl w:val="nil"/>
            </w:tcBorders>
            <w:shd w:val="clear" w:color="auto" w:fill="auto"/>
            <w:tcMar>
              <w:left w:w="28" w:type="dxa"/>
              <w:right w:w="28" w:type="dxa"/>
            </w:tcMar>
            <w:vAlign w:val="center"/>
          </w:tcPr>
          <w:p w14:paraId="184AAECD">
            <w:pPr>
              <w:pStyle w:val="711"/>
              <w:rPr>
                <w:b/>
                <w:bCs/>
                <w:color w:val="auto"/>
              </w:rPr>
            </w:pPr>
            <w:r>
              <w:rPr>
                <w:rFonts w:hint="eastAsia"/>
                <w:b/>
                <w:bCs/>
                <w:color w:val="auto"/>
              </w:rPr>
              <w:t>无量纲</w:t>
            </w:r>
          </w:p>
        </w:tc>
        <w:tc>
          <w:tcPr>
            <w:tcW w:w="312" w:type="pct"/>
            <w:tcBorders>
              <w:tl2br w:val="nil"/>
              <w:tr2bl w:val="nil"/>
            </w:tcBorders>
            <w:shd w:val="clear" w:color="auto" w:fill="auto"/>
            <w:tcMar>
              <w:left w:w="28" w:type="dxa"/>
              <w:right w:w="28" w:type="dxa"/>
            </w:tcMar>
            <w:vAlign w:val="center"/>
          </w:tcPr>
          <w:p w14:paraId="0420A03B">
            <w:pPr>
              <w:pStyle w:val="711"/>
              <w:rPr>
                <w:b/>
                <w:bCs/>
                <w:color w:val="auto"/>
              </w:rPr>
            </w:pPr>
            <w:r>
              <w:rPr>
                <w:rFonts w:hint="eastAsia"/>
                <w:b/>
                <w:bCs/>
                <w:color w:val="auto"/>
              </w:rPr>
              <w:t>mg/L</w:t>
            </w:r>
          </w:p>
        </w:tc>
        <w:tc>
          <w:tcPr>
            <w:tcW w:w="305" w:type="pct"/>
            <w:tcBorders>
              <w:tl2br w:val="nil"/>
              <w:tr2bl w:val="nil"/>
            </w:tcBorders>
            <w:shd w:val="clear" w:color="auto" w:fill="auto"/>
            <w:tcMar>
              <w:left w:w="28" w:type="dxa"/>
              <w:right w:w="28" w:type="dxa"/>
            </w:tcMar>
            <w:vAlign w:val="center"/>
          </w:tcPr>
          <w:p w14:paraId="72AF9BEC">
            <w:pPr>
              <w:pStyle w:val="711"/>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55FD982E">
            <w:pPr>
              <w:pStyle w:val="711"/>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7CC408D4">
            <w:pPr>
              <w:pStyle w:val="711"/>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0793B158">
            <w:pPr>
              <w:pStyle w:val="711"/>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4807280D">
            <w:pPr>
              <w:pStyle w:val="711"/>
              <w:rPr>
                <w:b/>
                <w:bCs/>
                <w:color w:val="auto"/>
              </w:rPr>
            </w:pPr>
            <w:r>
              <w:rPr>
                <w:rFonts w:hint="eastAsia"/>
                <w:b/>
                <w:bCs/>
                <w:color w:val="auto"/>
              </w:rPr>
              <w:t>mg/L</w:t>
            </w:r>
          </w:p>
        </w:tc>
        <w:tc>
          <w:tcPr>
            <w:tcW w:w="581" w:type="pct"/>
            <w:tcBorders>
              <w:tl2br w:val="nil"/>
              <w:tr2bl w:val="nil"/>
            </w:tcBorders>
            <w:shd w:val="clear" w:color="auto" w:fill="auto"/>
            <w:tcMar>
              <w:left w:w="28" w:type="dxa"/>
              <w:right w:w="28" w:type="dxa"/>
            </w:tcMar>
            <w:vAlign w:val="center"/>
          </w:tcPr>
          <w:p w14:paraId="55986592">
            <w:pPr>
              <w:pStyle w:val="711"/>
              <w:rPr>
                <w:b/>
                <w:bCs/>
                <w:color w:val="auto"/>
              </w:rPr>
            </w:pPr>
            <w:r>
              <w:rPr>
                <w:rFonts w:hint="eastAsia"/>
                <w:b/>
                <w:bCs/>
                <w:color w:val="auto"/>
              </w:rPr>
              <w:t>mg/L</w:t>
            </w:r>
          </w:p>
        </w:tc>
        <w:tc>
          <w:tcPr>
            <w:tcW w:w="339" w:type="pct"/>
            <w:tcBorders>
              <w:tl2br w:val="nil"/>
              <w:tr2bl w:val="nil"/>
            </w:tcBorders>
            <w:shd w:val="clear" w:color="auto" w:fill="auto"/>
            <w:tcMar>
              <w:left w:w="28" w:type="dxa"/>
              <w:right w:w="28" w:type="dxa"/>
            </w:tcMar>
            <w:vAlign w:val="center"/>
          </w:tcPr>
          <w:p w14:paraId="527D6CA0">
            <w:pPr>
              <w:pStyle w:val="711"/>
              <w:rPr>
                <w:b/>
                <w:bCs/>
                <w:color w:val="auto"/>
              </w:rPr>
            </w:pPr>
            <w:r>
              <w:rPr>
                <w:rFonts w:hint="eastAsia"/>
                <w:b/>
                <w:bCs/>
                <w:color w:val="auto"/>
              </w:rPr>
              <w:t>mg/L</w:t>
            </w:r>
          </w:p>
        </w:tc>
        <w:tc>
          <w:tcPr>
            <w:tcW w:w="350" w:type="pct"/>
            <w:tcBorders>
              <w:tl2br w:val="nil"/>
              <w:tr2bl w:val="nil"/>
            </w:tcBorders>
            <w:shd w:val="clear" w:color="auto" w:fill="auto"/>
            <w:tcMar>
              <w:left w:w="28" w:type="dxa"/>
              <w:right w:w="28" w:type="dxa"/>
            </w:tcMar>
            <w:vAlign w:val="center"/>
          </w:tcPr>
          <w:p w14:paraId="30BD271E">
            <w:pPr>
              <w:pStyle w:val="711"/>
              <w:rPr>
                <w:b/>
                <w:bCs/>
                <w:color w:val="auto"/>
              </w:rPr>
            </w:pPr>
            <w:r>
              <w:rPr>
                <w:rFonts w:hint="eastAsia"/>
                <w:b/>
                <w:bCs/>
                <w:color w:val="auto"/>
              </w:rPr>
              <w:t>mg/L</w:t>
            </w:r>
          </w:p>
        </w:tc>
        <w:tc>
          <w:tcPr>
            <w:tcW w:w="822" w:type="pct"/>
            <w:vMerge w:val="continue"/>
            <w:tcBorders>
              <w:tl2br w:val="nil"/>
              <w:tr2bl w:val="nil"/>
            </w:tcBorders>
            <w:tcMar>
              <w:left w:w="28" w:type="dxa"/>
              <w:right w:w="28" w:type="dxa"/>
            </w:tcMar>
            <w:vAlign w:val="center"/>
          </w:tcPr>
          <w:p w14:paraId="63928070">
            <w:pPr>
              <w:pStyle w:val="711"/>
              <w:rPr>
                <w:color w:val="auto"/>
              </w:rPr>
            </w:pPr>
          </w:p>
        </w:tc>
      </w:tr>
      <w:tr w14:paraId="6E10B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36095215">
            <w:pPr>
              <w:pStyle w:val="711"/>
              <w:rPr>
                <w:color w:val="auto"/>
              </w:rPr>
            </w:pPr>
            <w:r>
              <w:rPr>
                <w:rFonts w:hint="eastAsia"/>
                <w:color w:val="auto"/>
              </w:rPr>
              <w:t>1#</w:t>
            </w:r>
          </w:p>
        </w:tc>
        <w:tc>
          <w:tcPr>
            <w:tcW w:w="435" w:type="pct"/>
            <w:tcBorders>
              <w:tl2br w:val="nil"/>
              <w:tr2bl w:val="nil"/>
            </w:tcBorders>
            <w:shd w:val="clear" w:color="auto" w:fill="auto"/>
            <w:tcMar>
              <w:left w:w="28" w:type="dxa"/>
              <w:right w:w="28" w:type="dxa"/>
            </w:tcMar>
            <w:vAlign w:val="center"/>
          </w:tcPr>
          <w:p w14:paraId="1E9EAD5F">
            <w:pPr>
              <w:pStyle w:val="711"/>
              <w:rPr>
                <w:rFonts w:eastAsia="等线" w:cs="Times New Roman"/>
                <w:color w:val="auto"/>
                <w:szCs w:val="21"/>
              </w:rPr>
            </w:pPr>
            <w:r>
              <w:rPr>
                <w:rFonts w:eastAsia="等线" w:cs="Times New Roman"/>
                <w:color w:val="auto"/>
                <w:szCs w:val="21"/>
              </w:rPr>
              <w:t>6.9</w:t>
            </w:r>
          </w:p>
        </w:tc>
        <w:tc>
          <w:tcPr>
            <w:tcW w:w="312" w:type="pct"/>
            <w:tcBorders>
              <w:tl2br w:val="nil"/>
              <w:tr2bl w:val="nil"/>
            </w:tcBorders>
            <w:shd w:val="clear" w:color="auto" w:fill="auto"/>
            <w:tcMar>
              <w:left w:w="28" w:type="dxa"/>
              <w:right w:w="28" w:type="dxa"/>
            </w:tcMar>
            <w:vAlign w:val="center"/>
          </w:tcPr>
          <w:p w14:paraId="486DE2C3">
            <w:pPr>
              <w:pStyle w:val="711"/>
              <w:rPr>
                <w:rFonts w:eastAsia="等线" w:cs="Times New Roman"/>
                <w:color w:val="auto"/>
                <w:szCs w:val="21"/>
              </w:rPr>
            </w:pPr>
            <w:r>
              <w:rPr>
                <w:rFonts w:eastAsia="等线" w:cs="Times New Roman"/>
                <w:color w:val="auto"/>
                <w:szCs w:val="21"/>
              </w:rPr>
              <w:t>2.6</w:t>
            </w:r>
          </w:p>
        </w:tc>
        <w:tc>
          <w:tcPr>
            <w:tcW w:w="305" w:type="pct"/>
            <w:tcBorders>
              <w:tl2br w:val="nil"/>
              <w:tr2bl w:val="nil"/>
            </w:tcBorders>
            <w:shd w:val="clear" w:color="auto" w:fill="auto"/>
            <w:tcMar>
              <w:left w:w="28" w:type="dxa"/>
              <w:right w:w="28" w:type="dxa"/>
            </w:tcMar>
            <w:vAlign w:val="center"/>
          </w:tcPr>
          <w:p w14:paraId="3AA13718">
            <w:pPr>
              <w:pStyle w:val="711"/>
              <w:rPr>
                <w:rFonts w:eastAsia="等线" w:cs="Times New Roman"/>
                <w:color w:val="auto"/>
                <w:szCs w:val="21"/>
              </w:rPr>
            </w:pPr>
            <w:r>
              <w:rPr>
                <w:rFonts w:eastAsia="等线" w:cs="Times New Roman"/>
                <w:color w:val="auto"/>
                <w:szCs w:val="21"/>
              </w:rPr>
              <w:t>29.9</w:t>
            </w:r>
          </w:p>
        </w:tc>
        <w:tc>
          <w:tcPr>
            <w:tcW w:w="344" w:type="pct"/>
            <w:tcBorders>
              <w:tl2br w:val="nil"/>
              <w:tr2bl w:val="nil"/>
            </w:tcBorders>
            <w:shd w:val="clear" w:color="auto" w:fill="auto"/>
            <w:tcMar>
              <w:left w:w="28" w:type="dxa"/>
              <w:right w:w="28" w:type="dxa"/>
            </w:tcMar>
            <w:vAlign w:val="center"/>
          </w:tcPr>
          <w:p w14:paraId="55CB6EE8">
            <w:pPr>
              <w:pStyle w:val="711"/>
              <w:rPr>
                <w:rFonts w:eastAsia="等线" w:cs="Times New Roman"/>
                <w:color w:val="auto"/>
                <w:szCs w:val="21"/>
              </w:rPr>
            </w:pPr>
            <w:r>
              <w:rPr>
                <w:rFonts w:eastAsia="等线" w:cs="Times New Roman"/>
                <w:color w:val="auto"/>
                <w:szCs w:val="21"/>
              </w:rPr>
              <w:t>48.2</w:t>
            </w:r>
          </w:p>
        </w:tc>
        <w:tc>
          <w:tcPr>
            <w:tcW w:w="344" w:type="pct"/>
            <w:tcBorders>
              <w:tl2br w:val="nil"/>
              <w:tr2bl w:val="nil"/>
            </w:tcBorders>
            <w:shd w:val="clear" w:color="auto" w:fill="auto"/>
            <w:tcMar>
              <w:left w:w="28" w:type="dxa"/>
              <w:right w:w="28" w:type="dxa"/>
            </w:tcMar>
            <w:vAlign w:val="center"/>
          </w:tcPr>
          <w:p w14:paraId="786A964A">
            <w:pPr>
              <w:pStyle w:val="711"/>
              <w:rPr>
                <w:rFonts w:eastAsia="等线" w:cs="Times New Roman"/>
                <w:color w:val="auto"/>
                <w:szCs w:val="21"/>
              </w:rPr>
            </w:pPr>
            <w:r>
              <w:rPr>
                <w:rFonts w:eastAsia="等线" w:cs="Times New Roman"/>
                <w:color w:val="auto"/>
                <w:szCs w:val="21"/>
              </w:rPr>
              <w:t>18.6</w:t>
            </w:r>
          </w:p>
        </w:tc>
        <w:tc>
          <w:tcPr>
            <w:tcW w:w="409" w:type="pct"/>
            <w:tcBorders>
              <w:tl2br w:val="nil"/>
              <w:tr2bl w:val="nil"/>
            </w:tcBorders>
            <w:shd w:val="clear" w:color="auto" w:fill="auto"/>
            <w:tcMar>
              <w:left w:w="28" w:type="dxa"/>
              <w:right w:w="28" w:type="dxa"/>
            </w:tcMar>
            <w:vAlign w:val="center"/>
          </w:tcPr>
          <w:p w14:paraId="2C14972F">
            <w:pPr>
              <w:pStyle w:val="711"/>
              <w:rPr>
                <w:rFonts w:eastAsia="等线" w:cs="Times New Roman"/>
                <w:color w:val="auto"/>
                <w:szCs w:val="21"/>
              </w:rPr>
            </w:pPr>
            <w:r>
              <w:rPr>
                <w:rFonts w:eastAsia="等线" w:cs="Times New Roman"/>
                <w:color w:val="auto"/>
                <w:szCs w:val="21"/>
              </w:rPr>
              <w:t>18.7</w:t>
            </w:r>
          </w:p>
        </w:tc>
        <w:tc>
          <w:tcPr>
            <w:tcW w:w="409" w:type="pct"/>
            <w:tcBorders>
              <w:tl2br w:val="nil"/>
              <w:tr2bl w:val="nil"/>
            </w:tcBorders>
            <w:shd w:val="clear" w:color="auto" w:fill="auto"/>
            <w:tcMar>
              <w:left w:w="28" w:type="dxa"/>
              <w:right w:w="28" w:type="dxa"/>
            </w:tcMar>
            <w:vAlign w:val="center"/>
          </w:tcPr>
          <w:p w14:paraId="2CF8BB1F">
            <w:pPr>
              <w:pStyle w:val="711"/>
              <w:rPr>
                <w:rFonts w:eastAsia="等线" w:cs="Times New Roman"/>
                <w:color w:val="auto"/>
                <w:szCs w:val="21"/>
              </w:rPr>
            </w:pPr>
            <w:r>
              <w:rPr>
                <w:rFonts w:eastAsia="等线" w:cs="Times New Roman"/>
                <w:color w:val="auto"/>
                <w:szCs w:val="21"/>
              </w:rPr>
              <w:t>20.4</w:t>
            </w:r>
          </w:p>
        </w:tc>
        <w:tc>
          <w:tcPr>
            <w:tcW w:w="581" w:type="pct"/>
            <w:tcBorders>
              <w:tl2br w:val="nil"/>
              <w:tr2bl w:val="nil"/>
            </w:tcBorders>
            <w:shd w:val="clear" w:color="auto" w:fill="auto"/>
            <w:tcMar>
              <w:left w:w="28" w:type="dxa"/>
              <w:right w:w="28" w:type="dxa"/>
            </w:tcMar>
            <w:vAlign w:val="center"/>
          </w:tcPr>
          <w:p w14:paraId="5D2F4DF4">
            <w:pPr>
              <w:pStyle w:val="711"/>
              <w:rPr>
                <w:rFonts w:eastAsia="等线" w:cs="Times New Roman"/>
                <w:color w:val="auto"/>
                <w:szCs w:val="21"/>
              </w:rPr>
            </w:pPr>
            <w:r>
              <w:rPr>
                <w:rFonts w:eastAsia="等线" w:cs="Times New Roman"/>
                <w:color w:val="auto"/>
                <w:szCs w:val="21"/>
              </w:rPr>
              <w:t>243</w:t>
            </w:r>
          </w:p>
        </w:tc>
        <w:tc>
          <w:tcPr>
            <w:tcW w:w="339" w:type="pct"/>
            <w:tcBorders>
              <w:tl2br w:val="nil"/>
              <w:tr2bl w:val="nil"/>
            </w:tcBorders>
            <w:shd w:val="clear" w:color="auto" w:fill="auto"/>
            <w:tcMar>
              <w:left w:w="28" w:type="dxa"/>
              <w:right w:w="28" w:type="dxa"/>
            </w:tcMar>
            <w:vAlign w:val="center"/>
          </w:tcPr>
          <w:p w14:paraId="7ACE8498">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5FC1BE31">
            <w:pPr>
              <w:pStyle w:val="711"/>
              <w:rPr>
                <w:rFonts w:eastAsia="等线" w:cs="Times New Roman"/>
                <w:color w:val="auto"/>
                <w:szCs w:val="21"/>
              </w:rPr>
            </w:pPr>
            <w:r>
              <w:rPr>
                <w:rFonts w:eastAsia="等线" w:cs="Times New Roman"/>
                <w:color w:val="auto"/>
                <w:szCs w:val="21"/>
              </w:rPr>
              <w:t>290</w:t>
            </w:r>
          </w:p>
        </w:tc>
        <w:tc>
          <w:tcPr>
            <w:tcW w:w="822" w:type="pct"/>
            <w:tcBorders>
              <w:tl2br w:val="nil"/>
              <w:tr2bl w:val="nil"/>
            </w:tcBorders>
            <w:shd w:val="clear" w:color="auto" w:fill="auto"/>
            <w:noWrap/>
            <w:tcMar>
              <w:left w:w="28" w:type="dxa"/>
              <w:right w:w="28" w:type="dxa"/>
            </w:tcMar>
            <w:vAlign w:val="center"/>
          </w:tcPr>
          <w:p w14:paraId="26AA4B1F">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3BFD7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36DDC37">
            <w:pPr>
              <w:pStyle w:val="711"/>
              <w:rPr>
                <w:color w:val="auto"/>
              </w:rPr>
            </w:pPr>
            <w:r>
              <w:rPr>
                <w:rFonts w:hint="eastAsia"/>
                <w:color w:val="auto"/>
              </w:rPr>
              <w:t>2#</w:t>
            </w:r>
          </w:p>
        </w:tc>
        <w:tc>
          <w:tcPr>
            <w:tcW w:w="435" w:type="pct"/>
            <w:tcBorders>
              <w:tl2br w:val="nil"/>
              <w:tr2bl w:val="nil"/>
            </w:tcBorders>
            <w:shd w:val="clear" w:color="auto" w:fill="auto"/>
            <w:tcMar>
              <w:left w:w="28" w:type="dxa"/>
              <w:right w:w="28" w:type="dxa"/>
            </w:tcMar>
            <w:vAlign w:val="center"/>
          </w:tcPr>
          <w:p w14:paraId="78A5E698">
            <w:pPr>
              <w:pStyle w:val="711"/>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0F8C5367">
            <w:pPr>
              <w:pStyle w:val="711"/>
              <w:rPr>
                <w:rFonts w:eastAsia="等线" w:cs="Times New Roman"/>
                <w:color w:val="auto"/>
                <w:szCs w:val="21"/>
              </w:rPr>
            </w:pPr>
            <w:r>
              <w:rPr>
                <w:rFonts w:eastAsia="等线" w:cs="Times New Roman"/>
                <w:color w:val="auto"/>
                <w:szCs w:val="21"/>
              </w:rPr>
              <w:t>0.4</w:t>
            </w:r>
          </w:p>
        </w:tc>
        <w:tc>
          <w:tcPr>
            <w:tcW w:w="305" w:type="pct"/>
            <w:tcBorders>
              <w:tl2br w:val="nil"/>
              <w:tr2bl w:val="nil"/>
            </w:tcBorders>
            <w:shd w:val="clear" w:color="auto" w:fill="auto"/>
            <w:tcMar>
              <w:left w:w="28" w:type="dxa"/>
              <w:right w:w="28" w:type="dxa"/>
            </w:tcMar>
            <w:vAlign w:val="center"/>
          </w:tcPr>
          <w:p w14:paraId="15684567">
            <w:pPr>
              <w:pStyle w:val="711"/>
              <w:rPr>
                <w:rFonts w:eastAsia="等线" w:cs="Times New Roman"/>
                <w:color w:val="auto"/>
                <w:szCs w:val="21"/>
              </w:rPr>
            </w:pPr>
            <w:r>
              <w:rPr>
                <w:rFonts w:eastAsia="等线" w:cs="Times New Roman"/>
                <w:color w:val="auto"/>
                <w:szCs w:val="21"/>
              </w:rPr>
              <w:t>72.9</w:t>
            </w:r>
          </w:p>
        </w:tc>
        <w:tc>
          <w:tcPr>
            <w:tcW w:w="344" w:type="pct"/>
            <w:tcBorders>
              <w:tl2br w:val="nil"/>
              <w:tr2bl w:val="nil"/>
            </w:tcBorders>
            <w:shd w:val="clear" w:color="auto" w:fill="auto"/>
            <w:tcMar>
              <w:left w:w="28" w:type="dxa"/>
              <w:right w:w="28" w:type="dxa"/>
            </w:tcMar>
            <w:vAlign w:val="center"/>
          </w:tcPr>
          <w:p w14:paraId="5C3B2F9F">
            <w:pPr>
              <w:pStyle w:val="711"/>
              <w:rPr>
                <w:rFonts w:eastAsia="等线" w:cs="Times New Roman"/>
                <w:color w:val="auto"/>
                <w:szCs w:val="21"/>
              </w:rPr>
            </w:pPr>
            <w:r>
              <w:rPr>
                <w:rFonts w:eastAsia="等线" w:cs="Times New Roman"/>
                <w:color w:val="auto"/>
                <w:szCs w:val="21"/>
              </w:rPr>
              <w:t>81.8</w:t>
            </w:r>
          </w:p>
        </w:tc>
        <w:tc>
          <w:tcPr>
            <w:tcW w:w="344" w:type="pct"/>
            <w:tcBorders>
              <w:tl2br w:val="nil"/>
              <w:tr2bl w:val="nil"/>
            </w:tcBorders>
            <w:shd w:val="clear" w:color="auto" w:fill="auto"/>
            <w:tcMar>
              <w:left w:w="28" w:type="dxa"/>
              <w:right w:w="28" w:type="dxa"/>
            </w:tcMar>
            <w:vAlign w:val="center"/>
          </w:tcPr>
          <w:p w14:paraId="659ED13C">
            <w:pPr>
              <w:pStyle w:val="711"/>
              <w:rPr>
                <w:rFonts w:eastAsia="等线" w:cs="Times New Roman"/>
                <w:color w:val="auto"/>
                <w:szCs w:val="21"/>
              </w:rPr>
            </w:pPr>
            <w:r>
              <w:rPr>
                <w:rFonts w:eastAsia="等线" w:cs="Times New Roman"/>
                <w:color w:val="auto"/>
                <w:szCs w:val="21"/>
              </w:rPr>
              <w:t>34.7</w:t>
            </w:r>
          </w:p>
        </w:tc>
        <w:tc>
          <w:tcPr>
            <w:tcW w:w="409" w:type="pct"/>
            <w:tcBorders>
              <w:tl2br w:val="nil"/>
              <w:tr2bl w:val="nil"/>
            </w:tcBorders>
            <w:shd w:val="clear" w:color="auto" w:fill="auto"/>
            <w:tcMar>
              <w:left w:w="28" w:type="dxa"/>
              <w:right w:w="28" w:type="dxa"/>
            </w:tcMar>
            <w:vAlign w:val="center"/>
          </w:tcPr>
          <w:p w14:paraId="18CDC8E9">
            <w:pPr>
              <w:pStyle w:val="711"/>
              <w:rPr>
                <w:rFonts w:eastAsia="等线" w:cs="Times New Roman"/>
                <w:color w:val="auto"/>
                <w:szCs w:val="21"/>
              </w:rPr>
            </w:pPr>
            <w:r>
              <w:rPr>
                <w:rFonts w:eastAsia="等线" w:cs="Times New Roman"/>
                <w:color w:val="auto"/>
                <w:szCs w:val="21"/>
              </w:rPr>
              <w:t>41.1</w:t>
            </w:r>
          </w:p>
        </w:tc>
        <w:tc>
          <w:tcPr>
            <w:tcW w:w="409" w:type="pct"/>
            <w:tcBorders>
              <w:tl2br w:val="nil"/>
              <w:tr2bl w:val="nil"/>
            </w:tcBorders>
            <w:shd w:val="clear" w:color="auto" w:fill="auto"/>
            <w:tcMar>
              <w:left w:w="28" w:type="dxa"/>
              <w:right w:w="28" w:type="dxa"/>
            </w:tcMar>
            <w:vAlign w:val="center"/>
          </w:tcPr>
          <w:p w14:paraId="29A14B84">
            <w:pPr>
              <w:pStyle w:val="711"/>
              <w:rPr>
                <w:rFonts w:eastAsia="等线" w:cs="Times New Roman"/>
                <w:color w:val="auto"/>
                <w:szCs w:val="21"/>
              </w:rPr>
            </w:pPr>
            <w:r>
              <w:rPr>
                <w:rFonts w:eastAsia="等线" w:cs="Times New Roman"/>
                <w:color w:val="auto"/>
                <w:szCs w:val="21"/>
              </w:rPr>
              <w:t>10.6</w:t>
            </w:r>
          </w:p>
        </w:tc>
        <w:tc>
          <w:tcPr>
            <w:tcW w:w="581" w:type="pct"/>
            <w:tcBorders>
              <w:tl2br w:val="nil"/>
              <w:tr2bl w:val="nil"/>
            </w:tcBorders>
            <w:shd w:val="clear" w:color="auto" w:fill="auto"/>
            <w:tcMar>
              <w:left w:w="28" w:type="dxa"/>
              <w:right w:w="28" w:type="dxa"/>
            </w:tcMar>
            <w:vAlign w:val="center"/>
          </w:tcPr>
          <w:p w14:paraId="2BDADBA0">
            <w:pPr>
              <w:pStyle w:val="711"/>
              <w:rPr>
                <w:rFonts w:eastAsia="等线" w:cs="Times New Roman"/>
                <w:color w:val="auto"/>
                <w:szCs w:val="21"/>
              </w:rPr>
            </w:pPr>
            <w:r>
              <w:rPr>
                <w:rFonts w:eastAsia="等线" w:cs="Times New Roman"/>
                <w:color w:val="auto"/>
                <w:szCs w:val="21"/>
              </w:rPr>
              <w:t>508</w:t>
            </w:r>
          </w:p>
        </w:tc>
        <w:tc>
          <w:tcPr>
            <w:tcW w:w="339" w:type="pct"/>
            <w:tcBorders>
              <w:tl2br w:val="nil"/>
              <w:tr2bl w:val="nil"/>
            </w:tcBorders>
            <w:shd w:val="clear" w:color="auto" w:fill="auto"/>
            <w:tcMar>
              <w:left w:w="28" w:type="dxa"/>
              <w:right w:w="28" w:type="dxa"/>
            </w:tcMar>
            <w:vAlign w:val="center"/>
          </w:tcPr>
          <w:p w14:paraId="06284658">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521F60CE">
            <w:pPr>
              <w:pStyle w:val="711"/>
              <w:rPr>
                <w:rFonts w:eastAsia="等线" w:cs="Times New Roman"/>
                <w:color w:val="auto"/>
                <w:szCs w:val="21"/>
              </w:rPr>
            </w:pPr>
            <w:r>
              <w:rPr>
                <w:rFonts w:eastAsia="等线" w:cs="Times New Roman"/>
                <w:color w:val="auto"/>
                <w:szCs w:val="21"/>
              </w:rPr>
              <w:t>521</w:t>
            </w:r>
          </w:p>
        </w:tc>
        <w:tc>
          <w:tcPr>
            <w:tcW w:w="822" w:type="pct"/>
            <w:tcBorders>
              <w:tl2br w:val="nil"/>
              <w:tr2bl w:val="nil"/>
            </w:tcBorders>
            <w:shd w:val="clear" w:color="auto" w:fill="auto"/>
            <w:noWrap/>
            <w:tcMar>
              <w:left w:w="28" w:type="dxa"/>
              <w:right w:w="28" w:type="dxa"/>
            </w:tcMar>
            <w:vAlign w:val="center"/>
          </w:tcPr>
          <w:p w14:paraId="18D19994">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5EC73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057D1C66">
            <w:pPr>
              <w:pStyle w:val="711"/>
              <w:rPr>
                <w:color w:val="auto"/>
              </w:rPr>
            </w:pPr>
            <w:r>
              <w:rPr>
                <w:rFonts w:hint="eastAsia"/>
                <w:color w:val="auto"/>
              </w:rPr>
              <w:t>3#</w:t>
            </w:r>
          </w:p>
        </w:tc>
        <w:tc>
          <w:tcPr>
            <w:tcW w:w="435" w:type="pct"/>
            <w:tcBorders>
              <w:tl2br w:val="nil"/>
              <w:tr2bl w:val="nil"/>
            </w:tcBorders>
            <w:shd w:val="clear" w:color="auto" w:fill="auto"/>
            <w:tcMar>
              <w:left w:w="28" w:type="dxa"/>
              <w:right w:w="28" w:type="dxa"/>
            </w:tcMar>
            <w:vAlign w:val="center"/>
          </w:tcPr>
          <w:p w14:paraId="2BB7216A">
            <w:pPr>
              <w:pStyle w:val="711"/>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2B89A75E">
            <w:pPr>
              <w:pStyle w:val="711"/>
              <w:rPr>
                <w:rFonts w:eastAsia="等线" w:cs="Times New Roman"/>
                <w:color w:val="auto"/>
                <w:szCs w:val="21"/>
              </w:rPr>
            </w:pPr>
            <w:r>
              <w:rPr>
                <w:rFonts w:eastAsia="等线" w:cs="Times New Roman"/>
                <w:color w:val="auto"/>
                <w:szCs w:val="21"/>
              </w:rPr>
              <w:t>0.73</w:t>
            </w:r>
          </w:p>
        </w:tc>
        <w:tc>
          <w:tcPr>
            <w:tcW w:w="305" w:type="pct"/>
            <w:tcBorders>
              <w:tl2br w:val="nil"/>
              <w:tr2bl w:val="nil"/>
            </w:tcBorders>
            <w:shd w:val="clear" w:color="auto" w:fill="auto"/>
            <w:tcMar>
              <w:left w:w="28" w:type="dxa"/>
              <w:right w:w="28" w:type="dxa"/>
            </w:tcMar>
            <w:vAlign w:val="center"/>
          </w:tcPr>
          <w:p w14:paraId="5AE67C0A">
            <w:pPr>
              <w:pStyle w:val="711"/>
              <w:rPr>
                <w:rFonts w:eastAsia="等线" w:cs="Times New Roman"/>
                <w:color w:val="auto"/>
                <w:szCs w:val="21"/>
              </w:rPr>
            </w:pPr>
            <w:r>
              <w:rPr>
                <w:rFonts w:eastAsia="等线" w:cs="Times New Roman"/>
                <w:color w:val="auto"/>
                <w:szCs w:val="21"/>
              </w:rPr>
              <w:t>43.9</w:t>
            </w:r>
          </w:p>
        </w:tc>
        <w:tc>
          <w:tcPr>
            <w:tcW w:w="344" w:type="pct"/>
            <w:tcBorders>
              <w:tl2br w:val="nil"/>
              <w:tr2bl w:val="nil"/>
            </w:tcBorders>
            <w:shd w:val="clear" w:color="auto" w:fill="auto"/>
            <w:tcMar>
              <w:left w:w="28" w:type="dxa"/>
              <w:right w:w="28" w:type="dxa"/>
            </w:tcMar>
            <w:vAlign w:val="center"/>
          </w:tcPr>
          <w:p w14:paraId="573182FE">
            <w:pPr>
              <w:pStyle w:val="711"/>
              <w:rPr>
                <w:rFonts w:eastAsia="等线" w:cs="Times New Roman"/>
                <w:color w:val="auto"/>
                <w:szCs w:val="21"/>
              </w:rPr>
            </w:pPr>
            <w:r>
              <w:rPr>
                <w:rFonts w:eastAsia="等线" w:cs="Times New Roman"/>
                <w:color w:val="auto"/>
                <w:szCs w:val="21"/>
              </w:rPr>
              <w:t>113</w:t>
            </w:r>
          </w:p>
        </w:tc>
        <w:tc>
          <w:tcPr>
            <w:tcW w:w="344" w:type="pct"/>
            <w:tcBorders>
              <w:tl2br w:val="nil"/>
              <w:tr2bl w:val="nil"/>
            </w:tcBorders>
            <w:shd w:val="clear" w:color="auto" w:fill="auto"/>
            <w:tcMar>
              <w:left w:w="28" w:type="dxa"/>
              <w:right w:w="28" w:type="dxa"/>
            </w:tcMar>
            <w:vAlign w:val="center"/>
          </w:tcPr>
          <w:p w14:paraId="217B31AD">
            <w:pPr>
              <w:pStyle w:val="711"/>
              <w:rPr>
                <w:rFonts w:eastAsia="等线" w:cs="Times New Roman"/>
                <w:color w:val="auto"/>
                <w:szCs w:val="21"/>
              </w:rPr>
            </w:pPr>
            <w:r>
              <w:rPr>
                <w:rFonts w:eastAsia="等线" w:cs="Times New Roman"/>
                <w:color w:val="auto"/>
                <w:szCs w:val="21"/>
              </w:rPr>
              <w:t>42.6</w:t>
            </w:r>
          </w:p>
        </w:tc>
        <w:tc>
          <w:tcPr>
            <w:tcW w:w="409" w:type="pct"/>
            <w:tcBorders>
              <w:tl2br w:val="nil"/>
              <w:tr2bl w:val="nil"/>
            </w:tcBorders>
            <w:shd w:val="clear" w:color="auto" w:fill="auto"/>
            <w:tcMar>
              <w:left w:w="28" w:type="dxa"/>
              <w:right w:w="28" w:type="dxa"/>
            </w:tcMar>
            <w:vAlign w:val="center"/>
          </w:tcPr>
          <w:p w14:paraId="0E2D86CD">
            <w:pPr>
              <w:pStyle w:val="711"/>
              <w:rPr>
                <w:rFonts w:eastAsia="等线" w:cs="Times New Roman"/>
                <w:color w:val="auto"/>
                <w:szCs w:val="21"/>
              </w:rPr>
            </w:pPr>
            <w:r>
              <w:rPr>
                <w:rFonts w:eastAsia="等线" w:cs="Times New Roman"/>
                <w:color w:val="auto"/>
                <w:szCs w:val="21"/>
              </w:rPr>
              <w:t>48.9</w:t>
            </w:r>
          </w:p>
        </w:tc>
        <w:tc>
          <w:tcPr>
            <w:tcW w:w="409" w:type="pct"/>
            <w:tcBorders>
              <w:tl2br w:val="nil"/>
              <w:tr2bl w:val="nil"/>
            </w:tcBorders>
            <w:shd w:val="clear" w:color="auto" w:fill="auto"/>
            <w:tcMar>
              <w:left w:w="28" w:type="dxa"/>
              <w:right w:w="28" w:type="dxa"/>
            </w:tcMar>
            <w:vAlign w:val="center"/>
          </w:tcPr>
          <w:p w14:paraId="03992EDB">
            <w:pPr>
              <w:pStyle w:val="711"/>
              <w:rPr>
                <w:rFonts w:eastAsia="等线" w:cs="Times New Roman"/>
                <w:color w:val="auto"/>
                <w:szCs w:val="21"/>
              </w:rPr>
            </w:pPr>
            <w:r>
              <w:rPr>
                <w:rFonts w:eastAsia="等线" w:cs="Times New Roman"/>
                <w:color w:val="auto"/>
                <w:szCs w:val="21"/>
              </w:rPr>
              <w:t>22.6</w:t>
            </w:r>
          </w:p>
        </w:tc>
        <w:tc>
          <w:tcPr>
            <w:tcW w:w="581" w:type="pct"/>
            <w:tcBorders>
              <w:tl2br w:val="nil"/>
              <w:tr2bl w:val="nil"/>
            </w:tcBorders>
            <w:shd w:val="clear" w:color="auto" w:fill="auto"/>
            <w:tcMar>
              <w:left w:w="28" w:type="dxa"/>
              <w:right w:w="28" w:type="dxa"/>
            </w:tcMar>
            <w:vAlign w:val="center"/>
          </w:tcPr>
          <w:p w14:paraId="26A74CDE">
            <w:pPr>
              <w:pStyle w:val="711"/>
              <w:rPr>
                <w:rFonts w:eastAsia="等线" w:cs="Times New Roman"/>
                <w:color w:val="auto"/>
                <w:szCs w:val="21"/>
              </w:rPr>
            </w:pPr>
            <w:r>
              <w:rPr>
                <w:rFonts w:eastAsia="等线" w:cs="Times New Roman"/>
                <w:color w:val="auto"/>
                <w:szCs w:val="21"/>
              </w:rPr>
              <w:t>551</w:t>
            </w:r>
          </w:p>
        </w:tc>
        <w:tc>
          <w:tcPr>
            <w:tcW w:w="339" w:type="pct"/>
            <w:tcBorders>
              <w:tl2br w:val="nil"/>
              <w:tr2bl w:val="nil"/>
            </w:tcBorders>
            <w:shd w:val="clear" w:color="auto" w:fill="auto"/>
            <w:tcMar>
              <w:left w:w="28" w:type="dxa"/>
              <w:right w:w="28" w:type="dxa"/>
            </w:tcMar>
            <w:vAlign w:val="center"/>
          </w:tcPr>
          <w:p w14:paraId="7B3CBB29">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63E4FDEB">
            <w:pPr>
              <w:pStyle w:val="711"/>
              <w:rPr>
                <w:rFonts w:eastAsia="等线" w:cs="Times New Roman"/>
                <w:color w:val="auto"/>
                <w:szCs w:val="21"/>
              </w:rPr>
            </w:pPr>
            <w:r>
              <w:rPr>
                <w:rFonts w:eastAsia="等线" w:cs="Times New Roman"/>
                <w:color w:val="auto"/>
                <w:szCs w:val="21"/>
              </w:rPr>
              <w:t>555</w:t>
            </w:r>
          </w:p>
        </w:tc>
        <w:tc>
          <w:tcPr>
            <w:tcW w:w="822" w:type="pct"/>
            <w:tcBorders>
              <w:tl2br w:val="nil"/>
              <w:tr2bl w:val="nil"/>
            </w:tcBorders>
            <w:shd w:val="clear" w:color="auto" w:fill="auto"/>
            <w:noWrap/>
            <w:tcMar>
              <w:left w:w="28" w:type="dxa"/>
              <w:right w:w="28" w:type="dxa"/>
            </w:tcMar>
            <w:vAlign w:val="center"/>
          </w:tcPr>
          <w:p w14:paraId="62EDFB1C">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5B9E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BFED5F6">
            <w:pPr>
              <w:pStyle w:val="711"/>
              <w:rPr>
                <w:color w:val="auto"/>
              </w:rPr>
            </w:pPr>
            <w:r>
              <w:rPr>
                <w:rFonts w:hint="eastAsia"/>
                <w:color w:val="auto"/>
              </w:rPr>
              <w:t>4#</w:t>
            </w:r>
          </w:p>
        </w:tc>
        <w:tc>
          <w:tcPr>
            <w:tcW w:w="435" w:type="pct"/>
            <w:tcBorders>
              <w:tl2br w:val="nil"/>
              <w:tr2bl w:val="nil"/>
            </w:tcBorders>
            <w:shd w:val="clear" w:color="auto" w:fill="auto"/>
            <w:tcMar>
              <w:left w:w="28" w:type="dxa"/>
              <w:right w:w="28" w:type="dxa"/>
            </w:tcMar>
            <w:vAlign w:val="center"/>
          </w:tcPr>
          <w:p w14:paraId="1A631117">
            <w:pPr>
              <w:pStyle w:val="711"/>
              <w:rPr>
                <w:rFonts w:eastAsia="等线" w:cs="Times New Roman"/>
                <w:color w:val="auto"/>
                <w:szCs w:val="21"/>
              </w:rPr>
            </w:pPr>
            <w:r>
              <w:rPr>
                <w:rFonts w:eastAsia="等线" w:cs="Times New Roman"/>
                <w:color w:val="auto"/>
                <w:szCs w:val="21"/>
              </w:rPr>
              <w:t>7.1</w:t>
            </w:r>
          </w:p>
        </w:tc>
        <w:tc>
          <w:tcPr>
            <w:tcW w:w="312" w:type="pct"/>
            <w:tcBorders>
              <w:tl2br w:val="nil"/>
              <w:tr2bl w:val="nil"/>
            </w:tcBorders>
            <w:shd w:val="clear" w:color="auto" w:fill="auto"/>
            <w:tcMar>
              <w:left w:w="28" w:type="dxa"/>
              <w:right w:w="28" w:type="dxa"/>
            </w:tcMar>
            <w:vAlign w:val="center"/>
          </w:tcPr>
          <w:p w14:paraId="65936736">
            <w:pPr>
              <w:pStyle w:val="711"/>
              <w:rPr>
                <w:rFonts w:eastAsia="等线" w:cs="Times New Roman"/>
                <w:color w:val="auto"/>
                <w:szCs w:val="21"/>
              </w:rPr>
            </w:pPr>
            <w:r>
              <w:rPr>
                <w:rFonts w:eastAsia="等线" w:cs="Times New Roman"/>
                <w:color w:val="auto"/>
                <w:szCs w:val="21"/>
              </w:rPr>
              <w:t>39.8</w:t>
            </w:r>
          </w:p>
        </w:tc>
        <w:tc>
          <w:tcPr>
            <w:tcW w:w="305" w:type="pct"/>
            <w:tcBorders>
              <w:tl2br w:val="nil"/>
              <w:tr2bl w:val="nil"/>
            </w:tcBorders>
            <w:shd w:val="clear" w:color="auto" w:fill="auto"/>
            <w:tcMar>
              <w:left w:w="28" w:type="dxa"/>
              <w:right w:w="28" w:type="dxa"/>
            </w:tcMar>
            <w:vAlign w:val="center"/>
          </w:tcPr>
          <w:p w14:paraId="62EB63DF">
            <w:pPr>
              <w:pStyle w:val="711"/>
              <w:rPr>
                <w:rFonts w:eastAsia="等线" w:cs="Times New Roman"/>
                <w:color w:val="auto"/>
                <w:szCs w:val="21"/>
              </w:rPr>
            </w:pPr>
            <w:r>
              <w:rPr>
                <w:rFonts w:eastAsia="等线" w:cs="Times New Roman"/>
                <w:color w:val="auto"/>
                <w:szCs w:val="21"/>
              </w:rPr>
              <w:t>69.3</w:t>
            </w:r>
          </w:p>
        </w:tc>
        <w:tc>
          <w:tcPr>
            <w:tcW w:w="344" w:type="pct"/>
            <w:tcBorders>
              <w:tl2br w:val="nil"/>
              <w:tr2bl w:val="nil"/>
            </w:tcBorders>
            <w:shd w:val="clear" w:color="auto" w:fill="auto"/>
            <w:tcMar>
              <w:left w:w="28" w:type="dxa"/>
              <w:right w:w="28" w:type="dxa"/>
            </w:tcMar>
            <w:vAlign w:val="center"/>
          </w:tcPr>
          <w:p w14:paraId="7B63595F">
            <w:pPr>
              <w:pStyle w:val="711"/>
              <w:rPr>
                <w:rFonts w:eastAsia="等线" w:cs="Times New Roman"/>
                <w:color w:val="auto"/>
                <w:szCs w:val="21"/>
              </w:rPr>
            </w:pPr>
            <w:r>
              <w:rPr>
                <w:rFonts w:eastAsia="等线" w:cs="Times New Roman"/>
                <w:color w:val="auto"/>
                <w:szCs w:val="21"/>
              </w:rPr>
              <w:t>103.7</w:t>
            </w:r>
          </w:p>
        </w:tc>
        <w:tc>
          <w:tcPr>
            <w:tcW w:w="344" w:type="pct"/>
            <w:tcBorders>
              <w:tl2br w:val="nil"/>
              <w:tr2bl w:val="nil"/>
            </w:tcBorders>
            <w:shd w:val="clear" w:color="auto" w:fill="auto"/>
            <w:tcMar>
              <w:left w:w="28" w:type="dxa"/>
              <w:right w:w="28" w:type="dxa"/>
            </w:tcMar>
            <w:vAlign w:val="center"/>
          </w:tcPr>
          <w:p w14:paraId="2D6878EA">
            <w:pPr>
              <w:pStyle w:val="711"/>
              <w:rPr>
                <w:rFonts w:eastAsia="等线" w:cs="Times New Roman"/>
                <w:color w:val="auto"/>
                <w:szCs w:val="21"/>
              </w:rPr>
            </w:pPr>
            <w:r>
              <w:rPr>
                <w:rFonts w:eastAsia="等线" w:cs="Times New Roman"/>
                <w:color w:val="auto"/>
                <w:szCs w:val="21"/>
              </w:rPr>
              <w:t>39.6</w:t>
            </w:r>
          </w:p>
        </w:tc>
        <w:tc>
          <w:tcPr>
            <w:tcW w:w="409" w:type="pct"/>
            <w:tcBorders>
              <w:tl2br w:val="nil"/>
              <w:tr2bl w:val="nil"/>
            </w:tcBorders>
            <w:shd w:val="clear" w:color="auto" w:fill="auto"/>
            <w:tcMar>
              <w:left w:w="28" w:type="dxa"/>
              <w:right w:w="28" w:type="dxa"/>
            </w:tcMar>
            <w:vAlign w:val="center"/>
          </w:tcPr>
          <w:p w14:paraId="1BF375F6">
            <w:pPr>
              <w:pStyle w:val="711"/>
              <w:rPr>
                <w:rFonts w:eastAsia="等线" w:cs="Times New Roman"/>
                <w:color w:val="auto"/>
                <w:szCs w:val="21"/>
              </w:rPr>
            </w:pPr>
            <w:r>
              <w:rPr>
                <w:rFonts w:eastAsia="等线" w:cs="Times New Roman"/>
                <w:color w:val="auto"/>
                <w:szCs w:val="21"/>
              </w:rPr>
              <w:t>175</w:t>
            </w:r>
          </w:p>
        </w:tc>
        <w:tc>
          <w:tcPr>
            <w:tcW w:w="409" w:type="pct"/>
            <w:tcBorders>
              <w:tl2br w:val="nil"/>
              <w:tr2bl w:val="nil"/>
            </w:tcBorders>
            <w:shd w:val="clear" w:color="auto" w:fill="auto"/>
            <w:tcMar>
              <w:left w:w="28" w:type="dxa"/>
              <w:right w:w="28" w:type="dxa"/>
            </w:tcMar>
            <w:vAlign w:val="center"/>
          </w:tcPr>
          <w:p w14:paraId="660126BF">
            <w:pPr>
              <w:pStyle w:val="711"/>
              <w:rPr>
                <w:rFonts w:eastAsia="等线" w:cs="Times New Roman"/>
                <w:color w:val="auto"/>
                <w:szCs w:val="21"/>
              </w:rPr>
            </w:pPr>
            <w:r>
              <w:rPr>
                <w:rFonts w:eastAsia="等线" w:cs="Times New Roman"/>
                <w:color w:val="auto"/>
                <w:szCs w:val="21"/>
              </w:rPr>
              <w:t>98</w:t>
            </w:r>
          </w:p>
        </w:tc>
        <w:tc>
          <w:tcPr>
            <w:tcW w:w="581" w:type="pct"/>
            <w:tcBorders>
              <w:tl2br w:val="nil"/>
              <w:tr2bl w:val="nil"/>
            </w:tcBorders>
            <w:shd w:val="clear" w:color="auto" w:fill="auto"/>
            <w:tcMar>
              <w:left w:w="28" w:type="dxa"/>
              <w:right w:w="28" w:type="dxa"/>
            </w:tcMar>
            <w:vAlign w:val="center"/>
          </w:tcPr>
          <w:p w14:paraId="5538590F">
            <w:pPr>
              <w:pStyle w:val="711"/>
              <w:rPr>
                <w:rFonts w:eastAsia="等线" w:cs="Times New Roman"/>
                <w:color w:val="auto"/>
                <w:szCs w:val="21"/>
              </w:rPr>
            </w:pPr>
            <w:r>
              <w:rPr>
                <w:rFonts w:eastAsia="等线" w:cs="Times New Roman"/>
                <w:color w:val="auto"/>
                <w:szCs w:val="21"/>
              </w:rPr>
              <w:t>236</w:t>
            </w:r>
          </w:p>
        </w:tc>
        <w:tc>
          <w:tcPr>
            <w:tcW w:w="339" w:type="pct"/>
            <w:tcBorders>
              <w:tl2br w:val="nil"/>
              <w:tr2bl w:val="nil"/>
            </w:tcBorders>
            <w:shd w:val="clear" w:color="auto" w:fill="auto"/>
            <w:tcMar>
              <w:left w:w="28" w:type="dxa"/>
              <w:right w:w="28" w:type="dxa"/>
            </w:tcMar>
            <w:vAlign w:val="center"/>
          </w:tcPr>
          <w:p w14:paraId="6DBD6EF6">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1756BD65">
            <w:pPr>
              <w:pStyle w:val="711"/>
              <w:rPr>
                <w:rFonts w:eastAsia="等线" w:cs="Times New Roman"/>
                <w:color w:val="auto"/>
                <w:szCs w:val="21"/>
              </w:rPr>
            </w:pPr>
            <w:r>
              <w:rPr>
                <w:rFonts w:eastAsia="等线" w:cs="Times New Roman"/>
                <w:color w:val="auto"/>
                <w:szCs w:val="21"/>
              </w:rPr>
              <w:t>625</w:t>
            </w:r>
          </w:p>
        </w:tc>
        <w:tc>
          <w:tcPr>
            <w:tcW w:w="822" w:type="pct"/>
            <w:tcBorders>
              <w:tl2br w:val="nil"/>
              <w:tr2bl w:val="nil"/>
            </w:tcBorders>
            <w:shd w:val="clear" w:color="auto" w:fill="auto"/>
            <w:noWrap/>
            <w:tcMar>
              <w:left w:w="28" w:type="dxa"/>
              <w:right w:w="28" w:type="dxa"/>
            </w:tcMar>
            <w:vAlign w:val="center"/>
          </w:tcPr>
          <w:p w14:paraId="75AC8010">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2F446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77891B78">
            <w:pPr>
              <w:pStyle w:val="711"/>
              <w:rPr>
                <w:color w:val="auto"/>
              </w:rPr>
            </w:pPr>
            <w:r>
              <w:rPr>
                <w:rFonts w:hint="eastAsia"/>
                <w:color w:val="auto"/>
              </w:rPr>
              <w:t>5#</w:t>
            </w:r>
          </w:p>
        </w:tc>
        <w:tc>
          <w:tcPr>
            <w:tcW w:w="435" w:type="pct"/>
            <w:tcBorders>
              <w:tl2br w:val="nil"/>
              <w:tr2bl w:val="nil"/>
            </w:tcBorders>
            <w:shd w:val="clear" w:color="auto" w:fill="auto"/>
            <w:tcMar>
              <w:left w:w="28" w:type="dxa"/>
              <w:right w:w="28" w:type="dxa"/>
            </w:tcMar>
            <w:vAlign w:val="center"/>
          </w:tcPr>
          <w:p w14:paraId="61EFD1B0">
            <w:pPr>
              <w:pStyle w:val="711"/>
              <w:rPr>
                <w:rFonts w:eastAsia="等线" w:cs="Times New Roman"/>
                <w:color w:val="auto"/>
                <w:szCs w:val="21"/>
              </w:rPr>
            </w:pPr>
            <w:r>
              <w:rPr>
                <w:rFonts w:eastAsia="等线" w:cs="Times New Roman"/>
                <w:color w:val="auto"/>
                <w:szCs w:val="21"/>
              </w:rPr>
              <w:t>7.2</w:t>
            </w:r>
          </w:p>
        </w:tc>
        <w:tc>
          <w:tcPr>
            <w:tcW w:w="312" w:type="pct"/>
            <w:tcBorders>
              <w:tl2br w:val="nil"/>
              <w:tr2bl w:val="nil"/>
            </w:tcBorders>
            <w:shd w:val="clear" w:color="auto" w:fill="auto"/>
            <w:tcMar>
              <w:left w:w="28" w:type="dxa"/>
              <w:right w:w="28" w:type="dxa"/>
            </w:tcMar>
            <w:vAlign w:val="center"/>
          </w:tcPr>
          <w:p w14:paraId="484C39F5">
            <w:pPr>
              <w:pStyle w:val="711"/>
              <w:rPr>
                <w:rFonts w:eastAsia="等线" w:cs="Times New Roman"/>
                <w:color w:val="auto"/>
                <w:szCs w:val="21"/>
              </w:rPr>
            </w:pPr>
            <w:r>
              <w:rPr>
                <w:rFonts w:eastAsia="等线" w:cs="Times New Roman"/>
                <w:color w:val="auto"/>
                <w:szCs w:val="21"/>
              </w:rPr>
              <w:t>0.83</w:t>
            </w:r>
          </w:p>
        </w:tc>
        <w:tc>
          <w:tcPr>
            <w:tcW w:w="305" w:type="pct"/>
            <w:tcBorders>
              <w:tl2br w:val="nil"/>
              <w:tr2bl w:val="nil"/>
            </w:tcBorders>
            <w:shd w:val="clear" w:color="auto" w:fill="auto"/>
            <w:tcMar>
              <w:left w:w="28" w:type="dxa"/>
              <w:right w:w="28" w:type="dxa"/>
            </w:tcMar>
            <w:vAlign w:val="center"/>
          </w:tcPr>
          <w:p w14:paraId="2F5850DC">
            <w:pPr>
              <w:pStyle w:val="711"/>
              <w:rPr>
                <w:rFonts w:eastAsia="等线" w:cs="Times New Roman"/>
                <w:color w:val="auto"/>
                <w:szCs w:val="21"/>
              </w:rPr>
            </w:pPr>
            <w:r>
              <w:rPr>
                <w:rFonts w:eastAsia="等线" w:cs="Times New Roman"/>
                <w:color w:val="auto"/>
                <w:szCs w:val="21"/>
              </w:rPr>
              <w:t>9.01</w:t>
            </w:r>
          </w:p>
        </w:tc>
        <w:tc>
          <w:tcPr>
            <w:tcW w:w="344" w:type="pct"/>
            <w:tcBorders>
              <w:tl2br w:val="nil"/>
              <w:tr2bl w:val="nil"/>
            </w:tcBorders>
            <w:shd w:val="clear" w:color="auto" w:fill="auto"/>
            <w:tcMar>
              <w:left w:w="28" w:type="dxa"/>
              <w:right w:w="28" w:type="dxa"/>
            </w:tcMar>
            <w:vAlign w:val="center"/>
          </w:tcPr>
          <w:p w14:paraId="6A22CE21">
            <w:pPr>
              <w:pStyle w:val="711"/>
              <w:rPr>
                <w:rFonts w:eastAsia="等线" w:cs="Times New Roman"/>
                <w:color w:val="auto"/>
                <w:szCs w:val="21"/>
              </w:rPr>
            </w:pPr>
            <w:r>
              <w:rPr>
                <w:rFonts w:eastAsia="等线" w:cs="Times New Roman"/>
                <w:color w:val="auto"/>
                <w:szCs w:val="21"/>
              </w:rPr>
              <w:t>20.3</w:t>
            </w:r>
          </w:p>
        </w:tc>
        <w:tc>
          <w:tcPr>
            <w:tcW w:w="344" w:type="pct"/>
            <w:tcBorders>
              <w:tl2br w:val="nil"/>
              <w:tr2bl w:val="nil"/>
            </w:tcBorders>
            <w:shd w:val="clear" w:color="auto" w:fill="auto"/>
            <w:tcMar>
              <w:left w:w="28" w:type="dxa"/>
              <w:right w:w="28" w:type="dxa"/>
            </w:tcMar>
            <w:vAlign w:val="center"/>
          </w:tcPr>
          <w:p w14:paraId="544AA965">
            <w:pPr>
              <w:pStyle w:val="711"/>
              <w:rPr>
                <w:rFonts w:eastAsia="等线" w:cs="Times New Roman"/>
                <w:color w:val="auto"/>
                <w:szCs w:val="21"/>
              </w:rPr>
            </w:pPr>
            <w:r>
              <w:rPr>
                <w:rFonts w:eastAsia="等线" w:cs="Times New Roman"/>
                <w:color w:val="auto"/>
                <w:szCs w:val="21"/>
              </w:rPr>
              <w:t>6.52</w:t>
            </w:r>
          </w:p>
        </w:tc>
        <w:tc>
          <w:tcPr>
            <w:tcW w:w="409" w:type="pct"/>
            <w:tcBorders>
              <w:tl2br w:val="nil"/>
              <w:tr2bl w:val="nil"/>
            </w:tcBorders>
            <w:shd w:val="clear" w:color="auto" w:fill="auto"/>
            <w:tcMar>
              <w:left w:w="28" w:type="dxa"/>
              <w:right w:w="28" w:type="dxa"/>
            </w:tcMar>
            <w:vAlign w:val="center"/>
          </w:tcPr>
          <w:p w14:paraId="4F5166A0">
            <w:pPr>
              <w:pStyle w:val="711"/>
              <w:rPr>
                <w:rFonts w:eastAsia="等线" w:cs="Times New Roman"/>
                <w:color w:val="auto"/>
                <w:szCs w:val="21"/>
              </w:rPr>
            </w:pPr>
            <w:r>
              <w:rPr>
                <w:rFonts w:eastAsia="等线" w:cs="Times New Roman"/>
                <w:color w:val="auto"/>
                <w:szCs w:val="21"/>
              </w:rPr>
              <w:t>11.4</w:t>
            </w:r>
          </w:p>
        </w:tc>
        <w:tc>
          <w:tcPr>
            <w:tcW w:w="409" w:type="pct"/>
            <w:tcBorders>
              <w:tl2br w:val="nil"/>
              <w:tr2bl w:val="nil"/>
            </w:tcBorders>
            <w:shd w:val="clear" w:color="auto" w:fill="auto"/>
            <w:tcMar>
              <w:left w:w="28" w:type="dxa"/>
              <w:right w:w="28" w:type="dxa"/>
            </w:tcMar>
            <w:vAlign w:val="center"/>
          </w:tcPr>
          <w:p w14:paraId="00DAE74A">
            <w:pPr>
              <w:pStyle w:val="711"/>
              <w:rPr>
                <w:rFonts w:eastAsia="等线" w:cs="Times New Roman"/>
                <w:color w:val="auto"/>
                <w:szCs w:val="21"/>
              </w:rPr>
            </w:pPr>
            <w:r>
              <w:rPr>
                <w:rFonts w:eastAsia="等线" w:cs="Times New Roman"/>
                <w:color w:val="auto"/>
                <w:szCs w:val="21"/>
              </w:rPr>
              <w:t>9.46</w:t>
            </w:r>
          </w:p>
        </w:tc>
        <w:tc>
          <w:tcPr>
            <w:tcW w:w="581" w:type="pct"/>
            <w:tcBorders>
              <w:tl2br w:val="nil"/>
              <w:tr2bl w:val="nil"/>
            </w:tcBorders>
            <w:shd w:val="clear" w:color="auto" w:fill="auto"/>
            <w:tcMar>
              <w:left w:w="28" w:type="dxa"/>
              <w:right w:w="28" w:type="dxa"/>
            </w:tcMar>
            <w:vAlign w:val="center"/>
          </w:tcPr>
          <w:p w14:paraId="68E7A938">
            <w:pPr>
              <w:pStyle w:val="711"/>
              <w:rPr>
                <w:rFonts w:eastAsia="等线" w:cs="Times New Roman"/>
                <w:color w:val="auto"/>
                <w:szCs w:val="21"/>
              </w:rPr>
            </w:pPr>
            <w:r>
              <w:rPr>
                <w:rFonts w:eastAsia="等线" w:cs="Times New Roman"/>
                <w:color w:val="auto"/>
                <w:szCs w:val="21"/>
              </w:rPr>
              <w:t>79</w:t>
            </w:r>
          </w:p>
        </w:tc>
        <w:tc>
          <w:tcPr>
            <w:tcW w:w="339" w:type="pct"/>
            <w:tcBorders>
              <w:tl2br w:val="nil"/>
              <w:tr2bl w:val="nil"/>
            </w:tcBorders>
            <w:shd w:val="clear" w:color="auto" w:fill="auto"/>
            <w:tcMar>
              <w:left w:w="28" w:type="dxa"/>
              <w:right w:w="28" w:type="dxa"/>
            </w:tcMar>
            <w:vAlign w:val="center"/>
          </w:tcPr>
          <w:p w14:paraId="1A53B10C">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17BBE74A">
            <w:pPr>
              <w:pStyle w:val="711"/>
              <w:rPr>
                <w:rFonts w:eastAsia="等线" w:cs="Times New Roman"/>
                <w:color w:val="auto"/>
                <w:szCs w:val="21"/>
              </w:rPr>
            </w:pPr>
            <w:r>
              <w:rPr>
                <w:rFonts w:eastAsia="等线" w:cs="Times New Roman"/>
                <w:color w:val="auto"/>
                <w:szCs w:val="21"/>
              </w:rPr>
              <w:t>104</w:t>
            </w:r>
          </w:p>
        </w:tc>
        <w:tc>
          <w:tcPr>
            <w:tcW w:w="822" w:type="pct"/>
            <w:tcBorders>
              <w:tl2br w:val="nil"/>
              <w:tr2bl w:val="nil"/>
            </w:tcBorders>
            <w:shd w:val="clear" w:color="auto" w:fill="auto"/>
            <w:noWrap/>
            <w:tcMar>
              <w:left w:w="28" w:type="dxa"/>
              <w:right w:w="28" w:type="dxa"/>
            </w:tcMar>
            <w:vAlign w:val="center"/>
          </w:tcPr>
          <w:p w14:paraId="1EA4B1C4">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19094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6D7C035B">
            <w:pPr>
              <w:pStyle w:val="711"/>
              <w:rPr>
                <w:color w:val="auto"/>
              </w:rPr>
            </w:pPr>
            <w:r>
              <w:rPr>
                <w:rFonts w:hint="eastAsia"/>
                <w:color w:val="auto"/>
              </w:rPr>
              <w:t>6#</w:t>
            </w:r>
          </w:p>
        </w:tc>
        <w:tc>
          <w:tcPr>
            <w:tcW w:w="435" w:type="pct"/>
            <w:tcBorders>
              <w:tl2br w:val="nil"/>
              <w:tr2bl w:val="nil"/>
            </w:tcBorders>
            <w:shd w:val="clear" w:color="auto" w:fill="auto"/>
            <w:tcMar>
              <w:left w:w="28" w:type="dxa"/>
              <w:right w:w="28" w:type="dxa"/>
            </w:tcMar>
            <w:vAlign w:val="center"/>
          </w:tcPr>
          <w:p w14:paraId="49999CAA">
            <w:pPr>
              <w:pStyle w:val="711"/>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251C0119">
            <w:pPr>
              <w:pStyle w:val="711"/>
              <w:rPr>
                <w:rFonts w:eastAsia="等线" w:cs="Times New Roman"/>
                <w:color w:val="auto"/>
                <w:szCs w:val="21"/>
              </w:rPr>
            </w:pPr>
            <w:r>
              <w:rPr>
                <w:rFonts w:eastAsia="等线" w:cs="Times New Roman"/>
                <w:color w:val="auto"/>
                <w:szCs w:val="21"/>
              </w:rPr>
              <w:t>29.6</w:t>
            </w:r>
          </w:p>
        </w:tc>
        <w:tc>
          <w:tcPr>
            <w:tcW w:w="305" w:type="pct"/>
            <w:tcBorders>
              <w:tl2br w:val="nil"/>
              <w:tr2bl w:val="nil"/>
            </w:tcBorders>
            <w:shd w:val="clear" w:color="auto" w:fill="auto"/>
            <w:tcMar>
              <w:left w:w="28" w:type="dxa"/>
              <w:right w:w="28" w:type="dxa"/>
            </w:tcMar>
            <w:vAlign w:val="center"/>
          </w:tcPr>
          <w:p w14:paraId="3E62DFAB">
            <w:pPr>
              <w:pStyle w:val="711"/>
              <w:rPr>
                <w:rFonts w:eastAsia="等线" w:cs="Times New Roman"/>
                <w:color w:val="auto"/>
                <w:szCs w:val="21"/>
              </w:rPr>
            </w:pPr>
            <w:r>
              <w:rPr>
                <w:rFonts w:eastAsia="等线" w:cs="Times New Roman"/>
                <w:color w:val="auto"/>
                <w:szCs w:val="21"/>
              </w:rPr>
              <w:t>48.9</w:t>
            </w:r>
          </w:p>
        </w:tc>
        <w:tc>
          <w:tcPr>
            <w:tcW w:w="344" w:type="pct"/>
            <w:tcBorders>
              <w:tl2br w:val="nil"/>
              <w:tr2bl w:val="nil"/>
            </w:tcBorders>
            <w:shd w:val="clear" w:color="auto" w:fill="auto"/>
            <w:tcMar>
              <w:left w:w="28" w:type="dxa"/>
              <w:right w:w="28" w:type="dxa"/>
            </w:tcMar>
            <w:vAlign w:val="center"/>
          </w:tcPr>
          <w:p w14:paraId="722B76D0">
            <w:pPr>
              <w:pStyle w:val="711"/>
              <w:rPr>
                <w:rFonts w:eastAsia="等线" w:cs="Times New Roman"/>
                <w:color w:val="auto"/>
                <w:szCs w:val="21"/>
              </w:rPr>
            </w:pPr>
            <w:r>
              <w:rPr>
                <w:rFonts w:eastAsia="等线" w:cs="Times New Roman"/>
                <w:color w:val="auto"/>
                <w:szCs w:val="21"/>
              </w:rPr>
              <w:t>84.7</w:t>
            </w:r>
          </w:p>
        </w:tc>
        <w:tc>
          <w:tcPr>
            <w:tcW w:w="344" w:type="pct"/>
            <w:tcBorders>
              <w:tl2br w:val="nil"/>
              <w:tr2bl w:val="nil"/>
            </w:tcBorders>
            <w:shd w:val="clear" w:color="auto" w:fill="auto"/>
            <w:tcMar>
              <w:left w:w="28" w:type="dxa"/>
              <w:right w:w="28" w:type="dxa"/>
            </w:tcMar>
            <w:vAlign w:val="center"/>
          </w:tcPr>
          <w:p w14:paraId="087A05A6">
            <w:pPr>
              <w:pStyle w:val="711"/>
              <w:rPr>
                <w:rFonts w:eastAsia="等线" w:cs="Times New Roman"/>
                <w:color w:val="auto"/>
                <w:szCs w:val="21"/>
              </w:rPr>
            </w:pPr>
            <w:r>
              <w:rPr>
                <w:rFonts w:eastAsia="等线" w:cs="Times New Roman"/>
                <w:color w:val="auto"/>
                <w:szCs w:val="21"/>
              </w:rPr>
              <w:t>31.7</w:t>
            </w:r>
          </w:p>
        </w:tc>
        <w:tc>
          <w:tcPr>
            <w:tcW w:w="409" w:type="pct"/>
            <w:tcBorders>
              <w:tl2br w:val="nil"/>
              <w:tr2bl w:val="nil"/>
            </w:tcBorders>
            <w:shd w:val="clear" w:color="auto" w:fill="auto"/>
            <w:tcMar>
              <w:left w:w="28" w:type="dxa"/>
              <w:right w:w="28" w:type="dxa"/>
            </w:tcMar>
            <w:vAlign w:val="center"/>
          </w:tcPr>
          <w:p w14:paraId="4C375CFD">
            <w:pPr>
              <w:pStyle w:val="711"/>
              <w:rPr>
                <w:rFonts w:eastAsia="等线" w:cs="Times New Roman"/>
                <w:color w:val="auto"/>
                <w:szCs w:val="21"/>
              </w:rPr>
            </w:pPr>
            <w:r>
              <w:rPr>
                <w:rFonts w:eastAsia="等线" w:cs="Times New Roman"/>
                <w:color w:val="auto"/>
                <w:szCs w:val="21"/>
              </w:rPr>
              <w:t>49.8</w:t>
            </w:r>
          </w:p>
        </w:tc>
        <w:tc>
          <w:tcPr>
            <w:tcW w:w="409" w:type="pct"/>
            <w:tcBorders>
              <w:tl2br w:val="nil"/>
              <w:tr2bl w:val="nil"/>
            </w:tcBorders>
            <w:shd w:val="clear" w:color="auto" w:fill="auto"/>
            <w:tcMar>
              <w:left w:w="28" w:type="dxa"/>
              <w:right w:w="28" w:type="dxa"/>
            </w:tcMar>
            <w:vAlign w:val="center"/>
          </w:tcPr>
          <w:p w14:paraId="02F72BC8">
            <w:pPr>
              <w:pStyle w:val="711"/>
              <w:rPr>
                <w:rFonts w:eastAsia="等线" w:cs="Times New Roman"/>
                <w:color w:val="auto"/>
                <w:szCs w:val="21"/>
              </w:rPr>
            </w:pPr>
            <w:r>
              <w:rPr>
                <w:rFonts w:eastAsia="等线" w:cs="Times New Roman"/>
                <w:color w:val="auto"/>
                <w:szCs w:val="21"/>
              </w:rPr>
              <w:t>38.5</w:t>
            </w:r>
          </w:p>
        </w:tc>
        <w:tc>
          <w:tcPr>
            <w:tcW w:w="581" w:type="pct"/>
            <w:tcBorders>
              <w:tl2br w:val="nil"/>
              <w:tr2bl w:val="nil"/>
            </w:tcBorders>
            <w:shd w:val="clear" w:color="auto" w:fill="auto"/>
            <w:tcMar>
              <w:left w:w="28" w:type="dxa"/>
              <w:right w:w="28" w:type="dxa"/>
            </w:tcMar>
            <w:vAlign w:val="center"/>
          </w:tcPr>
          <w:p w14:paraId="5F575146">
            <w:pPr>
              <w:pStyle w:val="711"/>
              <w:rPr>
                <w:rFonts w:eastAsia="等线" w:cs="Times New Roman"/>
                <w:color w:val="auto"/>
                <w:szCs w:val="21"/>
              </w:rPr>
            </w:pPr>
            <w:r>
              <w:rPr>
                <w:rFonts w:eastAsia="等线" w:cs="Times New Roman"/>
                <w:color w:val="auto"/>
                <w:szCs w:val="21"/>
              </w:rPr>
              <w:t>427</w:t>
            </w:r>
          </w:p>
        </w:tc>
        <w:tc>
          <w:tcPr>
            <w:tcW w:w="339" w:type="pct"/>
            <w:tcBorders>
              <w:tl2br w:val="nil"/>
              <w:tr2bl w:val="nil"/>
            </w:tcBorders>
            <w:shd w:val="clear" w:color="auto" w:fill="auto"/>
            <w:tcMar>
              <w:left w:w="28" w:type="dxa"/>
              <w:right w:w="28" w:type="dxa"/>
            </w:tcMar>
            <w:vAlign w:val="center"/>
          </w:tcPr>
          <w:p w14:paraId="33D5DE6C">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2EC2A69C">
            <w:pPr>
              <w:pStyle w:val="711"/>
              <w:rPr>
                <w:rFonts w:eastAsia="等线" w:cs="Times New Roman"/>
                <w:color w:val="auto"/>
                <w:szCs w:val="21"/>
              </w:rPr>
            </w:pPr>
            <w:r>
              <w:rPr>
                <w:rFonts w:eastAsia="等线" w:cs="Times New Roman"/>
                <w:color w:val="auto"/>
                <w:szCs w:val="21"/>
              </w:rPr>
              <w:t>533</w:t>
            </w:r>
          </w:p>
        </w:tc>
        <w:tc>
          <w:tcPr>
            <w:tcW w:w="822" w:type="pct"/>
            <w:tcBorders>
              <w:tl2br w:val="nil"/>
              <w:tr2bl w:val="nil"/>
            </w:tcBorders>
            <w:shd w:val="clear" w:color="auto" w:fill="auto"/>
            <w:noWrap/>
            <w:tcMar>
              <w:left w:w="28" w:type="dxa"/>
              <w:right w:w="28" w:type="dxa"/>
            </w:tcMar>
            <w:vAlign w:val="center"/>
          </w:tcPr>
          <w:p w14:paraId="7C7E6C2F">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9CA8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4BB1810">
            <w:pPr>
              <w:pStyle w:val="711"/>
              <w:rPr>
                <w:color w:val="auto"/>
              </w:rPr>
            </w:pPr>
            <w:r>
              <w:rPr>
                <w:rFonts w:hint="eastAsia"/>
                <w:color w:val="auto"/>
              </w:rPr>
              <w:t>7#</w:t>
            </w:r>
          </w:p>
        </w:tc>
        <w:tc>
          <w:tcPr>
            <w:tcW w:w="435" w:type="pct"/>
            <w:tcBorders>
              <w:tl2br w:val="nil"/>
              <w:tr2bl w:val="nil"/>
            </w:tcBorders>
            <w:shd w:val="clear" w:color="auto" w:fill="auto"/>
            <w:tcMar>
              <w:left w:w="28" w:type="dxa"/>
              <w:right w:w="28" w:type="dxa"/>
            </w:tcMar>
            <w:vAlign w:val="center"/>
          </w:tcPr>
          <w:p w14:paraId="6896D183">
            <w:pPr>
              <w:pStyle w:val="711"/>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7CF0752A">
            <w:pPr>
              <w:pStyle w:val="711"/>
              <w:rPr>
                <w:rFonts w:eastAsia="等线" w:cs="Times New Roman"/>
                <w:color w:val="auto"/>
                <w:szCs w:val="21"/>
              </w:rPr>
            </w:pPr>
            <w:r>
              <w:rPr>
                <w:rFonts w:eastAsia="等线" w:cs="Times New Roman"/>
                <w:color w:val="auto"/>
                <w:szCs w:val="21"/>
              </w:rPr>
              <w:t>7.12</w:t>
            </w:r>
          </w:p>
        </w:tc>
        <w:tc>
          <w:tcPr>
            <w:tcW w:w="305" w:type="pct"/>
            <w:tcBorders>
              <w:tl2br w:val="nil"/>
              <w:tr2bl w:val="nil"/>
            </w:tcBorders>
            <w:shd w:val="clear" w:color="auto" w:fill="auto"/>
            <w:tcMar>
              <w:left w:w="28" w:type="dxa"/>
              <w:right w:w="28" w:type="dxa"/>
            </w:tcMar>
            <w:vAlign w:val="center"/>
          </w:tcPr>
          <w:p w14:paraId="2FCBBFA6">
            <w:pPr>
              <w:pStyle w:val="711"/>
              <w:rPr>
                <w:rFonts w:eastAsia="等线" w:cs="Times New Roman"/>
                <w:color w:val="auto"/>
                <w:szCs w:val="21"/>
              </w:rPr>
            </w:pPr>
            <w:r>
              <w:rPr>
                <w:rFonts w:eastAsia="等线" w:cs="Times New Roman"/>
                <w:color w:val="auto"/>
                <w:szCs w:val="21"/>
              </w:rPr>
              <w:t>19.7</w:t>
            </w:r>
          </w:p>
        </w:tc>
        <w:tc>
          <w:tcPr>
            <w:tcW w:w="344" w:type="pct"/>
            <w:tcBorders>
              <w:tl2br w:val="nil"/>
              <w:tr2bl w:val="nil"/>
            </w:tcBorders>
            <w:shd w:val="clear" w:color="auto" w:fill="auto"/>
            <w:tcMar>
              <w:left w:w="28" w:type="dxa"/>
              <w:right w:w="28" w:type="dxa"/>
            </w:tcMar>
            <w:vAlign w:val="center"/>
          </w:tcPr>
          <w:p w14:paraId="368412A8">
            <w:pPr>
              <w:pStyle w:val="711"/>
              <w:rPr>
                <w:rFonts w:eastAsia="等线" w:cs="Times New Roman"/>
                <w:color w:val="auto"/>
                <w:szCs w:val="21"/>
              </w:rPr>
            </w:pPr>
            <w:r>
              <w:rPr>
                <w:rFonts w:eastAsia="等线" w:cs="Times New Roman"/>
                <w:color w:val="auto"/>
                <w:szCs w:val="21"/>
              </w:rPr>
              <w:t>53.7</w:t>
            </w:r>
          </w:p>
        </w:tc>
        <w:tc>
          <w:tcPr>
            <w:tcW w:w="344" w:type="pct"/>
            <w:tcBorders>
              <w:tl2br w:val="nil"/>
              <w:tr2bl w:val="nil"/>
            </w:tcBorders>
            <w:shd w:val="clear" w:color="auto" w:fill="auto"/>
            <w:tcMar>
              <w:left w:w="28" w:type="dxa"/>
              <w:right w:w="28" w:type="dxa"/>
            </w:tcMar>
            <w:vAlign w:val="center"/>
          </w:tcPr>
          <w:p w14:paraId="03CC7839">
            <w:pPr>
              <w:pStyle w:val="711"/>
              <w:rPr>
                <w:rFonts w:eastAsia="等线" w:cs="Times New Roman"/>
                <w:color w:val="auto"/>
                <w:szCs w:val="21"/>
              </w:rPr>
            </w:pPr>
            <w:r>
              <w:rPr>
                <w:rFonts w:eastAsia="等线" w:cs="Times New Roman"/>
                <w:color w:val="auto"/>
                <w:szCs w:val="21"/>
              </w:rPr>
              <w:t>16.5</w:t>
            </w:r>
          </w:p>
        </w:tc>
        <w:tc>
          <w:tcPr>
            <w:tcW w:w="409" w:type="pct"/>
            <w:tcBorders>
              <w:tl2br w:val="nil"/>
              <w:tr2bl w:val="nil"/>
            </w:tcBorders>
            <w:shd w:val="clear" w:color="auto" w:fill="auto"/>
            <w:tcMar>
              <w:left w:w="28" w:type="dxa"/>
              <w:right w:w="28" w:type="dxa"/>
            </w:tcMar>
            <w:vAlign w:val="center"/>
          </w:tcPr>
          <w:p w14:paraId="562CD73B">
            <w:pPr>
              <w:pStyle w:val="711"/>
              <w:rPr>
                <w:rFonts w:eastAsia="等线" w:cs="Times New Roman"/>
                <w:color w:val="auto"/>
                <w:szCs w:val="21"/>
              </w:rPr>
            </w:pPr>
            <w:r>
              <w:rPr>
                <w:rFonts w:eastAsia="等线" w:cs="Times New Roman"/>
                <w:color w:val="auto"/>
                <w:szCs w:val="21"/>
              </w:rPr>
              <w:t>12.3</w:t>
            </w:r>
          </w:p>
        </w:tc>
        <w:tc>
          <w:tcPr>
            <w:tcW w:w="409" w:type="pct"/>
            <w:tcBorders>
              <w:tl2br w:val="nil"/>
              <w:tr2bl w:val="nil"/>
            </w:tcBorders>
            <w:shd w:val="clear" w:color="auto" w:fill="auto"/>
            <w:tcMar>
              <w:left w:w="28" w:type="dxa"/>
              <w:right w:w="28" w:type="dxa"/>
            </w:tcMar>
            <w:vAlign w:val="center"/>
          </w:tcPr>
          <w:p w14:paraId="1149D8F0">
            <w:pPr>
              <w:pStyle w:val="711"/>
              <w:rPr>
                <w:rFonts w:eastAsia="等线" w:cs="Times New Roman"/>
                <w:color w:val="auto"/>
                <w:szCs w:val="21"/>
              </w:rPr>
            </w:pPr>
            <w:r>
              <w:rPr>
                <w:rFonts w:eastAsia="等线" w:cs="Times New Roman"/>
                <w:color w:val="auto"/>
                <w:szCs w:val="21"/>
              </w:rPr>
              <w:t>14.9</w:t>
            </w:r>
          </w:p>
        </w:tc>
        <w:tc>
          <w:tcPr>
            <w:tcW w:w="581" w:type="pct"/>
            <w:tcBorders>
              <w:tl2br w:val="nil"/>
              <w:tr2bl w:val="nil"/>
            </w:tcBorders>
            <w:shd w:val="clear" w:color="auto" w:fill="auto"/>
            <w:tcMar>
              <w:left w:w="28" w:type="dxa"/>
              <w:right w:w="28" w:type="dxa"/>
            </w:tcMar>
            <w:vAlign w:val="center"/>
          </w:tcPr>
          <w:p w14:paraId="5914353F">
            <w:pPr>
              <w:pStyle w:val="711"/>
              <w:rPr>
                <w:rFonts w:eastAsia="等线" w:cs="Times New Roman"/>
                <w:color w:val="auto"/>
                <w:szCs w:val="21"/>
              </w:rPr>
            </w:pPr>
            <w:r>
              <w:rPr>
                <w:rFonts w:eastAsia="等线" w:cs="Times New Roman"/>
                <w:color w:val="auto"/>
                <w:szCs w:val="21"/>
              </w:rPr>
              <w:t>252</w:t>
            </w:r>
          </w:p>
        </w:tc>
        <w:tc>
          <w:tcPr>
            <w:tcW w:w="339" w:type="pct"/>
            <w:tcBorders>
              <w:tl2br w:val="nil"/>
              <w:tr2bl w:val="nil"/>
            </w:tcBorders>
            <w:shd w:val="clear" w:color="auto" w:fill="auto"/>
            <w:tcMar>
              <w:left w:w="28" w:type="dxa"/>
              <w:right w:w="28" w:type="dxa"/>
            </w:tcMar>
            <w:vAlign w:val="center"/>
          </w:tcPr>
          <w:p w14:paraId="774B855B">
            <w:pPr>
              <w:pStyle w:val="711"/>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2747DB3D">
            <w:pPr>
              <w:pStyle w:val="711"/>
              <w:rPr>
                <w:rFonts w:eastAsia="等线" w:cs="Times New Roman"/>
                <w:color w:val="auto"/>
                <w:szCs w:val="21"/>
              </w:rPr>
            </w:pPr>
            <w:r>
              <w:rPr>
                <w:rFonts w:eastAsia="等线" w:cs="Times New Roman"/>
                <w:color w:val="auto"/>
                <w:szCs w:val="21"/>
              </w:rPr>
              <w:t>270</w:t>
            </w:r>
          </w:p>
        </w:tc>
        <w:tc>
          <w:tcPr>
            <w:tcW w:w="822" w:type="pct"/>
            <w:tcBorders>
              <w:tl2br w:val="nil"/>
              <w:tr2bl w:val="nil"/>
            </w:tcBorders>
            <w:shd w:val="clear" w:color="auto" w:fill="auto"/>
            <w:noWrap/>
            <w:tcMar>
              <w:left w:w="28" w:type="dxa"/>
              <w:right w:w="28" w:type="dxa"/>
            </w:tcMar>
            <w:vAlign w:val="center"/>
          </w:tcPr>
          <w:p w14:paraId="0AB26B49">
            <w:pPr>
              <w:pStyle w:val="711"/>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bl>
    <w:p w14:paraId="41B6C730">
      <w:pPr>
        <w:pStyle w:val="711"/>
        <w:rPr>
          <w:rFonts w:cs="Times New Roman"/>
          <w:snapToGrid w:val="0"/>
          <w:color w:val="auto"/>
        </w:rPr>
      </w:pPr>
      <w:r>
        <w:rPr>
          <w:rFonts w:cs="Times New Roman"/>
          <w:color w:val="auto"/>
        </w:rPr>
        <w:drawing>
          <wp:inline distT="0" distB="0" distL="0" distR="0">
            <wp:extent cx="4688840" cy="4086860"/>
            <wp:effectExtent l="0" t="0" r="16510" b="8890"/>
            <wp:docPr id="2309848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84830" name="图片 1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94218" cy="4091628"/>
                    </a:xfrm>
                    <a:prstGeom prst="rect">
                      <a:avLst/>
                    </a:prstGeom>
                  </pic:spPr>
                </pic:pic>
              </a:graphicData>
            </a:graphic>
          </wp:inline>
        </w:drawing>
      </w:r>
    </w:p>
    <w:p w14:paraId="1C04511C">
      <w:pPr>
        <w:pStyle w:val="710"/>
        <w:rPr>
          <w:rFonts w:cs="Times New Roman"/>
          <w:color w:val="auto"/>
        </w:rPr>
      </w:pPr>
      <w:r>
        <w:rPr>
          <w:rFonts w:cs="Times New Roman"/>
          <w:color w:val="auto"/>
        </w:rPr>
        <w:t>图</w:t>
      </w:r>
      <w:r>
        <w:rPr>
          <w:rFonts w:hint="eastAsia" w:cs="Times New Roman"/>
          <w:color w:val="auto"/>
          <w:lang w:val="en-US" w:eastAsia="zh-CN"/>
        </w:rPr>
        <w:t>3.1</w:t>
      </w:r>
      <w:r>
        <w:rPr>
          <w:rFonts w:cs="Times New Roman"/>
          <w:color w:val="auto"/>
        </w:rPr>
        <w:t>-</w:t>
      </w:r>
      <w:r>
        <w:rPr>
          <w:rFonts w:hint="eastAsia" w:cs="Times New Roman"/>
          <w:color w:val="auto"/>
          <w:lang w:val="en-US" w:eastAsia="zh-CN"/>
        </w:rPr>
        <w:t>1</w:t>
      </w:r>
      <w:r>
        <w:rPr>
          <w:rFonts w:cs="Times New Roman"/>
          <w:color w:val="auto"/>
        </w:rPr>
        <w:t xml:space="preserve">  水化学piper三线图</w:t>
      </w:r>
    </w:p>
    <w:p w14:paraId="38E060CC">
      <w:pPr>
        <w:pStyle w:val="5"/>
        <w:bidi w:val="0"/>
        <w:rPr>
          <w:rFonts w:hint="default"/>
          <w:color w:val="auto"/>
          <w:lang w:val="en-US" w:eastAsia="zh-CN"/>
        </w:rPr>
      </w:pPr>
      <w:r>
        <w:rPr>
          <w:rFonts w:hint="eastAsia"/>
          <w:color w:val="auto"/>
          <w:lang w:val="en-US" w:eastAsia="zh-CN"/>
        </w:rPr>
        <w:t xml:space="preserve"> 自然资源</w:t>
      </w:r>
    </w:p>
    <w:p w14:paraId="2837B600">
      <w:pPr>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1、</w:t>
      </w:r>
      <w:r>
        <w:rPr>
          <w:rFonts w:hint="default" w:ascii="Times New Roman" w:hAnsi="Times New Roman" w:eastAsia="宋体" w:cs="Times New Roman"/>
          <w:b/>
          <w:bCs/>
          <w:color w:val="auto"/>
          <w:kern w:val="0"/>
          <w:sz w:val="24"/>
          <w:szCs w:val="24"/>
          <w:highlight w:val="none"/>
          <w:lang w:val="en-US" w:eastAsia="zh-CN" w:bidi="ar"/>
        </w:rPr>
        <w:t>动植物资源</w:t>
      </w:r>
    </w:p>
    <w:p w14:paraId="6492A0CF">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植物资源：境域植物资源丰富，尤以北部为最，计有乔、灌木308种，草、藤本421种，源于植物的中草药（含家种、野生，根、茎、叶、花、果）1386种。乔、灌木林区多分布在北部山地，中部、南部亦零星分布。中药材资源最多的是通江、南江两县；牧草资源遍及境域。境域中部和南部森林层次结构不明显，林相单纯，林下伴生马桑、黄荆、沙棘藤蔓、杜鹃等植物；北部森林成片的较多，但因砍伐过度，曾使森林面</w:t>
      </w:r>
      <w:r>
        <w:rPr>
          <w:rFonts w:hint="eastAsia" w:ascii="宋体" w:hAnsi="宋体" w:eastAsia="宋体" w:cs="宋体"/>
          <w:color w:val="auto"/>
          <w:kern w:val="0"/>
          <w:sz w:val="24"/>
          <w:szCs w:val="24"/>
          <w:highlight w:val="none"/>
          <w:lang w:val="en-US" w:eastAsia="zh-CN" w:bidi="ar"/>
        </w:rPr>
        <w:t>积锐减，后经</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停耕还林、还草</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等</w:t>
      </w:r>
      <w:r>
        <w:rPr>
          <w:rFonts w:hint="default" w:ascii="Times New Roman" w:hAnsi="Times New Roman" w:eastAsia="宋体" w:cs="Times New Roman"/>
          <w:color w:val="auto"/>
          <w:kern w:val="0"/>
          <w:sz w:val="24"/>
          <w:szCs w:val="24"/>
          <w:highlight w:val="none"/>
          <w:lang w:val="en-US" w:eastAsia="zh-CN" w:bidi="ar"/>
        </w:rPr>
        <w:t>政策的落实，现正处于恢复阶段。</w:t>
      </w:r>
    </w:p>
    <w:p w14:paraId="28F5D73C">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森林植被主要为常绿落叶阔叶混交林、针叶林、竹林和灌丛林，植物种类繁多，种子植物近3000种，乔灌木有300多种，其中包括一些珍稀树木，如：银杏、三尖杉、红豆、巴山松、巴山水青杠。</w:t>
      </w:r>
    </w:p>
    <w:p w14:paraId="3C4393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动物资源：全市家养动物有生猪、黄牛、水牛、火羊、南江黄羊、各类鸡、各类鸭、鹅、马、驴、蜂、蚕、犬、猫、各类兔等。野生动物多分布在森林密布的北部，中、南部很少。近代，在森林面积逐年减少、猎杀频繁、酷捞滥捕的情况下，境内动物资源遭到破坏。虎、豹濒于绝迹，珍稀动物遗留不多，</w:t>
      </w:r>
      <w:r>
        <w:rPr>
          <w:rFonts w:hint="eastAsia" w:cs="Times New Roman"/>
          <w:color w:val="auto"/>
          <w:kern w:val="0"/>
          <w:sz w:val="24"/>
          <w:szCs w:val="24"/>
          <w:highlight w:val="none"/>
          <w:lang w:val="en-US" w:eastAsia="zh-CN" w:bidi="ar"/>
        </w:rPr>
        <w:t>其他</w:t>
      </w:r>
      <w:r>
        <w:rPr>
          <w:rFonts w:hint="default" w:ascii="Times New Roman" w:hAnsi="Times New Roman" w:eastAsia="宋体" w:cs="Times New Roman"/>
          <w:color w:val="auto"/>
          <w:kern w:val="0"/>
          <w:sz w:val="24"/>
          <w:szCs w:val="24"/>
          <w:highlight w:val="none"/>
          <w:lang w:val="en-US" w:eastAsia="zh-CN" w:bidi="ar"/>
        </w:rPr>
        <w:t>动物逐年减少。经20世纪80年代调查，境内北部共有野生动物670种，其中鱼类4目、11科、44属、47种；两栖类2目、7科、9属、20种；爬行类3目、7科、14属、21种；鸟类16目、41科、120属、176种；兽类7目、21科、52属、67种；昆虫类50科、170种；</w:t>
      </w:r>
      <w:r>
        <w:rPr>
          <w:rFonts w:hint="eastAsia" w:cs="Times New Roman"/>
          <w:color w:val="auto"/>
          <w:kern w:val="0"/>
          <w:sz w:val="24"/>
          <w:szCs w:val="24"/>
          <w:highlight w:val="none"/>
          <w:lang w:val="en-US" w:eastAsia="zh-CN" w:bidi="ar"/>
        </w:rPr>
        <w:t>其他</w:t>
      </w:r>
      <w:r>
        <w:rPr>
          <w:rFonts w:hint="default" w:ascii="Times New Roman" w:hAnsi="Times New Roman" w:eastAsia="宋体" w:cs="Times New Roman"/>
          <w:color w:val="auto"/>
          <w:kern w:val="0"/>
          <w:sz w:val="24"/>
          <w:szCs w:val="24"/>
          <w:highlight w:val="none"/>
          <w:lang w:val="en-US" w:eastAsia="zh-CN" w:bidi="ar"/>
        </w:rPr>
        <w:t>类169种。中南部地区尚存野生动物290余种，其中兽类22种，禽类49种，水族及两栖爬行类43种，昆虫类170余种。稀树灌丛草坡和乔灌木林等次生林及水稻、甘蔗、玉米等经济作物。</w:t>
      </w:r>
    </w:p>
    <w:p w14:paraId="2E44CFDC">
      <w:pPr>
        <w:pageBreakBefore w:val="0"/>
        <w:widowControl w:val="0"/>
        <w:kinsoku/>
        <w:wordWrap/>
        <w:overflowPunct/>
        <w:topLinePunct w:val="0"/>
        <w:autoSpaceDE/>
        <w:autoSpaceDN/>
        <w:bidi w:val="0"/>
        <w:adjustRightInd/>
        <w:snapToGrid/>
        <w:textAlignment w:val="auto"/>
        <w:rPr>
          <w:rFonts w:hint="default"/>
          <w:b/>
          <w:bCs/>
          <w:color w:val="auto"/>
          <w:highlight w:val="none"/>
          <w:lang w:val="en-US" w:eastAsia="zh-CN"/>
        </w:rPr>
      </w:pPr>
      <w:r>
        <w:rPr>
          <w:rFonts w:hint="default"/>
          <w:b/>
          <w:bCs/>
          <w:color w:val="auto"/>
          <w:highlight w:val="none"/>
          <w:lang w:val="en-US" w:eastAsia="zh-CN"/>
        </w:rPr>
        <w:t>经现场踏勘，项目评价区域内未发现古大珍奇树木分布，无需保护的珍稀野生动植物分布。</w:t>
      </w:r>
    </w:p>
    <w:p w14:paraId="15B7674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2、</w:t>
      </w:r>
      <w:r>
        <w:rPr>
          <w:rFonts w:hint="default" w:ascii="Times New Roman" w:hAnsi="Times New Roman" w:eastAsia="宋体" w:cs="Times New Roman"/>
          <w:b/>
          <w:bCs/>
          <w:color w:val="auto"/>
          <w:kern w:val="0"/>
          <w:sz w:val="24"/>
          <w:szCs w:val="24"/>
          <w:highlight w:val="none"/>
          <w:lang w:val="en-US" w:eastAsia="zh-CN" w:bidi="ar"/>
        </w:rPr>
        <w:t>矿产资源</w:t>
      </w:r>
    </w:p>
    <w:p w14:paraId="75A0AA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巴中市矿产资源较为丰富，其分布趋势是北富南贫，南江县最多，被誉为</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地下百宝箱</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，通江县次之，巴州区、平昌县有少量发现。已探明的矿藏种类有铁、铝、钒、钛、钴、铜、铅、锌、钼、锡、金、银等金属矿，有煤、石油、</w:t>
      </w:r>
      <w:r>
        <w:rPr>
          <w:rFonts w:hint="eastAsia" w:cs="Times New Roman"/>
          <w:color w:val="auto"/>
          <w:kern w:val="0"/>
          <w:sz w:val="24"/>
          <w:szCs w:val="24"/>
          <w:highlight w:val="none"/>
          <w:lang w:val="en-US" w:eastAsia="zh-CN" w:bidi="ar"/>
        </w:rPr>
        <w:t>天然气</w:t>
      </w:r>
      <w:r>
        <w:rPr>
          <w:rFonts w:hint="default" w:ascii="Times New Roman" w:hAnsi="Times New Roman" w:eastAsia="宋体" w:cs="Times New Roman"/>
          <w:color w:val="auto"/>
          <w:kern w:val="0"/>
          <w:sz w:val="24"/>
          <w:szCs w:val="24"/>
          <w:highlight w:val="none"/>
          <w:lang w:val="en-US" w:eastAsia="zh-CN" w:bidi="ar"/>
        </w:rPr>
        <w:t>、铀等能源矿，有硫、钾、长石、滑石、石墨、白云石、石棉、水晶、大理石、石灰石、花岗石、石英</w:t>
      </w:r>
      <w:r>
        <w:rPr>
          <w:rFonts w:hint="eastAsia" w:ascii="Times New Roman" w:hAnsi="Times New Roman" w:cs="Times New Roman"/>
          <w:color w:val="auto"/>
          <w:kern w:val="0"/>
          <w:sz w:val="24"/>
          <w:szCs w:val="24"/>
          <w:highlight w:val="none"/>
          <w:lang w:val="en-US" w:eastAsia="zh-CN" w:bidi="ar"/>
        </w:rPr>
        <w:t>等非金属矿。</w:t>
      </w:r>
    </w:p>
    <w:p w14:paraId="719B4C4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相关资料显示，本项目评价区域内不涉及压覆矿产的情况。</w:t>
      </w:r>
    </w:p>
    <w:p w14:paraId="741CFD4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旅游资源</w:t>
      </w:r>
    </w:p>
    <w:p w14:paraId="08B5BB7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全市旅游资源面积占</w:t>
      </w:r>
      <w:r>
        <w:rPr>
          <w:rFonts w:hint="eastAsia" w:cs="Times New Roman"/>
          <w:color w:val="auto"/>
          <w:kern w:val="0"/>
          <w:sz w:val="24"/>
          <w:szCs w:val="24"/>
          <w:highlight w:val="none"/>
          <w:lang w:val="en-US" w:eastAsia="zh-CN" w:bidi="ar"/>
        </w:rPr>
        <w:t>全市辖区</w:t>
      </w:r>
      <w:r>
        <w:rPr>
          <w:rFonts w:hint="default" w:ascii="Times New Roman" w:hAnsi="Times New Roman" w:eastAsia="宋体" w:cs="Times New Roman"/>
          <w:color w:val="auto"/>
          <w:kern w:val="0"/>
          <w:sz w:val="24"/>
          <w:szCs w:val="24"/>
          <w:highlight w:val="none"/>
          <w:lang w:val="en-US" w:eastAsia="zh-CN" w:bidi="ar"/>
        </w:rPr>
        <w:t>面积10%以上，涵盖了国家颁布的《旅游资源评价标准》所列8大主类31亚类中的26个亚类。一</w:t>
      </w:r>
      <w:r>
        <w:rPr>
          <w:rFonts w:hint="eastAsia" w:ascii="宋体" w:hAnsi="宋体" w:eastAsia="宋体" w:cs="宋体"/>
          <w:color w:val="auto"/>
          <w:kern w:val="0"/>
          <w:sz w:val="24"/>
          <w:szCs w:val="24"/>
          <w:highlight w:val="none"/>
          <w:lang w:val="en-US" w:eastAsia="zh-CN" w:bidi="ar"/>
        </w:rPr>
        <w:t>是以</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川陕苏区首府</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为代</w:t>
      </w:r>
      <w:r>
        <w:rPr>
          <w:rFonts w:hint="default" w:ascii="Times New Roman" w:hAnsi="Times New Roman" w:eastAsia="宋体" w:cs="Times New Roman"/>
          <w:color w:val="auto"/>
          <w:kern w:val="0"/>
          <w:sz w:val="24"/>
          <w:szCs w:val="24"/>
          <w:highlight w:val="none"/>
          <w:lang w:val="en-US" w:eastAsia="zh-CN" w:bidi="ar"/>
        </w:rPr>
        <w:t>表的红色旅游；二是以光雾山-诺水河国家重点风景名胜区为代表的特色旅游；三是以米仓山国家森林公园为代表的生态旅游。目前</w:t>
      </w:r>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全市已有光雾山-诺水河国家重点风景名胜区；有米仓山、镇龙山、空山、天马山4个国家森林公园；有大小兰沟省级自然保护区；有南龛摩崖造像、红四方面军总指挥部、总政治部旧址纪念馆、通江千佛岩石窟、通江红军石刻标语群等4处17点全国重点文物保护单位；有红四方面军总指挥部旧址纪念馆、川陕革命根据地红军烈士陵园、川陕苏区将帅碑林3个全国爱国主义教育示范基地等系列品牌。</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川陕苏区</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被</w:t>
      </w:r>
      <w:r>
        <w:rPr>
          <w:rFonts w:hint="default" w:ascii="Times New Roman" w:hAnsi="Times New Roman" w:eastAsia="宋体" w:cs="Times New Roman"/>
          <w:color w:val="auto"/>
          <w:kern w:val="0"/>
          <w:sz w:val="24"/>
          <w:szCs w:val="24"/>
          <w:highlight w:val="none"/>
          <w:lang w:val="en-US" w:eastAsia="zh-CN" w:bidi="ar"/>
        </w:rPr>
        <w:t>列入全国12个重点红色旅游区，刘伯坚烈士纪念馆、红四方面军总指挥部旧址纪念馆、川陕革命根据地红军烈士陵园、巴山游击队纪念馆列入了全国100个红色旅游经典景区，</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重庆-广安-仪陇-巴中</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旅游线被列入</w:t>
      </w:r>
      <w:r>
        <w:rPr>
          <w:rFonts w:hint="default" w:ascii="Times New Roman" w:hAnsi="Times New Roman" w:eastAsia="宋体" w:cs="Times New Roman"/>
          <w:color w:val="auto"/>
          <w:kern w:val="0"/>
          <w:sz w:val="24"/>
          <w:szCs w:val="24"/>
          <w:highlight w:val="none"/>
          <w:lang w:val="en-US" w:eastAsia="zh-CN" w:bidi="ar"/>
        </w:rPr>
        <w:t>全国30条红色旅游精品线。</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巴山背二歌</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翻山铰子</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被列入全国非物质文化遗产名录。</w:t>
      </w:r>
    </w:p>
    <w:p w14:paraId="77996F75">
      <w:pPr>
        <w:pageBreakBefore w:val="0"/>
        <w:widowControl w:val="0"/>
        <w:kinsoku/>
        <w:wordWrap/>
        <w:overflowPunct/>
        <w:topLinePunct w:val="0"/>
        <w:autoSpaceDE/>
        <w:autoSpaceDN/>
        <w:bidi w:val="0"/>
        <w:adjustRightInd/>
        <w:snapToGrid/>
        <w:spacing w:line="360" w:lineRule="auto"/>
        <w:textAlignment w:val="auto"/>
        <w:rPr>
          <w:rFonts w:hint="default"/>
          <w:b/>
          <w:bCs/>
          <w:color w:val="auto"/>
          <w:highlight w:val="none"/>
          <w:lang w:val="en-US" w:eastAsia="zh-CN"/>
        </w:rPr>
      </w:pPr>
      <w:r>
        <w:rPr>
          <w:rFonts w:hint="default"/>
          <w:b/>
          <w:bCs/>
          <w:color w:val="auto"/>
          <w:highlight w:val="none"/>
          <w:lang w:val="en-US" w:eastAsia="zh-CN"/>
        </w:rPr>
        <w:t>经现场踏勘，项目评价区域内均不涉及上述各风景名胜区、国家森林公园、自然保护区、旅游景点等需要特殊保护的区域。</w:t>
      </w:r>
    </w:p>
    <w:bookmarkEnd w:id="144"/>
    <w:bookmarkEnd w:id="145"/>
    <w:p w14:paraId="5BE59AE4">
      <w:pPr>
        <w:pStyle w:val="4"/>
        <w:bidi w:val="0"/>
        <w:rPr>
          <w:color w:val="auto"/>
        </w:rPr>
      </w:pPr>
      <w:bookmarkStart w:id="152" w:name="_Toc19297"/>
      <w:r>
        <w:rPr>
          <w:rFonts w:hint="eastAsia"/>
          <w:color w:val="auto"/>
        </w:rPr>
        <w:t xml:space="preserve"> </w:t>
      </w:r>
      <w:bookmarkStart w:id="153" w:name="_Toc14128"/>
      <w:r>
        <w:rPr>
          <w:color w:val="auto"/>
        </w:rPr>
        <w:t>环境质量现状调查与评价</w:t>
      </w:r>
      <w:bookmarkEnd w:id="153"/>
    </w:p>
    <w:p w14:paraId="24D5141C">
      <w:pPr>
        <w:pageBreakBefore w:val="0"/>
        <w:tabs>
          <w:tab w:val="left" w:pos="6096"/>
        </w:tabs>
        <w:wordWrap/>
        <w:bidi w:val="0"/>
        <w:adjustRightInd/>
        <w:snapToGrid/>
        <w:ind w:firstLine="480"/>
        <w:rPr>
          <w:color w:val="auto"/>
        </w:rPr>
      </w:pPr>
      <w:r>
        <w:rPr>
          <w:color w:val="auto"/>
        </w:rPr>
        <w:t>为了解项目所在地的大气环境质量、地表水环境质量、声环境、地下水环境、底泥环境及土壤环境质量，本次评价收集了《</w:t>
      </w:r>
      <w:r>
        <w:rPr>
          <w:rFonts w:hint="eastAsia"/>
          <w:color w:val="auto"/>
          <w:lang w:eastAsia="zh-CN"/>
        </w:rPr>
        <w:t>2023巴中市生态环境状况公报</w:t>
      </w:r>
      <w:r>
        <w:rPr>
          <w:color w:val="auto"/>
        </w:rPr>
        <w:t>》</w:t>
      </w:r>
      <w:r>
        <w:rPr>
          <w:color w:val="auto"/>
          <w:szCs w:val="22"/>
        </w:rPr>
        <w:t>、并</w:t>
      </w:r>
      <w:r>
        <w:rPr>
          <w:color w:val="auto"/>
        </w:rPr>
        <w:t>委托</w:t>
      </w:r>
      <w:r>
        <w:rPr>
          <w:rFonts w:hint="eastAsia"/>
          <w:color w:val="auto"/>
          <w:lang w:eastAsia="zh-CN"/>
        </w:rPr>
        <w:t>四川海德汇环保科技有限公司</w:t>
      </w:r>
      <w:r>
        <w:rPr>
          <w:color w:val="auto"/>
        </w:rPr>
        <w:t>于</w:t>
      </w:r>
      <w:r>
        <w:rPr>
          <w:rFonts w:hint="eastAsia"/>
          <w:color w:val="auto"/>
          <w:lang w:val="en-US" w:eastAsia="zh-CN"/>
        </w:rPr>
        <w:t>2024年7月15日~7月21日</w:t>
      </w:r>
      <w:r>
        <w:rPr>
          <w:color w:val="auto"/>
        </w:rPr>
        <w:t>对项目所在地的</w:t>
      </w:r>
      <w:r>
        <w:rPr>
          <w:rFonts w:hint="eastAsia"/>
          <w:color w:val="auto"/>
          <w:lang w:val="en-US" w:eastAsia="zh-CN"/>
        </w:rPr>
        <w:t>环境空气</w:t>
      </w:r>
      <w:r>
        <w:rPr>
          <w:color w:val="auto"/>
        </w:rPr>
        <w:t>、地表水、地下水、土壤、底泥及声环境进行现场采样及检测分析。本评价根据环境现状检测分析结果，对项目所在地的大气环境质量、地表水环境质量、地下水环境质量、土壤环境质量、底泥环境质量和声环境质量现状评价。</w:t>
      </w:r>
    </w:p>
    <w:p w14:paraId="119E6ED0">
      <w:pPr>
        <w:pStyle w:val="5"/>
        <w:bidi w:val="0"/>
        <w:rPr>
          <w:color w:val="auto"/>
        </w:rPr>
      </w:pPr>
      <w:r>
        <w:rPr>
          <w:rFonts w:hint="eastAsia"/>
          <w:color w:val="auto"/>
          <w:lang w:val="en-US" w:eastAsia="zh-CN"/>
        </w:rPr>
        <w:t xml:space="preserve"> </w:t>
      </w:r>
      <w:r>
        <w:rPr>
          <w:color w:val="auto"/>
        </w:rPr>
        <w:t>大气环境质量现状监测与评价</w:t>
      </w:r>
    </w:p>
    <w:p w14:paraId="10EC390D">
      <w:pPr>
        <w:pStyle w:val="160"/>
        <w:pageBreakBefore w:val="0"/>
        <w:wordWrap/>
        <w:bidi w:val="0"/>
        <w:adjustRightInd/>
        <w:snapToGrid/>
        <w:ind w:left="0" w:leftChars="0"/>
        <w:jc w:val="both"/>
        <w:rPr>
          <w:color w:val="auto"/>
        </w:rPr>
      </w:pPr>
      <w:r>
        <w:rPr>
          <w:color w:val="auto"/>
        </w:rPr>
        <w:t>环境空气质量现状评价中，基本污染物SO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PM2.5</w:t>
      </w:r>
      <w:r>
        <w:rPr>
          <w:color w:val="auto"/>
        </w:rPr>
        <w:t>、CO、O</w:t>
      </w:r>
      <w:r>
        <w:rPr>
          <w:color w:val="auto"/>
          <w:vertAlign w:val="subscript"/>
        </w:rPr>
        <w:t>3</w:t>
      </w:r>
      <w:r>
        <w:rPr>
          <w:color w:val="auto"/>
        </w:rPr>
        <w:t>引用</w:t>
      </w:r>
      <w:r>
        <w:rPr>
          <w:rFonts w:hint="eastAsia"/>
          <w:color w:val="auto"/>
          <w:lang w:eastAsia="zh-CN"/>
        </w:rPr>
        <w:t>巴中市</w:t>
      </w:r>
      <w:r>
        <w:rPr>
          <w:color w:val="auto"/>
        </w:rPr>
        <w:t>生态环境局发布的</w:t>
      </w:r>
      <w:r>
        <w:rPr>
          <w:color w:val="auto"/>
          <w:lang w:bidi="ar"/>
        </w:rPr>
        <w:t>《</w:t>
      </w:r>
      <w:r>
        <w:rPr>
          <w:rFonts w:hint="eastAsia"/>
          <w:color w:val="auto"/>
          <w:lang w:eastAsia="zh-CN" w:bidi="ar"/>
        </w:rPr>
        <w:t>2023巴中市生态环境状况公报</w:t>
      </w:r>
      <w:r>
        <w:rPr>
          <w:color w:val="auto"/>
          <w:lang w:bidi="ar"/>
        </w:rPr>
        <w:t>》</w:t>
      </w:r>
      <w:r>
        <w:rPr>
          <w:color w:val="auto"/>
        </w:rPr>
        <w:t>中的数据及结论；其他污染物委托</w:t>
      </w:r>
      <w:r>
        <w:rPr>
          <w:rFonts w:hint="eastAsia"/>
          <w:color w:val="auto"/>
          <w:lang w:eastAsia="zh-CN"/>
        </w:rPr>
        <w:t>四川海德汇环保科技有限公司</w:t>
      </w:r>
      <w:r>
        <w:rPr>
          <w:color w:val="auto"/>
        </w:rPr>
        <w:t>进行补充监测。</w:t>
      </w:r>
    </w:p>
    <w:p w14:paraId="35DFC23E">
      <w:pPr>
        <w:pStyle w:val="160"/>
        <w:pageBreakBefore w:val="0"/>
        <w:wordWrap/>
        <w:bidi w:val="0"/>
        <w:adjustRightInd/>
        <w:snapToGrid/>
        <w:ind w:left="0" w:leftChars="0" w:firstLine="0" w:firstLineChars="0"/>
        <w:jc w:val="both"/>
        <w:rPr>
          <w:b/>
          <w:color w:val="auto"/>
        </w:rPr>
      </w:pPr>
      <w:r>
        <w:rPr>
          <w:b/>
          <w:color w:val="auto"/>
        </w:rPr>
        <w:t>（一）区域环境质量现状评价</w:t>
      </w:r>
    </w:p>
    <w:p w14:paraId="4557EDBC">
      <w:pPr>
        <w:pStyle w:val="160"/>
        <w:pageBreakBefore w:val="0"/>
        <w:wordWrap/>
        <w:bidi w:val="0"/>
        <w:adjustRightInd/>
        <w:snapToGrid/>
        <w:ind w:left="0" w:leftChars="0"/>
        <w:jc w:val="both"/>
        <w:rPr>
          <w:color w:val="auto"/>
        </w:rPr>
      </w:pPr>
      <w:r>
        <w:rPr>
          <w:color w:val="auto"/>
        </w:rPr>
        <w:t>1、环境质量达标区判定</w:t>
      </w:r>
    </w:p>
    <w:p w14:paraId="5567B81D">
      <w:pPr>
        <w:pageBreakBefore w:val="0"/>
        <w:wordWrap/>
        <w:bidi w:val="0"/>
        <w:adjustRightInd/>
        <w:snapToGrid/>
        <w:rPr>
          <w:color w:val="auto"/>
        </w:rPr>
      </w:pPr>
      <w:r>
        <w:rPr>
          <w:color w:val="auto"/>
        </w:rPr>
        <w:t>本项目位于</w:t>
      </w:r>
      <w:r>
        <w:rPr>
          <w:rFonts w:hint="eastAsia"/>
          <w:color w:val="auto"/>
          <w:lang w:eastAsia="zh-CN"/>
        </w:rPr>
        <w:t>巴中市巴州区曾口镇寿星村13组</w:t>
      </w:r>
      <w:r>
        <w:rPr>
          <w:color w:val="auto"/>
        </w:rPr>
        <w:t>，根据《环境影响评价导则大气环境》（HJ2.2-2018）中有关基本污染物环境质量现状数据的规定，可优先采用国家或地方生态环境主管部门公布的评价基准年（近3年中1个完整日历年）环境质量公告或环境质量报告中的数据或结论。因此，本次评价选用</w:t>
      </w:r>
      <w:r>
        <w:rPr>
          <w:rFonts w:hint="eastAsia"/>
          <w:color w:val="auto"/>
          <w:lang w:eastAsia="zh-CN"/>
        </w:rPr>
        <w:t>巴中市</w:t>
      </w:r>
      <w:r>
        <w:rPr>
          <w:color w:val="auto"/>
        </w:rPr>
        <w:t>生态环境局202</w:t>
      </w:r>
      <w:r>
        <w:rPr>
          <w:rFonts w:hint="eastAsia"/>
          <w:color w:val="auto"/>
          <w:lang w:val="en-US" w:eastAsia="zh-CN"/>
        </w:rPr>
        <w:t>4</w:t>
      </w:r>
      <w:r>
        <w:rPr>
          <w:color w:val="auto"/>
        </w:rPr>
        <w:t>年公布的《</w:t>
      </w:r>
      <w:r>
        <w:rPr>
          <w:rFonts w:hint="eastAsia"/>
          <w:color w:val="auto"/>
          <w:lang w:eastAsia="zh-CN"/>
        </w:rPr>
        <w:t>2023巴中市生态环境状况公报</w:t>
      </w:r>
      <w:r>
        <w:rPr>
          <w:color w:val="auto"/>
        </w:rPr>
        <w:t>》进行区域达标评价。</w:t>
      </w:r>
    </w:p>
    <w:p w14:paraId="7DD7974D">
      <w:pPr>
        <w:pageBreakBefore w:val="0"/>
        <w:wordWrap/>
        <w:bidi w:val="0"/>
        <w:adjustRightInd/>
        <w:snapToGrid/>
        <w:rPr>
          <w:color w:val="auto"/>
        </w:rPr>
      </w:pPr>
      <w:r>
        <w:rPr>
          <w:color w:val="auto"/>
        </w:rPr>
        <w:t>根据《</w:t>
      </w:r>
      <w:r>
        <w:rPr>
          <w:rFonts w:hint="eastAsia"/>
          <w:color w:val="auto"/>
          <w:lang w:eastAsia="zh-CN"/>
        </w:rPr>
        <w:t>2023巴中市生态环境状况公报</w:t>
      </w:r>
      <w:r>
        <w:rPr>
          <w:color w:val="auto"/>
        </w:rPr>
        <w:t>》中的数据表明：</w:t>
      </w:r>
    </w:p>
    <w:p w14:paraId="2E5FB458">
      <w:pPr>
        <w:pageBreakBefore w:val="0"/>
        <w:wordWrap/>
        <w:bidi w:val="0"/>
        <w:adjustRightInd/>
        <w:snapToGrid/>
        <w:ind w:firstLine="480"/>
        <w:rPr>
          <w:rFonts w:hint="default" w:eastAsia="宋体"/>
          <w:color w:val="auto"/>
          <w:lang w:val="en-US" w:eastAsia="zh-CN" w:bidi="ar"/>
        </w:rPr>
      </w:pPr>
      <w:r>
        <w:rPr>
          <w:color w:val="auto"/>
          <w:lang w:bidi="ar"/>
        </w:rPr>
        <w:t>按照《环境空气质量标准》（GB3095-2012）评价，202</w:t>
      </w:r>
      <w:r>
        <w:rPr>
          <w:rFonts w:hint="eastAsia"/>
          <w:color w:val="auto"/>
          <w:lang w:val="en-US" w:eastAsia="zh-CN" w:bidi="ar"/>
        </w:rPr>
        <w:t>3</w:t>
      </w:r>
      <w:r>
        <w:rPr>
          <w:color w:val="auto"/>
          <w:lang w:bidi="ar"/>
        </w:rPr>
        <w:t>年，</w:t>
      </w:r>
      <w:r>
        <w:rPr>
          <w:rFonts w:hint="eastAsia"/>
          <w:color w:val="auto"/>
          <w:lang w:eastAsia="zh-CN" w:bidi="ar"/>
        </w:rPr>
        <w:t>巴中市</w:t>
      </w:r>
      <w:r>
        <w:rPr>
          <w:color w:val="auto"/>
          <w:lang w:bidi="ar"/>
        </w:rPr>
        <w:t>城区环境空气质量</w:t>
      </w:r>
      <w:r>
        <w:rPr>
          <w:rFonts w:hint="eastAsia"/>
          <w:color w:val="auto"/>
          <w:lang w:val="en-US" w:eastAsia="zh-CN" w:bidi="ar"/>
        </w:rPr>
        <w:t>176</w:t>
      </w:r>
      <w:r>
        <w:rPr>
          <w:color w:val="auto"/>
          <w:lang w:bidi="ar"/>
        </w:rPr>
        <w:t>天优、</w:t>
      </w:r>
      <w:r>
        <w:rPr>
          <w:rFonts w:hint="eastAsia"/>
          <w:color w:val="auto"/>
          <w:lang w:val="en-US" w:eastAsia="zh-CN" w:bidi="ar"/>
        </w:rPr>
        <w:t>164</w:t>
      </w:r>
      <w:r>
        <w:rPr>
          <w:color w:val="auto"/>
          <w:lang w:bidi="ar"/>
        </w:rPr>
        <w:t>天良、</w:t>
      </w:r>
      <w:r>
        <w:rPr>
          <w:rFonts w:hint="eastAsia"/>
          <w:color w:val="auto"/>
          <w:lang w:val="en-US" w:eastAsia="zh-CN" w:bidi="ar"/>
        </w:rPr>
        <w:t>19</w:t>
      </w:r>
      <w:r>
        <w:rPr>
          <w:color w:val="auto"/>
          <w:lang w:bidi="ar"/>
        </w:rPr>
        <w:t>天轻度污染、</w:t>
      </w:r>
      <w:r>
        <w:rPr>
          <w:rFonts w:hint="eastAsia"/>
          <w:color w:val="auto"/>
          <w:lang w:val="en-US" w:eastAsia="zh-CN" w:bidi="ar"/>
        </w:rPr>
        <w:t>4</w:t>
      </w:r>
      <w:r>
        <w:rPr>
          <w:color w:val="auto"/>
          <w:lang w:bidi="ar"/>
        </w:rPr>
        <w:t>天中度污染，2天重度污染，</w:t>
      </w:r>
      <w:r>
        <w:rPr>
          <w:rFonts w:hint="eastAsia"/>
          <w:color w:val="auto"/>
          <w:lang w:val="en-US" w:eastAsia="zh-CN" w:bidi="ar"/>
        </w:rPr>
        <w:t>巴城环境空气质量优良率为93.2%，同比下降3.3个百分点，污染天数同比增加12天</w:t>
      </w:r>
      <w:r>
        <w:rPr>
          <w:color w:val="auto"/>
          <w:lang w:bidi="ar"/>
        </w:rPr>
        <w:t>。</w:t>
      </w:r>
      <w:r>
        <w:rPr>
          <w:rFonts w:hint="eastAsia"/>
          <w:color w:val="auto"/>
          <w:lang w:val="en-US" w:eastAsia="zh-CN" w:bidi="ar"/>
        </w:rPr>
        <w:t>环境空气六项主要污染物年均浓度全部达到国家环境空气质量二级标准，空气质量综合指数为3.15，同比上升0.06。</w:t>
      </w:r>
    </w:p>
    <w:p w14:paraId="2A83569D">
      <w:pPr>
        <w:pageBreakBefore w:val="0"/>
        <w:wordWrap/>
        <w:bidi w:val="0"/>
        <w:adjustRightInd/>
        <w:snapToGrid/>
        <w:ind w:firstLine="480"/>
        <w:rPr>
          <w:color w:val="auto"/>
          <w:lang w:bidi="ar"/>
        </w:rPr>
      </w:pPr>
      <w:r>
        <w:rPr>
          <w:color w:val="auto"/>
          <w:lang w:bidi="ar"/>
        </w:rPr>
        <w:t>主要污染物SO</w:t>
      </w:r>
      <w:r>
        <w:rPr>
          <w:color w:val="auto"/>
          <w:vertAlign w:val="subscript"/>
          <w:lang w:bidi="ar"/>
        </w:rPr>
        <w:t>2</w:t>
      </w:r>
      <w:r>
        <w:rPr>
          <w:color w:val="auto"/>
          <w:lang w:bidi="ar"/>
        </w:rPr>
        <w:t>浓度为</w:t>
      </w:r>
      <w:r>
        <w:rPr>
          <w:rFonts w:hint="eastAsia"/>
          <w:color w:val="auto"/>
          <w:lang w:val="en-US" w:eastAsia="zh-CN" w:bidi="ar"/>
        </w:rPr>
        <w:t>4.6</w:t>
      </w:r>
      <w:r>
        <w:rPr>
          <w:color w:val="auto"/>
          <w:lang w:bidi="ar"/>
        </w:rPr>
        <w:t>微克/立方米</w:t>
      </w:r>
      <w:r>
        <w:rPr>
          <w:rFonts w:hint="eastAsia"/>
          <w:color w:val="auto"/>
          <w:lang w:eastAsia="zh-CN" w:bidi="ar"/>
        </w:rPr>
        <w:t>，</w:t>
      </w:r>
      <w:r>
        <w:rPr>
          <w:rFonts w:hint="eastAsia"/>
          <w:color w:val="auto"/>
          <w:lang w:val="en-US" w:eastAsia="zh-CN" w:bidi="ar"/>
        </w:rPr>
        <w:t>同比增长2.2%</w:t>
      </w:r>
      <w:r>
        <w:rPr>
          <w:rFonts w:hint="eastAsia"/>
          <w:color w:val="auto"/>
          <w:lang w:eastAsia="zh-CN" w:bidi="ar"/>
        </w:rPr>
        <w:t>；</w:t>
      </w:r>
      <w:r>
        <w:rPr>
          <w:color w:val="auto"/>
          <w:lang w:bidi="ar"/>
        </w:rPr>
        <w:t>NO</w:t>
      </w:r>
      <w:r>
        <w:rPr>
          <w:color w:val="auto"/>
          <w:vertAlign w:val="subscript"/>
          <w:lang w:bidi="ar"/>
        </w:rPr>
        <w:t>2</w:t>
      </w:r>
      <w:r>
        <w:rPr>
          <w:color w:val="auto"/>
          <w:lang w:bidi="ar"/>
        </w:rPr>
        <w:t>浓度为</w:t>
      </w:r>
      <w:r>
        <w:rPr>
          <w:rFonts w:hint="eastAsia"/>
          <w:color w:val="auto"/>
          <w:lang w:val="en-US" w:eastAsia="zh-CN" w:bidi="ar"/>
        </w:rPr>
        <w:t>23.2</w:t>
      </w:r>
      <w:r>
        <w:rPr>
          <w:color w:val="auto"/>
          <w:lang w:bidi="ar"/>
        </w:rPr>
        <w:t>微克/立方米</w:t>
      </w:r>
      <w:r>
        <w:rPr>
          <w:rFonts w:hint="eastAsia"/>
          <w:color w:val="auto"/>
          <w:lang w:eastAsia="zh-CN" w:bidi="ar"/>
        </w:rPr>
        <w:t>，</w:t>
      </w:r>
      <w:r>
        <w:rPr>
          <w:rFonts w:hint="eastAsia"/>
          <w:color w:val="auto"/>
          <w:lang w:val="en-US" w:eastAsia="zh-CN" w:bidi="ar"/>
        </w:rPr>
        <w:t>同比下降1.7%</w:t>
      </w:r>
      <w:r>
        <w:rPr>
          <w:rFonts w:hint="eastAsia"/>
          <w:color w:val="auto"/>
          <w:lang w:eastAsia="zh-CN" w:bidi="ar"/>
        </w:rPr>
        <w:t>；</w:t>
      </w:r>
      <w:r>
        <w:rPr>
          <w:color w:val="auto"/>
          <w:lang w:bidi="ar"/>
        </w:rPr>
        <w:t>PM</w:t>
      </w:r>
      <w:r>
        <w:rPr>
          <w:color w:val="auto"/>
          <w:vertAlign w:val="subscript"/>
          <w:lang w:bidi="ar"/>
        </w:rPr>
        <w:t>10</w:t>
      </w:r>
      <w:r>
        <w:rPr>
          <w:color w:val="auto"/>
          <w:lang w:bidi="ar"/>
        </w:rPr>
        <w:t>浓度为</w:t>
      </w:r>
      <w:r>
        <w:rPr>
          <w:rFonts w:hint="eastAsia"/>
          <w:color w:val="auto"/>
          <w:lang w:val="en-US" w:eastAsia="zh-CN" w:bidi="ar"/>
        </w:rPr>
        <w:t>44.8</w:t>
      </w:r>
      <w:r>
        <w:rPr>
          <w:color w:val="auto"/>
          <w:lang w:bidi="ar"/>
        </w:rPr>
        <w:t>微克/立方米</w:t>
      </w:r>
      <w:r>
        <w:rPr>
          <w:rFonts w:hint="eastAsia"/>
          <w:color w:val="auto"/>
          <w:lang w:eastAsia="zh-CN" w:bidi="ar"/>
        </w:rPr>
        <w:t>，</w:t>
      </w:r>
      <w:r>
        <w:rPr>
          <w:rFonts w:hint="eastAsia"/>
          <w:color w:val="auto"/>
          <w:lang w:val="en-US" w:eastAsia="zh-CN" w:bidi="ar"/>
        </w:rPr>
        <w:t>同比增长5.4%</w:t>
      </w:r>
      <w:r>
        <w:rPr>
          <w:rFonts w:hint="eastAsia"/>
          <w:color w:val="auto"/>
          <w:lang w:eastAsia="zh-CN" w:bidi="ar"/>
        </w:rPr>
        <w:t>；PM</w:t>
      </w:r>
      <w:r>
        <w:rPr>
          <w:rFonts w:hint="eastAsia"/>
          <w:color w:val="auto"/>
          <w:vertAlign w:val="subscript"/>
          <w:lang w:eastAsia="zh-CN" w:bidi="ar"/>
        </w:rPr>
        <w:t>2.5</w:t>
      </w:r>
      <w:r>
        <w:rPr>
          <w:color w:val="auto"/>
          <w:lang w:bidi="ar"/>
        </w:rPr>
        <w:t>浓度为</w:t>
      </w:r>
      <w:r>
        <w:rPr>
          <w:rFonts w:hint="eastAsia"/>
          <w:color w:val="auto"/>
          <w:lang w:val="en-US" w:eastAsia="zh-CN" w:bidi="ar"/>
        </w:rPr>
        <w:t>29.7</w:t>
      </w:r>
      <w:r>
        <w:rPr>
          <w:color w:val="auto"/>
          <w:lang w:bidi="ar"/>
        </w:rPr>
        <w:t>微克/立方米</w:t>
      </w:r>
      <w:r>
        <w:rPr>
          <w:rFonts w:hint="eastAsia"/>
          <w:color w:val="auto"/>
          <w:lang w:eastAsia="zh-CN" w:bidi="ar"/>
        </w:rPr>
        <w:t>，</w:t>
      </w:r>
      <w:r>
        <w:rPr>
          <w:rFonts w:hint="eastAsia"/>
          <w:color w:val="auto"/>
          <w:lang w:val="en-US" w:eastAsia="zh-CN" w:bidi="ar"/>
        </w:rPr>
        <w:t>同比增长6.1%</w:t>
      </w:r>
      <w:r>
        <w:rPr>
          <w:color w:val="auto"/>
          <w:lang w:bidi="ar"/>
        </w:rPr>
        <w:t>；CO日均值第95百分位数为1.0毫克/立方米</w:t>
      </w:r>
      <w:r>
        <w:rPr>
          <w:rFonts w:hint="eastAsia"/>
          <w:color w:val="auto"/>
          <w:lang w:eastAsia="zh-CN" w:bidi="ar"/>
        </w:rPr>
        <w:t>，</w:t>
      </w:r>
      <w:r>
        <w:rPr>
          <w:rFonts w:hint="eastAsia"/>
          <w:color w:val="auto"/>
          <w:lang w:val="en-US" w:eastAsia="zh-CN" w:bidi="ar"/>
        </w:rPr>
        <w:t>较上年不变</w:t>
      </w:r>
      <w:r>
        <w:rPr>
          <w:rFonts w:hint="eastAsia"/>
          <w:color w:val="auto"/>
          <w:lang w:eastAsia="zh-CN" w:bidi="ar"/>
        </w:rPr>
        <w:t>；</w:t>
      </w:r>
      <w:r>
        <w:rPr>
          <w:color w:val="auto"/>
          <w:lang w:bidi="ar"/>
        </w:rPr>
        <w:t>O</w:t>
      </w:r>
      <w:r>
        <w:rPr>
          <w:color w:val="auto"/>
          <w:vertAlign w:val="subscript"/>
          <w:lang w:bidi="ar"/>
        </w:rPr>
        <w:t>3</w:t>
      </w:r>
      <w:r>
        <w:rPr>
          <w:color w:val="auto"/>
          <w:lang w:bidi="ar"/>
        </w:rPr>
        <w:t>日最大8小时平均浓度值第90百分位数为</w:t>
      </w:r>
      <w:r>
        <w:rPr>
          <w:rFonts w:hint="eastAsia"/>
          <w:color w:val="auto"/>
          <w:lang w:val="en-US" w:eastAsia="zh-CN" w:bidi="ar"/>
        </w:rPr>
        <w:t>119</w:t>
      </w:r>
      <w:r>
        <w:rPr>
          <w:color w:val="auto"/>
          <w:lang w:bidi="ar"/>
        </w:rPr>
        <w:t>微克/立方米</w:t>
      </w:r>
      <w:r>
        <w:rPr>
          <w:rFonts w:hint="eastAsia"/>
          <w:color w:val="auto"/>
          <w:lang w:eastAsia="zh-CN" w:bidi="ar"/>
        </w:rPr>
        <w:t>，</w:t>
      </w:r>
      <w:r>
        <w:rPr>
          <w:rFonts w:hint="eastAsia"/>
          <w:color w:val="auto"/>
          <w:lang w:val="en-US" w:eastAsia="zh-CN" w:bidi="ar"/>
        </w:rPr>
        <w:t>同比下降1.7%</w:t>
      </w:r>
      <w:r>
        <w:rPr>
          <w:color w:val="auto"/>
          <w:lang w:bidi="ar"/>
        </w:rPr>
        <w:t>。</w:t>
      </w:r>
    </w:p>
    <w:p w14:paraId="4194E891">
      <w:pPr>
        <w:bidi w:val="0"/>
        <w:rPr>
          <w:color w:val="auto"/>
        </w:rPr>
      </w:pPr>
      <w:r>
        <w:rPr>
          <w:color w:val="auto"/>
        </w:rPr>
        <w:t>区域空气质量达标判定见下表：</w:t>
      </w:r>
    </w:p>
    <w:p w14:paraId="5334EB6A">
      <w:pPr>
        <w:pStyle w:val="15"/>
        <w:numPr>
          <w:ilvl w:val="0"/>
          <w:numId w:val="28"/>
        </w:numPr>
        <w:bidi w:val="0"/>
        <w:rPr>
          <w:color w:val="auto"/>
        </w:rPr>
      </w:pPr>
      <w:r>
        <w:rPr>
          <w:color w:val="auto"/>
        </w:rPr>
        <w:t xml:space="preserve"> 区域环境空气质量现状评价一览表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952"/>
        <w:gridCol w:w="2038"/>
        <w:gridCol w:w="1759"/>
        <w:gridCol w:w="1523"/>
        <w:gridCol w:w="1092"/>
        <w:gridCol w:w="1254"/>
      </w:tblGrid>
      <w:tr w14:paraId="257CDD9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488318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污染物</w:t>
            </w:r>
          </w:p>
        </w:tc>
        <w:tc>
          <w:tcPr>
            <w:tcW w:w="1182" w:type="pct"/>
            <w:tcBorders>
              <w:tl2br w:val="nil"/>
              <w:tr2bl w:val="nil"/>
            </w:tcBorders>
            <w:noWrap w:val="0"/>
            <w:vAlign w:val="center"/>
          </w:tcPr>
          <w:p w14:paraId="76358BD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年评价指标</w:t>
            </w:r>
          </w:p>
        </w:tc>
        <w:tc>
          <w:tcPr>
            <w:tcW w:w="1020" w:type="pct"/>
            <w:tcBorders>
              <w:tl2br w:val="nil"/>
              <w:tr2bl w:val="nil"/>
            </w:tcBorders>
            <w:noWrap w:val="0"/>
            <w:vAlign w:val="center"/>
          </w:tcPr>
          <w:p w14:paraId="7C0F68C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现状浓度（μg/</w:t>
            </w:r>
            <w:r>
              <w:rPr>
                <w:rFonts w:hint="eastAsia"/>
                <w:b/>
                <w:bCs w:val="0"/>
                <w:color w:val="auto"/>
                <w:sz w:val="21"/>
                <w:szCs w:val="21"/>
                <w:lang w:eastAsia="zh-CN" w:bidi="ar"/>
              </w:rPr>
              <w:t>m³</w:t>
            </w:r>
            <w:r>
              <w:rPr>
                <w:b/>
                <w:bCs w:val="0"/>
                <w:color w:val="auto"/>
                <w:sz w:val="21"/>
                <w:szCs w:val="21"/>
                <w:lang w:bidi="ar"/>
              </w:rPr>
              <w:t>）</w:t>
            </w:r>
          </w:p>
        </w:tc>
        <w:tc>
          <w:tcPr>
            <w:tcW w:w="883" w:type="pct"/>
            <w:tcBorders>
              <w:tl2br w:val="nil"/>
              <w:tr2bl w:val="nil"/>
            </w:tcBorders>
            <w:noWrap w:val="0"/>
            <w:vAlign w:val="center"/>
          </w:tcPr>
          <w:p w14:paraId="13352DF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标准值（μg/</w:t>
            </w:r>
            <w:r>
              <w:rPr>
                <w:rFonts w:hint="eastAsia"/>
                <w:b/>
                <w:bCs w:val="0"/>
                <w:color w:val="auto"/>
                <w:sz w:val="21"/>
                <w:szCs w:val="21"/>
                <w:lang w:eastAsia="zh-CN" w:bidi="ar"/>
              </w:rPr>
              <w:t>m³</w:t>
            </w:r>
            <w:r>
              <w:rPr>
                <w:b/>
                <w:bCs w:val="0"/>
                <w:color w:val="auto"/>
                <w:sz w:val="21"/>
                <w:szCs w:val="21"/>
                <w:lang w:bidi="ar"/>
              </w:rPr>
              <w:t>）</w:t>
            </w:r>
          </w:p>
        </w:tc>
        <w:tc>
          <w:tcPr>
            <w:tcW w:w="633" w:type="pct"/>
            <w:tcBorders>
              <w:tl2br w:val="nil"/>
              <w:tr2bl w:val="nil"/>
            </w:tcBorders>
            <w:noWrap w:val="0"/>
            <w:vAlign w:val="center"/>
          </w:tcPr>
          <w:p w14:paraId="2F230C9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占标率%</w:t>
            </w:r>
          </w:p>
        </w:tc>
        <w:tc>
          <w:tcPr>
            <w:tcW w:w="727" w:type="pct"/>
            <w:tcBorders>
              <w:tl2br w:val="nil"/>
              <w:tr2bl w:val="nil"/>
            </w:tcBorders>
            <w:noWrap w:val="0"/>
            <w:vAlign w:val="center"/>
          </w:tcPr>
          <w:p w14:paraId="32551B4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达标情况</w:t>
            </w:r>
          </w:p>
        </w:tc>
      </w:tr>
      <w:tr w14:paraId="36C6B1B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EAD4171">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SO</w:t>
            </w:r>
            <w:r>
              <w:rPr>
                <w:color w:val="auto"/>
                <w:sz w:val="21"/>
                <w:szCs w:val="21"/>
                <w:vertAlign w:val="subscript"/>
                <w:lang w:bidi="ar"/>
              </w:rPr>
              <w:t>2</w:t>
            </w:r>
          </w:p>
        </w:tc>
        <w:tc>
          <w:tcPr>
            <w:tcW w:w="1182" w:type="pct"/>
            <w:tcBorders>
              <w:tl2br w:val="nil"/>
              <w:tr2bl w:val="nil"/>
            </w:tcBorders>
            <w:noWrap w:val="0"/>
            <w:vAlign w:val="center"/>
          </w:tcPr>
          <w:p w14:paraId="5299B807">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58A47F3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4.6</w:t>
            </w:r>
          </w:p>
        </w:tc>
        <w:tc>
          <w:tcPr>
            <w:tcW w:w="883" w:type="pct"/>
            <w:tcBorders>
              <w:tl2br w:val="nil"/>
              <w:tr2bl w:val="nil"/>
            </w:tcBorders>
            <w:noWrap w:val="0"/>
            <w:vAlign w:val="center"/>
          </w:tcPr>
          <w:p w14:paraId="29D1D54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60</w:t>
            </w:r>
          </w:p>
        </w:tc>
        <w:tc>
          <w:tcPr>
            <w:tcW w:w="633" w:type="pct"/>
            <w:tcBorders>
              <w:tl2br w:val="nil"/>
              <w:tr2bl w:val="nil"/>
            </w:tcBorders>
            <w:noWrap w:val="0"/>
            <w:vAlign w:val="center"/>
          </w:tcPr>
          <w:p w14:paraId="66AFB41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7.7</w:t>
            </w:r>
          </w:p>
        </w:tc>
        <w:tc>
          <w:tcPr>
            <w:tcW w:w="727" w:type="pct"/>
            <w:tcBorders>
              <w:tl2br w:val="nil"/>
              <w:tr2bl w:val="nil"/>
            </w:tcBorders>
            <w:noWrap w:val="0"/>
            <w:vAlign w:val="center"/>
          </w:tcPr>
          <w:p w14:paraId="77D2F2A4">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6D9F14E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722B793">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NO</w:t>
            </w:r>
            <w:r>
              <w:rPr>
                <w:color w:val="auto"/>
                <w:sz w:val="21"/>
                <w:szCs w:val="21"/>
                <w:vertAlign w:val="subscript"/>
                <w:lang w:bidi="ar"/>
              </w:rPr>
              <w:t>2</w:t>
            </w:r>
          </w:p>
        </w:tc>
        <w:tc>
          <w:tcPr>
            <w:tcW w:w="1182" w:type="pct"/>
            <w:tcBorders>
              <w:tl2br w:val="nil"/>
              <w:tr2bl w:val="nil"/>
            </w:tcBorders>
            <w:noWrap w:val="0"/>
            <w:vAlign w:val="center"/>
          </w:tcPr>
          <w:p w14:paraId="4CF78EDA">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1F19E1A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23.2</w:t>
            </w:r>
          </w:p>
        </w:tc>
        <w:tc>
          <w:tcPr>
            <w:tcW w:w="883" w:type="pct"/>
            <w:tcBorders>
              <w:tl2br w:val="nil"/>
              <w:tr2bl w:val="nil"/>
            </w:tcBorders>
            <w:noWrap w:val="0"/>
            <w:vAlign w:val="center"/>
          </w:tcPr>
          <w:p w14:paraId="54F1E440">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40</w:t>
            </w:r>
          </w:p>
        </w:tc>
        <w:tc>
          <w:tcPr>
            <w:tcW w:w="633" w:type="pct"/>
            <w:tcBorders>
              <w:tl2br w:val="nil"/>
              <w:tr2bl w:val="nil"/>
            </w:tcBorders>
            <w:noWrap w:val="0"/>
            <w:vAlign w:val="center"/>
          </w:tcPr>
          <w:p w14:paraId="0AA34CD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58</w:t>
            </w:r>
          </w:p>
        </w:tc>
        <w:tc>
          <w:tcPr>
            <w:tcW w:w="727" w:type="pct"/>
            <w:tcBorders>
              <w:tl2br w:val="nil"/>
              <w:tr2bl w:val="nil"/>
            </w:tcBorders>
            <w:noWrap w:val="0"/>
            <w:vAlign w:val="center"/>
          </w:tcPr>
          <w:p w14:paraId="232EEE9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04353CE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6F5E842F">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PM</w:t>
            </w:r>
            <w:r>
              <w:rPr>
                <w:color w:val="auto"/>
                <w:sz w:val="21"/>
                <w:szCs w:val="21"/>
                <w:vertAlign w:val="subscript"/>
                <w:lang w:bidi="ar"/>
              </w:rPr>
              <w:t>10</w:t>
            </w:r>
          </w:p>
        </w:tc>
        <w:tc>
          <w:tcPr>
            <w:tcW w:w="1182" w:type="pct"/>
            <w:tcBorders>
              <w:tl2br w:val="nil"/>
              <w:tr2bl w:val="nil"/>
            </w:tcBorders>
            <w:noWrap w:val="0"/>
            <w:vAlign w:val="center"/>
          </w:tcPr>
          <w:p w14:paraId="3D5106FA">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787F7EF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44.8</w:t>
            </w:r>
          </w:p>
        </w:tc>
        <w:tc>
          <w:tcPr>
            <w:tcW w:w="883" w:type="pct"/>
            <w:tcBorders>
              <w:tl2br w:val="nil"/>
              <w:tr2bl w:val="nil"/>
            </w:tcBorders>
            <w:noWrap w:val="0"/>
            <w:vAlign w:val="center"/>
          </w:tcPr>
          <w:p w14:paraId="1768DE95">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70</w:t>
            </w:r>
          </w:p>
        </w:tc>
        <w:tc>
          <w:tcPr>
            <w:tcW w:w="633" w:type="pct"/>
            <w:tcBorders>
              <w:tl2br w:val="nil"/>
              <w:tr2bl w:val="nil"/>
            </w:tcBorders>
            <w:noWrap w:val="0"/>
            <w:vAlign w:val="center"/>
          </w:tcPr>
          <w:p w14:paraId="33F6678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64</w:t>
            </w:r>
          </w:p>
        </w:tc>
        <w:tc>
          <w:tcPr>
            <w:tcW w:w="727" w:type="pct"/>
            <w:tcBorders>
              <w:tl2br w:val="nil"/>
              <w:tr2bl w:val="nil"/>
            </w:tcBorders>
            <w:noWrap w:val="0"/>
            <w:vAlign w:val="center"/>
          </w:tcPr>
          <w:p w14:paraId="796C8811">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69FB542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5161668B">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bidi="ar"/>
              </w:rPr>
              <w:t>PM</w:t>
            </w:r>
            <w:r>
              <w:rPr>
                <w:rFonts w:hint="eastAsia"/>
                <w:color w:val="auto"/>
                <w:sz w:val="21"/>
                <w:szCs w:val="21"/>
                <w:vertAlign w:val="subscript"/>
                <w:lang w:eastAsia="zh-CN" w:bidi="ar"/>
              </w:rPr>
              <w:t>2.5</w:t>
            </w:r>
          </w:p>
        </w:tc>
        <w:tc>
          <w:tcPr>
            <w:tcW w:w="1182" w:type="pct"/>
            <w:tcBorders>
              <w:tl2br w:val="nil"/>
              <w:tr2bl w:val="nil"/>
            </w:tcBorders>
            <w:noWrap w:val="0"/>
            <w:vAlign w:val="center"/>
          </w:tcPr>
          <w:p w14:paraId="51690B19">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2051DA9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29.7</w:t>
            </w:r>
          </w:p>
        </w:tc>
        <w:tc>
          <w:tcPr>
            <w:tcW w:w="883" w:type="pct"/>
            <w:tcBorders>
              <w:tl2br w:val="nil"/>
              <w:tr2bl w:val="nil"/>
            </w:tcBorders>
            <w:noWrap w:val="0"/>
            <w:vAlign w:val="center"/>
          </w:tcPr>
          <w:p w14:paraId="4AE2FAE3">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35</w:t>
            </w:r>
          </w:p>
        </w:tc>
        <w:tc>
          <w:tcPr>
            <w:tcW w:w="633" w:type="pct"/>
            <w:tcBorders>
              <w:tl2br w:val="nil"/>
              <w:tr2bl w:val="nil"/>
            </w:tcBorders>
            <w:noWrap w:val="0"/>
            <w:vAlign w:val="center"/>
          </w:tcPr>
          <w:p w14:paraId="5E2646B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84.9</w:t>
            </w:r>
          </w:p>
        </w:tc>
        <w:tc>
          <w:tcPr>
            <w:tcW w:w="727" w:type="pct"/>
            <w:tcBorders>
              <w:tl2br w:val="nil"/>
              <w:tr2bl w:val="nil"/>
            </w:tcBorders>
            <w:noWrap w:val="0"/>
            <w:vAlign w:val="center"/>
          </w:tcPr>
          <w:p w14:paraId="471F8450">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12401CC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1FB4956B">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CO</w:t>
            </w:r>
          </w:p>
        </w:tc>
        <w:tc>
          <w:tcPr>
            <w:tcW w:w="1182" w:type="pct"/>
            <w:tcBorders>
              <w:tl2br w:val="nil"/>
              <w:tr2bl w:val="nil"/>
            </w:tcBorders>
            <w:noWrap w:val="0"/>
            <w:vAlign w:val="center"/>
          </w:tcPr>
          <w:p w14:paraId="565421E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百分位数日平均或8h平均质量浓度</w:t>
            </w:r>
          </w:p>
        </w:tc>
        <w:tc>
          <w:tcPr>
            <w:tcW w:w="1020" w:type="pct"/>
            <w:tcBorders>
              <w:tl2br w:val="nil"/>
              <w:tr2bl w:val="nil"/>
            </w:tcBorders>
            <w:noWrap w:val="0"/>
            <w:vAlign w:val="center"/>
          </w:tcPr>
          <w:p w14:paraId="0D8FE2EC">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1000</w:t>
            </w:r>
          </w:p>
        </w:tc>
        <w:tc>
          <w:tcPr>
            <w:tcW w:w="883" w:type="pct"/>
            <w:tcBorders>
              <w:tl2br w:val="nil"/>
              <w:tr2bl w:val="nil"/>
            </w:tcBorders>
            <w:noWrap w:val="0"/>
            <w:vAlign w:val="center"/>
          </w:tcPr>
          <w:p w14:paraId="341A34B1">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4000</w:t>
            </w:r>
          </w:p>
        </w:tc>
        <w:tc>
          <w:tcPr>
            <w:tcW w:w="633" w:type="pct"/>
            <w:tcBorders>
              <w:tl2br w:val="nil"/>
              <w:tr2bl w:val="nil"/>
            </w:tcBorders>
            <w:noWrap w:val="0"/>
            <w:vAlign w:val="center"/>
          </w:tcPr>
          <w:p w14:paraId="031E2292">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25</w:t>
            </w:r>
          </w:p>
        </w:tc>
        <w:tc>
          <w:tcPr>
            <w:tcW w:w="727" w:type="pct"/>
            <w:tcBorders>
              <w:tl2br w:val="nil"/>
              <w:tr2bl w:val="nil"/>
            </w:tcBorders>
            <w:noWrap w:val="0"/>
            <w:vAlign w:val="center"/>
          </w:tcPr>
          <w:p w14:paraId="051B06CE">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5A2176FA">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4BE9431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O</w:t>
            </w:r>
            <w:r>
              <w:rPr>
                <w:color w:val="auto"/>
                <w:sz w:val="21"/>
                <w:szCs w:val="21"/>
                <w:vertAlign w:val="subscript"/>
                <w:lang w:bidi="ar"/>
              </w:rPr>
              <w:t>3</w:t>
            </w:r>
          </w:p>
        </w:tc>
        <w:tc>
          <w:tcPr>
            <w:tcW w:w="1182" w:type="pct"/>
            <w:tcBorders>
              <w:tl2br w:val="nil"/>
              <w:tr2bl w:val="nil"/>
            </w:tcBorders>
            <w:noWrap w:val="0"/>
            <w:vAlign w:val="center"/>
          </w:tcPr>
          <w:p w14:paraId="661F988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百分位数日平均或8h平均质量浓度</w:t>
            </w:r>
          </w:p>
        </w:tc>
        <w:tc>
          <w:tcPr>
            <w:tcW w:w="1020" w:type="pct"/>
            <w:tcBorders>
              <w:tl2br w:val="nil"/>
              <w:tr2bl w:val="nil"/>
            </w:tcBorders>
            <w:noWrap w:val="0"/>
            <w:vAlign w:val="center"/>
          </w:tcPr>
          <w:p w14:paraId="00A5B164">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119</w:t>
            </w:r>
          </w:p>
        </w:tc>
        <w:tc>
          <w:tcPr>
            <w:tcW w:w="883" w:type="pct"/>
            <w:tcBorders>
              <w:tl2br w:val="nil"/>
              <w:tr2bl w:val="nil"/>
            </w:tcBorders>
            <w:noWrap w:val="0"/>
            <w:vAlign w:val="center"/>
          </w:tcPr>
          <w:p w14:paraId="574E5E3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160</w:t>
            </w:r>
          </w:p>
        </w:tc>
        <w:tc>
          <w:tcPr>
            <w:tcW w:w="633" w:type="pct"/>
            <w:tcBorders>
              <w:tl2br w:val="nil"/>
              <w:tr2bl w:val="nil"/>
            </w:tcBorders>
            <w:noWrap w:val="0"/>
            <w:vAlign w:val="center"/>
          </w:tcPr>
          <w:p w14:paraId="7C6162C8">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74.4</w:t>
            </w:r>
          </w:p>
        </w:tc>
        <w:tc>
          <w:tcPr>
            <w:tcW w:w="727" w:type="pct"/>
            <w:tcBorders>
              <w:tl2br w:val="nil"/>
              <w:tr2bl w:val="nil"/>
            </w:tcBorders>
            <w:noWrap w:val="0"/>
            <w:vAlign w:val="center"/>
          </w:tcPr>
          <w:p w14:paraId="719ED600">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bl>
    <w:p w14:paraId="2DCA536E">
      <w:pPr>
        <w:pageBreakBefore w:val="0"/>
        <w:wordWrap/>
        <w:bidi w:val="0"/>
        <w:adjustRightInd/>
        <w:snapToGrid/>
        <w:spacing w:before="120" w:beforeLines="50"/>
        <w:ind w:firstLine="480"/>
        <w:rPr>
          <w:color w:val="auto"/>
        </w:rPr>
      </w:pPr>
      <w:r>
        <w:rPr>
          <w:color w:val="auto"/>
          <w:lang w:bidi="ar"/>
        </w:rPr>
        <w:t>从上表可以看出，</w:t>
      </w:r>
      <w:r>
        <w:rPr>
          <w:rFonts w:hint="eastAsia"/>
          <w:color w:val="auto"/>
          <w:lang w:bidi="ar"/>
        </w:rPr>
        <w:t>巴中市六项基本因子均满足《环境空气质量标准》（GB3095-2012）中的二级标准，区域大气环境质量达标。</w:t>
      </w:r>
    </w:p>
    <w:p w14:paraId="02847CE8">
      <w:pPr>
        <w:pageBreakBefore w:val="0"/>
        <w:wordWrap/>
        <w:autoSpaceDE w:val="0"/>
        <w:autoSpaceDN w:val="0"/>
        <w:bidi w:val="0"/>
        <w:adjustRightInd/>
        <w:snapToGrid/>
        <w:ind w:firstLine="480"/>
        <w:textAlignment w:val="baseline"/>
        <w:rPr>
          <w:color w:val="auto"/>
        </w:rPr>
      </w:pPr>
      <w:r>
        <w:rPr>
          <w:color w:val="auto"/>
        </w:rPr>
        <w:t>由监测结果可知，评价区域内监测点位的各监测指标的监测值均满足《环境影响评价技术导则 大气环境》（HJ2.2-2018）附录D中的标准限值要求。</w:t>
      </w:r>
    </w:p>
    <w:p w14:paraId="46D27B4A">
      <w:pPr>
        <w:pStyle w:val="5"/>
        <w:bidi w:val="0"/>
        <w:rPr>
          <w:color w:val="auto"/>
        </w:rPr>
      </w:pPr>
      <w:r>
        <w:rPr>
          <w:rFonts w:hint="eastAsia"/>
          <w:color w:val="auto"/>
          <w:lang w:val="en-US" w:eastAsia="zh-CN"/>
        </w:rPr>
        <w:t xml:space="preserve"> </w:t>
      </w:r>
      <w:r>
        <w:rPr>
          <w:color w:val="auto"/>
        </w:rPr>
        <w:t>地表水环境质量现状监测与评价</w:t>
      </w:r>
    </w:p>
    <w:p w14:paraId="79F85599">
      <w:pPr>
        <w:pStyle w:val="6"/>
        <w:bidi w:val="0"/>
        <w:rPr>
          <w:color w:val="auto"/>
        </w:rPr>
      </w:pPr>
      <w:r>
        <w:rPr>
          <w:color w:val="auto"/>
        </w:rPr>
        <w:t>环境质量达标区判定</w:t>
      </w:r>
    </w:p>
    <w:p w14:paraId="6B69A425">
      <w:pPr>
        <w:pageBreakBefore w:val="0"/>
        <w:wordWrap/>
        <w:bidi w:val="0"/>
        <w:adjustRightInd/>
        <w:snapToGrid/>
        <w:ind w:firstLine="480"/>
        <w:rPr>
          <w:color w:val="auto"/>
        </w:rPr>
      </w:pPr>
      <w:r>
        <w:rPr>
          <w:color w:val="auto"/>
        </w:rPr>
        <w:t>根据《环境影响评价技术导则</w:t>
      </w:r>
      <w:r>
        <w:rPr>
          <w:rFonts w:hint="eastAsia"/>
          <w:color w:val="auto"/>
          <w:lang w:val="en-US" w:eastAsia="zh-CN"/>
        </w:rPr>
        <w:t xml:space="preserve"> </w:t>
      </w:r>
      <w:r>
        <w:rPr>
          <w:color w:val="auto"/>
        </w:rPr>
        <w:t>地表水环境》（HJ2.3-2018）中有关水环境质量现状调查的规定，应优先采用国务院生态环境保护主管部门统一发布的水环境状况信息。因此，本次收集</w:t>
      </w:r>
      <w:r>
        <w:rPr>
          <w:rFonts w:hint="eastAsia"/>
          <w:color w:val="auto"/>
          <w:lang w:eastAsia="zh-CN"/>
        </w:rPr>
        <w:t>巴河</w:t>
      </w:r>
      <w:r>
        <w:rPr>
          <w:color w:val="auto"/>
        </w:rPr>
        <w:t>例行监测断面进行评价。</w:t>
      </w:r>
    </w:p>
    <w:p w14:paraId="08B4F097">
      <w:pPr>
        <w:pageBreakBefore w:val="0"/>
        <w:wordWrap/>
        <w:bidi w:val="0"/>
        <w:adjustRightInd/>
        <w:snapToGrid/>
        <w:rPr>
          <w:rFonts w:hint="default" w:ascii="Times New Roman" w:hAnsi="Times New Roman" w:cs="Times New Roman"/>
          <w:color w:val="auto"/>
          <w:lang w:val="en-US" w:eastAsia="zh-CN"/>
        </w:rPr>
      </w:pPr>
      <w:r>
        <w:rPr>
          <w:rFonts w:hint="eastAsia" w:cs="Times New Roman"/>
          <w:color w:val="auto"/>
          <w:lang w:val="en-US" w:eastAsia="zh-CN"/>
        </w:rPr>
        <w:t>根据</w:t>
      </w:r>
      <w:r>
        <w:rPr>
          <w:rFonts w:hint="default" w:ascii="Times New Roman" w:hAnsi="Times New Roman" w:cs="Times New Roman"/>
          <w:color w:val="auto"/>
          <w:lang w:val="en-US" w:eastAsia="zh-CN"/>
        </w:rPr>
        <w:t>《2023巴中市生态环境状况公报》可知，2023年，巴河总体水质为优，10个国省控断面和2个入境断面均达到或优于Ⅲ类水质。6个国控断面Ⅰ-Ⅱ类水质占比100%，4个省控断面Ⅰ-Ⅱ类水质占比75%，仅徐家河断面水质为Ш类。</w:t>
      </w:r>
    </w:p>
    <w:p w14:paraId="57101B8A">
      <w:pPr>
        <w:pageBreakBefore w:val="0"/>
        <w:wordWrap/>
        <w:bidi w:val="0"/>
        <w:adjustRightInd/>
        <w:snapToGrid/>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项目区域地表水体能够达到目标水质标准，属达标区域。</w:t>
      </w:r>
    </w:p>
    <w:p w14:paraId="341F5B48">
      <w:pPr>
        <w:pageBreakBefore w:val="0"/>
        <w:wordWrap/>
        <w:bidi w:val="0"/>
        <w:adjustRightInd/>
        <w:snapToGrid/>
        <w:jc w:val="center"/>
        <w:rPr>
          <w:color w:val="auto"/>
        </w:rPr>
      </w:pPr>
      <w:r>
        <w:rPr>
          <w:color w:val="auto"/>
        </w:rPr>
        <w:drawing>
          <wp:inline distT="0" distB="0" distL="114300" distR="114300">
            <wp:extent cx="4304030" cy="5789930"/>
            <wp:effectExtent l="0" t="0" r="1270" b="127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67"/>
                    <a:stretch>
                      <a:fillRect/>
                    </a:stretch>
                  </pic:blipFill>
                  <pic:spPr>
                    <a:xfrm>
                      <a:off x="0" y="0"/>
                      <a:ext cx="4304030" cy="5789930"/>
                    </a:xfrm>
                    <a:prstGeom prst="rect">
                      <a:avLst/>
                    </a:prstGeom>
                    <a:noFill/>
                    <a:ln>
                      <a:noFill/>
                    </a:ln>
                  </pic:spPr>
                </pic:pic>
              </a:graphicData>
            </a:graphic>
          </wp:inline>
        </w:drawing>
      </w:r>
    </w:p>
    <w:p w14:paraId="58E5B354">
      <w:pPr>
        <w:pStyle w:val="15"/>
        <w:numPr>
          <w:ilvl w:val="0"/>
          <w:numId w:val="0"/>
        </w:numPr>
        <w:tabs>
          <w:tab w:val="clear" w:pos="0"/>
        </w:tabs>
        <w:bidi w:val="0"/>
        <w:ind w:leftChars="0"/>
        <w:jc w:val="center"/>
        <w:rPr>
          <w:rFonts w:hint="default"/>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巴河断面水质类别分布图</w:t>
      </w:r>
    </w:p>
    <w:p w14:paraId="3DCC8612">
      <w:pPr>
        <w:pStyle w:val="6"/>
        <w:bidi w:val="0"/>
        <w:rPr>
          <w:color w:val="auto"/>
        </w:rPr>
      </w:pPr>
      <w:r>
        <w:rPr>
          <w:rFonts w:hint="eastAsia"/>
          <w:color w:val="auto"/>
          <w:lang w:val="en-US" w:eastAsia="zh-CN"/>
        </w:rPr>
        <w:t>地表水水质状况分析</w:t>
      </w:r>
    </w:p>
    <w:p w14:paraId="100DBBC4">
      <w:pPr>
        <w:bidi w:val="0"/>
        <w:rPr>
          <w:rFonts w:hint="eastAsia" w:ascii="Times New Roman" w:hAnsi="Times New Roman"/>
          <w:color w:val="auto"/>
          <w:sz w:val="24"/>
          <w:lang w:val="en-US" w:eastAsia="zh-CN"/>
        </w:rPr>
      </w:pPr>
      <w:r>
        <w:rPr>
          <w:rFonts w:hint="eastAsia" w:cs="Times New Roman"/>
          <w:color w:val="auto"/>
          <w:lang w:val="en-US" w:eastAsia="zh-CN"/>
        </w:rPr>
        <w:t>根据《2021年-2023年</w:t>
      </w:r>
      <w:r>
        <w:rPr>
          <w:rFonts w:hint="default" w:ascii="Times New Roman" w:hAnsi="Times New Roman" w:cs="Times New Roman"/>
          <w:color w:val="auto"/>
          <w:lang w:val="en-US" w:eastAsia="zh-CN"/>
        </w:rPr>
        <w:t>巴中市生态环境状况公报》可知，</w:t>
      </w:r>
      <w:r>
        <w:rPr>
          <w:rFonts w:hint="eastAsia" w:ascii="Times New Roman" w:hAnsi="Times New Roman"/>
          <w:color w:val="auto"/>
          <w:sz w:val="24"/>
        </w:rPr>
        <w:t>与上年相比，</w:t>
      </w:r>
      <w:r>
        <w:rPr>
          <w:rFonts w:hint="eastAsia" w:ascii="Times New Roman" w:hAnsi="Times New Roman"/>
          <w:color w:val="auto"/>
          <w:sz w:val="24"/>
          <w:lang w:val="en-US" w:eastAsia="zh-CN"/>
        </w:rPr>
        <w:t>金碑</w:t>
      </w:r>
      <w:r>
        <w:rPr>
          <w:rFonts w:hint="eastAsia" w:ascii="Times New Roman" w:hAnsi="Times New Roman"/>
          <w:color w:val="auto"/>
          <w:sz w:val="24"/>
        </w:rPr>
        <w:t>断面水质类别无明显变化</w:t>
      </w:r>
      <w:r>
        <w:rPr>
          <w:rFonts w:hint="eastAsia" w:ascii="Times New Roman" w:hAnsi="Times New Roman"/>
          <w:color w:val="auto"/>
          <w:sz w:val="24"/>
          <w:lang w:eastAsia="zh-CN"/>
        </w:rPr>
        <w:t>，</w:t>
      </w:r>
      <w:r>
        <w:rPr>
          <w:rFonts w:hint="eastAsia" w:ascii="Times New Roman" w:hAnsi="Times New Roman"/>
          <w:color w:val="auto"/>
          <w:sz w:val="24"/>
          <w:lang w:val="en-US" w:eastAsia="zh-CN"/>
        </w:rPr>
        <w:t>能稳定达标，详见下表。</w:t>
      </w:r>
    </w:p>
    <w:p w14:paraId="120AEE49">
      <w:pPr>
        <w:pStyle w:val="15"/>
        <w:keepNext w:val="0"/>
        <w:keepLines w:val="0"/>
        <w:pageBreakBefore w:val="0"/>
        <w:widowControl w:val="0"/>
        <w:numPr>
          <w:ilvl w:val="0"/>
          <w:numId w:val="28"/>
        </w:numPr>
        <w:kinsoku/>
        <w:wordWrap/>
        <w:overflowPunct/>
        <w:topLinePunct w:val="0"/>
        <w:autoSpaceDE/>
        <w:autoSpaceDN/>
        <w:bidi w:val="0"/>
        <w:adjustRightInd/>
        <w:snapToGrid/>
        <w:spacing w:before="0" w:beforeLines="50"/>
        <w:textAlignment w:val="auto"/>
        <w:rPr>
          <w:rFonts w:hint="default"/>
          <w:color w:val="auto"/>
          <w:lang w:val="en-US" w:eastAsia="zh-CN"/>
        </w:rPr>
      </w:pPr>
      <w:r>
        <w:rPr>
          <w:rFonts w:hint="eastAsia"/>
          <w:color w:val="auto"/>
          <w:lang w:val="en-US" w:eastAsia="zh-CN"/>
        </w:rPr>
        <w:t>地表水环境质量状况</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53"/>
        <w:gridCol w:w="883"/>
        <w:gridCol w:w="1147"/>
        <w:gridCol w:w="1147"/>
        <w:gridCol w:w="680"/>
        <w:gridCol w:w="962"/>
        <w:gridCol w:w="904"/>
        <w:gridCol w:w="902"/>
        <w:gridCol w:w="1177"/>
      </w:tblGrid>
      <w:tr w14:paraId="0521A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0" w:type="pct"/>
            <w:tcBorders>
              <w:tl2br w:val="nil"/>
              <w:tr2bl w:val="nil"/>
            </w:tcBorders>
            <w:noWrap w:val="0"/>
            <w:vAlign w:val="center"/>
          </w:tcPr>
          <w:p w14:paraId="02A1C779">
            <w:pPr>
              <w:pStyle w:val="12"/>
              <w:bidi w:val="0"/>
              <w:rPr>
                <w:b/>
                <w:bCs/>
                <w:color w:val="auto"/>
              </w:rPr>
            </w:pPr>
            <w:r>
              <w:rPr>
                <w:b/>
                <w:bCs/>
                <w:color w:val="auto"/>
              </w:rPr>
              <w:t>所属</w:t>
            </w:r>
          </w:p>
          <w:p w14:paraId="68A2EF32">
            <w:pPr>
              <w:pStyle w:val="12"/>
              <w:bidi w:val="0"/>
              <w:rPr>
                <w:b/>
                <w:bCs/>
                <w:color w:val="auto"/>
              </w:rPr>
            </w:pPr>
            <w:r>
              <w:rPr>
                <w:b/>
                <w:bCs/>
                <w:color w:val="auto"/>
              </w:rPr>
              <w:t>区县</w:t>
            </w:r>
          </w:p>
        </w:tc>
        <w:tc>
          <w:tcPr>
            <w:tcW w:w="516" w:type="pct"/>
            <w:tcBorders>
              <w:tl2br w:val="nil"/>
              <w:tr2bl w:val="nil"/>
            </w:tcBorders>
            <w:noWrap w:val="0"/>
            <w:vAlign w:val="center"/>
          </w:tcPr>
          <w:p w14:paraId="33FC81F4">
            <w:pPr>
              <w:pStyle w:val="12"/>
              <w:bidi w:val="0"/>
              <w:rPr>
                <w:b/>
                <w:bCs/>
                <w:color w:val="auto"/>
              </w:rPr>
            </w:pPr>
            <w:r>
              <w:rPr>
                <w:b/>
                <w:bCs/>
                <w:color w:val="auto"/>
              </w:rPr>
              <w:t>所属</w:t>
            </w:r>
          </w:p>
          <w:p w14:paraId="1DCCAA22">
            <w:pPr>
              <w:pStyle w:val="12"/>
              <w:bidi w:val="0"/>
              <w:rPr>
                <w:b/>
                <w:bCs/>
                <w:color w:val="auto"/>
              </w:rPr>
            </w:pPr>
            <w:r>
              <w:rPr>
                <w:b/>
                <w:bCs/>
                <w:color w:val="auto"/>
              </w:rPr>
              <w:t>流域</w:t>
            </w:r>
          </w:p>
        </w:tc>
        <w:tc>
          <w:tcPr>
            <w:tcW w:w="670" w:type="pct"/>
            <w:tcBorders>
              <w:tl2br w:val="nil"/>
              <w:tr2bl w:val="nil"/>
            </w:tcBorders>
            <w:noWrap w:val="0"/>
            <w:vAlign w:val="center"/>
          </w:tcPr>
          <w:p w14:paraId="0CE91300">
            <w:pPr>
              <w:pStyle w:val="12"/>
              <w:bidi w:val="0"/>
              <w:rPr>
                <w:b/>
                <w:bCs/>
                <w:color w:val="auto"/>
              </w:rPr>
            </w:pPr>
            <w:r>
              <w:rPr>
                <w:b/>
                <w:bCs/>
                <w:color w:val="auto"/>
              </w:rPr>
              <w:t>断面名称</w:t>
            </w:r>
          </w:p>
        </w:tc>
        <w:tc>
          <w:tcPr>
            <w:tcW w:w="670" w:type="pct"/>
            <w:tcBorders>
              <w:tl2br w:val="nil"/>
              <w:tr2bl w:val="nil"/>
            </w:tcBorders>
            <w:noWrap w:val="0"/>
            <w:vAlign w:val="center"/>
          </w:tcPr>
          <w:p w14:paraId="53416489">
            <w:pPr>
              <w:pStyle w:val="12"/>
              <w:bidi w:val="0"/>
              <w:rPr>
                <w:b/>
                <w:bCs/>
                <w:color w:val="auto"/>
              </w:rPr>
            </w:pPr>
            <w:r>
              <w:rPr>
                <w:b/>
                <w:bCs/>
                <w:color w:val="auto"/>
              </w:rPr>
              <w:t>断面位置</w:t>
            </w:r>
          </w:p>
        </w:tc>
        <w:tc>
          <w:tcPr>
            <w:tcW w:w="397" w:type="pct"/>
            <w:tcBorders>
              <w:tl2br w:val="nil"/>
              <w:tr2bl w:val="nil"/>
            </w:tcBorders>
            <w:noWrap w:val="0"/>
            <w:vAlign w:val="center"/>
          </w:tcPr>
          <w:p w14:paraId="490D5E43">
            <w:pPr>
              <w:pStyle w:val="12"/>
              <w:bidi w:val="0"/>
              <w:rPr>
                <w:b/>
                <w:bCs/>
                <w:color w:val="auto"/>
              </w:rPr>
            </w:pPr>
            <w:r>
              <w:rPr>
                <w:b/>
                <w:bCs/>
                <w:color w:val="auto"/>
              </w:rPr>
              <w:t>目标水质</w:t>
            </w:r>
          </w:p>
        </w:tc>
        <w:tc>
          <w:tcPr>
            <w:tcW w:w="562" w:type="pct"/>
            <w:tcBorders>
              <w:tl2br w:val="nil"/>
              <w:tr2bl w:val="nil"/>
            </w:tcBorders>
            <w:noWrap w:val="0"/>
            <w:vAlign w:val="center"/>
          </w:tcPr>
          <w:p w14:paraId="25C7DC5F">
            <w:pPr>
              <w:pStyle w:val="12"/>
              <w:bidi w:val="0"/>
              <w:rPr>
                <w:b/>
                <w:bCs/>
                <w:color w:val="auto"/>
              </w:rPr>
            </w:pPr>
            <w:r>
              <w:rPr>
                <w:b/>
                <w:bCs/>
                <w:color w:val="auto"/>
              </w:rPr>
              <w:t>202</w:t>
            </w:r>
            <w:r>
              <w:rPr>
                <w:rFonts w:hint="eastAsia"/>
                <w:b/>
                <w:bCs/>
                <w:color w:val="auto"/>
                <w:lang w:val="en-US" w:eastAsia="zh-CN"/>
              </w:rPr>
              <w:t>3</w:t>
            </w:r>
            <w:r>
              <w:rPr>
                <w:b/>
                <w:bCs/>
                <w:color w:val="auto"/>
              </w:rPr>
              <w:t>年水质类别</w:t>
            </w:r>
          </w:p>
        </w:tc>
        <w:tc>
          <w:tcPr>
            <w:tcW w:w="528" w:type="pct"/>
            <w:tcBorders>
              <w:tl2br w:val="nil"/>
              <w:tr2bl w:val="nil"/>
            </w:tcBorders>
            <w:noWrap w:val="0"/>
            <w:vAlign w:val="center"/>
          </w:tcPr>
          <w:p w14:paraId="592F6C3E">
            <w:pPr>
              <w:pStyle w:val="12"/>
              <w:bidi w:val="0"/>
              <w:rPr>
                <w:b/>
                <w:bCs/>
                <w:color w:val="auto"/>
              </w:rPr>
            </w:pPr>
            <w:r>
              <w:rPr>
                <w:b/>
                <w:bCs/>
                <w:color w:val="auto"/>
              </w:rPr>
              <w:t>202</w:t>
            </w:r>
            <w:r>
              <w:rPr>
                <w:rFonts w:hint="eastAsia"/>
                <w:b/>
                <w:bCs/>
                <w:color w:val="auto"/>
                <w:lang w:val="en-US" w:eastAsia="zh-CN"/>
              </w:rPr>
              <w:t>2</w:t>
            </w:r>
            <w:r>
              <w:rPr>
                <w:b/>
                <w:bCs/>
                <w:color w:val="auto"/>
              </w:rPr>
              <w:t>年水质状况</w:t>
            </w:r>
          </w:p>
        </w:tc>
        <w:tc>
          <w:tcPr>
            <w:tcW w:w="527" w:type="pct"/>
            <w:tcBorders>
              <w:tl2br w:val="nil"/>
              <w:tr2bl w:val="nil"/>
            </w:tcBorders>
            <w:noWrap w:val="0"/>
            <w:vAlign w:val="center"/>
          </w:tcPr>
          <w:p w14:paraId="3C63CBAB">
            <w:pPr>
              <w:pStyle w:val="12"/>
              <w:bidi w:val="0"/>
              <w:rPr>
                <w:b/>
                <w:bCs/>
                <w:color w:val="auto"/>
              </w:rPr>
            </w:pPr>
            <w:r>
              <w:rPr>
                <w:b/>
                <w:bCs/>
                <w:color w:val="auto"/>
              </w:rPr>
              <w:t>20</w:t>
            </w:r>
            <w:r>
              <w:rPr>
                <w:rFonts w:hint="eastAsia"/>
                <w:b/>
                <w:bCs/>
                <w:color w:val="auto"/>
                <w:lang w:val="en-US" w:eastAsia="zh-CN"/>
              </w:rPr>
              <w:t>21</w:t>
            </w:r>
            <w:r>
              <w:rPr>
                <w:b/>
                <w:bCs/>
                <w:color w:val="auto"/>
              </w:rPr>
              <w:t>年水质类别</w:t>
            </w:r>
          </w:p>
        </w:tc>
        <w:tc>
          <w:tcPr>
            <w:tcW w:w="687" w:type="pct"/>
            <w:tcBorders>
              <w:tl2br w:val="nil"/>
              <w:tr2bl w:val="nil"/>
            </w:tcBorders>
            <w:noWrap w:val="0"/>
            <w:vAlign w:val="center"/>
          </w:tcPr>
          <w:p w14:paraId="1AABC9B0">
            <w:pPr>
              <w:pStyle w:val="12"/>
              <w:bidi w:val="0"/>
              <w:rPr>
                <w:b/>
                <w:bCs/>
                <w:color w:val="auto"/>
              </w:rPr>
            </w:pPr>
            <w:r>
              <w:rPr>
                <w:b/>
                <w:bCs/>
                <w:color w:val="auto"/>
              </w:rPr>
              <w:t>变化幅度</w:t>
            </w:r>
          </w:p>
        </w:tc>
      </w:tr>
      <w:tr w14:paraId="62D27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0" w:type="pct"/>
            <w:vMerge w:val="restart"/>
            <w:tcBorders>
              <w:tl2br w:val="nil"/>
              <w:tr2bl w:val="nil"/>
            </w:tcBorders>
            <w:noWrap w:val="0"/>
            <w:vAlign w:val="center"/>
          </w:tcPr>
          <w:p w14:paraId="3F31AE6C">
            <w:pPr>
              <w:pStyle w:val="12"/>
              <w:bidi w:val="0"/>
              <w:rPr>
                <w:color w:val="auto"/>
              </w:rPr>
            </w:pPr>
            <w:r>
              <w:rPr>
                <w:color w:val="auto"/>
              </w:rPr>
              <w:t>巴州区</w:t>
            </w:r>
          </w:p>
        </w:tc>
        <w:tc>
          <w:tcPr>
            <w:tcW w:w="516" w:type="pct"/>
            <w:vMerge w:val="restart"/>
            <w:tcBorders>
              <w:tl2br w:val="nil"/>
              <w:tr2bl w:val="nil"/>
            </w:tcBorders>
            <w:noWrap w:val="0"/>
            <w:vAlign w:val="center"/>
          </w:tcPr>
          <w:p w14:paraId="12B5C58E">
            <w:pPr>
              <w:pStyle w:val="12"/>
              <w:bidi w:val="0"/>
              <w:rPr>
                <w:color w:val="auto"/>
              </w:rPr>
            </w:pPr>
            <w:r>
              <w:rPr>
                <w:color w:val="auto"/>
              </w:rPr>
              <w:t>巴河</w:t>
            </w:r>
          </w:p>
        </w:tc>
        <w:tc>
          <w:tcPr>
            <w:tcW w:w="670" w:type="pct"/>
            <w:tcBorders>
              <w:tl2br w:val="nil"/>
              <w:tr2bl w:val="nil"/>
            </w:tcBorders>
            <w:noWrap w:val="0"/>
            <w:vAlign w:val="center"/>
          </w:tcPr>
          <w:p w14:paraId="36B8A284">
            <w:pPr>
              <w:pStyle w:val="12"/>
              <w:bidi w:val="0"/>
              <w:rPr>
                <w:color w:val="auto"/>
              </w:rPr>
            </w:pPr>
            <w:r>
              <w:rPr>
                <w:color w:val="auto"/>
              </w:rPr>
              <w:t>手傍岩（国控）</w:t>
            </w:r>
          </w:p>
        </w:tc>
        <w:tc>
          <w:tcPr>
            <w:tcW w:w="670" w:type="pct"/>
            <w:tcBorders>
              <w:tl2br w:val="nil"/>
              <w:tr2bl w:val="nil"/>
            </w:tcBorders>
            <w:noWrap w:val="0"/>
            <w:vAlign w:val="center"/>
          </w:tcPr>
          <w:p w14:paraId="2A937528">
            <w:pPr>
              <w:pStyle w:val="12"/>
              <w:bidi w:val="0"/>
              <w:rPr>
                <w:color w:val="auto"/>
              </w:rPr>
            </w:pPr>
            <w:r>
              <w:rPr>
                <w:color w:val="auto"/>
              </w:rPr>
              <w:t>巴州区</w:t>
            </w:r>
          </w:p>
        </w:tc>
        <w:tc>
          <w:tcPr>
            <w:tcW w:w="397" w:type="pct"/>
            <w:tcBorders>
              <w:tl2br w:val="nil"/>
              <w:tr2bl w:val="nil"/>
            </w:tcBorders>
            <w:noWrap w:val="0"/>
            <w:vAlign w:val="center"/>
          </w:tcPr>
          <w:p w14:paraId="5C4E3BDB">
            <w:pPr>
              <w:pStyle w:val="12"/>
              <w:bidi w:val="0"/>
              <w:rPr>
                <w:color w:val="auto"/>
              </w:rPr>
            </w:pPr>
            <w:r>
              <w:rPr>
                <w:color w:val="auto"/>
              </w:rPr>
              <w:t>Ⅲ</w:t>
            </w:r>
          </w:p>
        </w:tc>
        <w:tc>
          <w:tcPr>
            <w:tcW w:w="562" w:type="pct"/>
            <w:tcBorders>
              <w:tl2br w:val="nil"/>
              <w:tr2bl w:val="nil"/>
            </w:tcBorders>
            <w:noWrap w:val="0"/>
            <w:vAlign w:val="center"/>
          </w:tcPr>
          <w:p w14:paraId="756028EE">
            <w:pPr>
              <w:pStyle w:val="12"/>
              <w:bidi w:val="0"/>
              <w:rPr>
                <w:color w:val="auto"/>
              </w:rPr>
            </w:pPr>
            <w:r>
              <w:rPr>
                <w:color w:val="auto"/>
              </w:rPr>
              <w:t>Ⅱ</w:t>
            </w:r>
          </w:p>
        </w:tc>
        <w:tc>
          <w:tcPr>
            <w:tcW w:w="528" w:type="pct"/>
            <w:tcBorders>
              <w:tl2br w:val="nil"/>
              <w:tr2bl w:val="nil"/>
            </w:tcBorders>
            <w:noWrap w:val="0"/>
            <w:vAlign w:val="center"/>
          </w:tcPr>
          <w:p w14:paraId="13B3419D">
            <w:pPr>
              <w:pStyle w:val="12"/>
              <w:bidi w:val="0"/>
              <w:rPr>
                <w:color w:val="auto"/>
              </w:rPr>
            </w:pPr>
            <w:r>
              <w:rPr>
                <w:color w:val="auto"/>
              </w:rPr>
              <w:t>Ⅱ</w:t>
            </w:r>
          </w:p>
        </w:tc>
        <w:tc>
          <w:tcPr>
            <w:tcW w:w="527" w:type="pct"/>
            <w:tcBorders>
              <w:tl2br w:val="nil"/>
              <w:tr2bl w:val="nil"/>
            </w:tcBorders>
            <w:noWrap w:val="0"/>
            <w:vAlign w:val="center"/>
          </w:tcPr>
          <w:p w14:paraId="1820420E">
            <w:pPr>
              <w:pStyle w:val="12"/>
              <w:bidi w:val="0"/>
              <w:rPr>
                <w:color w:val="auto"/>
              </w:rPr>
            </w:pPr>
            <w:r>
              <w:rPr>
                <w:color w:val="auto"/>
              </w:rPr>
              <w:t>Ⅱ</w:t>
            </w:r>
          </w:p>
        </w:tc>
        <w:tc>
          <w:tcPr>
            <w:tcW w:w="687" w:type="pct"/>
            <w:tcBorders>
              <w:tl2br w:val="nil"/>
              <w:tr2bl w:val="nil"/>
            </w:tcBorders>
            <w:noWrap w:val="0"/>
            <w:vAlign w:val="center"/>
          </w:tcPr>
          <w:p w14:paraId="0D6BB211">
            <w:pPr>
              <w:pStyle w:val="12"/>
              <w:bidi w:val="0"/>
              <w:rPr>
                <w:color w:val="auto"/>
              </w:rPr>
            </w:pPr>
            <w:r>
              <w:rPr>
                <w:color w:val="auto"/>
              </w:rPr>
              <w:t>无明显变化</w:t>
            </w:r>
          </w:p>
        </w:tc>
      </w:tr>
      <w:tr w14:paraId="2AFD0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0" w:type="pct"/>
            <w:vMerge w:val="continue"/>
            <w:tcBorders>
              <w:tl2br w:val="nil"/>
              <w:tr2bl w:val="nil"/>
            </w:tcBorders>
            <w:noWrap w:val="0"/>
            <w:vAlign w:val="center"/>
          </w:tcPr>
          <w:p w14:paraId="5DCE75DC">
            <w:pPr>
              <w:pStyle w:val="12"/>
              <w:bidi w:val="0"/>
              <w:rPr>
                <w:color w:val="auto"/>
              </w:rPr>
            </w:pPr>
          </w:p>
        </w:tc>
        <w:tc>
          <w:tcPr>
            <w:tcW w:w="516" w:type="pct"/>
            <w:vMerge w:val="continue"/>
            <w:tcBorders>
              <w:tl2br w:val="nil"/>
              <w:tr2bl w:val="nil"/>
            </w:tcBorders>
            <w:noWrap w:val="0"/>
            <w:vAlign w:val="center"/>
          </w:tcPr>
          <w:p w14:paraId="0FC064AD">
            <w:pPr>
              <w:pStyle w:val="12"/>
              <w:bidi w:val="0"/>
              <w:rPr>
                <w:color w:val="auto"/>
              </w:rPr>
            </w:pPr>
          </w:p>
        </w:tc>
        <w:tc>
          <w:tcPr>
            <w:tcW w:w="670" w:type="pct"/>
            <w:tcBorders>
              <w:tl2br w:val="nil"/>
              <w:tr2bl w:val="nil"/>
            </w:tcBorders>
            <w:noWrap w:val="0"/>
            <w:vAlign w:val="center"/>
          </w:tcPr>
          <w:p w14:paraId="6B0D0657">
            <w:pPr>
              <w:pStyle w:val="12"/>
              <w:bidi w:val="0"/>
              <w:rPr>
                <w:color w:val="auto"/>
              </w:rPr>
            </w:pPr>
            <w:r>
              <w:rPr>
                <w:color w:val="auto"/>
              </w:rPr>
              <w:t>金碑乡</w:t>
            </w:r>
          </w:p>
        </w:tc>
        <w:tc>
          <w:tcPr>
            <w:tcW w:w="670" w:type="pct"/>
            <w:tcBorders>
              <w:tl2br w:val="nil"/>
              <w:tr2bl w:val="nil"/>
            </w:tcBorders>
            <w:noWrap w:val="0"/>
            <w:vAlign w:val="center"/>
          </w:tcPr>
          <w:p w14:paraId="019049BC">
            <w:pPr>
              <w:pStyle w:val="12"/>
              <w:bidi w:val="0"/>
              <w:rPr>
                <w:color w:val="auto"/>
              </w:rPr>
            </w:pPr>
            <w:r>
              <w:rPr>
                <w:color w:val="auto"/>
              </w:rPr>
              <w:t>巴州区金碑乡</w:t>
            </w:r>
          </w:p>
        </w:tc>
        <w:tc>
          <w:tcPr>
            <w:tcW w:w="397" w:type="pct"/>
            <w:tcBorders>
              <w:tl2br w:val="nil"/>
              <w:tr2bl w:val="nil"/>
            </w:tcBorders>
            <w:noWrap w:val="0"/>
            <w:vAlign w:val="center"/>
          </w:tcPr>
          <w:p w14:paraId="6CDA0AC3">
            <w:pPr>
              <w:pStyle w:val="12"/>
              <w:bidi w:val="0"/>
              <w:rPr>
                <w:color w:val="auto"/>
              </w:rPr>
            </w:pPr>
            <w:r>
              <w:rPr>
                <w:color w:val="auto"/>
              </w:rPr>
              <w:t>Ⅲ</w:t>
            </w:r>
          </w:p>
        </w:tc>
        <w:tc>
          <w:tcPr>
            <w:tcW w:w="562" w:type="pct"/>
            <w:tcBorders>
              <w:tl2br w:val="nil"/>
              <w:tr2bl w:val="nil"/>
            </w:tcBorders>
            <w:noWrap w:val="0"/>
            <w:vAlign w:val="center"/>
          </w:tcPr>
          <w:p w14:paraId="0D260F0F">
            <w:pPr>
              <w:pStyle w:val="12"/>
              <w:bidi w:val="0"/>
              <w:rPr>
                <w:color w:val="auto"/>
              </w:rPr>
            </w:pPr>
            <w:r>
              <w:rPr>
                <w:color w:val="auto"/>
              </w:rPr>
              <w:t>Ⅱ</w:t>
            </w:r>
          </w:p>
        </w:tc>
        <w:tc>
          <w:tcPr>
            <w:tcW w:w="528" w:type="pct"/>
            <w:tcBorders>
              <w:tl2br w:val="nil"/>
              <w:tr2bl w:val="nil"/>
            </w:tcBorders>
            <w:noWrap w:val="0"/>
            <w:vAlign w:val="center"/>
          </w:tcPr>
          <w:p w14:paraId="0F7560CA">
            <w:pPr>
              <w:pStyle w:val="12"/>
              <w:bidi w:val="0"/>
              <w:rPr>
                <w:color w:val="auto"/>
              </w:rPr>
            </w:pPr>
            <w:r>
              <w:rPr>
                <w:color w:val="auto"/>
              </w:rPr>
              <w:t>Ⅱ</w:t>
            </w:r>
          </w:p>
        </w:tc>
        <w:tc>
          <w:tcPr>
            <w:tcW w:w="527" w:type="pct"/>
            <w:tcBorders>
              <w:tl2br w:val="nil"/>
              <w:tr2bl w:val="nil"/>
            </w:tcBorders>
            <w:noWrap w:val="0"/>
            <w:vAlign w:val="center"/>
          </w:tcPr>
          <w:p w14:paraId="776496E7">
            <w:pPr>
              <w:pStyle w:val="12"/>
              <w:bidi w:val="0"/>
              <w:rPr>
                <w:color w:val="auto"/>
              </w:rPr>
            </w:pPr>
            <w:r>
              <w:rPr>
                <w:color w:val="auto"/>
              </w:rPr>
              <w:t>Ⅱ</w:t>
            </w:r>
          </w:p>
        </w:tc>
        <w:tc>
          <w:tcPr>
            <w:tcW w:w="687" w:type="pct"/>
            <w:tcBorders>
              <w:tl2br w:val="nil"/>
              <w:tr2bl w:val="nil"/>
            </w:tcBorders>
            <w:noWrap w:val="0"/>
            <w:vAlign w:val="center"/>
          </w:tcPr>
          <w:p w14:paraId="16D6E07A">
            <w:pPr>
              <w:pStyle w:val="12"/>
              <w:bidi w:val="0"/>
              <w:rPr>
                <w:color w:val="auto"/>
              </w:rPr>
            </w:pPr>
            <w:r>
              <w:rPr>
                <w:color w:val="auto"/>
              </w:rPr>
              <w:t>无明显变化</w:t>
            </w:r>
          </w:p>
        </w:tc>
      </w:tr>
    </w:tbl>
    <w:p w14:paraId="16FEB9E1">
      <w:pPr>
        <w:bidi w:val="0"/>
        <w:rPr>
          <w:color w:val="auto"/>
        </w:rPr>
      </w:pPr>
    </w:p>
    <w:p w14:paraId="7E990101">
      <w:pPr>
        <w:pStyle w:val="6"/>
        <w:bidi w:val="0"/>
        <w:rPr>
          <w:color w:val="auto"/>
        </w:rPr>
      </w:pPr>
      <w:r>
        <w:rPr>
          <w:color w:val="auto"/>
        </w:rPr>
        <w:t>环境质量现状监测</w:t>
      </w:r>
    </w:p>
    <w:p w14:paraId="626A804C">
      <w:pPr>
        <w:bidi w:val="0"/>
        <w:rPr>
          <w:color w:val="auto"/>
        </w:rPr>
      </w:pPr>
      <w:r>
        <w:rPr>
          <w:color w:val="auto"/>
        </w:rPr>
        <w:t>由监测结果可知，项目污水受纳水体</w:t>
      </w:r>
      <w:r>
        <w:rPr>
          <w:rFonts w:hint="eastAsia"/>
          <w:color w:val="auto"/>
          <w:lang w:eastAsia="zh-CN"/>
        </w:rPr>
        <w:t>巴河</w:t>
      </w:r>
      <w:r>
        <w:rPr>
          <w:color w:val="auto"/>
        </w:rPr>
        <w:t>各水污染物指标均能达到《地表水环境质量》（GB3838-2002）Ⅲ类水域标准限值要求，水环境质量现状较好。</w:t>
      </w:r>
    </w:p>
    <w:p w14:paraId="5E9E7DB6">
      <w:pPr>
        <w:pStyle w:val="5"/>
        <w:bidi w:val="0"/>
        <w:rPr>
          <w:color w:val="auto"/>
        </w:rPr>
      </w:pPr>
      <w:r>
        <w:rPr>
          <w:rFonts w:hint="eastAsia"/>
          <w:color w:val="auto"/>
          <w:lang w:val="en-US" w:eastAsia="zh-CN"/>
        </w:rPr>
        <w:t xml:space="preserve"> </w:t>
      </w:r>
      <w:r>
        <w:rPr>
          <w:color w:val="auto"/>
        </w:rPr>
        <w:t>地下水环境质量现状监测与评价</w:t>
      </w:r>
    </w:p>
    <w:p w14:paraId="190B128D">
      <w:pPr>
        <w:pStyle w:val="6"/>
        <w:bidi w:val="0"/>
        <w:rPr>
          <w:color w:val="auto"/>
        </w:rPr>
      </w:pPr>
      <w:r>
        <w:rPr>
          <w:color w:val="auto"/>
        </w:rPr>
        <w:t>地下水环境现状调查与评价</w:t>
      </w:r>
    </w:p>
    <w:p w14:paraId="58D36178">
      <w:pPr>
        <w:bidi w:val="0"/>
        <w:rPr>
          <w:b/>
          <w:bCs/>
          <w:color w:val="auto"/>
        </w:rPr>
      </w:pPr>
      <w:r>
        <w:rPr>
          <w:rFonts w:hint="eastAsia"/>
          <w:b/>
          <w:bCs/>
          <w:color w:val="auto"/>
          <w:lang w:val="en-US" w:eastAsia="zh-CN"/>
        </w:rPr>
        <w:t>1、</w:t>
      </w:r>
      <w:r>
        <w:rPr>
          <w:b/>
          <w:bCs/>
          <w:color w:val="auto"/>
        </w:rPr>
        <w:t>地下水环境现状调查内容与方法</w:t>
      </w:r>
    </w:p>
    <w:p w14:paraId="404F25EA">
      <w:pPr>
        <w:bidi w:val="0"/>
        <w:rPr>
          <w:color w:val="auto"/>
        </w:rPr>
      </w:pPr>
      <w:r>
        <w:rPr>
          <w:color w:val="auto"/>
        </w:rPr>
        <w:t>项目区地下水环境调查是根据建设项目所在地区的水环境特点，根据地下水环境保护目标开展调查。调查的方法主要采用收集资料法、现场调查法及钻探等。现场调查包括：水文地质基础调查、环境水文地质调查、地下水水质和污染调查等。具体调查内容有：</w:t>
      </w:r>
    </w:p>
    <w:p w14:paraId="376E5C5F">
      <w:pPr>
        <w:bidi w:val="0"/>
        <w:rPr>
          <w:color w:val="auto"/>
        </w:rPr>
      </w:pPr>
      <w:r>
        <w:rPr>
          <w:color w:val="auto"/>
        </w:rPr>
        <w:t>（1）水文地质条件调查</w:t>
      </w:r>
    </w:p>
    <w:p w14:paraId="1FDA849A">
      <w:pPr>
        <w:bidi w:val="0"/>
        <w:rPr>
          <w:color w:val="auto"/>
        </w:rPr>
      </w:pPr>
      <w:r>
        <w:rPr>
          <w:color w:val="auto"/>
        </w:rPr>
        <w:t>1）气象、水文、土壤和植被状况。</w:t>
      </w:r>
    </w:p>
    <w:p w14:paraId="1D1DC47D">
      <w:pPr>
        <w:bidi w:val="0"/>
        <w:rPr>
          <w:color w:val="auto"/>
        </w:rPr>
      </w:pPr>
      <w:r>
        <w:rPr>
          <w:color w:val="auto"/>
        </w:rPr>
        <w:t>2）地层岩性、地质构造、地貌特征与矿产资源。</w:t>
      </w:r>
    </w:p>
    <w:p w14:paraId="1A07C043">
      <w:pPr>
        <w:bidi w:val="0"/>
        <w:rPr>
          <w:color w:val="auto"/>
        </w:rPr>
      </w:pPr>
      <w:r>
        <w:rPr>
          <w:color w:val="auto"/>
        </w:rPr>
        <w:t>3）通过实地钻孔资料分析含水层的岩性、分布、结构、厚度、埋藏条件、渗透性和富水程度等；隔水层（弱透水层）的岩性、厚度、渗透性等。</w:t>
      </w:r>
    </w:p>
    <w:p w14:paraId="36677D71">
      <w:pPr>
        <w:bidi w:val="0"/>
        <w:rPr>
          <w:color w:val="auto"/>
        </w:rPr>
      </w:pPr>
      <w:r>
        <w:rPr>
          <w:color w:val="auto"/>
        </w:rPr>
        <w:t>4）结合区域地质背景特征分析区域地下水类型、补给、径流和排泄条件。</w:t>
      </w:r>
    </w:p>
    <w:p w14:paraId="3B442D3F">
      <w:pPr>
        <w:bidi w:val="0"/>
        <w:rPr>
          <w:color w:val="auto"/>
        </w:rPr>
      </w:pPr>
      <w:r>
        <w:rPr>
          <w:color w:val="auto"/>
        </w:rPr>
        <w:t>5）地下水水位、水质、水量、水温、地下水化学类型。</w:t>
      </w:r>
    </w:p>
    <w:p w14:paraId="41889185">
      <w:pPr>
        <w:bidi w:val="0"/>
        <w:rPr>
          <w:color w:val="auto"/>
        </w:rPr>
      </w:pPr>
      <w:r>
        <w:rPr>
          <w:color w:val="auto"/>
        </w:rPr>
        <w:t>6）地下水资源量及现利用情况。</w:t>
      </w:r>
    </w:p>
    <w:p w14:paraId="2F4367AB">
      <w:pPr>
        <w:bidi w:val="0"/>
        <w:rPr>
          <w:color w:val="auto"/>
        </w:rPr>
      </w:pPr>
      <w:r>
        <w:rPr>
          <w:color w:val="auto"/>
        </w:rPr>
        <w:t>7）集中供水水源地和水源井的分布情况（包括开采层的成井的密度、水井结构、深度以及开采历史）。</w:t>
      </w:r>
    </w:p>
    <w:p w14:paraId="47ECE87B">
      <w:pPr>
        <w:bidi w:val="0"/>
        <w:rPr>
          <w:color w:val="auto"/>
        </w:rPr>
      </w:pPr>
      <w:r>
        <w:rPr>
          <w:color w:val="auto"/>
        </w:rPr>
        <w:t>8）地下水环境监测现状值（或地下水污染对照值）。</w:t>
      </w:r>
    </w:p>
    <w:p w14:paraId="669F9CF5">
      <w:pPr>
        <w:bidi w:val="0"/>
        <w:rPr>
          <w:color w:val="auto"/>
        </w:rPr>
      </w:pPr>
      <w:r>
        <w:rPr>
          <w:color w:val="auto"/>
        </w:rPr>
        <w:t>（2）地下水污染源调查</w:t>
      </w:r>
    </w:p>
    <w:p w14:paraId="145560E3">
      <w:pPr>
        <w:bidi w:val="0"/>
        <w:rPr>
          <w:color w:val="auto"/>
        </w:rPr>
      </w:pPr>
      <w:r>
        <w:rPr>
          <w:color w:val="auto"/>
        </w:rPr>
        <w:t>通过区域水文地质报告资料分析及现场调查厂区及周边地区可能造成或已经造成地下水污染的污染源和敏感区。</w:t>
      </w:r>
    </w:p>
    <w:p w14:paraId="2A729DF0">
      <w:pPr>
        <w:bidi w:val="0"/>
        <w:rPr>
          <w:color w:val="auto"/>
        </w:rPr>
      </w:pPr>
      <w:r>
        <w:rPr>
          <w:color w:val="auto"/>
        </w:rPr>
        <w:t>1）对已有污染源调查资料的地区，通过搜集现有资料解决。</w:t>
      </w:r>
    </w:p>
    <w:p w14:paraId="0A21BFE1">
      <w:pPr>
        <w:bidi w:val="0"/>
        <w:rPr>
          <w:color w:val="auto"/>
        </w:rPr>
      </w:pPr>
      <w:r>
        <w:rPr>
          <w:color w:val="auto"/>
        </w:rPr>
        <w:t>2）对于没有污染源调查资料，或已有部分调查资料，结合环境水文地质问题同步进行调查。对分散在评价区的非工业污染源，根据污染源的特点，参照上述规定进行调查。</w:t>
      </w:r>
    </w:p>
    <w:p w14:paraId="4BCADD59">
      <w:pPr>
        <w:pStyle w:val="6"/>
        <w:bidi w:val="0"/>
        <w:rPr>
          <w:color w:val="auto"/>
        </w:rPr>
      </w:pPr>
      <w:bookmarkStart w:id="154" w:name="_Toc327221727"/>
      <w:bookmarkStart w:id="155" w:name="_Toc317876281"/>
      <w:bookmarkStart w:id="156" w:name="_Toc317876429"/>
      <w:bookmarkStart w:id="157" w:name="_Toc317876355"/>
      <w:bookmarkStart w:id="158" w:name="_Toc317876100"/>
      <w:bookmarkStart w:id="159" w:name="_Toc317974799"/>
      <w:bookmarkStart w:id="160" w:name="_Toc286750894"/>
      <w:r>
        <w:rPr>
          <w:color w:val="auto"/>
        </w:rPr>
        <w:t>地质背景</w:t>
      </w:r>
    </w:p>
    <w:bookmarkEnd w:id="154"/>
    <w:p w14:paraId="409A8B87">
      <w:pPr>
        <w:bidi w:val="0"/>
        <w:rPr>
          <w:b/>
          <w:bCs/>
          <w:color w:val="auto"/>
        </w:rPr>
      </w:pPr>
      <w:r>
        <w:rPr>
          <w:rFonts w:hint="eastAsia"/>
          <w:b/>
          <w:bCs/>
          <w:color w:val="auto"/>
          <w:lang w:val="en-US" w:eastAsia="zh-CN"/>
        </w:rPr>
        <w:t>1、</w:t>
      </w:r>
      <w:r>
        <w:rPr>
          <w:b/>
          <w:bCs/>
          <w:color w:val="auto"/>
        </w:rPr>
        <w:t>地形地貌</w:t>
      </w:r>
    </w:p>
    <w:p w14:paraId="2562EC73">
      <w:pPr>
        <w:ind w:firstLine="480"/>
        <w:rPr>
          <w:color w:val="auto"/>
        </w:rPr>
      </w:pPr>
      <w:r>
        <w:rPr>
          <w:rFonts w:hint="eastAsia"/>
          <w:color w:val="auto"/>
        </w:rPr>
        <w:t>本项目评价区位于巴中市巴州区曾口镇，巴中地处四川盆地北部的低山区，地势北高南低，北及西北向南及西南倾斜。除溪河地势较低、山峰地势较高外，大部分海拔在400～800m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1400m之间，相对高差650～1090m；山原分布于区境低山、低中山的山顶、山脊及山坡上。恩阳区主要属米仓山南麓丘陵地貌，正好处于巴中境内低山、长梁高丘地貌向平缓坡台状丘陵地貌过渡地带，境内多为丘陵、低山，平坝较少，全区地势西北高、东南低，这与区域整体地貌轮廓一致，最高山峰高观山海拔1100余米。</w:t>
      </w:r>
    </w:p>
    <w:p w14:paraId="5F76F5D7">
      <w:pPr>
        <w:ind w:firstLine="480"/>
        <w:rPr>
          <w:color w:val="auto"/>
        </w:rPr>
      </w:pPr>
      <w:r>
        <w:rPr>
          <w:rFonts w:hint="eastAsia"/>
          <w:color w:val="auto"/>
        </w:rPr>
        <w:t>拟建污水处理厂原始地形起伏较大，为河流阶地，拟建场地地势北侧、西侧高，东侧、南侧较低，呈阶状分布，阶坎约1-3m。现状条件下主要为耕植地，分布有居民房屋，地表的植物未清理，场地未开挖平整。</w:t>
      </w:r>
    </w:p>
    <w:p w14:paraId="6DE090CB">
      <w:pPr>
        <w:bidi w:val="0"/>
        <w:rPr>
          <w:b/>
          <w:bCs/>
          <w:color w:val="auto"/>
        </w:rPr>
      </w:pPr>
      <w:r>
        <w:rPr>
          <w:rFonts w:hint="eastAsia"/>
          <w:b/>
          <w:bCs/>
          <w:color w:val="auto"/>
          <w:lang w:val="en-US" w:eastAsia="zh-CN"/>
        </w:rPr>
        <w:t>2、</w:t>
      </w:r>
      <w:r>
        <w:rPr>
          <w:b/>
          <w:bCs/>
          <w:color w:val="auto"/>
        </w:rPr>
        <w:t>地层岩性</w:t>
      </w:r>
    </w:p>
    <w:p w14:paraId="0EAB604E">
      <w:pPr>
        <w:ind w:firstLine="480"/>
        <w:rPr>
          <w:rFonts w:hint="default" w:ascii="Times New Roman" w:hAnsi="Times New Roman" w:cs="Times New Roman"/>
          <w:color w:val="auto"/>
        </w:rPr>
      </w:pPr>
      <w:r>
        <w:rPr>
          <w:rFonts w:hint="default" w:ascii="Times New Roman" w:hAnsi="Times New Roman" w:cs="Times New Roman"/>
          <w:color w:val="auto"/>
        </w:rPr>
        <w:t>根据区域地质资料并结合项目岩土工程勘察报告，项目评价区出露的地层包括第四系冲积层（Q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）砂砾卵石层，下伏基岩地层为白垩系下统白龙组（K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b）砂泥岩。各地层岩性特征由老至新描述如下：</w:t>
      </w:r>
    </w:p>
    <w:p w14:paraId="2EE11F39">
      <w:pPr>
        <w:ind w:firstLine="480"/>
        <w:rPr>
          <w:rFonts w:hint="default" w:ascii="Times New Roman" w:hAnsi="Times New Roman" w:cs="Times New Roman"/>
          <w:color w:val="auto"/>
        </w:rPr>
      </w:pPr>
      <w:r>
        <w:rPr>
          <w:rFonts w:hint="default" w:ascii="Times New Roman" w:hAnsi="Times New Roman" w:eastAsia="宋体" w:cs="Times New Roman"/>
          <w:color w:val="auto"/>
        </w:rPr>
        <w:t>①</w:t>
      </w:r>
      <w:r>
        <w:rPr>
          <w:rFonts w:hint="default" w:ascii="Times New Roman" w:hAnsi="Times New Roman" w:cs="Times New Roman"/>
          <w:color w:val="auto"/>
        </w:rPr>
        <w:t>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w:t>
      </w:r>
    </w:p>
    <w:p w14:paraId="0D779F28">
      <w:pPr>
        <w:ind w:firstLine="480"/>
        <w:rPr>
          <w:rFonts w:hint="default" w:ascii="Times New Roman" w:hAnsi="Times New Roman" w:cs="Times New Roman"/>
          <w:color w:val="auto"/>
        </w:rPr>
      </w:pPr>
      <w:r>
        <w:rPr>
          <w:rFonts w:hint="default" w:ascii="Times New Roman" w:hAnsi="Times New Roman" w:cs="Times New Roman"/>
          <w:color w:val="auto"/>
        </w:rPr>
        <w:t>岩性为青灰色块状中-细粒长石石英砂岩夹砖红色泥岩、粉砂质泥岩，底部有一层厚1m左右的砾岩。砂泥岩比例为3:1，砂岩共有5-9层，一般厚15-40m，个别层厚达50余米。根据本项目岩土工程勘察，覆盖层以下基岩均为砂岩，最大揭露厚度为15.8m，岩心多呈柱状，节理裂隙发育程度较低。</w:t>
      </w:r>
    </w:p>
    <w:p w14:paraId="41218604">
      <w:pPr>
        <w:ind w:firstLine="480"/>
        <w:rPr>
          <w:rFonts w:hint="default" w:ascii="Times New Roman" w:hAnsi="Times New Roman" w:cs="Times New Roman"/>
          <w:color w:val="auto"/>
        </w:rPr>
      </w:pPr>
      <w:r>
        <w:rPr>
          <w:rFonts w:hint="default" w:ascii="Times New Roman" w:hAnsi="Times New Roman" w:eastAsia="宋体" w:cs="Times New Roman"/>
          <w:color w:val="auto"/>
        </w:rPr>
        <w:t>②</w:t>
      </w:r>
      <w:r>
        <w:rPr>
          <w:rFonts w:hint="default" w:ascii="Times New Roman" w:hAnsi="Times New Roman" w:cs="Times New Roman"/>
          <w:color w:val="auto"/>
        </w:rPr>
        <w:t>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w:t>
      </w:r>
    </w:p>
    <w:p w14:paraId="7076510A">
      <w:pPr>
        <w:spacing w:before="50" w:after="50"/>
        <w:ind w:firstLine="480"/>
        <w:textAlignment w:val="baseline"/>
        <w:rPr>
          <w:rFonts w:hint="default" w:ascii="Times New Roman" w:hAnsi="Times New Roman" w:cs="Times New Roman"/>
          <w:color w:val="auto"/>
          <w:szCs w:val="24"/>
        </w:rPr>
      </w:pPr>
      <w:r>
        <w:rPr>
          <w:rFonts w:hint="default" w:ascii="Times New Roman" w:hAnsi="Times New Roman" w:cs="Times New Roman"/>
          <w:color w:val="auto"/>
          <w:szCs w:val="24"/>
        </w:rPr>
        <w:t>为项目评价区主要出露地层，地貌上为河流二、三级阶地，上部为黄褐色软塑到可塑状粉质粘土，厚度一般0.5～9.70m，切面较光滑，无摇振反应，干强度，韧性中等。下部局部地段分布松散-稍密卵石层，灰褐色，湿，卵石成分为长石石英砂岩、呈亚圆形，卵石含量约55%～60%不等，粒径一般为15～70 mm，分选性中等，中等风化，间隙充填砂，厚度0.5～3.4 m。根据勘察资料，该层总厚度为2.1～11.0m。</w:t>
      </w:r>
    </w:p>
    <w:p w14:paraId="132A188E">
      <w:pPr>
        <w:ind w:firstLine="480"/>
        <w:rPr>
          <w:rFonts w:hint="default" w:ascii="Times New Roman" w:hAnsi="Times New Roman" w:cs="Times New Roman"/>
          <w:color w:val="auto"/>
        </w:rPr>
      </w:pPr>
      <w:r>
        <w:rPr>
          <w:rFonts w:hint="default" w:ascii="Times New Roman" w:hAnsi="Times New Roman" w:eastAsia="宋体" w:cs="Times New Roman"/>
          <w:color w:val="auto"/>
        </w:rPr>
        <w:t>④</w:t>
      </w:r>
      <w:r>
        <w:rPr>
          <w:rFonts w:hint="default" w:ascii="Times New Roman" w:hAnsi="Times New Roman" w:cs="Times New Roman"/>
          <w:color w:val="auto"/>
        </w:rPr>
        <w:t>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w:t>
      </w:r>
    </w:p>
    <w:p w14:paraId="0B23A95B">
      <w:pPr>
        <w:ind w:firstLine="480"/>
        <w:rPr>
          <w:rFonts w:hint="default" w:ascii="Times New Roman" w:hAnsi="Times New Roman" w:cs="Times New Roman"/>
          <w:color w:val="auto"/>
        </w:rPr>
      </w:pPr>
      <w:r>
        <w:rPr>
          <w:rFonts w:hint="default" w:ascii="Times New Roman" w:hAnsi="Times New Roman" w:cs="Times New Roman"/>
          <w:color w:val="auto"/>
        </w:rPr>
        <w:t>在污水处理厂与巴河之间呈条带状分布，为近代河流冲积形成的一级阶地，宽度约30-70m。阶地上部为灰褐色亚粘土，厚2-5 m；下部为砂砾卵石层，其中砂约占30%。砾卵石直径一般3-8cm，大者15cm左右，磨圆较好，多呈次圆状，砾石成分主要为砂岩，次为灰岩、岩浆岩。根据勘察资料及现场调查，评价区该层厚度约10-15 m。</w:t>
      </w:r>
    </w:p>
    <w:p w14:paraId="76F04B57">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地质构造</w:t>
      </w:r>
    </w:p>
    <w:p w14:paraId="27AFC39B">
      <w:pPr>
        <w:ind w:firstLine="480"/>
        <w:rPr>
          <w:rFonts w:hint="default" w:ascii="Times New Roman" w:hAnsi="Times New Roman" w:cs="Times New Roman"/>
          <w:color w:val="auto"/>
        </w:rPr>
      </w:pPr>
      <w:bookmarkStart w:id="161" w:name="_Toc327221730"/>
      <w:r>
        <w:rPr>
          <w:rFonts w:hint="default" w:ascii="Times New Roman" w:hAnsi="Times New Roman" w:cs="Times New Roman"/>
          <w:color w:val="auto"/>
        </w:rPr>
        <w:t>项目评价区位于新华夏系四川沉降带的川东褶皱带内的巴中—仪陇—平昌莲花状旋扭构造体系中。该构造体系是由一系列规模大小不一，两翼似斜平缓呈参差不齐的半环状排列的背、向斜褶皱构造形迹组成，区域地貌属大巴山南坡前山带，为构造剥蚀丘陵地貌。区内构造形态单一，未见断裂，无褶皱，地应力作用不强，岩层很平缓，拟建场地位于巴中向斜南翼，岩层产状223∠3，出露白垩系白龙组的砂岩、泥岩拟建场地无断裂和褶皱，无断裂构造通过，无新构造运动迹象，稳定性较好。</w:t>
      </w:r>
    </w:p>
    <w:p w14:paraId="7C780477">
      <w:pPr>
        <w:pStyle w:val="6"/>
        <w:bidi w:val="0"/>
        <w:rPr>
          <w:color w:val="auto"/>
        </w:rPr>
      </w:pPr>
      <w:r>
        <w:rPr>
          <w:color w:val="auto"/>
        </w:rPr>
        <w:t>评价区水文地质条件</w:t>
      </w:r>
    </w:p>
    <w:p w14:paraId="6C3A801A">
      <w:pPr>
        <w:bidi w:val="0"/>
        <w:rPr>
          <w:b/>
          <w:bCs/>
          <w:color w:val="auto"/>
        </w:rPr>
      </w:pPr>
      <w:r>
        <w:rPr>
          <w:rFonts w:hint="eastAsia"/>
          <w:b/>
          <w:bCs/>
          <w:color w:val="auto"/>
          <w:lang w:val="en-US" w:eastAsia="zh-CN"/>
        </w:rPr>
        <w:t>1、</w:t>
      </w:r>
      <w:r>
        <w:rPr>
          <w:b/>
          <w:bCs/>
          <w:color w:val="auto"/>
        </w:rPr>
        <w:t>地下水类型及其富水性</w:t>
      </w:r>
    </w:p>
    <w:p w14:paraId="41025CBC">
      <w:pPr>
        <w:ind w:firstLine="480"/>
        <w:rPr>
          <w:rFonts w:hint="default" w:ascii="Times New Roman" w:hAnsi="Times New Roman" w:cs="Times New Roman"/>
          <w:color w:val="auto"/>
        </w:rPr>
      </w:pPr>
      <w:r>
        <w:rPr>
          <w:rFonts w:hint="default" w:ascii="Times New Roman" w:hAnsi="Times New Roman" w:cs="Times New Roman"/>
          <w:color w:val="auto"/>
        </w:rPr>
        <w:t>项目评价区地下水类型包含第四系松散类孔隙水和基岩裂隙水两大类，第四系松散岩类孔隙水主要赋存于第四系粉质粘土及砂砾卵石层松散孔隙中，基岩裂隙水主要赋存于砂岩浅层裂隙中，两者有较强的水力联系。</w:t>
      </w:r>
    </w:p>
    <w:p w14:paraId="0DE51FA0">
      <w:pPr>
        <w:ind w:firstLine="480"/>
        <w:rPr>
          <w:rFonts w:hint="default" w:ascii="Times New Roman" w:hAnsi="Times New Roman" w:cs="Times New Roman"/>
          <w:color w:val="auto"/>
        </w:rPr>
      </w:pPr>
      <w:r>
        <w:rPr>
          <w:rFonts w:hint="default" w:ascii="Times New Roman" w:hAnsi="Times New Roman" w:cs="Times New Roman"/>
          <w:color w:val="auto"/>
        </w:rPr>
        <w:t>（1）第四系松散岩类孔隙水</w:t>
      </w:r>
    </w:p>
    <w:p w14:paraId="097CFC5D">
      <w:pPr>
        <w:ind w:firstLine="480"/>
        <w:rPr>
          <w:rFonts w:hint="default" w:ascii="Times New Roman" w:hAnsi="Times New Roman" w:cs="Times New Roman"/>
          <w:color w:val="auto"/>
        </w:rPr>
      </w:pPr>
      <w:r>
        <w:rPr>
          <w:rFonts w:hint="default" w:ascii="Times New Roman" w:hAnsi="Times New Roman" w:cs="Times New Roman"/>
          <w:color w:val="auto"/>
        </w:rPr>
        <w:t>广泛赋存于本项目评价区第四系更新世堆积的粘土、亚粘土及砂砾卵石层</w:t>
      </w:r>
      <w:r>
        <w:rPr>
          <w:rFonts w:hint="eastAsia" w:ascii="Times New Roman" w:hAnsi="Times New Roman" w:cs="Times New Roman"/>
          <w:color w:val="auto"/>
          <w:lang w:eastAsia="zh-CN"/>
        </w:rPr>
        <w:t>（</w:t>
      </w:r>
      <w:r>
        <w:rPr>
          <w:rFonts w:hint="default" w:ascii="Times New Roman" w:hAnsi="Times New Roman" w:cs="Times New Roman"/>
          <w:color w:val="auto"/>
        </w:rPr>
        <w:t>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eastAsia" w:ascii="Times New Roman" w:hAnsi="Times New Roman" w:cs="Times New Roman"/>
          <w:color w:val="auto"/>
          <w:lang w:eastAsia="zh-CN"/>
        </w:rPr>
        <w:t>）</w:t>
      </w:r>
      <w:r>
        <w:rPr>
          <w:rFonts w:hint="default" w:ascii="Times New Roman" w:hAnsi="Times New Roman" w:cs="Times New Roman"/>
          <w:color w:val="auto"/>
        </w:rPr>
        <w:t>，地貌上属巴河的二、三级阶地，污水处理厂到巴河之间的一级阶地全新统砂砾卵石层</w:t>
      </w:r>
      <w:r>
        <w:rPr>
          <w:rFonts w:hint="eastAsia" w:ascii="Times New Roman" w:hAnsi="Times New Roman" w:cs="Times New Roman"/>
          <w:color w:val="auto"/>
          <w:lang w:eastAsia="zh-CN"/>
        </w:rPr>
        <w:t>（</w:t>
      </w:r>
      <w:r>
        <w:rPr>
          <w:rFonts w:hint="default" w:ascii="Times New Roman" w:hAnsi="Times New Roman" w:cs="Times New Roman"/>
          <w:color w:val="auto"/>
        </w:rPr>
        <w:t>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eastAsia" w:ascii="Times New Roman" w:hAnsi="Times New Roman" w:cs="Times New Roman"/>
          <w:color w:val="auto"/>
          <w:lang w:eastAsia="zh-CN"/>
        </w:rPr>
        <w:t>）</w:t>
      </w:r>
      <w:r>
        <w:rPr>
          <w:rFonts w:hint="default" w:ascii="Times New Roman" w:hAnsi="Times New Roman" w:cs="Times New Roman"/>
          <w:color w:val="auto"/>
        </w:rPr>
        <w:t>含泥质重，也划归此类。地层整体富水性较差，根据区域水文地质资料区域上只在堆积层底部近基座面上有泉水出露，流量0.015-0.454 L/s，水量相对贫乏，单井涌水量一般在10-100 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2BF65C75">
      <w:pPr>
        <w:ind w:firstLine="480"/>
        <w:rPr>
          <w:rFonts w:hint="default" w:ascii="Times New Roman" w:hAnsi="Times New Roman" w:cs="Times New Roman"/>
          <w:color w:val="auto"/>
        </w:rPr>
      </w:pPr>
      <w:r>
        <w:rPr>
          <w:rFonts w:hint="default" w:ascii="Times New Roman" w:hAnsi="Times New Roman" w:cs="Times New Roman"/>
          <w:color w:val="auto"/>
        </w:rPr>
        <w:t>（2）基岩裂隙水</w:t>
      </w:r>
    </w:p>
    <w:p w14:paraId="1ECC49E1">
      <w:pPr>
        <w:ind w:firstLine="480"/>
        <w:rPr>
          <w:rFonts w:hint="default" w:ascii="Times New Roman" w:hAnsi="Times New Roman" w:cs="Times New Roman"/>
          <w:color w:val="auto"/>
        </w:rPr>
      </w:pPr>
      <w:r>
        <w:rPr>
          <w:rFonts w:hint="default" w:ascii="Times New Roman" w:hAnsi="Times New Roman" w:cs="Times New Roman"/>
          <w:color w:val="auto"/>
        </w:rPr>
        <w:t>根据项目岩土工程勘察报告，评价区“宽缓槽谷”内第四系粉质粘土及砂卵石层覆盖于下伏白垩系白龙组（K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长石石英砂岩地层之上，砂岩中浅部横张及X节理发育，由于埋藏浅，在长期外营力改造，裂隙进一步扩张，构成浅层地下水良好储存空间，裂隙发育厚度18～20m。评价区地表汇水条件好，浅层地下水主要接受大气降雨补给，槽谷两侧山体接受补给后，沿第四系孔隙及基岩裂隙带向地形低洼区域汇集，富集埋藏于地势低洼的沟谷、平坝、洼地地带。丘坡下部坡度变缓区域及槽谷内第四系之下的基岩裂隙是此类地下水最佳储水介质。因此，农户也较为集中地选择半坡以下及平坝而居。由于埋藏浅，径流时间短，因此地下水动态变化受气候因素影响较大。单井出水量小于50 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22B51B3F">
      <w:pPr>
        <w:bidi w:val="0"/>
        <w:rPr>
          <w:b/>
          <w:bCs/>
          <w:color w:val="auto"/>
        </w:rPr>
      </w:pPr>
      <w:r>
        <w:rPr>
          <w:rFonts w:hint="eastAsia"/>
          <w:b/>
          <w:bCs/>
          <w:color w:val="auto"/>
          <w:lang w:val="en-US" w:eastAsia="zh-CN"/>
        </w:rPr>
        <w:t>2、</w:t>
      </w:r>
      <w:r>
        <w:rPr>
          <w:b/>
          <w:bCs/>
          <w:color w:val="auto"/>
        </w:rPr>
        <w:t>地下水补给、径流和排泄条件</w:t>
      </w:r>
    </w:p>
    <w:p w14:paraId="34F82932">
      <w:pPr>
        <w:ind w:firstLine="480"/>
        <w:rPr>
          <w:color w:val="auto"/>
        </w:rPr>
      </w:pPr>
      <w:r>
        <w:rPr>
          <w:rFonts w:hint="eastAsia"/>
          <w:color w:val="auto"/>
        </w:rPr>
        <w:t>评价区第四系松散岩类孔隙水及基岩裂隙水主要接受大气降雨垂直入渗补给，其次是地表水体，水库、堰塘、稻田、溪沟等对地下水均有一定的补给，评价区浅层地下水还接受来自北侧后缘的基岩裂隙水补给。由于降水的时空分布不均，因而这种补给是周期性的，当年4～10月为补给期，是地下水的峰值期，11月～次年3月为地下水消耗期，是地下水埋深、流量削减季节。评价区与广大红层丘陵地区相似，地下水一般由小沟至大沟，由支沟向主沟缓慢渗流，并以泉和渗流形式部分向低洼沟谷排泄，并最终排向当地最低侵蚀基准面，同时区内的居民打井抽汲地下水作为生产生活用水，也是常见的地下水排泄方式之一。</w:t>
      </w:r>
    </w:p>
    <w:bookmarkEnd w:id="155"/>
    <w:bookmarkEnd w:id="156"/>
    <w:bookmarkEnd w:id="157"/>
    <w:bookmarkEnd w:id="158"/>
    <w:bookmarkEnd w:id="159"/>
    <w:bookmarkEnd w:id="160"/>
    <w:bookmarkEnd w:id="161"/>
    <w:p w14:paraId="3F59B647">
      <w:pPr>
        <w:bidi w:val="0"/>
        <w:rPr>
          <w:color w:val="auto"/>
        </w:rPr>
      </w:pPr>
      <w:r>
        <w:rPr>
          <w:color w:val="auto"/>
        </w:rPr>
        <w:t>由监测结果可知，在监测时间内，所监测的各项指标均满足《地下水质量标准》（GB/T14848-2017）Ⅲ类水质标准限值要求，说明区域地下水环境质量良好。</w:t>
      </w:r>
    </w:p>
    <w:p w14:paraId="3330286C">
      <w:pPr>
        <w:pStyle w:val="5"/>
        <w:bidi w:val="0"/>
        <w:rPr>
          <w:color w:val="auto"/>
        </w:rPr>
      </w:pPr>
      <w:r>
        <w:rPr>
          <w:rFonts w:hint="eastAsia"/>
          <w:color w:val="auto"/>
          <w:lang w:val="en-US" w:eastAsia="zh-CN"/>
        </w:rPr>
        <w:t xml:space="preserve"> </w:t>
      </w:r>
      <w:r>
        <w:rPr>
          <w:color w:val="auto"/>
        </w:rPr>
        <w:t>声环境质量现状监测与评价</w:t>
      </w:r>
    </w:p>
    <w:p w14:paraId="0EF41A21">
      <w:pPr>
        <w:pageBreakBefore w:val="0"/>
        <w:wordWrap/>
        <w:bidi w:val="0"/>
        <w:adjustRightInd/>
        <w:snapToGrid/>
        <w:ind w:firstLine="480"/>
        <w:rPr>
          <w:color w:val="auto"/>
        </w:rPr>
      </w:pPr>
      <w:r>
        <w:rPr>
          <w:color w:val="auto"/>
        </w:rPr>
        <w:t>由监测结果可知，各噪声监测点昼、夜间噪声监测值均满足《声环境质量标准》（GB3096-2008）中的</w:t>
      </w:r>
      <w:r>
        <w:rPr>
          <w:rFonts w:hint="eastAsia"/>
          <w:color w:val="auto"/>
          <w:lang w:val="en-US" w:eastAsia="zh-CN"/>
        </w:rPr>
        <w:t>2</w:t>
      </w:r>
      <w:r>
        <w:rPr>
          <w:color w:val="auto"/>
        </w:rPr>
        <w:t>类</w:t>
      </w:r>
      <w:r>
        <w:rPr>
          <w:rFonts w:hint="eastAsia"/>
          <w:color w:val="auto"/>
          <w:lang w:val="en-US" w:eastAsia="zh-CN"/>
        </w:rPr>
        <w:t>和4a类（临路侧）</w:t>
      </w:r>
      <w:r>
        <w:rPr>
          <w:color w:val="auto"/>
        </w:rPr>
        <w:t>标准限值要求，项目所在地声环境质量较好。</w:t>
      </w:r>
    </w:p>
    <w:p w14:paraId="5C60A35B">
      <w:pPr>
        <w:pStyle w:val="5"/>
        <w:bidi w:val="0"/>
        <w:rPr>
          <w:color w:val="auto"/>
        </w:rPr>
      </w:pPr>
      <w:r>
        <w:rPr>
          <w:rFonts w:hint="eastAsia"/>
          <w:color w:val="auto"/>
          <w:lang w:val="en-US" w:eastAsia="zh-CN"/>
        </w:rPr>
        <w:t xml:space="preserve"> </w:t>
      </w:r>
      <w:r>
        <w:rPr>
          <w:color w:val="auto"/>
        </w:rPr>
        <w:t>土壤环境质量现状监测与评价</w:t>
      </w:r>
    </w:p>
    <w:p w14:paraId="43C16C48">
      <w:pPr>
        <w:bidi w:val="0"/>
        <w:rPr>
          <w:color w:val="auto"/>
        </w:rPr>
      </w:pPr>
      <w:r>
        <w:rPr>
          <w:color w:val="auto"/>
        </w:rPr>
        <w:t>根据</w:t>
      </w:r>
      <w:r>
        <w:rPr>
          <w:rFonts w:hint="eastAsia"/>
          <w:color w:val="auto"/>
          <w:lang w:val="en-US" w:eastAsia="zh-CN"/>
        </w:rPr>
        <w:t>监测</w:t>
      </w:r>
      <w:r>
        <w:rPr>
          <w:color w:val="auto"/>
        </w:rPr>
        <w:t>数据，区域土壤环境质量满足《土壤环境质量 建设用地土壤污染风险管控标准（试行）》（GB36600-2018）中筛选值第二类用地限值要求，表明评价区域内土壤环境质量较好。</w:t>
      </w:r>
    </w:p>
    <w:p w14:paraId="3AB3F485">
      <w:pPr>
        <w:pStyle w:val="5"/>
        <w:bidi w:val="0"/>
        <w:rPr>
          <w:color w:val="auto"/>
        </w:rPr>
      </w:pPr>
      <w:r>
        <w:rPr>
          <w:rFonts w:hint="eastAsia"/>
          <w:color w:val="auto"/>
          <w:lang w:val="en-US" w:eastAsia="zh-CN"/>
        </w:rPr>
        <w:t xml:space="preserve"> </w:t>
      </w:r>
      <w:r>
        <w:rPr>
          <w:color w:val="auto"/>
        </w:rPr>
        <w:t>河道底泥环境质量现状监测与评价</w:t>
      </w:r>
    </w:p>
    <w:p w14:paraId="4B5F9974">
      <w:pPr>
        <w:pageBreakBefore w:val="0"/>
        <w:wordWrap/>
        <w:bidi w:val="0"/>
        <w:adjustRightInd/>
        <w:snapToGrid/>
        <w:ind w:firstLine="480"/>
        <w:rPr>
          <w:color w:val="auto"/>
        </w:rPr>
      </w:pPr>
      <w:r>
        <w:rPr>
          <w:color w:val="auto"/>
        </w:rPr>
        <w:t>根据监测结果，监测点</w:t>
      </w:r>
      <w:r>
        <w:rPr>
          <w:rFonts w:hint="eastAsia"/>
          <w:color w:val="auto"/>
          <w:lang w:val="en-US" w:eastAsia="zh-CN"/>
        </w:rPr>
        <w:t>污染物</w:t>
      </w:r>
      <w:r>
        <w:rPr>
          <w:color w:val="auto"/>
        </w:rPr>
        <w:t>均满足《土壤环境质量建设用地土壤污染风险管控标准（试行）》（GB36600-2018）第二类用地风险筛选值。</w:t>
      </w:r>
    </w:p>
    <w:p w14:paraId="0AB682A2">
      <w:pPr>
        <w:bidi w:val="0"/>
        <w:rPr>
          <w:color w:val="auto"/>
        </w:rPr>
      </w:pPr>
      <w:r>
        <w:rPr>
          <w:color w:val="auto"/>
        </w:rPr>
        <w:t>综上所述，本项目所在区域自然环境状况良好，无明显环境制约因素。同时，本项目</w:t>
      </w:r>
      <w:r>
        <w:rPr>
          <w:rFonts w:hint="eastAsia"/>
          <w:color w:val="auto"/>
        </w:rPr>
        <w:t>建设有利于缓解</w:t>
      </w:r>
      <w:r>
        <w:rPr>
          <w:rFonts w:hint="eastAsia"/>
          <w:color w:val="auto"/>
          <w:lang w:eastAsia="zh-CN"/>
        </w:rPr>
        <w:t>曾口镇污水处理厂</w:t>
      </w:r>
      <w:r>
        <w:rPr>
          <w:rFonts w:hint="eastAsia"/>
          <w:color w:val="auto"/>
        </w:rPr>
        <w:t>服务范围内水处理压力，项目建设符合园区</w:t>
      </w:r>
      <w:r>
        <w:rPr>
          <w:color w:val="auto"/>
        </w:rPr>
        <w:t>主导产业及土地利用规划要求。据现状监测结果分析可知：项目所在区域大气、地表水、地下水、噪声、底泥及土壤等环境质量现状良好，各指标均能达标，满足相关环境质量要求。</w:t>
      </w:r>
    </w:p>
    <w:p w14:paraId="0555BF9F">
      <w:pPr>
        <w:pStyle w:val="31"/>
        <w:pageBreakBefore w:val="0"/>
        <w:wordWrap/>
        <w:bidi w:val="0"/>
        <w:adjustRightInd/>
        <w:snapToGrid/>
        <w:ind w:left="480" w:firstLine="480"/>
        <w:rPr>
          <w:color w:val="auto"/>
          <w:sz w:val="24"/>
        </w:rPr>
      </w:pPr>
    </w:p>
    <w:p w14:paraId="40515240">
      <w:pPr>
        <w:pStyle w:val="31"/>
        <w:pageBreakBefore w:val="0"/>
        <w:wordWrap/>
        <w:bidi w:val="0"/>
        <w:adjustRightInd/>
        <w:snapToGrid/>
        <w:ind w:left="480" w:firstLine="480"/>
        <w:rPr>
          <w:color w:val="auto"/>
          <w:sz w:val="24"/>
        </w:rPr>
      </w:pPr>
    </w:p>
    <w:p w14:paraId="14D005BE">
      <w:pPr>
        <w:pStyle w:val="31"/>
        <w:pageBreakBefore w:val="0"/>
        <w:wordWrap/>
        <w:bidi w:val="0"/>
        <w:adjustRightInd/>
        <w:snapToGrid/>
        <w:ind w:left="480" w:firstLine="480"/>
        <w:rPr>
          <w:color w:val="auto"/>
          <w:sz w:val="24"/>
        </w:rPr>
      </w:pPr>
    </w:p>
    <w:bookmarkEnd w:id="139"/>
    <w:bookmarkEnd w:id="140"/>
    <w:bookmarkEnd w:id="141"/>
    <w:bookmarkEnd w:id="142"/>
    <w:bookmarkEnd w:id="146"/>
    <w:bookmarkEnd w:id="152"/>
    <w:p w14:paraId="1ABA607A">
      <w:pPr>
        <w:pStyle w:val="3"/>
        <w:pageBreakBefore w:val="0"/>
        <w:wordWrap/>
        <w:bidi w:val="0"/>
        <w:adjustRightInd/>
        <w:snapToGrid/>
        <w:rPr>
          <w:rFonts w:eastAsia="宋体"/>
          <w:color w:val="auto"/>
        </w:rPr>
        <w:sectPr>
          <w:headerReference r:id="rId21" w:type="default"/>
          <w:pgSz w:w="11906" w:h="16838"/>
          <w:pgMar w:top="1701" w:right="1701" w:bottom="1701" w:left="1701" w:header="794" w:footer="1134" w:gutter="0"/>
          <w:pgBorders>
            <w:top w:val="none" w:sz="0" w:space="0"/>
            <w:left w:val="none" w:sz="0" w:space="0"/>
            <w:bottom w:val="none" w:sz="0" w:space="0"/>
            <w:right w:val="none" w:sz="0" w:space="0"/>
          </w:pgBorders>
          <w:pgNumType w:fmt="decimal"/>
          <w:cols w:space="720" w:num="1"/>
          <w:docGrid w:type="lines" w:linePitch="312" w:charSpace="0"/>
        </w:sectPr>
      </w:pPr>
      <w:bookmarkStart w:id="162" w:name="_Toc10142"/>
    </w:p>
    <w:p w14:paraId="60EF4258">
      <w:pPr>
        <w:pStyle w:val="3"/>
        <w:pageBreakBefore w:val="0"/>
        <w:wordWrap/>
        <w:bidi w:val="0"/>
        <w:adjustRightInd/>
        <w:snapToGrid/>
        <w:rPr>
          <w:rFonts w:eastAsia="宋体"/>
          <w:color w:val="auto"/>
        </w:rPr>
      </w:pPr>
      <w:bookmarkStart w:id="163" w:name="_Toc30054"/>
      <w:r>
        <w:rPr>
          <w:rFonts w:eastAsia="宋体"/>
          <w:color w:val="auto"/>
        </w:rPr>
        <w:t>环境影响预测与评价</w:t>
      </w:r>
      <w:bookmarkEnd w:id="162"/>
      <w:bookmarkEnd w:id="163"/>
    </w:p>
    <w:p w14:paraId="0E61BCE2">
      <w:pPr>
        <w:pStyle w:val="4"/>
        <w:pageBreakBefore w:val="0"/>
        <w:wordWrap/>
        <w:bidi w:val="0"/>
        <w:adjustRightInd/>
        <w:snapToGrid/>
        <w:rPr>
          <w:rFonts w:ascii="Times New Roman" w:hAnsi="Times New Roman" w:eastAsia="宋体"/>
          <w:color w:val="auto"/>
        </w:rPr>
      </w:pPr>
      <w:bookmarkStart w:id="164" w:name="_Toc29614"/>
      <w:bookmarkStart w:id="165" w:name="_Toc362082745"/>
      <w:bookmarkStart w:id="166" w:name="_Toc374627791"/>
      <w:bookmarkStart w:id="167" w:name="_Toc505087359"/>
      <w:bookmarkStart w:id="168" w:name="_Toc27730"/>
      <w:r>
        <w:rPr>
          <w:rFonts w:hint="eastAsia" w:ascii="Times New Roman" w:hAnsi="Times New Roman" w:eastAsia="宋体"/>
          <w:color w:val="auto"/>
        </w:rPr>
        <w:t xml:space="preserve"> </w:t>
      </w:r>
      <w:bookmarkStart w:id="169" w:name="_Toc22550"/>
      <w:r>
        <w:rPr>
          <w:rFonts w:ascii="Times New Roman" w:hAnsi="Times New Roman" w:eastAsia="宋体"/>
          <w:color w:val="auto"/>
        </w:rPr>
        <w:t>施工期环境影响预测与评价</w:t>
      </w:r>
      <w:bookmarkEnd w:id="164"/>
      <w:bookmarkEnd w:id="165"/>
      <w:bookmarkEnd w:id="166"/>
      <w:bookmarkEnd w:id="167"/>
      <w:bookmarkEnd w:id="168"/>
      <w:bookmarkEnd w:id="169"/>
    </w:p>
    <w:p w14:paraId="037E9603">
      <w:pPr>
        <w:pStyle w:val="5"/>
        <w:bidi w:val="0"/>
        <w:rPr>
          <w:color w:val="auto"/>
        </w:rPr>
      </w:pPr>
      <w:bookmarkStart w:id="170" w:name="_Toc374627792"/>
      <w:bookmarkStart w:id="171" w:name="_Toc23090"/>
      <w:r>
        <w:rPr>
          <w:rFonts w:hint="eastAsia"/>
          <w:color w:val="auto"/>
        </w:rPr>
        <w:t xml:space="preserve"> </w:t>
      </w:r>
      <w:r>
        <w:rPr>
          <w:color w:val="auto"/>
        </w:rPr>
        <w:t>施工期</w:t>
      </w:r>
      <w:bookmarkEnd w:id="170"/>
      <w:bookmarkEnd w:id="171"/>
      <w:r>
        <w:rPr>
          <w:color w:val="auto"/>
        </w:rPr>
        <w:t>大气环境影响预测与评价</w:t>
      </w:r>
    </w:p>
    <w:p w14:paraId="35AB9B50">
      <w:pPr>
        <w:bidi w:val="0"/>
        <w:rPr>
          <w:b/>
          <w:bCs/>
          <w:color w:val="auto"/>
        </w:rPr>
      </w:pPr>
      <w:bookmarkStart w:id="172" w:name="_Toc3767"/>
      <w:r>
        <w:rPr>
          <w:b/>
          <w:bCs/>
          <w:color w:val="auto"/>
        </w:rPr>
        <w:t>1、主要大气污染因子的确定</w:t>
      </w:r>
    </w:p>
    <w:p w14:paraId="3D9D53C4">
      <w:pPr>
        <w:bidi w:val="0"/>
        <w:rPr>
          <w:color w:val="auto"/>
        </w:rPr>
      </w:pPr>
      <w:r>
        <w:rPr>
          <w:color w:val="auto"/>
        </w:rPr>
        <w:t>本项目废气主要来源为施工扬尘、施工机械运行产生的无组织排放废气以及装修阶段的油漆废气，其中以施工扬尘对空气环境质量的影响最大。</w:t>
      </w:r>
    </w:p>
    <w:p w14:paraId="2BEA2651">
      <w:pPr>
        <w:bidi w:val="0"/>
        <w:rPr>
          <w:color w:val="auto"/>
        </w:rPr>
      </w:pPr>
      <w:r>
        <w:rPr>
          <w:color w:val="auto"/>
        </w:rPr>
        <w:t>工程施工时，在运输车辆行驶、施工垃圾的清理及堆放、人来车往、堆料场装卸材料等均可能产生扬尘。一般情况下，扬尘产生量在有风旱季晴天多于无风和雨季，动态施工多于静态作业。</w:t>
      </w:r>
    </w:p>
    <w:p w14:paraId="7E0EBA73">
      <w:pPr>
        <w:bidi w:val="0"/>
        <w:rPr>
          <w:color w:val="auto"/>
        </w:rPr>
      </w:pPr>
      <w:r>
        <w:rPr>
          <w:color w:val="auto"/>
        </w:rPr>
        <w:t>类比同类项目，本项目施工过程中的施工扬尘将是大气污染因子中对周边敏感点大气环境影响最大的一项。因此，本次环评将主要对施工扬尘对项目周围环境产生的影响进行分析评价。</w:t>
      </w:r>
    </w:p>
    <w:p w14:paraId="6FCBAD83">
      <w:pPr>
        <w:pageBreakBefore w:val="0"/>
        <w:wordWrap/>
        <w:bidi w:val="0"/>
        <w:adjustRightInd/>
        <w:snapToGrid/>
        <w:ind w:firstLine="480"/>
        <w:rPr>
          <w:b/>
          <w:bCs/>
          <w:color w:val="auto"/>
        </w:rPr>
      </w:pPr>
      <w:r>
        <w:rPr>
          <w:b/>
          <w:bCs/>
          <w:color w:val="auto"/>
        </w:rPr>
        <w:t>2、</w:t>
      </w:r>
      <w:r>
        <w:rPr>
          <w:rFonts w:hint="eastAsia"/>
          <w:b/>
          <w:bCs/>
          <w:color w:val="auto"/>
          <w:lang w:val="en-US" w:eastAsia="zh-CN"/>
        </w:rPr>
        <w:t>污水处理厂施工</w:t>
      </w:r>
      <w:r>
        <w:rPr>
          <w:b/>
          <w:bCs/>
          <w:color w:val="auto"/>
        </w:rPr>
        <w:t>影响分析评价</w:t>
      </w:r>
    </w:p>
    <w:p w14:paraId="470E778B">
      <w:pPr>
        <w:pageBreakBefore w:val="0"/>
        <w:wordWrap/>
        <w:bidi w:val="0"/>
        <w:adjustRightInd/>
        <w:snapToGrid/>
        <w:ind w:firstLine="480"/>
        <w:rPr>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施工扬尘</w:t>
      </w:r>
    </w:p>
    <w:p w14:paraId="43D1EC29">
      <w:pPr>
        <w:pageBreakBefore w:val="0"/>
        <w:wordWrap/>
        <w:bidi w:val="0"/>
        <w:adjustRightInd/>
        <w:snapToGrid/>
        <w:ind w:firstLine="480"/>
        <w:rPr>
          <w:color w:val="auto"/>
        </w:rPr>
      </w:pPr>
      <w:r>
        <w:rPr>
          <w:color w:val="auto"/>
        </w:rPr>
        <w:t>在整个施工期间，产生扬尘的作业主要有土地平整、打桩、开挖、回填、结构浇注、建材运输、露天堆放、装卸和搅拌等过程，如遇干旱无雨季节，在大风时，施工扬尘将更严重。</w:t>
      </w:r>
    </w:p>
    <w:p w14:paraId="1383254E">
      <w:pPr>
        <w:pageBreakBefore w:val="0"/>
        <w:wordWrap/>
        <w:bidi w:val="0"/>
        <w:adjustRightInd/>
        <w:snapToGrid/>
        <w:ind w:firstLine="480"/>
        <w:rPr>
          <w:color w:val="auto"/>
        </w:rPr>
      </w:pPr>
      <w:r>
        <w:rPr>
          <w:color w:val="auto"/>
        </w:rPr>
        <w:t>对施工工地扬尘而言，</w:t>
      </w:r>
      <w:r>
        <w:rPr>
          <w:rFonts w:hint="eastAsia"/>
          <w:color w:val="auto"/>
        </w:rPr>
        <w:t>扬尘按起尘原因可以分为风力扬尘和动力扬尘。</w:t>
      </w:r>
    </w:p>
    <w:p w14:paraId="5DC33441">
      <w:pPr>
        <w:bidi w:val="0"/>
        <w:rPr>
          <w:rFonts w:hint="eastAsia"/>
          <w:b/>
          <w:bCs/>
          <w:color w:val="auto"/>
          <w:lang w:eastAsia="zh-CN"/>
        </w:rPr>
      </w:pPr>
      <w:r>
        <w:rPr>
          <w:rFonts w:hint="default"/>
          <w:b/>
          <w:bCs/>
          <w:color w:val="auto"/>
          <w:lang w:eastAsia="zh-CN"/>
        </w:rPr>
        <w:t>①</w:t>
      </w:r>
      <w:r>
        <w:rPr>
          <w:rFonts w:hint="eastAsia"/>
          <w:b/>
          <w:bCs/>
          <w:color w:val="auto"/>
          <w:lang w:eastAsia="zh-CN"/>
        </w:rPr>
        <w:t>风力扬尘</w:t>
      </w:r>
    </w:p>
    <w:p w14:paraId="15F1AC15">
      <w:pPr>
        <w:bidi w:val="0"/>
        <w:rPr>
          <w:rFonts w:hint="eastAsia"/>
          <w:color w:val="auto"/>
          <w:lang w:eastAsia="zh-CN"/>
        </w:rPr>
      </w:pPr>
      <w:r>
        <w:rPr>
          <w:rFonts w:hint="eastAsia"/>
          <w:color w:val="auto"/>
          <w:lang w:eastAsia="zh-CN"/>
        </w:rPr>
        <w:t>风力起尘主要是由于露天堆放的建材（如砂料、水泥等）及裸露的施工区表层浮尘因天气干燥及大风，产生风尘扬尘。由于本项目污水处理厂施工的需要，一些建材需露天堆放，一些施工点表层土壤需人工开挖、堆放，在气候干燥又有风的情况下，就会产生扬尘，其扬尘可按堆场起尘的经验公式计算：</w:t>
      </w:r>
    </w:p>
    <w:p w14:paraId="2C842169">
      <w:pPr>
        <w:pageBreakBefore w:val="0"/>
        <w:wordWrap/>
        <w:bidi w:val="0"/>
        <w:adjustRightInd/>
        <w:snapToGrid/>
        <w:ind w:firstLine="480"/>
        <w:jc w:val="center"/>
        <w:rPr>
          <w:rFonts w:hint="eastAsia" w:eastAsia="宋体"/>
          <w:color w:val="auto"/>
          <w:lang w:val="en-US" w:eastAsia="zh-CN"/>
        </w:rPr>
      </w:pPr>
      <w:r>
        <w:rPr>
          <w:rFonts w:hint="eastAsia" w:eastAsia="宋体"/>
          <w:color w:val="auto"/>
          <w:position w:val="-12"/>
          <w:lang w:val="en-US" w:eastAsia="zh-CN"/>
        </w:rPr>
        <w:object>
          <v:shape id="_x0000_i1027" o:spt="75" type="#_x0000_t75" style="height:19pt;width:123pt;" o:ole="t" filled="f" o:preferrelative="t" stroked="f" coordsize="21600,21600">
            <v:path/>
            <v:fill on="f" focussize="0,0"/>
            <v:stroke on="f"/>
            <v:imagedata r:id="rId69" o:title=""/>
            <o:lock v:ext="edit" aspectratio="t"/>
            <w10:wrap type="none"/>
            <w10:anchorlock/>
          </v:shape>
          <o:OLEObject Type="Embed" ProgID="Equation.KSEE3" ShapeID="_x0000_i1027" DrawAspect="Content" ObjectID="_1468075727" r:id="rId68">
            <o:LockedField>false</o:LockedField>
          </o:OLEObject>
        </w:object>
      </w:r>
    </w:p>
    <w:p w14:paraId="685C42F4">
      <w:pPr>
        <w:bidi w:val="0"/>
        <w:rPr>
          <w:rFonts w:hint="eastAsia"/>
          <w:color w:val="auto"/>
        </w:rPr>
      </w:pPr>
      <w:r>
        <w:rPr>
          <w:rFonts w:hint="eastAsia"/>
          <w:color w:val="auto"/>
        </w:rPr>
        <w:t>其中：Q——起尘量，kg/吨·年；</w:t>
      </w:r>
    </w:p>
    <w:p w14:paraId="0C6B07FD">
      <w:pPr>
        <w:pageBreakBefore w:val="0"/>
        <w:wordWrap/>
        <w:bidi w:val="0"/>
        <w:adjustRightInd/>
        <w:snapToGrid/>
        <w:ind w:firstLine="1200" w:firstLineChars="500"/>
        <w:rPr>
          <w:rFonts w:hint="eastAsia"/>
          <w:color w:val="auto"/>
        </w:rPr>
      </w:pPr>
      <w:r>
        <w:rPr>
          <w:rFonts w:hint="eastAsia"/>
          <w:color w:val="auto"/>
        </w:rPr>
        <w:t>V</w:t>
      </w:r>
      <w:r>
        <w:rPr>
          <w:rFonts w:hint="eastAsia"/>
          <w:color w:val="auto"/>
          <w:vertAlign w:val="subscript"/>
        </w:rPr>
        <w:t>50</w:t>
      </w:r>
      <w:r>
        <w:rPr>
          <w:rFonts w:hint="eastAsia"/>
          <w:color w:val="auto"/>
        </w:rPr>
        <w:t>——距地面50m处风速，m/s；</w:t>
      </w:r>
    </w:p>
    <w:p w14:paraId="1CD13EEA">
      <w:pPr>
        <w:pageBreakBefore w:val="0"/>
        <w:wordWrap/>
        <w:bidi w:val="0"/>
        <w:adjustRightInd/>
        <w:snapToGrid/>
        <w:ind w:firstLine="1200" w:firstLineChars="500"/>
        <w:rPr>
          <w:rFonts w:hint="eastAsia"/>
          <w:color w:val="auto"/>
        </w:rPr>
      </w:pPr>
      <w:r>
        <w:rPr>
          <w:rFonts w:hint="eastAsia"/>
          <w:color w:val="auto"/>
        </w:rPr>
        <w:t>V</w:t>
      </w:r>
      <w:r>
        <w:rPr>
          <w:rFonts w:hint="eastAsia"/>
          <w:color w:val="auto"/>
          <w:vertAlign w:val="subscript"/>
        </w:rPr>
        <w:t>0</w:t>
      </w:r>
      <w:r>
        <w:rPr>
          <w:rFonts w:hint="eastAsia"/>
          <w:color w:val="auto"/>
        </w:rPr>
        <w:t>——起尘风速，m/s；</w:t>
      </w:r>
    </w:p>
    <w:p w14:paraId="60A60676">
      <w:pPr>
        <w:pageBreakBefore w:val="0"/>
        <w:wordWrap/>
        <w:bidi w:val="0"/>
        <w:adjustRightInd/>
        <w:snapToGrid/>
        <w:ind w:firstLine="1200" w:firstLineChars="500"/>
        <w:rPr>
          <w:rFonts w:hint="eastAsia"/>
          <w:color w:val="auto"/>
        </w:rPr>
      </w:pPr>
      <w:r>
        <w:rPr>
          <w:rFonts w:hint="eastAsia"/>
          <w:color w:val="auto"/>
        </w:rPr>
        <w:t>W——尘粒的含水率，%。</w:t>
      </w:r>
    </w:p>
    <w:p w14:paraId="427D46B3">
      <w:pPr>
        <w:pageBreakBefore w:val="0"/>
        <w:wordWrap/>
        <w:bidi w:val="0"/>
        <w:adjustRightInd/>
        <w:snapToGrid/>
        <w:ind w:firstLine="1200" w:firstLineChars="500"/>
        <w:rPr>
          <w:color w:val="auto"/>
        </w:rPr>
      </w:pPr>
      <w:r>
        <w:rPr>
          <w:rFonts w:hint="eastAsia"/>
          <w:color w:val="auto"/>
        </w:rPr>
        <w:t>V</w:t>
      </w:r>
      <w:r>
        <w:rPr>
          <w:rFonts w:hint="eastAsia"/>
          <w:color w:val="auto"/>
          <w:vertAlign w:val="subscript"/>
        </w:rPr>
        <w:t>0</w:t>
      </w:r>
      <w:r>
        <w:rPr>
          <w:rFonts w:hint="eastAsia"/>
          <w:color w:val="auto"/>
        </w:rPr>
        <w:t>与粒径和含水率有关，因此，减少露天堆放和保证一定的含水率及减少裸露地面是减少风力起尘的有效手段。</w:t>
      </w:r>
    </w:p>
    <w:p w14:paraId="3DAB7D66">
      <w:pPr>
        <w:spacing w:before="37" w:line="347" w:lineRule="auto"/>
        <w:ind w:left="131" w:right="122" w:firstLine="482"/>
        <w:rPr>
          <w:rFonts w:ascii="宋体" w:hAnsi="宋体" w:eastAsia="宋体" w:cs="宋体"/>
          <w:color w:val="auto"/>
          <w:sz w:val="24"/>
          <w:szCs w:val="24"/>
        </w:rPr>
      </w:pPr>
      <w:r>
        <w:rPr>
          <w:rFonts w:ascii="宋体" w:hAnsi="宋体" w:eastAsia="宋体" w:cs="宋体"/>
          <w:color w:val="auto"/>
          <w:spacing w:val="-3"/>
          <w:sz w:val="24"/>
          <w:szCs w:val="24"/>
        </w:rPr>
        <w:t>尘粒在空气中的传播扩散情况与风速等气象条件有关，也与尘粒本身</w:t>
      </w:r>
      <w:r>
        <w:rPr>
          <w:rFonts w:ascii="宋体" w:hAnsi="宋体" w:eastAsia="宋体" w:cs="宋体"/>
          <w:color w:val="auto"/>
          <w:spacing w:val="-4"/>
          <w:sz w:val="24"/>
          <w:szCs w:val="24"/>
        </w:rPr>
        <w:t>的沉降</w:t>
      </w:r>
      <w:r>
        <w:rPr>
          <w:rFonts w:ascii="宋体" w:hAnsi="宋体" w:eastAsia="宋体" w:cs="宋体"/>
          <w:color w:val="auto"/>
          <w:spacing w:val="-1"/>
          <w:sz w:val="24"/>
          <w:szCs w:val="24"/>
        </w:rPr>
        <w:t>速度有关。以沙尘为例，不同粒径的尘粒的沉降速度见下表。</w:t>
      </w:r>
    </w:p>
    <w:p w14:paraId="02B10380">
      <w:pPr>
        <w:pStyle w:val="15"/>
        <w:numPr>
          <w:ilvl w:val="0"/>
          <w:numId w:val="29"/>
        </w:numPr>
        <w:bidi w:val="0"/>
        <w:ind w:left="420" w:leftChars="0" w:hanging="420" w:firstLineChars="0"/>
        <w:rPr>
          <w:rFonts w:ascii="宋体" w:hAnsi="宋体" w:eastAsia="宋体" w:cs="宋体"/>
          <w:color w:val="auto"/>
          <w:sz w:val="20"/>
          <w:szCs w:val="20"/>
        </w:rPr>
      </w:pPr>
      <w:r>
        <w:rPr>
          <w:rFonts w:ascii="宋体" w:hAnsi="宋体" w:eastAsia="宋体" w:cs="宋体"/>
          <w:color w:val="auto"/>
          <w:spacing w:val="7"/>
          <w:sz w:val="20"/>
          <w:szCs w:val="20"/>
        </w:rPr>
        <w:t>不同粒径尘粒的沉降速度</w:t>
      </w:r>
    </w:p>
    <w:tbl>
      <w:tblPr>
        <w:tblStyle w:val="703"/>
        <w:tblW w:w="501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66"/>
        <w:gridCol w:w="1015"/>
        <w:gridCol w:w="1015"/>
        <w:gridCol w:w="1016"/>
        <w:gridCol w:w="1016"/>
        <w:gridCol w:w="1016"/>
        <w:gridCol w:w="867"/>
        <w:gridCol w:w="940"/>
      </w:tblGrid>
      <w:tr w14:paraId="1013A3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5C0FE71A">
            <w:pPr>
              <w:pStyle w:val="12"/>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25E3089A">
            <w:pPr>
              <w:pStyle w:val="12"/>
              <w:bidi w:val="0"/>
              <w:rPr>
                <w:color w:val="auto"/>
              </w:rPr>
            </w:pPr>
            <w:r>
              <w:rPr>
                <w:color w:val="auto"/>
              </w:rPr>
              <w:t>10</w:t>
            </w:r>
          </w:p>
        </w:tc>
        <w:tc>
          <w:tcPr>
            <w:tcW w:w="580" w:type="pct"/>
            <w:tcBorders>
              <w:tl2br w:val="nil"/>
              <w:tr2bl w:val="nil"/>
            </w:tcBorders>
            <w:vAlign w:val="center"/>
          </w:tcPr>
          <w:p w14:paraId="592454A1">
            <w:pPr>
              <w:pStyle w:val="12"/>
              <w:bidi w:val="0"/>
              <w:rPr>
                <w:color w:val="auto"/>
              </w:rPr>
            </w:pPr>
            <w:r>
              <w:rPr>
                <w:color w:val="auto"/>
              </w:rPr>
              <w:t>20</w:t>
            </w:r>
          </w:p>
        </w:tc>
        <w:tc>
          <w:tcPr>
            <w:tcW w:w="580" w:type="pct"/>
            <w:tcBorders>
              <w:tl2br w:val="nil"/>
              <w:tr2bl w:val="nil"/>
            </w:tcBorders>
            <w:vAlign w:val="center"/>
          </w:tcPr>
          <w:p w14:paraId="048AB8CA">
            <w:pPr>
              <w:pStyle w:val="12"/>
              <w:bidi w:val="0"/>
              <w:rPr>
                <w:color w:val="auto"/>
              </w:rPr>
            </w:pPr>
            <w:r>
              <w:rPr>
                <w:color w:val="auto"/>
              </w:rPr>
              <w:t>30</w:t>
            </w:r>
          </w:p>
        </w:tc>
        <w:tc>
          <w:tcPr>
            <w:tcW w:w="580" w:type="pct"/>
            <w:tcBorders>
              <w:tl2br w:val="nil"/>
              <w:tr2bl w:val="nil"/>
            </w:tcBorders>
            <w:vAlign w:val="center"/>
          </w:tcPr>
          <w:p w14:paraId="6D3747A5">
            <w:pPr>
              <w:pStyle w:val="12"/>
              <w:bidi w:val="0"/>
              <w:rPr>
                <w:color w:val="auto"/>
              </w:rPr>
            </w:pPr>
            <w:r>
              <w:rPr>
                <w:color w:val="auto"/>
              </w:rPr>
              <w:t>40</w:t>
            </w:r>
          </w:p>
        </w:tc>
        <w:tc>
          <w:tcPr>
            <w:tcW w:w="580" w:type="pct"/>
            <w:tcBorders>
              <w:tl2br w:val="nil"/>
              <w:tr2bl w:val="nil"/>
            </w:tcBorders>
            <w:vAlign w:val="center"/>
          </w:tcPr>
          <w:p w14:paraId="376C3A38">
            <w:pPr>
              <w:pStyle w:val="12"/>
              <w:bidi w:val="0"/>
              <w:rPr>
                <w:color w:val="auto"/>
              </w:rPr>
            </w:pPr>
            <w:r>
              <w:rPr>
                <w:color w:val="auto"/>
              </w:rPr>
              <w:t>50</w:t>
            </w:r>
          </w:p>
        </w:tc>
        <w:tc>
          <w:tcPr>
            <w:tcW w:w="495" w:type="pct"/>
            <w:tcBorders>
              <w:tl2br w:val="nil"/>
              <w:tr2bl w:val="nil"/>
            </w:tcBorders>
            <w:vAlign w:val="center"/>
          </w:tcPr>
          <w:p w14:paraId="5BBB8A3C">
            <w:pPr>
              <w:pStyle w:val="12"/>
              <w:bidi w:val="0"/>
              <w:rPr>
                <w:color w:val="auto"/>
              </w:rPr>
            </w:pPr>
            <w:r>
              <w:rPr>
                <w:color w:val="auto"/>
              </w:rPr>
              <w:t>60</w:t>
            </w:r>
          </w:p>
        </w:tc>
        <w:tc>
          <w:tcPr>
            <w:tcW w:w="537" w:type="pct"/>
            <w:tcBorders>
              <w:tl2br w:val="nil"/>
              <w:tr2bl w:val="nil"/>
            </w:tcBorders>
            <w:vAlign w:val="center"/>
          </w:tcPr>
          <w:p w14:paraId="517A16DB">
            <w:pPr>
              <w:pStyle w:val="12"/>
              <w:bidi w:val="0"/>
              <w:rPr>
                <w:color w:val="auto"/>
              </w:rPr>
            </w:pPr>
            <w:r>
              <w:rPr>
                <w:color w:val="auto"/>
              </w:rPr>
              <w:t>70</w:t>
            </w:r>
          </w:p>
        </w:tc>
      </w:tr>
      <w:tr w14:paraId="7DCB62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42DB38B3">
            <w:pPr>
              <w:pStyle w:val="12"/>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10E74987">
            <w:pPr>
              <w:pStyle w:val="12"/>
              <w:bidi w:val="0"/>
              <w:rPr>
                <w:color w:val="auto"/>
              </w:rPr>
            </w:pPr>
            <w:r>
              <w:rPr>
                <w:color w:val="auto"/>
              </w:rPr>
              <w:t>0.003</w:t>
            </w:r>
          </w:p>
        </w:tc>
        <w:tc>
          <w:tcPr>
            <w:tcW w:w="580" w:type="pct"/>
            <w:tcBorders>
              <w:tl2br w:val="nil"/>
              <w:tr2bl w:val="nil"/>
            </w:tcBorders>
            <w:vAlign w:val="center"/>
          </w:tcPr>
          <w:p w14:paraId="27CA122A">
            <w:pPr>
              <w:pStyle w:val="12"/>
              <w:bidi w:val="0"/>
              <w:rPr>
                <w:color w:val="auto"/>
              </w:rPr>
            </w:pPr>
            <w:r>
              <w:rPr>
                <w:color w:val="auto"/>
              </w:rPr>
              <w:t>0.012</w:t>
            </w:r>
          </w:p>
        </w:tc>
        <w:tc>
          <w:tcPr>
            <w:tcW w:w="580" w:type="pct"/>
            <w:tcBorders>
              <w:tl2br w:val="nil"/>
              <w:tr2bl w:val="nil"/>
            </w:tcBorders>
            <w:vAlign w:val="center"/>
          </w:tcPr>
          <w:p w14:paraId="496CF854">
            <w:pPr>
              <w:pStyle w:val="12"/>
              <w:bidi w:val="0"/>
              <w:rPr>
                <w:color w:val="auto"/>
              </w:rPr>
            </w:pPr>
            <w:r>
              <w:rPr>
                <w:color w:val="auto"/>
              </w:rPr>
              <w:t>0.027</w:t>
            </w:r>
          </w:p>
        </w:tc>
        <w:tc>
          <w:tcPr>
            <w:tcW w:w="580" w:type="pct"/>
            <w:tcBorders>
              <w:tl2br w:val="nil"/>
              <w:tr2bl w:val="nil"/>
            </w:tcBorders>
            <w:vAlign w:val="center"/>
          </w:tcPr>
          <w:p w14:paraId="35000C6E">
            <w:pPr>
              <w:pStyle w:val="12"/>
              <w:bidi w:val="0"/>
              <w:rPr>
                <w:color w:val="auto"/>
              </w:rPr>
            </w:pPr>
            <w:r>
              <w:rPr>
                <w:color w:val="auto"/>
              </w:rPr>
              <w:t>0.048</w:t>
            </w:r>
          </w:p>
        </w:tc>
        <w:tc>
          <w:tcPr>
            <w:tcW w:w="580" w:type="pct"/>
            <w:tcBorders>
              <w:tl2br w:val="nil"/>
              <w:tr2bl w:val="nil"/>
            </w:tcBorders>
            <w:vAlign w:val="center"/>
          </w:tcPr>
          <w:p w14:paraId="6BD5FB0B">
            <w:pPr>
              <w:pStyle w:val="12"/>
              <w:bidi w:val="0"/>
              <w:rPr>
                <w:color w:val="auto"/>
              </w:rPr>
            </w:pPr>
            <w:r>
              <w:rPr>
                <w:color w:val="auto"/>
              </w:rPr>
              <w:t>0.075</w:t>
            </w:r>
          </w:p>
        </w:tc>
        <w:tc>
          <w:tcPr>
            <w:tcW w:w="495" w:type="pct"/>
            <w:tcBorders>
              <w:tl2br w:val="nil"/>
              <w:tr2bl w:val="nil"/>
            </w:tcBorders>
            <w:vAlign w:val="center"/>
          </w:tcPr>
          <w:p w14:paraId="40E24F6A">
            <w:pPr>
              <w:pStyle w:val="12"/>
              <w:bidi w:val="0"/>
              <w:rPr>
                <w:color w:val="auto"/>
              </w:rPr>
            </w:pPr>
            <w:r>
              <w:rPr>
                <w:color w:val="auto"/>
              </w:rPr>
              <w:t>0.108</w:t>
            </w:r>
          </w:p>
        </w:tc>
        <w:tc>
          <w:tcPr>
            <w:tcW w:w="537" w:type="pct"/>
            <w:tcBorders>
              <w:tl2br w:val="nil"/>
              <w:tr2bl w:val="nil"/>
            </w:tcBorders>
            <w:vAlign w:val="center"/>
          </w:tcPr>
          <w:p w14:paraId="4EC288C2">
            <w:pPr>
              <w:pStyle w:val="12"/>
              <w:bidi w:val="0"/>
              <w:rPr>
                <w:color w:val="auto"/>
              </w:rPr>
            </w:pPr>
            <w:r>
              <w:rPr>
                <w:color w:val="auto"/>
              </w:rPr>
              <w:t>0.147</w:t>
            </w:r>
          </w:p>
        </w:tc>
      </w:tr>
      <w:tr w14:paraId="441B06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5850866E">
            <w:pPr>
              <w:pStyle w:val="12"/>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4D324877">
            <w:pPr>
              <w:pStyle w:val="12"/>
              <w:bidi w:val="0"/>
              <w:rPr>
                <w:color w:val="auto"/>
              </w:rPr>
            </w:pPr>
            <w:r>
              <w:rPr>
                <w:color w:val="auto"/>
              </w:rPr>
              <w:t>80</w:t>
            </w:r>
          </w:p>
        </w:tc>
        <w:tc>
          <w:tcPr>
            <w:tcW w:w="580" w:type="pct"/>
            <w:tcBorders>
              <w:tl2br w:val="nil"/>
              <w:tr2bl w:val="nil"/>
            </w:tcBorders>
            <w:vAlign w:val="center"/>
          </w:tcPr>
          <w:p w14:paraId="02C066C9">
            <w:pPr>
              <w:pStyle w:val="12"/>
              <w:bidi w:val="0"/>
              <w:rPr>
                <w:color w:val="auto"/>
              </w:rPr>
            </w:pPr>
            <w:r>
              <w:rPr>
                <w:color w:val="auto"/>
              </w:rPr>
              <w:t>90</w:t>
            </w:r>
          </w:p>
        </w:tc>
        <w:tc>
          <w:tcPr>
            <w:tcW w:w="580" w:type="pct"/>
            <w:tcBorders>
              <w:tl2br w:val="nil"/>
              <w:tr2bl w:val="nil"/>
            </w:tcBorders>
            <w:vAlign w:val="center"/>
          </w:tcPr>
          <w:p w14:paraId="289F971A">
            <w:pPr>
              <w:pStyle w:val="12"/>
              <w:bidi w:val="0"/>
              <w:rPr>
                <w:color w:val="auto"/>
              </w:rPr>
            </w:pPr>
            <w:r>
              <w:rPr>
                <w:color w:val="auto"/>
              </w:rPr>
              <w:t>100</w:t>
            </w:r>
          </w:p>
        </w:tc>
        <w:tc>
          <w:tcPr>
            <w:tcW w:w="580" w:type="pct"/>
            <w:tcBorders>
              <w:tl2br w:val="nil"/>
              <w:tr2bl w:val="nil"/>
            </w:tcBorders>
            <w:vAlign w:val="center"/>
          </w:tcPr>
          <w:p w14:paraId="3EA6F4B5">
            <w:pPr>
              <w:pStyle w:val="12"/>
              <w:bidi w:val="0"/>
              <w:rPr>
                <w:color w:val="auto"/>
              </w:rPr>
            </w:pPr>
            <w:r>
              <w:rPr>
                <w:color w:val="auto"/>
              </w:rPr>
              <w:t>150</w:t>
            </w:r>
          </w:p>
        </w:tc>
        <w:tc>
          <w:tcPr>
            <w:tcW w:w="580" w:type="pct"/>
            <w:tcBorders>
              <w:tl2br w:val="nil"/>
              <w:tr2bl w:val="nil"/>
            </w:tcBorders>
            <w:vAlign w:val="center"/>
          </w:tcPr>
          <w:p w14:paraId="6169E1A1">
            <w:pPr>
              <w:pStyle w:val="12"/>
              <w:bidi w:val="0"/>
              <w:rPr>
                <w:color w:val="auto"/>
              </w:rPr>
            </w:pPr>
            <w:r>
              <w:rPr>
                <w:color w:val="auto"/>
              </w:rPr>
              <w:t>200</w:t>
            </w:r>
          </w:p>
        </w:tc>
        <w:tc>
          <w:tcPr>
            <w:tcW w:w="495" w:type="pct"/>
            <w:tcBorders>
              <w:tl2br w:val="nil"/>
              <w:tr2bl w:val="nil"/>
            </w:tcBorders>
            <w:vAlign w:val="center"/>
          </w:tcPr>
          <w:p w14:paraId="68D683B3">
            <w:pPr>
              <w:pStyle w:val="12"/>
              <w:bidi w:val="0"/>
              <w:rPr>
                <w:color w:val="auto"/>
              </w:rPr>
            </w:pPr>
            <w:r>
              <w:rPr>
                <w:color w:val="auto"/>
              </w:rPr>
              <w:t>250</w:t>
            </w:r>
          </w:p>
        </w:tc>
        <w:tc>
          <w:tcPr>
            <w:tcW w:w="537" w:type="pct"/>
            <w:tcBorders>
              <w:tl2br w:val="nil"/>
              <w:tr2bl w:val="nil"/>
            </w:tcBorders>
            <w:vAlign w:val="center"/>
          </w:tcPr>
          <w:p w14:paraId="250211C6">
            <w:pPr>
              <w:pStyle w:val="12"/>
              <w:bidi w:val="0"/>
              <w:rPr>
                <w:color w:val="auto"/>
              </w:rPr>
            </w:pPr>
            <w:r>
              <w:rPr>
                <w:color w:val="auto"/>
              </w:rPr>
              <w:t>350</w:t>
            </w:r>
          </w:p>
        </w:tc>
      </w:tr>
      <w:tr w14:paraId="55486F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1DBA10E8">
            <w:pPr>
              <w:pStyle w:val="12"/>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4BC63F68">
            <w:pPr>
              <w:pStyle w:val="12"/>
              <w:bidi w:val="0"/>
              <w:rPr>
                <w:color w:val="auto"/>
              </w:rPr>
            </w:pPr>
            <w:r>
              <w:rPr>
                <w:color w:val="auto"/>
              </w:rPr>
              <w:t>0.158</w:t>
            </w:r>
          </w:p>
        </w:tc>
        <w:tc>
          <w:tcPr>
            <w:tcW w:w="580" w:type="pct"/>
            <w:tcBorders>
              <w:tl2br w:val="nil"/>
              <w:tr2bl w:val="nil"/>
            </w:tcBorders>
            <w:vAlign w:val="center"/>
          </w:tcPr>
          <w:p w14:paraId="74D3A60D">
            <w:pPr>
              <w:pStyle w:val="12"/>
              <w:bidi w:val="0"/>
              <w:rPr>
                <w:color w:val="auto"/>
              </w:rPr>
            </w:pPr>
            <w:r>
              <w:rPr>
                <w:color w:val="auto"/>
              </w:rPr>
              <w:t>0.170</w:t>
            </w:r>
          </w:p>
        </w:tc>
        <w:tc>
          <w:tcPr>
            <w:tcW w:w="580" w:type="pct"/>
            <w:tcBorders>
              <w:tl2br w:val="nil"/>
              <w:tr2bl w:val="nil"/>
            </w:tcBorders>
            <w:vAlign w:val="center"/>
          </w:tcPr>
          <w:p w14:paraId="479280B9">
            <w:pPr>
              <w:pStyle w:val="12"/>
              <w:bidi w:val="0"/>
              <w:rPr>
                <w:color w:val="auto"/>
              </w:rPr>
            </w:pPr>
            <w:r>
              <w:rPr>
                <w:color w:val="auto"/>
              </w:rPr>
              <w:t>0.182</w:t>
            </w:r>
          </w:p>
        </w:tc>
        <w:tc>
          <w:tcPr>
            <w:tcW w:w="580" w:type="pct"/>
            <w:tcBorders>
              <w:tl2br w:val="nil"/>
              <w:tr2bl w:val="nil"/>
            </w:tcBorders>
            <w:vAlign w:val="center"/>
          </w:tcPr>
          <w:p w14:paraId="76AEC2D4">
            <w:pPr>
              <w:pStyle w:val="12"/>
              <w:bidi w:val="0"/>
              <w:rPr>
                <w:color w:val="auto"/>
              </w:rPr>
            </w:pPr>
            <w:r>
              <w:rPr>
                <w:color w:val="auto"/>
              </w:rPr>
              <w:t>0.239</w:t>
            </w:r>
          </w:p>
        </w:tc>
        <w:tc>
          <w:tcPr>
            <w:tcW w:w="580" w:type="pct"/>
            <w:tcBorders>
              <w:tl2br w:val="nil"/>
              <w:tr2bl w:val="nil"/>
            </w:tcBorders>
            <w:vAlign w:val="center"/>
          </w:tcPr>
          <w:p w14:paraId="7F86E3CB">
            <w:pPr>
              <w:pStyle w:val="12"/>
              <w:bidi w:val="0"/>
              <w:rPr>
                <w:color w:val="auto"/>
              </w:rPr>
            </w:pPr>
            <w:r>
              <w:rPr>
                <w:color w:val="auto"/>
              </w:rPr>
              <w:t>0.804</w:t>
            </w:r>
          </w:p>
        </w:tc>
        <w:tc>
          <w:tcPr>
            <w:tcW w:w="495" w:type="pct"/>
            <w:tcBorders>
              <w:tl2br w:val="nil"/>
              <w:tr2bl w:val="nil"/>
            </w:tcBorders>
            <w:vAlign w:val="center"/>
          </w:tcPr>
          <w:p w14:paraId="22871724">
            <w:pPr>
              <w:pStyle w:val="12"/>
              <w:bidi w:val="0"/>
              <w:rPr>
                <w:color w:val="auto"/>
              </w:rPr>
            </w:pPr>
            <w:r>
              <w:rPr>
                <w:color w:val="auto"/>
              </w:rPr>
              <w:t>1.005</w:t>
            </w:r>
          </w:p>
        </w:tc>
        <w:tc>
          <w:tcPr>
            <w:tcW w:w="537" w:type="pct"/>
            <w:tcBorders>
              <w:tl2br w:val="nil"/>
              <w:tr2bl w:val="nil"/>
            </w:tcBorders>
            <w:vAlign w:val="center"/>
          </w:tcPr>
          <w:p w14:paraId="003781F7">
            <w:pPr>
              <w:pStyle w:val="12"/>
              <w:bidi w:val="0"/>
              <w:rPr>
                <w:color w:val="auto"/>
              </w:rPr>
            </w:pPr>
            <w:r>
              <w:rPr>
                <w:color w:val="auto"/>
              </w:rPr>
              <w:t>1.829</w:t>
            </w:r>
          </w:p>
        </w:tc>
      </w:tr>
      <w:tr w14:paraId="22DEF5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53DDB935">
            <w:pPr>
              <w:pStyle w:val="12"/>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602FB545">
            <w:pPr>
              <w:pStyle w:val="12"/>
              <w:bidi w:val="0"/>
              <w:rPr>
                <w:color w:val="auto"/>
              </w:rPr>
            </w:pPr>
            <w:r>
              <w:rPr>
                <w:color w:val="auto"/>
              </w:rPr>
              <w:t>450</w:t>
            </w:r>
          </w:p>
        </w:tc>
        <w:tc>
          <w:tcPr>
            <w:tcW w:w="580" w:type="pct"/>
            <w:tcBorders>
              <w:tl2br w:val="nil"/>
              <w:tr2bl w:val="nil"/>
            </w:tcBorders>
            <w:vAlign w:val="center"/>
          </w:tcPr>
          <w:p w14:paraId="572AF7EF">
            <w:pPr>
              <w:pStyle w:val="12"/>
              <w:bidi w:val="0"/>
              <w:rPr>
                <w:color w:val="auto"/>
              </w:rPr>
            </w:pPr>
            <w:r>
              <w:rPr>
                <w:color w:val="auto"/>
              </w:rPr>
              <w:t>550</w:t>
            </w:r>
          </w:p>
        </w:tc>
        <w:tc>
          <w:tcPr>
            <w:tcW w:w="580" w:type="pct"/>
            <w:tcBorders>
              <w:tl2br w:val="nil"/>
              <w:tr2bl w:val="nil"/>
            </w:tcBorders>
            <w:vAlign w:val="center"/>
          </w:tcPr>
          <w:p w14:paraId="2635AC7B">
            <w:pPr>
              <w:pStyle w:val="12"/>
              <w:bidi w:val="0"/>
              <w:rPr>
                <w:color w:val="auto"/>
              </w:rPr>
            </w:pPr>
            <w:r>
              <w:rPr>
                <w:color w:val="auto"/>
              </w:rPr>
              <w:t>650</w:t>
            </w:r>
          </w:p>
        </w:tc>
        <w:tc>
          <w:tcPr>
            <w:tcW w:w="580" w:type="pct"/>
            <w:tcBorders>
              <w:tl2br w:val="nil"/>
              <w:tr2bl w:val="nil"/>
            </w:tcBorders>
            <w:vAlign w:val="center"/>
          </w:tcPr>
          <w:p w14:paraId="0D68443F">
            <w:pPr>
              <w:pStyle w:val="12"/>
              <w:bidi w:val="0"/>
              <w:rPr>
                <w:color w:val="auto"/>
              </w:rPr>
            </w:pPr>
            <w:r>
              <w:rPr>
                <w:color w:val="auto"/>
              </w:rPr>
              <w:t>750</w:t>
            </w:r>
          </w:p>
        </w:tc>
        <w:tc>
          <w:tcPr>
            <w:tcW w:w="580" w:type="pct"/>
            <w:tcBorders>
              <w:tl2br w:val="nil"/>
              <w:tr2bl w:val="nil"/>
            </w:tcBorders>
            <w:vAlign w:val="center"/>
          </w:tcPr>
          <w:p w14:paraId="3488E017">
            <w:pPr>
              <w:pStyle w:val="12"/>
              <w:bidi w:val="0"/>
              <w:rPr>
                <w:color w:val="auto"/>
              </w:rPr>
            </w:pPr>
            <w:r>
              <w:rPr>
                <w:color w:val="auto"/>
              </w:rPr>
              <w:t>850</w:t>
            </w:r>
          </w:p>
        </w:tc>
        <w:tc>
          <w:tcPr>
            <w:tcW w:w="495" w:type="pct"/>
            <w:tcBorders>
              <w:tl2br w:val="nil"/>
              <w:tr2bl w:val="nil"/>
            </w:tcBorders>
            <w:vAlign w:val="center"/>
          </w:tcPr>
          <w:p w14:paraId="1748BB74">
            <w:pPr>
              <w:pStyle w:val="12"/>
              <w:bidi w:val="0"/>
              <w:rPr>
                <w:color w:val="auto"/>
              </w:rPr>
            </w:pPr>
            <w:r>
              <w:rPr>
                <w:color w:val="auto"/>
              </w:rPr>
              <w:t>950</w:t>
            </w:r>
          </w:p>
        </w:tc>
        <w:tc>
          <w:tcPr>
            <w:tcW w:w="537" w:type="pct"/>
            <w:tcBorders>
              <w:tl2br w:val="nil"/>
              <w:tr2bl w:val="nil"/>
            </w:tcBorders>
            <w:vAlign w:val="center"/>
          </w:tcPr>
          <w:p w14:paraId="0BF81D97">
            <w:pPr>
              <w:pStyle w:val="12"/>
              <w:bidi w:val="0"/>
              <w:rPr>
                <w:color w:val="auto"/>
              </w:rPr>
            </w:pPr>
            <w:r>
              <w:rPr>
                <w:color w:val="auto"/>
              </w:rPr>
              <w:t>1050</w:t>
            </w:r>
          </w:p>
        </w:tc>
      </w:tr>
      <w:tr w14:paraId="589455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10F35147">
            <w:pPr>
              <w:pStyle w:val="12"/>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11D19747">
            <w:pPr>
              <w:pStyle w:val="12"/>
              <w:bidi w:val="0"/>
              <w:rPr>
                <w:color w:val="auto"/>
              </w:rPr>
            </w:pPr>
            <w:r>
              <w:rPr>
                <w:color w:val="auto"/>
              </w:rPr>
              <w:t>2.211</w:t>
            </w:r>
          </w:p>
        </w:tc>
        <w:tc>
          <w:tcPr>
            <w:tcW w:w="580" w:type="pct"/>
            <w:tcBorders>
              <w:tl2br w:val="nil"/>
              <w:tr2bl w:val="nil"/>
            </w:tcBorders>
            <w:vAlign w:val="center"/>
          </w:tcPr>
          <w:p w14:paraId="4062D510">
            <w:pPr>
              <w:pStyle w:val="12"/>
              <w:bidi w:val="0"/>
              <w:rPr>
                <w:color w:val="auto"/>
              </w:rPr>
            </w:pPr>
            <w:r>
              <w:rPr>
                <w:color w:val="auto"/>
              </w:rPr>
              <w:t>2.614</w:t>
            </w:r>
          </w:p>
        </w:tc>
        <w:tc>
          <w:tcPr>
            <w:tcW w:w="580" w:type="pct"/>
            <w:tcBorders>
              <w:tl2br w:val="nil"/>
              <w:tr2bl w:val="nil"/>
            </w:tcBorders>
            <w:vAlign w:val="center"/>
          </w:tcPr>
          <w:p w14:paraId="67A6F08A">
            <w:pPr>
              <w:pStyle w:val="12"/>
              <w:bidi w:val="0"/>
              <w:rPr>
                <w:color w:val="auto"/>
              </w:rPr>
            </w:pPr>
            <w:r>
              <w:rPr>
                <w:color w:val="auto"/>
              </w:rPr>
              <w:t>3.016</w:t>
            </w:r>
          </w:p>
        </w:tc>
        <w:tc>
          <w:tcPr>
            <w:tcW w:w="580" w:type="pct"/>
            <w:tcBorders>
              <w:tl2br w:val="nil"/>
              <w:tr2bl w:val="nil"/>
            </w:tcBorders>
            <w:vAlign w:val="center"/>
          </w:tcPr>
          <w:p w14:paraId="0613D210">
            <w:pPr>
              <w:pStyle w:val="12"/>
              <w:bidi w:val="0"/>
              <w:rPr>
                <w:color w:val="auto"/>
              </w:rPr>
            </w:pPr>
            <w:r>
              <w:rPr>
                <w:color w:val="auto"/>
              </w:rPr>
              <w:t>3.418</w:t>
            </w:r>
          </w:p>
        </w:tc>
        <w:tc>
          <w:tcPr>
            <w:tcW w:w="580" w:type="pct"/>
            <w:tcBorders>
              <w:tl2br w:val="nil"/>
              <w:tr2bl w:val="nil"/>
            </w:tcBorders>
            <w:vAlign w:val="center"/>
          </w:tcPr>
          <w:p w14:paraId="26BB927F">
            <w:pPr>
              <w:pStyle w:val="12"/>
              <w:bidi w:val="0"/>
              <w:rPr>
                <w:color w:val="auto"/>
              </w:rPr>
            </w:pPr>
            <w:r>
              <w:rPr>
                <w:color w:val="auto"/>
              </w:rPr>
              <w:t>3.820</w:t>
            </w:r>
          </w:p>
        </w:tc>
        <w:tc>
          <w:tcPr>
            <w:tcW w:w="495" w:type="pct"/>
            <w:tcBorders>
              <w:tl2br w:val="nil"/>
              <w:tr2bl w:val="nil"/>
            </w:tcBorders>
            <w:vAlign w:val="center"/>
          </w:tcPr>
          <w:p w14:paraId="3AD79CF8">
            <w:pPr>
              <w:pStyle w:val="12"/>
              <w:bidi w:val="0"/>
              <w:rPr>
                <w:color w:val="auto"/>
              </w:rPr>
            </w:pPr>
            <w:r>
              <w:rPr>
                <w:color w:val="auto"/>
              </w:rPr>
              <w:t>4.222</w:t>
            </w:r>
          </w:p>
        </w:tc>
        <w:tc>
          <w:tcPr>
            <w:tcW w:w="537" w:type="pct"/>
            <w:tcBorders>
              <w:tl2br w:val="nil"/>
              <w:tr2bl w:val="nil"/>
            </w:tcBorders>
            <w:vAlign w:val="center"/>
          </w:tcPr>
          <w:p w14:paraId="37690043">
            <w:pPr>
              <w:pStyle w:val="12"/>
              <w:bidi w:val="0"/>
              <w:rPr>
                <w:color w:val="auto"/>
              </w:rPr>
            </w:pPr>
            <w:r>
              <w:rPr>
                <w:color w:val="auto"/>
              </w:rPr>
              <w:t>4.624</w:t>
            </w:r>
          </w:p>
        </w:tc>
      </w:tr>
    </w:tbl>
    <w:p w14:paraId="02AB8B0D">
      <w:pPr>
        <w:bidi w:val="0"/>
        <w:rPr>
          <w:rFonts w:hint="eastAsia"/>
          <w:color w:val="auto"/>
        </w:rPr>
      </w:pPr>
      <w:r>
        <w:rPr>
          <w:rFonts w:hint="eastAsia"/>
          <w:color w:val="auto"/>
        </w:rPr>
        <w:t>由</w:t>
      </w:r>
      <w:r>
        <w:rPr>
          <w:rFonts w:hint="eastAsia"/>
          <w:color w:val="auto"/>
          <w:lang w:val="en-US" w:eastAsia="zh-CN"/>
        </w:rPr>
        <w:t>上表</w:t>
      </w:r>
      <w:r>
        <w:rPr>
          <w:rFonts w:hint="eastAsia"/>
          <w:color w:val="auto"/>
        </w:rPr>
        <w:t>可知，尘粒的沉降速度随粒径的增大而迅速增大。当粒径为250μm时，沉降速度为1.005m/s，因此可以认为当尘粒大于250μm时，主要影响范围在扬尘点下风向50m范围内居民点，而真正对外环境产生影响的是一些微小尘粒。</w:t>
      </w:r>
    </w:p>
    <w:p w14:paraId="5D82217B">
      <w:pPr>
        <w:bidi w:val="0"/>
        <w:rPr>
          <w:rFonts w:hint="eastAsia"/>
          <w:b/>
          <w:bCs/>
          <w:color w:val="auto"/>
        </w:rPr>
      </w:pPr>
      <w:r>
        <w:rPr>
          <w:rFonts w:hint="default"/>
          <w:b/>
          <w:bCs/>
          <w:color w:val="auto"/>
          <w:lang w:eastAsia="zh-CN"/>
        </w:rPr>
        <w:t>②</w:t>
      </w:r>
      <w:r>
        <w:rPr>
          <w:rFonts w:hint="eastAsia"/>
          <w:b/>
          <w:bCs/>
          <w:color w:val="auto"/>
        </w:rPr>
        <w:t>动力扬尘</w:t>
      </w:r>
    </w:p>
    <w:p w14:paraId="32B14BB5">
      <w:pPr>
        <w:pageBreakBefore w:val="0"/>
        <w:wordWrap/>
        <w:bidi w:val="0"/>
        <w:adjustRightInd/>
        <w:snapToGrid/>
        <w:ind w:firstLine="480"/>
        <w:rPr>
          <w:color w:val="auto"/>
        </w:rPr>
      </w:pPr>
      <w:r>
        <w:rPr>
          <w:rFonts w:hint="eastAsia"/>
          <w:color w:val="auto"/>
        </w:rPr>
        <w:t>动力起尘，主要是在建材的装卸、搅拌过程中，由于外力而产生的尘粒再悬浮而造成，其中施工及装卸车辆造成的扬尘最为严重。据有关文献资料介绍，车辆行驶产生的扬尘占总扬尘的60%以上。车辆行驶产生的扬尘，在完全干燥情况下，可按下列经验公式计算：</w:t>
      </w:r>
    </w:p>
    <w:p w14:paraId="00D9B6A3">
      <w:pPr>
        <w:pageBreakBefore w:val="0"/>
        <w:wordWrap/>
        <w:bidi w:val="0"/>
        <w:adjustRightInd/>
        <w:snapToGrid/>
        <w:ind w:firstLine="480"/>
        <w:jc w:val="center"/>
        <w:rPr>
          <w:color w:val="auto"/>
          <w:szCs w:val="21"/>
          <w:vertAlign w:val="superscript"/>
        </w:rPr>
      </w:pPr>
      <w:r>
        <w:rPr>
          <w:color w:val="auto"/>
          <w:szCs w:val="21"/>
        </w:rPr>
        <w:t>Q=0.123×</w:t>
      </w:r>
      <w:r>
        <w:rPr>
          <w:rFonts w:hint="eastAsia"/>
          <w:color w:val="auto"/>
          <w:szCs w:val="21"/>
          <w:lang w:eastAsia="zh-CN"/>
        </w:rPr>
        <w:t>（</w:t>
      </w:r>
      <w:r>
        <w:rPr>
          <w:rFonts w:hint="eastAsia"/>
          <w:color w:val="auto"/>
          <w:szCs w:val="21"/>
          <w:lang w:val="en-US" w:eastAsia="zh-CN"/>
        </w:rPr>
        <w:t>V</w:t>
      </w:r>
      <w:r>
        <w:rPr>
          <w:color w:val="auto"/>
          <w:szCs w:val="21"/>
        </w:rPr>
        <w:t>/5</w:t>
      </w:r>
      <w:r>
        <w:rPr>
          <w:rFonts w:hint="eastAsia"/>
          <w:color w:val="auto"/>
          <w:szCs w:val="21"/>
          <w:lang w:eastAsia="zh-CN"/>
        </w:rPr>
        <w:t>）（</w:t>
      </w:r>
      <w:r>
        <w:rPr>
          <w:color w:val="auto"/>
          <w:szCs w:val="21"/>
        </w:rPr>
        <w:t>W/6.8</w:t>
      </w:r>
      <w:r>
        <w:rPr>
          <w:rFonts w:hint="eastAsia"/>
          <w:color w:val="auto"/>
          <w:szCs w:val="21"/>
          <w:lang w:eastAsia="zh-CN"/>
        </w:rPr>
        <w:t>）</w:t>
      </w:r>
      <w:r>
        <w:rPr>
          <w:color w:val="auto"/>
          <w:szCs w:val="21"/>
          <w:vertAlign w:val="superscript"/>
        </w:rPr>
        <w:t>0.85</w:t>
      </w:r>
      <w:r>
        <w:rPr>
          <w:rFonts w:hint="eastAsia"/>
          <w:color w:val="auto"/>
          <w:szCs w:val="21"/>
          <w:lang w:eastAsia="zh-CN"/>
        </w:rPr>
        <w:t>（</w:t>
      </w:r>
      <w:r>
        <w:rPr>
          <w:color w:val="auto"/>
          <w:szCs w:val="21"/>
        </w:rPr>
        <w:t>P/0.5</w:t>
      </w:r>
      <w:r>
        <w:rPr>
          <w:rFonts w:hint="eastAsia"/>
          <w:color w:val="auto"/>
          <w:szCs w:val="21"/>
          <w:lang w:eastAsia="zh-CN"/>
        </w:rPr>
        <w:t>）</w:t>
      </w:r>
      <w:r>
        <w:rPr>
          <w:color w:val="auto"/>
          <w:szCs w:val="21"/>
          <w:vertAlign w:val="superscript"/>
        </w:rPr>
        <w:t>0.75</w:t>
      </w:r>
    </w:p>
    <w:p w14:paraId="2CB2F586">
      <w:pPr>
        <w:pageBreakBefore w:val="0"/>
        <w:wordWrap/>
        <w:bidi w:val="0"/>
        <w:adjustRightInd/>
        <w:snapToGrid/>
        <w:ind w:firstLine="480"/>
        <w:rPr>
          <w:color w:val="auto"/>
          <w:szCs w:val="21"/>
        </w:rPr>
      </w:pPr>
      <w:r>
        <w:rPr>
          <w:color w:val="auto"/>
          <w:szCs w:val="21"/>
        </w:rPr>
        <w:t>式中：</w:t>
      </w:r>
      <w:r>
        <w:rPr>
          <w:i/>
          <w:color w:val="auto"/>
          <w:szCs w:val="21"/>
        </w:rPr>
        <w:t>Q</w:t>
      </w:r>
      <w:r>
        <w:rPr>
          <w:color w:val="auto"/>
          <w:szCs w:val="21"/>
        </w:rPr>
        <w:t>—汽车行驶的扬尘，kg/km·辆；</w:t>
      </w:r>
    </w:p>
    <w:p w14:paraId="1FEE72EE">
      <w:pPr>
        <w:pageBreakBefore w:val="0"/>
        <w:wordWrap/>
        <w:bidi w:val="0"/>
        <w:adjustRightInd/>
        <w:snapToGrid/>
        <w:ind w:firstLine="1200" w:firstLineChars="500"/>
        <w:rPr>
          <w:color w:val="auto"/>
          <w:szCs w:val="21"/>
        </w:rPr>
      </w:pPr>
      <w:r>
        <w:rPr>
          <w:i/>
          <w:color w:val="auto"/>
          <w:szCs w:val="21"/>
        </w:rPr>
        <w:t>v</w:t>
      </w:r>
      <w:r>
        <w:rPr>
          <w:color w:val="auto"/>
          <w:szCs w:val="21"/>
        </w:rPr>
        <w:t>—汽车速度，km/h；</w:t>
      </w:r>
    </w:p>
    <w:p w14:paraId="14E92D25">
      <w:pPr>
        <w:pageBreakBefore w:val="0"/>
        <w:wordWrap/>
        <w:bidi w:val="0"/>
        <w:adjustRightInd/>
        <w:snapToGrid/>
        <w:ind w:firstLine="1200" w:firstLineChars="500"/>
        <w:rPr>
          <w:color w:val="auto"/>
          <w:szCs w:val="21"/>
        </w:rPr>
      </w:pPr>
      <w:r>
        <w:rPr>
          <w:i/>
          <w:color w:val="auto"/>
          <w:szCs w:val="21"/>
        </w:rPr>
        <w:t>W</w:t>
      </w:r>
      <w:r>
        <w:rPr>
          <w:color w:val="auto"/>
          <w:szCs w:val="21"/>
        </w:rPr>
        <w:t>—汽车载重量，t；</w:t>
      </w:r>
    </w:p>
    <w:p w14:paraId="7C2AEC58">
      <w:pPr>
        <w:pageBreakBefore w:val="0"/>
        <w:wordWrap/>
        <w:bidi w:val="0"/>
        <w:adjustRightInd/>
        <w:snapToGrid/>
        <w:ind w:firstLine="1200" w:firstLineChars="500"/>
        <w:rPr>
          <w:color w:val="auto"/>
          <w:szCs w:val="21"/>
        </w:rPr>
      </w:pPr>
      <w:r>
        <w:rPr>
          <w:i/>
          <w:color w:val="auto"/>
          <w:szCs w:val="21"/>
        </w:rPr>
        <w:t>P</w:t>
      </w:r>
      <w:r>
        <w:rPr>
          <w:color w:val="auto"/>
          <w:szCs w:val="21"/>
        </w:rPr>
        <w:t>—道路表面粉尘量，kg/</w:t>
      </w:r>
      <w:r>
        <w:rPr>
          <w:rFonts w:hint="eastAsia"/>
          <w:color w:val="auto"/>
          <w:szCs w:val="21"/>
          <w:lang w:eastAsia="zh-CN"/>
        </w:rPr>
        <w:t>m²</w:t>
      </w:r>
      <w:r>
        <w:rPr>
          <w:color w:val="auto"/>
          <w:szCs w:val="21"/>
        </w:rPr>
        <w:t>。</w:t>
      </w:r>
    </w:p>
    <w:p w14:paraId="26ABF38C">
      <w:pPr>
        <w:pageBreakBefore w:val="0"/>
        <w:wordWrap/>
        <w:bidi w:val="0"/>
        <w:adjustRightInd/>
        <w:snapToGrid/>
        <w:ind w:firstLine="480"/>
        <w:rPr>
          <w:color w:val="auto"/>
        </w:rPr>
      </w:pPr>
      <w:r>
        <w:rPr>
          <w:color w:val="auto"/>
        </w:rPr>
        <w:t>一辆载重5t的卡车，通过一段长度为500m的路面时，不同表面清洁程度，不同行驶速度情况下产生的扬尘量见</w:t>
      </w:r>
      <w:r>
        <w:rPr>
          <w:rFonts w:hint="eastAsia"/>
          <w:color w:val="auto"/>
          <w:lang w:val="en-US" w:eastAsia="zh-CN"/>
        </w:rPr>
        <w:t>下表</w:t>
      </w:r>
      <w:r>
        <w:rPr>
          <w:color w:val="auto"/>
        </w:rPr>
        <w:t>所示。</w:t>
      </w:r>
    </w:p>
    <w:p w14:paraId="3B4B32F5">
      <w:pPr>
        <w:pStyle w:val="15"/>
        <w:pageBreakBefore w:val="0"/>
        <w:numPr>
          <w:ilvl w:val="0"/>
          <w:numId w:val="29"/>
        </w:numPr>
        <w:tabs>
          <w:tab w:val="clear" w:pos="0"/>
        </w:tabs>
        <w:wordWrap/>
        <w:bidi w:val="0"/>
        <w:adjustRightInd/>
        <w:snapToGrid/>
        <w:ind w:left="420" w:leftChars="0" w:hanging="420" w:firstLineChars="0"/>
        <w:rPr>
          <w:color w:val="auto"/>
        </w:rPr>
      </w:pPr>
      <w:r>
        <w:rPr>
          <w:color w:val="auto"/>
        </w:rPr>
        <w:t xml:space="preserve">不同车速和地面清洁程度时的汽车扬尘产生量 </w:t>
      </w:r>
      <w:r>
        <w:rPr>
          <w:rFonts w:hint="eastAsia"/>
          <w:color w:val="auto"/>
          <w:lang w:val="en-US" w:eastAsia="zh-CN"/>
        </w:rPr>
        <w:t xml:space="preserve"> </w:t>
      </w:r>
      <w:r>
        <w:rPr>
          <w:color w:val="auto"/>
        </w:rPr>
        <w:t xml:space="preserve"> 单位：kg/km·辆</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150"/>
        <w:gridCol w:w="1097"/>
        <w:gridCol w:w="1100"/>
        <w:gridCol w:w="1096"/>
        <w:gridCol w:w="1096"/>
        <w:gridCol w:w="1096"/>
        <w:gridCol w:w="1095"/>
      </w:tblGrid>
      <w:tr w14:paraId="60C81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single" w:color="auto" w:sz="4" w:space="0"/>
            </w:tcBorders>
            <w:noWrap w:val="0"/>
            <w:vAlign w:val="center"/>
          </w:tcPr>
          <w:p w14:paraId="246EF46B">
            <w:pPr>
              <w:pageBreakBefore w:val="0"/>
              <w:wordWrap/>
              <w:bidi w:val="0"/>
              <w:adjustRightInd/>
              <w:snapToGrid/>
              <w:spacing w:line="240" w:lineRule="auto"/>
              <w:ind w:firstLine="0" w:firstLineChars="0"/>
              <w:jc w:val="right"/>
              <w:textAlignment w:val="baseline"/>
              <w:rPr>
                <w:rFonts w:hint="eastAsia" w:eastAsia="宋体"/>
                <w:b/>
                <w:bCs/>
                <w:color w:val="auto"/>
                <w:sz w:val="21"/>
                <w:szCs w:val="21"/>
                <w:lang w:eastAsia="zh-CN"/>
              </w:rPr>
            </w:pPr>
            <w:r>
              <w:rPr>
                <w:b/>
                <w:bCs/>
                <w:color w:val="auto"/>
                <w:sz w:val="21"/>
                <w:szCs w:val="21"/>
              </w:rPr>
              <w:t>P</w:t>
            </w:r>
            <w:r>
              <w:rPr>
                <w:rFonts w:hint="eastAsia"/>
                <w:b/>
                <w:bCs/>
                <w:color w:val="auto"/>
                <w:sz w:val="21"/>
                <w:szCs w:val="21"/>
                <w:lang w:eastAsia="zh-CN"/>
              </w:rPr>
              <w:t>（</w:t>
            </w:r>
            <w:r>
              <w:rPr>
                <w:b/>
                <w:bCs/>
                <w:color w:val="auto"/>
                <w:sz w:val="21"/>
                <w:szCs w:val="21"/>
              </w:rPr>
              <w:t>kg/</w:t>
            </w:r>
            <w:r>
              <w:rPr>
                <w:rFonts w:hint="eastAsia"/>
                <w:b/>
                <w:bCs/>
                <w:color w:val="auto"/>
                <w:sz w:val="21"/>
                <w:szCs w:val="21"/>
                <w:lang w:eastAsia="zh-CN"/>
              </w:rPr>
              <w:t>m²）</w:t>
            </w:r>
          </w:p>
          <w:p w14:paraId="6044CEE0">
            <w:pPr>
              <w:pageBreakBefore w:val="0"/>
              <w:wordWrap/>
              <w:bidi w:val="0"/>
              <w:adjustRightInd/>
              <w:snapToGrid/>
              <w:spacing w:line="240" w:lineRule="auto"/>
              <w:ind w:firstLine="0" w:firstLineChars="0"/>
              <w:textAlignment w:val="baseline"/>
              <w:rPr>
                <w:rFonts w:hint="eastAsia" w:eastAsia="宋体"/>
                <w:b/>
                <w:bCs/>
                <w:color w:val="auto"/>
                <w:sz w:val="21"/>
                <w:szCs w:val="21"/>
                <w:lang w:eastAsia="zh-CN"/>
              </w:rPr>
            </w:pPr>
            <w:r>
              <w:rPr>
                <w:b/>
                <w:bCs/>
                <w:color w:val="auto"/>
                <w:sz w:val="21"/>
                <w:szCs w:val="21"/>
              </w:rPr>
              <w:t>车速</w:t>
            </w:r>
            <w:r>
              <w:rPr>
                <w:rFonts w:hint="eastAsia"/>
                <w:b/>
                <w:bCs/>
                <w:color w:val="auto"/>
                <w:sz w:val="21"/>
                <w:szCs w:val="21"/>
                <w:lang w:eastAsia="zh-CN"/>
              </w:rPr>
              <w:t>（</w:t>
            </w:r>
            <w:r>
              <w:rPr>
                <w:b/>
                <w:bCs/>
                <w:color w:val="auto"/>
                <w:sz w:val="21"/>
                <w:szCs w:val="21"/>
              </w:rPr>
              <w:t>km/h</w:t>
            </w:r>
            <w:r>
              <w:rPr>
                <w:rFonts w:hint="eastAsia"/>
                <w:b/>
                <w:bCs/>
                <w:color w:val="auto"/>
                <w:sz w:val="21"/>
                <w:szCs w:val="21"/>
                <w:lang w:eastAsia="zh-CN"/>
              </w:rPr>
              <w:t>）</w:t>
            </w:r>
          </w:p>
        </w:tc>
        <w:tc>
          <w:tcPr>
            <w:tcW w:w="1097" w:type="dxa"/>
            <w:tcBorders>
              <w:tl2br w:val="nil"/>
              <w:tr2bl w:val="nil"/>
            </w:tcBorders>
            <w:noWrap w:val="0"/>
            <w:vAlign w:val="center"/>
          </w:tcPr>
          <w:p w14:paraId="3D7252B0">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0.1</w:t>
            </w:r>
          </w:p>
        </w:tc>
        <w:tc>
          <w:tcPr>
            <w:tcW w:w="1100" w:type="dxa"/>
            <w:tcBorders>
              <w:tl2br w:val="nil"/>
              <w:tr2bl w:val="nil"/>
            </w:tcBorders>
            <w:noWrap w:val="0"/>
            <w:vAlign w:val="center"/>
          </w:tcPr>
          <w:p w14:paraId="409BE4D1">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0.2</w:t>
            </w:r>
          </w:p>
        </w:tc>
        <w:tc>
          <w:tcPr>
            <w:tcW w:w="1096" w:type="dxa"/>
            <w:tcBorders>
              <w:tl2br w:val="nil"/>
              <w:tr2bl w:val="nil"/>
            </w:tcBorders>
            <w:noWrap w:val="0"/>
            <w:vAlign w:val="center"/>
          </w:tcPr>
          <w:p w14:paraId="6AE66BDF">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0.3</w:t>
            </w:r>
          </w:p>
        </w:tc>
        <w:tc>
          <w:tcPr>
            <w:tcW w:w="1096" w:type="dxa"/>
            <w:tcBorders>
              <w:tl2br w:val="nil"/>
              <w:tr2bl w:val="nil"/>
            </w:tcBorders>
            <w:noWrap w:val="0"/>
            <w:vAlign w:val="center"/>
          </w:tcPr>
          <w:p w14:paraId="0A4B1BB4">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0.4</w:t>
            </w:r>
          </w:p>
        </w:tc>
        <w:tc>
          <w:tcPr>
            <w:tcW w:w="1096" w:type="dxa"/>
            <w:tcBorders>
              <w:tl2br w:val="nil"/>
              <w:tr2bl w:val="nil"/>
            </w:tcBorders>
            <w:noWrap w:val="0"/>
            <w:vAlign w:val="center"/>
          </w:tcPr>
          <w:p w14:paraId="55BE0361">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0.5</w:t>
            </w:r>
          </w:p>
        </w:tc>
        <w:tc>
          <w:tcPr>
            <w:tcW w:w="1095" w:type="dxa"/>
            <w:tcBorders>
              <w:tl2br w:val="nil"/>
              <w:tr2bl w:val="nil"/>
            </w:tcBorders>
            <w:noWrap w:val="0"/>
            <w:vAlign w:val="center"/>
          </w:tcPr>
          <w:p w14:paraId="68407E47">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w:t>
            </w:r>
          </w:p>
        </w:tc>
      </w:tr>
      <w:tr w14:paraId="6B8C1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24C63B32">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w:t>
            </w:r>
          </w:p>
        </w:tc>
        <w:tc>
          <w:tcPr>
            <w:tcW w:w="1097" w:type="dxa"/>
            <w:tcBorders>
              <w:tl2br w:val="nil"/>
              <w:tr2bl w:val="nil"/>
            </w:tcBorders>
            <w:noWrap w:val="0"/>
            <w:vAlign w:val="center"/>
          </w:tcPr>
          <w:p w14:paraId="1B929261">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0.0283</w:t>
            </w:r>
          </w:p>
        </w:tc>
        <w:tc>
          <w:tcPr>
            <w:tcW w:w="1100" w:type="dxa"/>
            <w:tcBorders>
              <w:tl2br w:val="nil"/>
              <w:tr2bl w:val="nil"/>
            </w:tcBorders>
            <w:noWrap w:val="0"/>
            <w:vAlign w:val="center"/>
          </w:tcPr>
          <w:p w14:paraId="193F27D4">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0.0476</w:t>
            </w:r>
          </w:p>
        </w:tc>
        <w:tc>
          <w:tcPr>
            <w:tcW w:w="1096" w:type="dxa"/>
            <w:tcBorders>
              <w:tl2br w:val="nil"/>
              <w:tr2bl w:val="nil"/>
            </w:tcBorders>
            <w:noWrap w:val="0"/>
            <w:vAlign w:val="center"/>
          </w:tcPr>
          <w:p w14:paraId="68B4008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0.0646</w:t>
            </w:r>
          </w:p>
        </w:tc>
        <w:tc>
          <w:tcPr>
            <w:tcW w:w="1096" w:type="dxa"/>
            <w:tcBorders>
              <w:tl2br w:val="nil"/>
              <w:tr2bl w:val="nil"/>
            </w:tcBorders>
            <w:noWrap w:val="0"/>
            <w:vAlign w:val="center"/>
          </w:tcPr>
          <w:p w14:paraId="371CA9B4">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0.0801</w:t>
            </w:r>
          </w:p>
        </w:tc>
        <w:tc>
          <w:tcPr>
            <w:tcW w:w="1096" w:type="dxa"/>
            <w:tcBorders>
              <w:tl2br w:val="nil"/>
              <w:tr2bl w:val="nil"/>
            </w:tcBorders>
            <w:noWrap w:val="0"/>
            <w:vAlign w:val="center"/>
          </w:tcPr>
          <w:p w14:paraId="603C2C7C">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0.0947</w:t>
            </w:r>
          </w:p>
        </w:tc>
        <w:tc>
          <w:tcPr>
            <w:tcW w:w="1095" w:type="dxa"/>
            <w:tcBorders>
              <w:tl2br w:val="nil"/>
              <w:tr2bl w:val="nil"/>
            </w:tcBorders>
            <w:noWrap w:val="0"/>
            <w:vAlign w:val="center"/>
          </w:tcPr>
          <w:p w14:paraId="21DDBDD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0.1593</w:t>
            </w:r>
          </w:p>
        </w:tc>
      </w:tr>
      <w:tr w14:paraId="1B189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5F6BDF6C">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w:t>
            </w:r>
          </w:p>
        </w:tc>
        <w:tc>
          <w:tcPr>
            <w:tcW w:w="1097" w:type="dxa"/>
            <w:tcBorders>
              <w:tl2br w:val="nil"/>
              <w:tr2bl w:val="nil"/>
            </w:tcBorders>
            <w:noWrap w:val="0"/>
            <w:vAlign w:val="center"/>
          </w:tcPr>
          <w:p w14:paraId="065C8F9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0.0566</w:t>
            </w:r>
          </w:p>
        </w:tc>
        <w:tc>
          <w:tcPr>
            <w:tcW w:w="1100" w:type="dxa"/>
            <w:tcBorders>
              <w:tl2br w:val="nil"/>
              <w:tr2bl w:val="nil"/>
            </w:tcBorders>
            <w:noWrap w:val="0"/>
            <w:vAlign w:val="center"/>
          </w:tcPr>
          <w:p w14:paraId="54542C9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0.0953</w:t>
            </w:r>
          </w:p>
        </w:tc>
        <w:tc>
          <w:tcPr>
            <w:tcW w:w="1096" w:type="dxa"/>
            <w:tcBorders>
              <w:tl2br w:val="nil"/>
              <w:tr2bl w:val="nil"/>
            </w:tcBorders>
            <w:noWrap w:val="0"/>
            <w:vAlign w:val="center"/>
          </w:tcPr>
          <w:p w14:paraId="72DAEE9E">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0.1291</w:t>
            </w:r>
          </w:p>
        </w:tc>
        <w:tc>
          <w:tcPr>
            <w:tcW w:w="1096" w:type="dxa"/>
            <w:tcBorders>
              <w:tl2br w:val="nil"/>
              <w:tr2bl w:val="nil"/>
            </w:tcBorders>
            <w:noWrap w:val="0"/>
            <w:vAlign w:val="center"/>
          </w:tcPr>
          <w:p w14:paraId="05D372A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0.1602</w:t>
            </w:r>
          </w:p>
        </w:tc>
        <w:tc>
          <w:tcPr>
            <w:tcW w:w="1096" w:type="dxa"/>
            <w:tcBorders>
              <w:tl2br w:val="nil"/>
              <w:tr2bl w:val="nil"/>
            </w:tcBorders>
            <w:noWrap w:val="0"/>
            <w:vAlign w:val="center"/>
          </w:tcPr>
          <w:p w14:paraId="1915F696">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0.1894</w:t>
            </w:r>
          </w:p>
        </w:tc>
        <w:tc>
          <w:tcPr>
            <w:tcW w:w="1095" w:type="dxa"/>
            <w:tcBorders>
              <w:tl2br w:val="nil"/>
              <w:tr2bl w:val="nil"/>
            </w:tcBorders>
            <w:noWrap w:val="0"/>
            <w:vAlign w:val="center"/>
          </w:tcPr>
          <w:p w14:paraId="271EA74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0.3186</w:t>
            </w:r>
          </w:p>
        </w:tc>
      </w:tr>
      <w:tr w14:paraId="65189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2E4785CB">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15</w:t>
            </w:r>
          </w:p>
        </w:tc>
        <w:tc>
          <w:tcPr>
            <w:tcW w:w="1097" w:type="dxa"/>
            <w:tcBorders>
              <w:tl2br w:val="nil"/>
              <w:tr2bl w:val="nil"/>
            </w:tcBorders>
            <w:noWrap w:val="0"/>
            <w:vAlign w:val="center"/>
          </w:tcPr>
          <w:p w14:paraId="0A3A034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0.0850</w:t>
            </w:r>
          </w:p>
        </w:tc>
        <w:tc>
          <w:tcPr>
            <w:tcW w:w="1100" w:type="dxa"/>
            <w:tcBorders>
              <w:tl2br w:val="nil"/>
              <w:tr2bl w:val="nil"/>
            </w:tcBorders>
            <w:noWrap w:val="0"/>
            <w:vAlign w:val="center"/>
          </w:tcPr>
          <w:p w14:paraId="33A70507">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0.1429</w:t>
            </w:r>
          </w:p>
        </w:tc>
        <w:tc>
          <w:tcPr>
            <w:tcW w:w="1096" w:type="dxa"/>
            <w:tcBorders>
              <w:tl2br w:val="nil"/>
              <w:tr2bl w:val="nil"/>
            </w:tcBorders>
            <w:noWrap w:val="0"/>
            <w:vAlign w:val="center"/>
          </w:tcPr>
          <w:p w14:paraId="4BF2250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0.1937</w:t>
            </w:r>
          </w:p>
        </w:tc>
        <w:tc>
          <w:tcPr>
            <w:tcW w:w="1096" w:type="dxa"/>
            <w:tcBorders>
              <w:tl2br w:val="nil"/>
              <w:tr2bl w:val="nil"/>
            </w:tcBorders>
            <w:noWrap w:val="0"/>
            <w:vAlign w:val="center"/>
          </w:tcPr>
          <w:p w14:paraId="0731B33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0.2403</w:t>
            </w:r>
          </w:p>
        </w:tc>
        <w:tc>
          <w:tcPr>
            <w:tcW w:w="1096" w:type="dxa"/>
            <w:tcBorders>
              <w:tl2br w:val="nil"/>
              <w:tr2bl w:val="nil"/>
            </w:tcBorders>
            <w:noWrap w:val="0"/>
            <w:vAlign w:val="center"/>
          </w:tcPr>
          <w:p w14:paraId="4EA892F6">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0.2841</w:t>
            </w:r>
          </w:p>
        </w:tc>
        <w:tc>
          <w:tcPr>
            <w:tcW w:w="1095" w:type="dxa"/>
            <w:tcBorders>
              <w:tl2br w:val="nil"/>
              <w:tr2bl w:val="nil"/>
            </w:tcBorders>
            <w:noWrap w:val="0"/>
            <w:vAlign w:val="center"/>
          </w:tcPr>
          <w:p w14:paraId="2E9AFDA8">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0.4778</w:t>
            </w:r>
          </w:p>
        </w:tc>
      </w:tr>
      <w:tr w14:paraId="5D1C8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642415D8">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20</w:t>
            </w:r>
          </w:p>
        </w:tc>
        <w:tc>
          <w:tcPr>
            <w:tcW w:w="1097" w:type="dxa"/>
            <w:tcBorders>
              <w:tl2br w:val="nil"/>
              <w:tr2bl w:val="nil"/>
            </w:tcBorders>
            <w:noWrap w:val="0"/>
            <w:vAlign w:val="center"/>
          </w:tcPr>
          <w:p w14:paraId="2531E8E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0.1133</w:t>
            </w:r>
          </w:p>
        </w:tc>
        <w:tc>
          <w:tcPr>
            <w:tcW w:w="1100" w:type="dxa"/>
            <w:tcBorders>
              <w:tl2br w:val="nil"/>
              <w:tr2bl w:val="nil"/>
            </w:tcBorders>
            <w:noWrap w:val="0"/>
            <w:vAlign w:val="center"/>
          </w:tcPr>
          <w:p w14:paraId="4E54832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0.1905</w:t>
            </w:r>
          </w:p>
        </w:tc>
        <w:tc>
          <w:tcPr>
            <w:tcW w:w="1096" w:type="dxa"/>
            <w:tcBorders>
              <w:tl2br w:val="nil"/>
              <w:tr2bl w:val="nil"/>
            </w:tcBorders>
            <w:noWrap w:val="0"/>
            <w:vAlign w:val="center"/>
          </w:tcPr>
          <w:p w14:paraId="25A6128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0.2583</w:t>
            </w:r>
          </w:p>
        </w:tc>
        <w:tc>
          <w:tcPr>
            <w:tcW w:w="1096" w:type="dxa"/>
            <w:tcBorders>
              <w:tl2br w:val="nil"/>
              <w:tr2bl w:val="nil"/>
            </w:tcBorders>
            <w:noWrap w:val="0"/>
            <w:vAlign w:val="center"/>
          </w:tcPr>
          <w:p w14:paraId="2FF1A38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0.3204</w:t>
            </w:r>
          </w:p>
        </w:tc>
        <w:tc>
          <w:tcPr>
            <w:tcW w:w="1096" w:type="dxa"/>
            <w:tcBorders>
              <w:tl2br w:val="nil"/>
              <w:tr2bl w:val="nil"/>
            </w:tcBorders>
            <w:noWrap w:val="0"/>
            <w:vAlign w:val="center"/>
          </w:tcPr>
          <w:p w14:paraId="56361E8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0.3788</w:t>
            </w:r>
          </w:p>
        </w:tc>
        <w:tc>
          <w:tcPr>
            <w:tcW w:w="1095" w:type="dxa"/>
            <w:tcBorders>
              <w:tl2br w:val="nil"/>
              <w:tr2bl w:val="nil"/>
            </w:tcBorders>
            <w:noWrap w:val="0"/>
            <w:vAlign w:val="center"/>
          </w:tcPr>
          <w:p w14:paraId="5ACEDEC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0.6371</w:t>
            </w:r>
          </w:p>
        </w:tc>
      </w:tr>
    </w:tbl>
    <w:p w14:paraId="336900B7">
      <w:pPr>
        <w:bidi w:val="0"/>
        <w:rPr>
          <w:color w:val="auto"/>
        </w:rPr>
      </w:pPr>
      <w:r>
        <w:rPr>
          <w:color w:val="auto"/>
        </w:rPr>
        <w:t>由</w:t>
      </w:r>
      <w:r>
        <w:rPr>
          <w:rFonts w:hint="eastAsia"/>
          <w:color w:val="auto"/>
          <w:lang w:val="en-US" w:eastAsia="zh-CN"/>
        </w:rPr>
        <w:t>上表</w:t>
      </w:r>
      <w:r>
        <w:rPr>
          <w:color w:val="auto"/>
        </w:rPr>
        <w:t>可见，在同样路面清洁情况下，车速越快，扬尘量越大；而在同样车速情况下，路面清洁度越差，则扬尘量越大。根据类比调查，一般情况下，施工场地、施工道路在自然风作用下产生的扬尘所影响的范围在100m以内。</w:t>
      </w:r>
    </w:p>
    <w:p w14:paraId="00E92776">
      <w:pPr>
        <w:pageBreakBefore w:val="0"/>
        <w:wordWrap/>
        <w:bidi w:val="0"/>
        <w:adjustRightInd/>
        <w:snapToGrid/>
        <w:ind w:firstLine="480"/>
        <w:rPr>
          <w:color w:val="auto"/>
        </w:rPr>
      </w:pPr>
      <w:r>
        <w:rPr>
          <w:color w:val="auto"/>
        </w:rPr>
        <w:t>抑制扬尘的一个</w:t>
      </w:r>
      <w:r>
        <w:rPr>
          <w:rFonts w:hint="eastAsia"/>
          <w:color w:val="auto"/>
          <w:lang w:eastAsia="zh-CN"/>
        </w:rPr>
        <w:t>简捷有效</w:t>
      </w:r>
      <w:r>
        <w:rPr>
          <w:color w:val="auto"/>
        </w:rPr>
        <w:t>的措施是洒水。如果在施工期内对车辆行驶的路面实施洒水抑尘，每天洒水4</w:t>
      </w:r>
      <w:r>
        <w:rPr>
          <w:rFonts w:hint="eastAsia"/>
          <w:color w:val="auto"/>
          <w:lang w:eastAsia="zh-CN"/>
        </w:rPr>
        <w:t>～</w:t>
      </w:r>
      <w:r>
        <w:rPr>
          <w:color w:val="auto"/>
        </w:rPr>
        <w:t>5次，可使扬尘减少70%左右。</w:t>
      </w:r>
      <w:r>
        <w:rPr>
          <w:rFonts w:hint="eastAsia"/>
          <w:color w:val="auto"/>
          <w:lang w:val="en-US" w:eastAsia="zh-CN"/>
        </w:rPr>
        <w:t>下表</w:t>
      </w:r>
      <w:r>
        <w:rPr>
          <w:color w:val="auto"/>
        </w:rPr>
        <w:t>为施工场地洒水抑尘的试验结果。由该表数据可看出对施工场地实施每天洒水4</w:t>
      </w:r>
      <w:r>
        <w:rPr>
          <w:rFonts w:hint="eastAsia"/>
          <w:color w:val="auto"/>
          <w:lang w:eastAsia="zh-CN"/>
        </w:rPr>
        <w:t>～</w:t>
      </w:r>
      <w:r>
        <w:rPr>
          <w:color w:val="auto"/>
        </w:rPr>
        <w:t>5次进行抑尘，可有效地控制施工扬尘，并可将扬尘污染距离缩小到20-50m范围。</w:t>
      </w:r>
    </w:p>
    <w:p w14:paraId="38C549F0">
      <w:pPr>
        <w:pStyle w:val="15"/>
        <w:pageBreakBefore w:val="0"/>
        <w:numPr>
          <w:ilvl w:val="0"/>
          <w:numId w:val="29"/>
        </w:numPr>
        <w:tabs>
          <w:tab w:val="clear" w:pos="0"/>
        </w:tabs>
        <w:wordWrap/>
        <w:bidi w:val="0"/>
        <w:adjustRightInd/>
        <w:snapToGrid/>
        <w:ind w:left="420" w:leftChars="0" w:hanging="420" w:firstLineChars="0"/>
        <w:rPr>
          <w:rFonts w:hint="eastAsia" w:eastAsia="宋体"/>
          <w:color w:val="auto"/>
          <w:lang w:eastAsia="zh-CN"/>
        </w:rPr>
      </w:pPr>
      <w:r>
        <w:rPr>
          <w:color w:val="auto"/>
        </w:rPr>
        <w:t>施工场地洒水抑尘试验结果</w:t>
      </w:r>
      <w:r>
        <w:rPr>
          <w:rFonts w:hint="eastAsia"/>
          <w:color w:val="auto"/>
          <w:lang w:val="en-US" w:eastAsia="zh-CN"/>
        </w:rPr>
        <w:t xml:space="preserve"> </w:t>
      </w:r>
      <w:r>
        <w:rPr>
          <w:color w:val="auto"/>
        </w:rPr>
        <w:t>单位：mg/</w:t>
      </w:r>
      <w:r>
        <w:rPr>
          <w:rFonts w:hint="eastAsia"/>
          <w:color w:val="auto"/>
          <w:lang w:eastAsia="zh-CN"/>
        </w:rPr>
        <w:t>m³</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714"/>
        <w:gridCol w:w="1097"/>
        <w:gridCol w:w="934"/>
        <w:gridCol w:w="1090"/>
        <w:gridCol w:w="1090"/>
        <w:gridCol w:w="936"/>
        <w:gridCol w:w="933"/>
        <w:gridCol w:w="933"/>
      </w:tblGrid>
      <w:tr w14:paraId="5BEE6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10" w:type="pct"/>
            <w:gridSpan w:val="2"/>
            <w:tcBorders>
              <w:tl2br w:val="nil"/>
              <w:tr2bl w:val="nil"/>
            </w:tcBorders>
            <w:noWrap w:val="0"/>
            <w:vAlign w:val="center"/>
          </w:tcPr>
          <w:p w14:paraId="507E2308">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距离</w:t>
            </w:r>
          </w:p>
        </w:tc>
        <w:tc>
          <w:tcPr>
            <w:tcW w:w="535" w:type="pct"/>
            <w:tcBorders>
              <w:tl2br w:val="nil"/>
              <w:tr2bl w:val="nil"/>
            </w:tcBorders>
            <w:noWrap w:val="0"/>
            <w:vAlign w:val="center"/>
          </w:tcPr>
          <w:p w14:paraId="7140779B">
            <w:pPr>
              <w:pageBreakBefore w:val="0"/>
              <w:wordWrap/>
              <w:bidi w:val="0"/>
              <w:adjustRightInd/>
              <w:snapToGrid/>
              <w:spacing w:line="240" w:lineRule="auto"/>
              <w:ind w:firstLine="0" w:firstLineChars="0"/>
              <w:jc w:val="center"/>
              <w:textAlignment w:val="baseline"/>
              <w:rPr>
                <w:b/>
                <w:bCs/>
                <w:color w:val="auto"/>
                <w:sz w:val="21"/>
                <w:szCs w:val="21"/>
              </w:rPr>
            </w:pPr>
            <w:r>
              <w:rPr>
                <w:rFonts w:hint="eastAsia"/>
                <w:b/>
                <w:bCs/>
                <w:color w:val="auto"/>
                <w:sz w:val="21"/>
                <w:szCs w:val="21"/>
                <w:lang w:val="en-US" w:eastAsia="zh-CN"/>
              </w:rPr>
              <w:t>0</w:t>
            </w:r>
            <w:r>
              <w:rPr>
                <w:b/>
                <w:bCs/>
                <w:color w:val="auto"/>
                <w:sz w:val="21"/>
                <w:szCs w:val="21"/>
              </w:rPr>
              <w:t>m</w:t>
            </w:r>
          </w:p>
        </w:tc>
        <w:tc>
          <w:tcPr>
            <w:tcW w:w="624" w:type="pct"/>
            <w:tcBorders>
              <w:tl2br w:val="nil"/>
              <w:tr2bl w:val="nil"/>
            </w:tcBorders>
            <w:noWrap w:val="0"/>
            <w:vAlign w:val="center"/>
          </w:tcPr>
          <w:p w14:paraId="38C2423A">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5m</w:t>
            </w:r>
          </w:p>
        </w:tc>
        <w:tc>
          <w:tcPr>
            <w:tcW w:w="624" w:type="pct"/>
            <w:tcBorders>
              <w:tl2br w:val="nil"/>
              <w:tr2bl w:val="nil"/>
            </w:tcBorders>
            <w:noWrap w:val="0"/>
            <w:vAlign w:val="center"/>
          </w:tcPr>
          <w:p w14:paraId="5ED4F179">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20m</w:t>
            </w:r>
          </w:p>
        </w:tc>
        <w:tc>
          <w:tcPr>
            <w:tcW w:w="536" w:type="pct"/>
            <w:tcBorders>
              <w:tl2br w:val="nil"/>
              <w:tr2bl w:val="nil"/>
            </w:tcBorders>
            <w:noWrap w:val="0"/>
            <w:vAlign w:val="center"/>
          </w:tcPr>
          <w:p w14:paraId="786243C2">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50m</w:t>
            </w:r>
          </w:p>
        </w:tc>
        <w:tc>
          <w:tcPr>
            <w:tcW w:w="534" w:type="pct"/>
            <w:tcBorders>
              <w:tl2br w:val="nil"/>
              <w:tr2bl w:val="nil"/>
            </w:tcBorders>
            <w:noWrap w:val="0"/>
            <w:vAlign w:val="center"/>
          </w:tcPr>
          <w:p w14:paraId="3BD0E70C">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100m</w:t>
            </w:r>
          </w:p>
        </w:tc>
        <w:tc>
          <w:tcPr>
            <w:tcW w:w="534" w:type="pct"/>
            <w:tcBorders>
              <w:tl2br w:val="nil"/>
              <w:tr2bl w:val="nil"/>
            </w:tcBorders>
            <w:noWrap w:val="0"/>
            <w:vAlign w:val="center"/>
          </w:tcPr>
          <w:p w14:paraId="007B21FD">
            <w:pPr>
              <w:pageBreakBefore w:val="0"/>
              <w:wordWrap/>
              <w:bidi w:val="0"/>
              <w:adjustRightInd/>
              <w:snapToGrid/>
              <w:spacing w:line="240" w:lineRule="auto"/>
              <w:ind w:firstLine="0" w:firstLineChars="0"/>
              <w:jc w:val="center"/>
              <w:textAlignment w:val="baseline"/>
              <w:rPr>
                <w:rFonts w:hint="default" w:eastAsia="宋体"/>
                <w:b/>
                <w:bCs/>
                <w:color w:val="auto"/>
                <w:sz w:val="21"/>
                <w:szCs w:val="21"/>
                <w:lang w:val="en-US" w:eastAsia="zh-CN"/>
              </w:rPr>
            </w:pPr>
            <w:r>
              <w:rPr>
                <w:rFonts w:hint="eastAsia"/>
                <w:b/>
                <w:bCs/>
                <w:color w:val="auto"/>
                <w:sz w:val="21"/>
                <w:szCs w:val="21"/>
                <w:lang w:val="en-US" w:eastAsia="zh-CN"/>
              </w:rPr>
              <w:t>200m</w:t>
            </w:r>
          </w:p>
        </w:tc>
      </w:tr>
      <w:tr w14:paraId="37DEF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pct"/>
            <w:vMerge w:val="restart"/>
            <w:tcBorders>
              <w:tl2br w:val="nil"/>
              <w:tr2bl w:val="nil"/>
            </w:tcBorders>
            <w:noWrap w:val="0"/>
            <w:vAlign w:val="center"/>
          </w:tcPr>
          <w:p w14:paraId="1BC68B0A">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扬尘小时平均浓度</w:t>
            </w:r>
          </w:p>
        </w:tc>
        <w:tc>
          <w:tcPr>
            <w:tcW w:w="628" w:type="pct"/>
            <w:tcBorders>
              <w:tl2br w:val="nil"/>
              <w:tr2bl w:val="nil"/>
            </w:tcBorders>
            <w:noWrap w:val="0"/>
            <w:vAlign w:val="center"/>
          </w:tcPr>
          <w:p w14:paraId="2DD7C4C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不洒水</w:t>
            </w:r>
          </w:p>
        </w:tc>
        <w:tc>
          <w:tcPr>
            <w:tcW w:w="535" w:type="pct"/>
            <w:tcBorders>
              <w:tl2br w:val="nil"/>
              <w:tr2bl w:val="nil"/>
            </w:tcBorders>
            <w:noWrap w:val="0"/>
            <w:vAlign w:val="center"/>
          </w:tcPr>
          <w:p w14:paraId="7EDC8495">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11.03</w:t>
            </w:r>
          </w:p>
        </w:tc>
        <w:tc>
          <w:tcPr>
            <w:tcW w:w="624" w:type="pct"/>
            <w:tcBorders>
              <w:tl2br w:val="nil"/>
              <w:tr2bl w:val="nil"/>
            </w:tcBorders>
            <w:noWrap w:val="0"/>
            <w:vAlign w:val="center"/>
          </w:tcPr>
          <w:p w14:paraId="7B2B0074">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10.14</w:t>
            </w:r>
          </w:p>
        </w:tc>
        <w:tc>
          <w:tcPr>
            <w:tcW w:w="624" w:type="pct"/>
            <w:tcBorders>
              <w:tl2br w:val="nil"/>
              <w:tr2bl w:val="nil"/>
            </w:tcBorders>
            <w:noWrap w:val="0"/>
            <w:vAlign w:val="center"/>
          </w:tcPr>
          <w:p w14:paraId="3185095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2.89</w:t>
            </w:r>
          </w:p>
        </w:tc>
        <w:tc>
          <w:tcPr>
            <w:tcW w:w="536" w:type="pct"/>
            <w:tcBorders>
              <w:tl2br w:val="nil"/>
              <w:tr2bl w:val="nil"/>
            </w:tcBorders>
            <w:noWrap w:val="0"/>
            <w:vAlign w:val="center"/>
          </w:tcPr>
          <w:p w14:paraId="2297D59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1.15</w:t>
            </w:r>
          </w:p>
        </w:tc>
        <w:tc>
          <w:tcPr>
            <w:tcW w:w="534" w:type="pct"/>
            <w:tcBorders>
              <w:tl2br w:val="nil"/>
              <w:tr2bl w:val="nil"/>
            </w:tcBorders>
            <w:noWrap w:val="0"/>
            <w:vAlign w:val="center"/>
          </w:tcPr>
          <w:p w14:paraId="2EFFD3B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0.86</w:t>
            </w:r>
          </w:p>
        </w:tc>
        <w:tc>
          <w:tcPr>
            <w:tcW w:w="534" w:type="pct"/>
            <w:tcBorders>
              <w:tl2br w:val="nil"/>
              <w:tr2bl w:val="nil"/>
            </w:tcBorders>
            <w:noWrap w:val="0"/>
            <w:vAlign w:val="center"/>
          </w:tcPr>
          <w:p w14:paraId="44D2C8A9">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0.56</w:t>
            </w:r>
          </w:p>
        </w:tc>
      </w:tr>
      <w:tr w14:paraId="5F5EA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pct"/>
            <w:vMerge w:val="continue"/>
            <w:tcBorders>
              <w:tl2br w:val="nil"/>
              <w:tr2bl w:val="nil"/>
            </w:tcBorders>
            <w:noWrap w:val="0"/>
            <w:vAlign w:val="center"/>
          </w:tcPr>
          <w:p w14:paraId="571C610D">
            <w:pPr>
              <w:pageBreakBefore w:val="0"/>
              <w:wordWrap/>
              <w:bidi w:val="0"/>
              <w:adjustRightInd/>
              <w:snapToGrid/>
              <w:spacing w:line="240" w:lineRule="auto"/>
              <w:ind w:firstLine="0" w:firstLineChars="0"/>
              <w:jc w:val="center"/>
              <w:textAlignment w:val="baseline"/>
              <w:rPr>
                <w:color w:val="auto"/>
                <w:sz w:val="21"/>
                <w:szCs w:val="21"/>
              </w:rPr>
            </w:pPr>
          </w:p>
        </w:tc>
        <w:tc>
          <w:tcPr>
            <w:tcW w:w="628" w:type="pct"/>
            <w:tcBorders>
              <w:tl2br w:val="nil"/>
              <w:tr2bl w:val="nil"/>
            </w:tcBorders>
            <w:noWrap w:val="0"/>
            <w:vAlign w:val="center"/>
          </w:tcPr>
          <w:p w14:paraId="5449B24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洒水</w:t>
            </w:r>
          </w:p>
        </w:tc>
        <w:tc>
          <w:tcPr>
            <w:tcW w:w="535" w:type="pct"/>
            <w:tcBorders>
              <w:tl2br w:val="nil"/>
              <w:tr2bl w:val="nil"/>
            </w:tcBorders>
            <w:noWrap w:val="0"/>
            <w:vAlign w:val="center"/>
          </w:tcPr>
          <w:p w14:paraId="74C53F5D">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2.11</w:t>
            </w:r>
          </w:p>
        </w:tc>
        <w:tc>
          <w:tcPr>
            <w:tcW w:w="624" w:type="pct"/>
            <w:tcBorders>
              <w:tl2br w:val="nil"/>
              <w:tr2bl w:val="nil"/>
            </w:tcBorders>
            <w:noWrap w:val="0"/>
            <w:vAlign w:val="center"/>
          </w:tcPr>
          <w:p w14:paraId="65A18E0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2.01</w:t>
            </w:r>
          </w:p>
        </w:tc>
        <w:tc>
          <w:tcPr>
            <w:tcW w:w="624" w:type="pct"/>
            <w:tcBorders>
              <w:tl2br w:val="nil"/>
              <w:tr2bl w:val="nil"/>
            </w:tcBorders>
            <w:noWrap w:val="0"/>
            <w:vAlign w:val="center"/>
          </w:tcPr>
          <w:p w14:paraId="10DF7A90">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1.40</w:t>
            </w:r>
          </w:p>
        </w:tc>
        <w:tc>
          <w:tcPr>
            <w:tcW w:w="536" w:type="pct"/>
            <w:tcBorders>
              <w:tl2br w:val="nil"/>
              <w:tr2bl w:val="nil"/>
            </w:tcBorders>
            <w:noWrap w:val="0"/>
            <w:vAlign w:val="center"/>
          </w:tcPr>
          <w:p w14:paraId="364DDE68">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0.67</w:t>
            </w:r>
          </w:p>
        </w:tc>
        <w:tc>
          <w:tcPr>
            <w:tcW w:w="534" w:type="pct"/>
            <w:tcBorders>
              <w:tl2br w:val="nil"/>
              <w:tr2bl w:val="nil"/>
            </w:tcBorders>
            <w:noWrap w:val="0"/>
            <w:vAlign w:val="center"/>
          </w:tcPr>
          <w:p w14:paraId="1A76DB0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0.60</w:t>
            </w:r>
          </w:p>
        </w:tc>
        <w:tc>
          <w:tcPr>
            <w:tcW w:w="534" w:type="pct"/>
            <w:tcBorders>
              <w:tl2br w:val="nil"/>
              <w:tr2bl w:val="nil"/>
            </w:tcBorders>
            <w:noWrap w:val="0"/>
            <w:vAlign w:val="center"/>
          </w:tcPr>
          <w:p w14:paraId="3704DEB6">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0.29</w:t>
            </w:r>
          </w:p>
        </w:tc>
      </w:tr>
    </w:tbl>
    <w:p w14:paraId="2629B58C">
      <w:pPr>
        <w:bidi w:val="0"/>
        <w:rPr>
          <w:color w:val="auto"/>
        </w:rPr>
      </w:pPr>
      <w:r>
        <w:rPr>
          <w:color w:val="auto"/>
        </w:rPr>
        <w:t>此外，施工扬尘的另一种重要产生方式是建筑材料的露天堆放和挖填方作业，这类扬尘的主要特点是受作业时风速大小的影响显著。因此，禁止在大风天气时进行此类作业以及减少建筑材料的露天堆放是抑制这类扬尘的一种很有效的手段。</w:t>
      </w:r>
    </w:p>
    <w:p w14:paraId="525BD3C3">
      <w:pPr>
        <w:pStyle w:val="27"/>
        <w:pageBreakBefore w:val="0"/>
        <w:wordWrap/>
        <w:bidi w:val="0"/>
        <w:adjustRightInd/>
        <w:snapToGrid/>
        <w:ind w:firstLine="480"/>
        <w:rPr>
          <w:rFonts w:ascii="Times New Roman" w:hAnsi="Times New Roman"/>
          <w:bCs/>
          <w:color w:val="auto"/>
          <w:sz w:val="24"/>
        </w:rPr>
      </w:pPr>
      <w:r>
        <w:rPr>
          <w:rFonts w:ascii="Times New Roman" w:hAnsi="Times New Roman"/>
          <w:color w:val="auto"/>
          <w:sz w:val="24"/>
        </w:rPr>
        <w:t>项目施工时应采取封闭施工现场、采用密目安全网、定期对地面洒水、对撒落在路面的渣土及时清除、施工现场主要运输道路尽量采用硬化路面、自卸车、垃圾运输车等运输车辆不允许超载，出场前一律清洗轮胎，用毡布覆盖，并且在施工区出口设置防尘飞扬垫等一系列措施，可大大减少施工扬尘对环境空气的影响。</w:t>
      </w:r>
    </w:p>
    <w:p w14:paraId="6C20A29B">
      <w:pPr>
        <w:pStyle w:val="15"/>
        <w:pageBreakBefore w:val="0"/>
        <w:numPr>
          <w:ilvl w:val="0"/>
          <w:numId w:val="29"/>
        </w:numPr>
        <w:tabs>
          <w:tab w:val="clear" w:pos="0"/>
        </w:tabs>
        <w:wordWrap/>
        <w:bidi w:val="0"/>
        <w:adjustRightInd/>
        <w:snapToGrid/>
        <w:ind w:left="420" w:leftChars="0" w:hanging="420" w:firstLineChars="0"/>
        <w:rPr>
          <w:color w:val="auto"/>
        </w:rPr>
      </w:pPr>
      <w:r>
        <w:rPr>
          <w:color w:val="auto"/>
        </w:rPr>
        <w:t xml:space="preserve"> 施工现场扬尘治理前后TSP浓度</w:t>
      </w:r>
    </w:p>
    <w:tbl>
      <w:tblPr>
        <w:tblStyle w:val="48"/>
        <w:tblW w:w="850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1875"/>
        <w:gridCol w:w="1609"/>
        <w:gridCol w:w="941"/>
        <w:gridCol w:w="428"/>
        <w:gridCol w:w="585"/>
        <w:gridCol w:w="532"/>
        <w:gridCol w:w="709"/>
        <w:gridCol w:w="558"/>
        <w:gridCol w:w="641"/>
        <w:gridCol w:w="626"/>
      </w:tblGrid>
      <w:tr w14:paraId="6CCB86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noWrap w:val="0"/>
            <w:tcMar>
              <w:top w:w="0" w:type="dxa"/>
              <w:left w:w="-1" w:type="dxa"/>
              <w:right w:w="-1" w:type="dxa"/>
            </w:tcMar>
            <w:vAlign w:val="center"/>
          </w:tcPr>
          <w:p w14:paraId="68530F5C">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产尘位置</w:t>
            </w:r>
          </w:p>
        </w:tc>
        <w:tc>
          <w:tcPr>
            <w:tcW w:w="1609" w:type="dxa"/>
            <w:vMerge w:val="restart"/>
            <w:tcBorders>
              <w:tl2br w:val="nil"/>
              <w:tr2bl w:val="nil"/>
            </w:tcBorders>
            <w:noWrap w:val="0"/>
            <w:tcMar>
              <w:top w:w="0" w:type="dxa"/>
              <w:left w:w="-1" w:type="dxa"/>
              <w:right w:w="-1" w:type="dxa"/>
            </w:tcMar>
            <w:vAlign w:val="center"/>
          </w:tcPr>
          <w:p w14:paraId="564CD474">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产尘因素</w:t>
            </w:r>
          </w:p>
        </w:tc>
        <w:tc>
          <w:tcPr>
            <w:tcW w:w="941" w:type="dxa"/>
            <w:vMerge w:val="restart"/>
            <w:tcBorders>
              <w:tl2br w:val="nil"/>
              <w:tr2bl w:val="nil"/>
            </w:tcBorders>
            <w:noWrap w:val="0"/>
            <w:tcMar>
              <w:top w:w="0" w:type="dxa"/>
              <w:left w:w="-1" w:type="dxa"/>
              <w:right w:w="-1" w:type="dxa"/>
            </w:tcMar>
            <w:vAlign w:val="center"/>
          </w:tcPr>
          <w:p w14:paraId="787CEE8F">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治理前后</w:t>
            </w:r>
          </w:p>
        </w:tc>
        <w:tc>
          <w:tcPr>
            <w:tcW w:w="4079" w:type="dxa"/>
            <w:gridSpan w:val="7"/>
            <w:tcBorders>
              <w:tl2br w:val="nil"/>
              <w:tr2bl w:val="nil"/>
            </w:tcBorders>
            <w:noWrap w:val="0"/>
            <w:tcMar>
              <w:top w:w="0" w:type="dxa"/>
              <w:left w:w="-1" w:type="dxa"/>
              <w:right w:w="-1" w:type="dxa"/>
            </w:tcMar>
            <w:vAlign w:val="center"/>
          </w:tcPr>
          <w:p w14:paraId="454E83D1">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距施工场界距离（m）</w:t>
            </w:r>
          </w:p>
        </w:tc>
      </w:tr>
      <w:tr w14:paraId="5AF6A4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noWrap w:val="0"/>
            <w:tcMar>
              <w:top w:w="0" w:type="dxa"/>
              <w:left w:w="-1" w:type="dxa"/>
              <w:right w:w="-1" w:type="dxa"/>
            </w:tcMar>
            <w:vAlign w:val="center"/>
          </w:tcPr>
          <w:p w14:paraId="13EDAD1B">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1609" w:type="dxa"/>
            <w:vMerge w:val="continue"/>
            <w:tcBorders>
              <w:tl2br w:val="nil"/>
              <w:tr2bl w:val="nil"/>
            </w:tcBorders>
            <w:noWrap w:val="0"/>
            <w:tcMar>
              <w:top w:w="0" w:type="dxa"/>
              <w:left w:w="-1" w:type="dxa"/>
              <w:right w:w="-1" w:type="dxa"/>
            </w:tcMar>
            <w:vAlign w:val="center"/>
          </w:tcPr>
          <w:p w14:paraId="29F7C777">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941" w:type="dxa"/>
            <w:vMerge w:val="continue"/>
            <w:tcBorders>
              <w:tl2br w:val="nil"/>
              <w:tr2bl w:val="nil"/>
            </w:tcBorders>
            <w:noWrap w:val="0"/>
            <w:tcMar>
              <w:top w:w="0" w:type="dxa"/>
              <w:left w:w="-1" w:type="dxa"/>
              <w:right w:w="-1" w:type="dxa"/>
            </w:tcMar>
            <w:vAlign w:val="center"/>
          </w:tcPr>
          <w:p w14:paraId="1C0C79F7">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428" w:type="dxa"/>
            <w:tcBorders>
              <w:tl2br w:val="nil"/>
              <w:tr2bl w:val="nil"/>
            </w:tcBorders>
            <w:noWrap w:val="0"/>
            <w:tcMar>
              <w:top w:w="0" w:type="dxa"/>
              <w:left w:w="-1" w:type="dxa"/>
              <w:right w:w="-1" w:type="dxa"/>
            </w:tcMar>
            <w:vAlign w:val="center"/>
          </w:tcPr>
          <w:p w14:paraId="3770F801">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10</w:t>
            </w:r>
          </w:p>
        </w:tc>
        <w:tc>
          <w:tcPr>
            <w:tcW w:w="585" w:type="dxa"/>
            <w:tcBorders>
              <w:tl2br w:val="nil"/>
              <w:tr2bl w:val="nil"/>
            </w:tcBorders>
            <w:noWrap w:val="0"/>
            <w:tcMar>
              <w:top w:w="0" w:type="dxa"/>
              <w:left w:w="-1" w:type="dxa"/>
              <w:right w:w="-1" w:type="dxa"/>
            </w:tcMar>
            <w:vAlign w:val="center"/>
          </w:tcPr>
          <w:p w14:paraId="11EE2AD2">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30</w:t>
            </w:r>
          </w:p>
        </w:tc>
        <w:tc>
          <w:tcPr>
            <w:tcW w:w="532" w:type="dxa"/>
            <w:tcBorders>
              <w:tl2br w:val="nil"/>
              <w:tr2bl w:val="nil"/>
            </w:tcBorders>
            <w:noWrap w:val="0"/>
            <w:tcMar>
              <w:top w:w="0" w:type="dxa"/>
              <w:left w:w="-1" w:type="dxa"/>
              <w:right w:w="-1" w:type="dxa"/>
            </w:tcMar>
            <w:vAlign w:val="center"/>
          </w:tcPr>
          <w:p w14:paraId="7874CDB7">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50</w:t>
            </w:r>
          </w:p>
        </w:tc>
        <w:tc>
          <w:tcPr>
            <w:tcW w:w="709" w:type="dxa"/>
            <w:tcBorders>
              <w:tl2br w:val="nil"/>
              <w:tr2bl w:val="nil"/>
            </w:tcBorders>
            <w:noWrap w:val="0"/>
            <w:tcMar>
              <w:top w:w="0" w:type="dxa"/>
              <w:left w:w="-1" w:type="dxa"/>
              <w:right w:w="-1" w:type="dxa"/>
            </w:tcMar>
            <w:vAlign w:val="center"/>
          </w:tcPr>
          <w:p w14:paraId="4E406267">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100</w:t>
            </w:r>
          </w:p>
        </w:tc>
        <w:tc>
          <w:tcPr>
            <w:tcW w:w="558" w:type="dxa"/>
            <w:tcBorders>
              <w:tl2br w:val="nil"/>
              <w:tr2bl w:val="nil"/>
            </w:tcBorders>
            <w:noWrap w:val="0"/>
            <w:tcMar>
              <w:top w:w="0" w:type="dxa"/>
              <w:left w:w="-1" w:type="dxa"/>
              <w:right w:w="-1" w:type="dxa"/>
            </w:tcMar>
            <w:vAlign w:val="center"/>
          </w:tcPr>
          <w:p w14:paraId="687012B1">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150</w:t>
            </w:r>
          </w:p>
        </w:tc>
        <w:tc>
          <w:tcPr>
            <w:tcW w:w="641" w:type="dxa"/>
            <w:tcBorders>
              <w:tl2br w:val="nil"/>
              <w:tr2bl w:val="nil"/>
            </w:tcBorders>
            <w:noWrap w:val="0"/>
            <w:tcMar>
              <w:top w:w="0" w:type="dxa"/>
              <w:left w:w="-1" w:type="dxa"/>
              <w:right w:w="-1" w:type="dxa"/>
            </w:tcMar>
            <w:vAlign w:val="center"/>
          </w:tcPr>
          <w:p w14:paraId="523070CD">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200</w:t>
            </w:r>
          </w:p>
        </w:tc>
        <w:tc>
          <w:tcPr>
            <w:tcW w:w="626" w:type="dxa"/>
            <w:tcBorders>
              <w:tl2br w:val="nil"/>
              <w:tr2bl w:val="nil"/>
            </w:tcBorders>
            <w:noWrap w:val="0"/>
            <w:tcMar>
              <w:top w:w="0" w:type="dxa"/>
              <w:left w:w="-1" w:type="dxa"/>
              <w:right w:w="-1" w:type="dxa"/>
            </w:tcMar>
            <w:vAlign w:val="center"/>
          </w:tcPr>
          <w:p w14:paraId="770F5BC2">
            <w:pPr>
              <w:pStyle w:val="27"/>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400</w:t>
            </w:r>
          </w:p>
        </w:tc>
      </w:tr>
      <w:tr w14:paraId="68866BA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noWrap w:val="0"/>
            <w:tcMar>
              <w:top w:w="0" w:type="dxa"/>
              <w:left w:w="-1" w:type="dxa"/>
              <w:right w:w="-1" w:type="dxa"/>
            </w:tcMar>
            <w:vAlign w:val="center"/>
          </w:tcPr>
          <w:p w14:paraId="7F33E049">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运输沿线料场、弃土堆场、开挖现场</w:t>
            </w:r>
          </w:p>
        </w:tc>
        <w:tc>
          <w:tcPr>
            <w:tcW w:w="1609" w:type="dxa"/>
            <w:vMerge w:val="restart"/>
            <w:tcBorders>
              <w:tl2br w:val="nil"/>
              <w:tr2bl w:val="nil"/>
            </w:tcBorders>
            <w:noWrap w:val="0"/>
            <w:tcMar>
              <w:top w:w="0" w:type="dxa"/>
              <w:left w:w="-1" w:type="dxa"/>
              <w:right w:w="-1" w:type="dxa"/>
            </w:tcMar>
            <w:vAlign w:val="center"/>
          </w:tcPr>
          <w:p w14:paraId="7C858F7A">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开挖、拌和建材弃土运输装卸</w:t>
            </w:r>
          </w:p>
        </w:tc>
        <w:tc>
          <w:tcPr>
            <w:tcW w:w="941" w:type="dxa"/>
            <w:tcBorders>
              <w:tl2br w:val="nil"/>
              <w:tr2bl w:val="nil"/>
            </w:tcBorders>
            <w:noWrap w:val="0"/>
            <w:tcMar>
              <w:top w:w="0" w:type="dxa"/>
              <w:left w:w="-1" w:type="dxa"/>
              <w:right w:w="-1" w:type="dxa"/>
            </w:tcMar>
            <w:vAlign w:val="center"/>
          </w:tcPr>
          <w:p w14:paraId="7EE1D293">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治理前</w:t>
            </w:r>
          </w:p>
        </w:tc>
        <w:tc>
          <w:tcPr>
            <w:tcW w:w="428" w:type="dxa"/>
            <w:tcBorders>
              <w:tl2br w:val="nil"/>
              <w:tr2bl w:val="nil"/>
            </w:tcBorders>
            <w:noWrap w:val="0"/>
            <w:tcMar>
              <w:top w:w="0" w:type="dxa"/>
              <w:left w:w="-1" w:type="dxa"/>
              <w:right w:w="-1" w:type="dxa"/>
            </w:tcMar>
            <w:vAlign w:val="center"/>
          </w:tcPr>
          <w:p w14:paraId="125E420E">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85" w:type="dxa"/>
            <w:tcBorders>
              <w:tl2br w:val="nil"/>
              <w:tr2bl w:val="nil"/>
            </w:tcBorders>
            <w:noWrap w:val="0"/>
            <w:tcMar>
              <w:top w:w="0" w:type="dxa"/>
              <w:left w:w="-1" w:type="dxa"/>
              <w:right w:w="-1" w:type="dxa"/>
            </w:tcMar>
            <w:vAlign w:val="center"/>
          </w:tcPr>
          <w:p w14:paraId="11914156">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32" w:type="dxa"/>
            <w:tcBorders>
              <w:tl2br w:val="nil"/>
              <w:tr2bl w:val="nil"/>
            </w:tcBorders>
            <w:noWrap w:val="0"/>
            <w:tcMar>
              <w:top w:w="0" w:type="dxa"/>
              <w:left w:w="-1" w:type="dxa"/>
              <w:right w:w="-1" w:type="dxa"/>
            </w:tcMar>
            <w:vAlign w:val="center"/>
          </w:tcPr>
          <w:p w14:paraId="5B4CDA17">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8.0</w:t>
            </w:r>
          </w:p>
        </w:tc>
        <w:tc>
          <w:tcPr>
            <w:tcW w:w="709" w:type="dxa"/>
            <w:tcBorders>
              <w:tl2br w:val="nil"/>
              <w:tr2bl w:val="nil"/>
            </w:tcBorders>
            <w:noWrap w:val="0"/>
            <w:tcMar>
              <w:top w:w="0" w:type="dxa"/>
              <w:left w:w="-1" w:type="dxa"/>
              <w:right w:w="-1" w:type="dxa"/>
            </w:tcMar>
            <w:vAlign w:val="center"/>
          </w:tcPr>
          <w:p w14:paraId="6FC010CD">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2.3</w:t>
            </w:r>
          </w:p>
        </w:tc>
        <w:tc>
          <w:tcPr>
            <w:tcW w:w="558" w:type="dxa"/>
            <w:tcBorders>
              <w:tl2br w:val="nil"/>
              <w:tr2bl w:val="nil"/>
            </w:tcBorders>
            <w:noWrap w:val="0"/>
            <w:tcMar>
              <w:top w:w="0" w:type="dxa"/>
              <w:left w:w="-1" w:type="dxa"/>
              <w:right w:w="-1" w:type="dxa"/>
            </w:tcMar>
            <w:vAlign w:val="center"/>
          </w:tcPr>
          <w:p w14:paraId="7CC9CAAD">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1.0</w:t>
            </w:r>
          </w:p>
        </w:tc>
        <w:tc>
          <w:tcPr>
            <w:tcW w:w="641" w:type="dxa"/>
            <w:tcBorders>
              <w:tl2br w:val="nil"/>
              <w:tr2bl w:val="nil"/>
            </w:tcBorders>
            <w:noWrap w:val="0"/>
            <w:tcMar>
              <w:top w:w="0" w:type="dxa"/>
              <w:left w:w="-1" w:type="dxa"/>
              <w:right w:w="-1" w:type="dxa"/>
            </w:tcMar>
            <w:vAlign w:val="center"/>
          </w:tcPr>
          <w:p w14:paraId="7944F97A">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0.5</w:t>
            </w:r>
          </w:p>
        </w:tc>
        <w:tc>
          <w:tcPr>
            <w:tcW w:w="626" w:type="dxa"/>
            <w:tcBorders>
              <w:tl2br w:val="nil"/>
              <w:tr2bl w:val="nil"/>
            </w:tcBorders>
            <w:noWrap w:val="0"/>
            <w:tcMar>
              <w:top w:w="0" w:type="dxa"/>
              <w:left w:w="-1" w:type="dxa"/>
              <w:right w:w="-1" w:type="dxa"/>
            </w:tcMar>
            <w:vAlign w:val="center"/>
          </w:tcPr>
          <w:p w14:paraId="3F483F6B">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0.3</w:t>
            </w:r>
          </w:p>
        </w:tc>
      </w:tr>
      <w:tr w14:paraId="4EDAAFF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noWrap w:val="0"/>
            <w:tcMar>
              <w:top w:w="0" w:type="dxa"/>
              <w:left w:w="-1" w:type="dxa"/>
              <w:right w:w="-1" w:type="dxa"/>
            </w:tcMar>
            <w:vAlign w:val="center"/>
          </w:tcPr>
          <w:p w14:paraId="6C284C59">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p>
        </w:tc>
        <w:tc>
          <w:tcPr>
            <w:tcW w:w="1609" w:type="dxa"/>
            <w:vMerge w:val="continue"/>
            <w:tcBorders>
              <w:tl2br w:val="nil"/>
              <w:tr2bl w:val="nil"/>
            </w:tcBorders>
            <w:noWrap w:val="0"/>
            <w:tcMar>
              <w:top w:w="0" w:type="dxa"/>
              <w:left w:w="-1" w:type="dxa"/>
              <w:right w:w="-1" w:type="dxa"/>
            </w:tcMar>
            <w:vAlign w:val="center"/>
          </w:tcPr>
          <w:p w14:paraId="795042E1">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p>
        </w:tc>
        <w:tc>
          <w:tcPr>
            <w:tcW w:w="941" w:type="dxa"/>
            <w:tcBorders>
              <w:tl2br w:val="nil"/>
              <w:tr2bl w:val="nil"/>
            </w:tcBorders>
            <w:noWrap w:val="0"/>
            <w:tcMar>
              <w:top w:w="0" w:type="dxa"/>
              <w:left w:w="-1" w:type="dxa"/>
              <w:right w:w="-1" w:type="dxa"/>
            </w:tcMar>
            <w:vAlign w:val="center"/>
          </w:tcPr>
          <w:p w14:paraId="113FC4FD">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治理后</w:t>
            </w:r>
          </w:p>
        </w:tc>
        <w:tc>
          <w:tcPr>
            <w:tcW w:w="428" w:type="dxa"/>
            <w:tcBorders>
              <w:tl2br w:val="nil"/>
              <w:tr2bl w:val="nil"/>
            </w:tcBorders>
            <w:noWrap w:val="0"/>
            <w:tcMar>
              <w:top w:w="0" w:type="dxa"/>
              <w:left w:w="-1" w:type="dxa"/>
              <w:right w:w="-1" w:type="dxa"/>
            </w:tcMar>
            <w:vAlign w:val="center"/>
          </w:tcPr>
          <w:p w14:paraId="2AE32F5C">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85" w:type="dxa"/>
            <w:tcBorders>
              <w:tl2br w:val="nil"/>
              <w:tr2bl w:val="nil"/>
            </w:tcBorders>
            <w:noWrap w:val="0"/>
            <w:tcMar>
              <w:top w:w="0" w:type="dxa"/>
              <w:left w:w="-1" w:type="dxa"/>
              <w:right w:w="-1" w:type="dxa"/>
            </w:tcMar>
            <w:vAlign w:val="center"/>
          </w:tcPr>
          <w:p w14:paraId="2AE6F1E9">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2.0</w:t>
            </w:r>
          </w:p>
        </w:tc>
        <w:tc>
          <w:tcPr>
            <w:tcW w:w="532" w:type="dxa"/>
            <w:tcBorders>
              <w:tl2br w:val="nil"/>
              <w:tr2bl w:val="nil"/>
            </w:tcBorders>
            <w:noWrap w:val="0"/>
            <w:tcMar>
              <w:top w:w="0" w:type="dxa"/>
              <w:left w:w="-1" w:type="dxa"/>
              <w:right w:w="-1" w:type="dxa"/>
            </w:tcMar>
            <w:vAlign w:val="center"/>
          </w:tcPr>
          <w:p w14:paraId="498EE789">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0.8</w:t>
            </w:r>
          </w:p>
        </w:tc>
        <w:tc>
          <w:tcPr>
            <w:tcW w:w="709" w:type="dxa"/>
            <w:tcBorders>
              <w:tl2br w:val="nil"/>
              <w:tr2bl w:val="nil"/>
            </w:tcBorders>
            <w:noWrap w:val="0"/>
            <w:tcMar>
              <w:top w:w="0" w:type="dxa"/>
              <w:left w:w="-1" w:type="dxa"/>
              <w:right w:w="-1" w:type="dxa"/>
            </w:tcMar>
            <w:vAlign w:val="center"/>
          </w:tcPr>
          <w:p w14:paraId="6BE1E4C4">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0.5</w:t>
            </w:r>
          </w:p>
        </w:tc>
        <w:tc>
          <w:tcPr>
            <w:tcW w:w="558" w:type="dxa"/>
            <w:tcBorders>
              <w:tl2br w:val="nil"/>
              <w:tr2bl w:val="nil"/>
            </w:tcBorders>
            <w:noWrap w:val="0"/>
            <w:tcMar>
              <w:top w:w="0" w:type="dxa"/>
              <w:left w:w="-1" w:type="dxa"/>
              <w:right w:w="-1" w:type="dxa"/>
            </w:tcMar>
            <w:vAlign w:val="center"/>
          </w:tcPr>
          <w:p w14:paraId="6808FF35">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0.3</w:t>
            </w:r>
          </w:p>
        </w:tc>
        <w:tc>
          <w:tcPr>
            <w:tcW w:w="641" w:type="dxa"/>
            <w:tcBorders>
              <w:tl2br w:val="nil"/>
              <w:tr2bl w:val="nil"/>
            </w:tcBorders>
            <w:noWrap w:val="0"/>
            <w:tcMar>
              <w:top w:w="0" w:type="dxa"/>
              <w:left w:w="-1" w:type="dxa"/>
              <w:right w:w="-1" w:type="dxa"/>
            </w:tcMar>
            <w:vAlign w:val="center"/>
          </w:tcPr>
          <w:p w14:paraId="40B6B5A5">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0.1</w:t>
            </w:r>
          </w:p>
        </w:tc>
        <w:tc>
          <w:tcPr>
            <w:tcW w:w="626" w:type="dxa"/>
            <w:tcBorders>
              <w:tl2br w:val="nil"/>
              <w:tr2bl w:val="nil"/>
            </w:tcBorders>
            <w:noWrap w:val="0"/>
            <w:tcMar>
              <w:top w:w="0" w:type="dxa"/>
              <w:left w:w="-1" w:type="dxa"/>
              <w:right w:w="-1" w:type="dxa"/>
            </w:tcMar>
            <w:vAlign w:val="center"/>
          </w:tcPr>
          <w:p w14:paraId="6DF7EDC3">
            <w:pPr>
              <w:pStyle w:val="27"/>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r>
    </w:tbl>
    <w:p w14:paraId="69A1F949">
      <w:pPr>
        <w:pageBreakBefore w:val="0"/>
        <w:wordWrap/>
        <w:bidi w:val="0"/>
        <w:adjustRightInd/>
        <w:snapToGrid/>
        <w:ind w:firstLine="480"/>
        <w:rPr>
          <w:color w:val="auto"/>
        </w:rPr>
      </w:pPr>
      <w:r>
        <w:rPr>
          <w:color w:val="auto"/>
        </w:rPr>
        <w:t>由</w:t>
      </w:r>
      <w:r>
        <w:rPr>
          <w:rFonts w:hint="eastAsia"/>
          <w:color w:val="auto"/>
          <w:lang w:val="en-US" w:eastAsia="zh-CN"/>
        </w:rPr>
        <w:t>上表</w:t>
      </w:r>
      <w:r>
        <w:rPr>
          <w:color w:val="auto"/>
        </w:rPr>
        <w:t>可知，项目在未采取防尘措施时，施工现场影响范围在400m范围。采取相应的防尘措施后，扬尘影响范围在150m范围内，防尘措施明显，能够有效的减轻施工扬尘对附近居民的影响。</w:t>
      </w:r>
    </w:p>
    <w:p w14:paraId="149EC915">
      <w:pPr>
        <w:bidi w:val="0"/>
        <w:rPr>
          <w:color w:val="auto"/>
        </w:rPr>
      </w:pPr>
      <w:r>
        <w:rPr>
          <w:color w:val="auto"/>
        </w:rPr>
        <w:t>为了减少施工建设的影响，针对施工期扬尘的问题，本项目在施工期拟采取如下控制措施：</w:t>
      </w:r>
    </w:p>
    <w:p w14:paraId="3BB8E0A9">
      <w:pPr>
        <w:bidi w:val="0"/>
        <w:rPr>
          <w:color w:val="auto"/>
        </w:rPr>
      </w:pPr>
      <w:r>
        <w:rPr>
          <w:color w:val="auto"/>
        </w:rPr>
        <w:t>（1）在施工过程中，作业场地将采取围挡、围护以减少扬尘扩散，围挡、围护对减少扬尘对环境的污染有明显作用，当风速为2.5m/s时可使影响距离缩短40%。在施工现场周围，连续设置不低于2.5m高的围挡，并做到坚固美观。</w:t>
      </w:r>
    </w:p>
    <w:p w14:paraId="659183C1">
      <w:pPr>
        <w:bidi w:val="0"/>
        <w:rPr>
          <w:color w:val="auto"/>
        </w:rPr>
      </w:pPr>
      <w:r>
        <w:rPr>
          <w:color w:val="auto"/>
        </w:rPr>
        <w:t>（2）在施工场地安排员工定期对施工场地洒水以减少扬尘量，洒水次数根据天气状况而定，一般每天洒水1</w:t>
      </w:r>
      <w:r>
        <w:rPr>
          <w:rFonts w:hint="eastAsia"/>
          <w:color w:val="auto"/>
          <w:lang w:eastAsia="zh-CN"/>
        </w:rPr>
        <w:t>～</w:t>
      </w:r>
      <w:r>
        <w:rPr>
          <w:color w:val="auto"/>
        </w:rPr>
        <w:t>2次，若遇到大风或干燥天气可适当增加洒水次数。施工场地洒水与否对扬尘的影响较大，场地洒水后，扬尘量将减低28%</w:t>
      </w:r>
      <w:r>
        <w:rPr>
          <w:rFonts w:hint="eastAsia"/>
          <w:color w:val="auto"/>
          <w:lang w:eastAsia="zh-CN"/>
        </w:rPr>
        <w:t>～</w:t>
      </w:r>
      <w:r>
        <w:rPr>
          <w:color w:val="auto"/>
        </w:rPr>
        <w:t>75%，大大减少了其对环境的影响。</w:t>
      </w:r>
    </w:p>
    <w:p w14:paraId="1C15CA9F">
      <w:pPr>
        <w:bidi w:val="0"/>
        <w:rPr>
          <w:color w:val="auto"/>
        </w:rPr>
      </w:pPr>
      <w:r>
        <w:rPr>
          <w:color w:val="auto"/>
        </w:rPr>
        <w:t>（3）工程建设期间，使用的具有粉尘逸散性的工程材料、砂石、土方或废弃物，应当密闭处理。若在工地内堆置，则应采取覆盖防尘布、覆盖防尘网、配合定期喷洒粉尘抑制剂等措施，防止风蚀起尘。同时对运输建筑材料及建筑垃圾的车辆</w:t>
      </w:r>
      <w:r>
        <w:rPr>
          <w:rFonts w:hint="eastAsia"/>
          <w:color w:val="auto"/>
          <w:lang w:eastAsia="zh-CN"/>
        </w:rPr>
        <w:t>加盖篷布</w:t>
      </w:r>
      <w:r>
        <w:rPr>
          <w:color w:val="auto"/>
        </w:rPr>
        <w:t>减少洒落；车辆进出、装卸场地时应用水将轮胎冲洗干净；车辆行驶路线应首选外环路，尽量避开居民区和市中心区。</w:t>
      </w:r>
    </w:p>
    <w:p w14:paraId="0DB5ACAF">
      <w:pPr>
        <w:bidi w:val="0"/>
        <w:rPr>
          <w:color w:val="auto"/>
        </w:rPr>
      </w:pPr>
      <w:r>
        <w:rPr>
          <w:color w:val="auto"/>
        </w:rPr>
        <w:t>（4）尽量避免在大风天气下进行施工作业，建议使用商品混凝土。</w:t>
      </w:r>
    </w:p>
    <w:p w14:paraId="3D71F464">
      <w:pPr>
        <w:bidi w:val="0"/>
        <w:rPr>
          <w:color w:val="auto"/>
        </w:rPr>
      </w:pPr>
      <w:r>
        <w:rPr>
          <w:color w:val="auto"/>
        </w:rPr>
        <w:t>（5）在施工场地上设置专人负责建筑垃圾、建筑材料的处置、清运和堆放，堆放场地</w:t>
      </w:r>
      <w:r>
        <w:rPr>
          <w:rFonts w:hint="eastAsia"/>
          <w:color w:val="auto"/>
          <w:lang w:eastAsia="zh-CN"/>
        </w:rPr>
        <w:t>加盖篷布</w:t>
      </w:r>
      <w:r>
        <w:rPr>
          <w:color w:val="auto"/>
        </w:rPr>
        <w:t>或洒水，防止二次扬尘。</w:t>
      </w:r>
    </w:p>
    <w:p w14:paraId="61F5D85D">
      <w:pPr>
        <w:bidi w:val="0"/>
        <w:rPr>
          <w:color w:val="auto"/>
        </w:rPr>
      </w:pPr>
      <w:r>
        <w:rPr>
          <w:color w:val="auto"/>
        </w:rPr>
        <w:t>（6）工程建设期间，施工工地内车行路径，应采取铺设钢板、铺设混凝土、铺设沥青混凝土、铺设用细石</w:t>
      </w:r>
      <w:r>
        <w:rPr>
          <w:rFonts w:hint="eastAsia"/>
          <w:color w:val="auto"/>
          <w:lang w:eastAsia="zh-CN"/>
        </w:rPr>
        <w:t>或其他</w:t>
      </w:r>
      <w:r>
        <w:rPr>
          <w:color w:val="auto"/>
        </w:rPr>
        <w:t>功能相当的材料等措施之一，防止机动车扬尘。进出施工现场临时道路应根据实际情况进行硬化，或定期施洒粉尘抑制剂以保持路面低尘负荷状态。</w:t>
      </w:r>
    </w:p>
    <w:p w14:paraId="01351067">
      <w:pPr>
        <w:bidi w:val="0"/>
        <w:rPr>
          <w:color w:val="auto"/>
        </w:rPr>
      </w:pPr>
      <w:r>
        <w:rPr>
          <w:color w:val="auto"/>
        </w:rPr>
        <w:t>（7）工程建设期间，对于工地内裸露地面，应采取下列防尘措施之一：覆盖防尘布或防尘网；铺设钢板、混凝土、沥青混凝土、细石或其他功能相当的材料；植被绿化；定期洒水；地表压实处理并洒水；定期喷洒抑尘剂。</w:t>
      </w:r>
    </w:p>
    <w:p w14:paraId="4753560C">
      <w:pPr>
        <w:bidi w:val="0"/>
        <w:rPr>
          <w:color w:val="auto"/>
        </w:rPr>
      </w:pPr>
      <w:r>
        <w:rPr>
          <w:color w:val="auto"/>
        </w:rPr>
        <w:t>（8）施工期间，施工单位应负责工地周边道路的保洁与清洗责任；施工期间，随工程进度及时进行回填和植被恢复，减少裸露地面和临时土方堆场。</w:t>
      </w:r>
    </w:p>
    <w:p w14:paraId="7AB3C9EB">
      <w:pPr>
        <w:bidi w:val="0"/>
        <w:rPr>
          <w:color w:val="auto"/>
        </w:rPr>
      </w:pPr>
      <w:r>
        <w:rPr>
          <w:color w:val="auto"/>
        </w:rPr>
        <w:t>（9）对建筑垃圾应及时处理、清运、以减少占地，防止扬尘污染，改善施工场地的环境。</w:t>
      </w:r>
    </w:p>
    <w:p w14:paraId="3F6DB177">
      <w:pPr>
        <w:pageBreakBefore w:val="0"/>
        <w:wordWrap/>
        <w:bidi w:val="0"/>
        <w:adjustRightInd/>
        <w:snapToGrid/>
        <w:ind w:firstLine="480"/>
        <w:rPr>
          <w:b/>
          <w:bCs/>
          <w:color w:val="auto"/>
        </w:rPr>
      </w:pPr>
      <w:r>
        <w:rPr>
          <w:color w:val="auto"/>
        </w:rPr>
        <w:t>本项目施工期间扬尘治理必须严格遵守国家环境保护总局2007年11月27日发布，2008年2月1日实施的《防治城市扬尘污染技术规范》（HJ/T393-2007）的要求，减少扬尘产生量。</w:t>
      </w:r>
      <w:r>
        <w:rPr>
          <w:b/>
          <w:bCs/>
          <w:color w:val="auto"/>
        </w:rPr>
        <w:t>同时，严格按照</w:t>
      </w:r>
      <w:r>
        <w:rPr>
          <w:rFonts w:hint="eastAsia"/>
          <w:b/>
          <w:bCs/>
          <w:color w:val="auto"/>
        </w:rPr>
        <w:t>《巴中市扬尘污染防治条例》</w:t>
      </w:r>
      <w:r>
        <w:rPr>
          <w:rFonts w:hint="eastAsia"/>
          <w:b/>
          <w:bCs/>
          <w:color w:val="auto"/>
          <w:lang w:eastAsia="zh-CN"/>
        </w:rPr>
        <w:t>（</w:t>
      </w:r>
      <w:r>
        <w:rPr>
          <w:rFonts w:hint="eastAsia"/>
          <w:b/>
          <w:bCs/>
          <w:color w:val="auto"/>
          <w:lang w:val="en-US" w:eastAsia="zh-CN"/>
        </w:rPr>
        <w:t>2020年第8号</w:t>
      </w:r>
      <w:r>
        <w:rPr>
          <w:rFonts w:hint="eastAsia"/>
          <w:b/>
          <w:bCs/>
          <w:color w:val="auto"/>
          <w:lang w:eastAsia="zh-CN"/>
        </w:rPr>
        <w:t>）</w:t>
      </w:r>
      <w:r>
        <w:rPr>
          <w:b/>
          <w:bCs/>
          <w:color w:val="auto"/>
        </w:rPr>
        <w:t>相关施工管理要求：加强施工管理、施工现场污染防治以及卫生管理等。</w:t>
      </w:r>
    </w:p>
    <w:p w14:paraId="328B58F5">
      <w:pPr>
        <w:pageBreakBefore w:val="0"/>
        <w:wordWrap/>
        <w:bidi w:val="0"/>
        <w:adjustRightInd/>
        <w:snapToGrid/>
        <w:ind w:firstLine="480"/>
        <w:rPr>
          <w:color w:val="auto"/>
        </w:rPr>
      </w:pPr>
      <w:r>
        <w:rPr>
          <w:color w:val="auto"/>
        </w:rPr>
        <w:t>综上，在落实环评中各项抑尘措施的前提下，施工扬尘产生量和区域TSP浓度可降至一个合理水平，对周围居民影响较小。总之，只要加强管理、切实落实好这些措施，施工场地扬尘对环境的影响将会大大降低，同时其对环境的影响也将随施工的结束而消失。</w:t>
      </w:r>
    </w:p>
    <w:p w14:paraId="6AE0D2E0">
      <w:pPr>
        <w:pageBreakBefore w:val="0"/>
        <w:wordWrap/>
        <w:bidi w:val="0"/>
        <w:adjustRightInd/>
        <w:snapToGrid/>
        <w:ind w:firstLine="48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汽车运输和施工机具尾气</w:t>
      </w:r>
    </w:p>
    <w:p w14:paraId="292F5A57">
      <w:pPr>
        <w:pageBreakBefore w:val="0"/>
        <w:wordWrap/>
        <w:bidi w:val="0"/>
        <w:adjustRightInd/>
        <w:snapToGrid/>
        <w:ind w:firstLine="480"/>
        <w:rPr>
          <w:rFonts w:hint="eastAsia"/>
          <w:color w:val="auto"/>
        </w:rPr>
      </w:pPr>
      <w:r>
        <w:rPr>
          <w:rFonts w:hint="eastAsia"/>
          <w:color w:val="auto"/>
        </w:rPr>
        <w:t>运输车辆和燃油施工机具在运输过程和施工</w:t>
      </w:r>
      <w:r>
        <w:rPr>
          <w:rFonts w:hint="eastAsia"/>
          <w:color w:val="auto"/>
          <w:lang w:eastAsia="zh-CN"/>
        </w:rPr>
        <w:t>过程中</w:t>
      </w:r>
      <w:r>
        <w:rPr>
          <w:rFonts w:hint="eastAsia"/>
          <w:color w:val="auto"/>
        </w:rPr>
        <w:t>会排放一定数量的废气，污染物以NOx、CO和烃类为主。本项目汽车运输和施工机具尾气主要对作业点周围和运输路线两侧局部范围产生影响。</w:t>
      </w:r>
    </w:p>
    <w:p w14:paraId="78F959FE">
      <w:pPr>
        <w:pageBreakBefore w:val="0"/>
        <w:wordWrap/>
        <w:bidi w:val="0"/>
        <w:adjustRightInd/>
        <w:snapToGrid/>
        <w:ind w:firstLine="480"/>
        <w:rPr>
          <w:rFonts w:hint="eastAsia"/>
          <w:b/>
          <w:bCs/>
          <w:color w:val="auto"/>
        </w:rPr>
      </w:pPr>
      <w:r>
        <w:rPr>
          <w:rFonts w:hint="eastAsia"/>
          <w:b/>
          <w:bCs/>
          <w:color w:val="auto"/>
        </w:rPr>
        <w:t>防治措施：</w:t>
      </w:r>
    </w:p>
    <w:p w14:paraId="0CFD34F8">
      <w:pPr>
        <w:pageBreakBefore w:val="0"/>
        <w:wordWrap/>
        <w:bidi w:val="0"/>
        <w:adjustRightInd/>
        <w:snapToGrid/>
        <w:ind w:firstLine="480"/>
        <w:rPr>
          <w:rFonts w:hint="eastAsia"/>
          <w:color w:val="auto"/>
        </w:rPr>
      </w:pPr>
      <w:r>
        <w:rPr>
          <w:rFonts w:hint="eastAsia"/>
          <w:color w:val="auto"/>
        </w:rPr>
        <w:t>A</w:t>
      </w:r>
      <w:r>
        <w:rPr>
          <w:rFonts w:hint="eastAsia"/>
          <w:color w:val="auto"/>
          <w:lang w:eastAsia="zh-CN"/>
        </w:rPr>
        <w:t>.</w:t>
      </w:r>
      <w:r>
        <w:rPr>
          <w:rFonts w:hint="eastAsia"/>
          <w:color w:val="auto"/>
        </w:rPr>
        <w:t>加强施工机械的保养维护，提高机械的正常使用率。</w:t>
      </w:r>
    </w:p>
    <w:p w14:paraId="5ECBF7E3">
      <w:pPr>
        <w:pageBreakBefore w:val="0"/>
        <w:wordWrap/>
        <w:bidi w:val="0"/>
        <w:adjustRightInd/>
        <w:snapToGrid/>
        <w:ind w:firstLine="480"/>
        <w:rPr>
          <w:rFonts w:hint="eastAsia"/>
          <w:color w:val="auto"/>
        </w:rPr>
      </w:pPr>
      <w:r>
        <w:rPr>
          <w:rFonts w:hint="eastAsia"/>
          <w:color w:val="auto"/>
        </w:rPr>
        <w:t>B</w:t>
      </w:r>
      <w:r>
        <w:rPr>
          <w:rFonts w:hint="eastAsia"/>
          <w:color w:val="auto"/>
          <w:lang w:eastAsia="zh-CN"/>
        </w:rPr>
        <w:t>.</w:t>
      </w:r>
      <w:r>
        <w:rPr>
          <w:rFonts w:hint="eastAsia"/>
          <w:color w:val="auto"/>
        </w:rPr>
        <w:t>加强对机械、车辆的维修保养，禁止以柴油为燃料的施工机械超负荷工作，减少</w:t>
      </w:r>
      <w:r>
        <w:rPr>
          <w:rFonts w:hint="eastAsia"/>
          <w:color w:val="auto"/>
          <w:lang w:eastAsia="zh-CN"/>
        </w:rPr>
        <w:t>烟雾</w:t>
      </w:r>
      <w:r>
        <w:rPr>
          <w:rFonts w:hint="eastAsia"/>
          <w:color w:val="auto"/>
        </w:rPr>
        <w:t>和颗粒物排放。</w:t>
      </w:r>
    </w:p>
    <w:p w14:paraId="4991891F">
      <w:pPr>
        <w:pageBreakBefore w:val="0"/>
        <w:wordWrap/>
        <w:bidi w:val="0"/>
        <w:adjustRightInd/>
        <w:snapToGrid/>
        <w:ind w:firstLine="480"/>
        <w:rPr>
          <w:rFonts w:hint="eastAsia"/>
          <w:color w:val="auto"/>
        </w:rPr>
      </w:pPr>
      <w:r>
        <w:rPr>
          <w:rFonts w:hint="eastAsia"/>
          <w:color w:val="auto"/>
        </w:rPr>
        <w:t>C</w:t>
      </w:r>
      <w:r>
        <w:rPr>
          <w:rFonts w:hint="eastAsia"/>
          <w:color w:val="auto"/>
          <w:lang w:eastAsia="zh-CN"/>
        </w:rPr>
        <w:t>.</w:t>
      </w:r>
      <w:r>
        <w:rPr>
          <w:rFonts w:hint="eastAsia"/>
          <w:color w:val="auto"/>
        </w:rPr>
        <w:t>动力机械多选择使用电动工具，严格控制内燃机械的使用，场内施工内燃机械</w:t>
      </w:r>
      <w:r>
        <w:rPr>
          <w:rFonts w:hint="eastAsia"/>
          <w:color w:val="auto"/>
          <w:lang w:eastAsia="zh-CN"/>
        </w:rPr>
        <w:t>（</w:t>
      </w:r>
      <w:r>
        <w:rPr>
          <w:rFonts w:hint="eastAsia"/>
          <w:color w:val="auto"/>
        </w:rPr>
        <w:t>如铲车、挖掘机、发电机等</w:t>
      </w:r>
      <w:r>
        <w:rPr>
          <w:rFonts w:hint="eastAsia"/>
          <w:color w:val="auto"/>
          <w:lang w:eastAsia="zh-CN"/>
        </w:rPr>
        <w:t>）</w:t>
      </w:r>
      <w:r>
        <w:rPr>
          <w:rFonts w:hint="eastAsia"/>
          <w:color w:val="auto"/>
        </w:rPr>
        <w:t>安置有效的空气滤清装置，并定期清理。</w:t>
      </w:r>
    </w:p>
    <w:p w14:paraId="55D628EF">
      <w:pPr>
        <w:pageBreakBefore w:val="0"/>
        <w:wordWrap/>
        <w:bidi w:val="0"/>
        <w:adjustRightInd/>
        <w:snapToGrid/>
        <w:ind w:firstLine="480"/>
        <w:rPr>
          <w:rFonts w:hint="eastAsia"/>
          <w:color w:val="auto"/>
        </w:rPr>
      </w:pPr>
      <w:r>
        <w:rPr>
          <w:rFonts w:hint="eastAsia"/>
          <w:color w:val="auto"/>
        </w:rPr>
        <w:t>D</w:t>
      </w:r>
      <w:r>
        <w:rPr>
          <w:rFonts w:hint="eastAsia"/>
          <w:color w:val="auto"/>
          <w:lang w:eastAsia="zh-CN"/>
        </w:rPr>
        <w:t>.</w:t>
      </w:r>
      <w:r>
        <w:rPr>
          <w:rFonts w:hint="eastAsia"/>
          <w:color w:val="auto"/>
        </w:rPr>
        <w:t>禁止使用废气排放超标的车辆。</w:t>
      </w:r>
    </w:p>
    <w:p w14:paraId="403FC4A6">
      <w:pPr>
        <w:pageBreakBefore w:val="0"/>
        <w:wordWrap/>
        <w:bidi w:val="0"/>
        <w:adjustRightInd/>
        <w:snapToGrid/>
        <w:ind w:firstLine="480"/>
        <w:rPr>
          <w:rFonts w:hint="eastAsia"/>
          <w:color w:val="auto"/>
        </w:rPr>
      </w:pPr>
      <w:r>
        <w:rPr>
          <w:rFonts w:hint="eastAsia"/>
          <w:color w:val="auto"/>
        </w:rPr>
        <w:t>综上所述，项目施工期将会对项目所在地以及周边的敏感点环境空气质量造成一定影响，扬尘主要影响范围在扬尘点下风向50m范围内居民点，根据现场勘查，本项目污水处理厂200m范围内分布有居民，本环评同时要求加强洒水降尘方式以减小对周边环境影响，随着施工期的结束扬尘对周边环境影响也会结束。</w:t>
      </w:r>
    </w:p>
    <w:p w14:paraId="0CFFF101">
      <w:pPr>
        <w:pageBreakBefore w:val="0"/>
        <w:wordWrap/>
        <w:bidi w:val="0"/>
        <w:adjustRightInd/>
        <w:snapToGrid/>
        <w:ind w:firstLine="480"/>
        <w:rPr>
          <w:color w:val="auto"/>
        </w:rPr>
      </w:pPr>
      <w:r>
        <w:rPr>
          <w:rFonts w:hint="eastAsia"/>
          <w:color w:val="auto"/>
        </w:rPr>
        <w:t>因此，项目施工期不会对项目所在地环境空气质量造成明显影响。</w:t>
      </w:r>
    </w:p>
    <w:p w14:paraId="500945CB">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装修产生的油漆废气</w:t>
      </w:r>
    </w:p>
    <w:p w14:paraId="249205AA">
      <w:pPr>
        <w:pageBreakBefore w:val="0"/>
        <w:wordWrap/>
        <w:bidi w:val="0"/>
        <w:adjustRightInd/>
        <w:snapToGrid/>
        <w:ind w:firstLine="480"/>
        <w:rPr>
          <w:color w:val="auto"/>
        </w:rPr>
      </w:pPr>
      <w:r>
        <w:rPr>
          <w:color w:val="auto"/>
        </w:rPr>
        <w:t>油漆废气主要产生于室内室外装修阶段。油漆废气排放属无组织排放，由于装饰为间断性的，且其过程持续时间较长，是一个缓慢挥发的过程，对周围环境的影响不大。</w:t>
      </w:r>
    </w:p>
    <w:p w14:paraId="070A1058">
      <w:pPr>
        <w:bidi w:val="0"/>
        <w:rPr>
          <w:rFonts w:hint="default"/>
          <w:b/>
          <w:bCs/>
          <w:color w:val="auto"/>
          <w:lang w:val="en-US" w:eastAsia="zh-CN"/>
        </w:rPr>
      </w:pPr>
      <w:r>
        <w:rPr>
          <w:rFonts w:hint="eastAsia"/>
          <w:b/>
          <w:bCs/>
          <w:color w:val="auto"/>
          <w:lang w:val="en-US" w:eastAsia="zh-CN"/>
        </w:rPr>
        <w:t>3、管道工程环境影响分析</w:t>
      </w:r>
    </w:p>
    <w:p w14:paraId="7E0E21D7">
      <w:pPr>
        <w:bidi w:val="0"/>
        <w:rPr>
          <w:rFonts w:hint="eastAsia"/>
          <w:color w:val="auto"/>
          <w:lang w:val="en-US" w:eastAsia="zh-CN"/>
        </w:rPr>
      </w:pPr>
      <w:r>
        <w:rPr>
          <w:rFonts w:hint="eastAsia"/>
          <w:color w:val="auto"/>
          <w:lang w:val="en-US" w:eastAsia="zh-CN"/>
        </w:rPr>
        <w:t>管线工程施工过程中产生的主要大气污染物有扬尘、施工机具和汽车运输尾气。</w:t>
      </w:r>
    </w:p>
    <w:p w14:paraId="4C89E460">
      <w:pPr>
        <w:bidi w:val="0"/>
        <w:rPr>
          <w:rFonts w:hint="eastAsia"/>
          <w:b/>
          <w:bCs/>
          <w:color w:val="auto"/>
          <w:lang w:val="en-US" w:eastAsia="zh-CN"/>
        </w:rPr>
      </w:pPr>
      <w:r>
        <w:rPr>
          <w:rFonts w:hint="eastAsia"/>
          <w:b/>
          <w:bCs/>
          <w:color w:val="auto"/>
          <w:lang w:val="en-US" w:eastAsia="zh-CN"/>
        </w:rPr>
        <w:t>①扬尘影响分析</w:t>
      </w:r>
    </w:p>
    <w:p w14:paraId="23D8711D">
      <w:pPr>
        <w:bidi w:val="0"/>
        <w:rPr>
          <w:rFonts w:hint="eastAsia"/>
          <w:color w:val="auto"/>
          <w:lang w:val="en-US" w:eastAsia="zh-CN"/>
        </w:rPr>
      </w:pPr>
      <w:r>
        <w:rPr>
          <w:rFonts w:hint="eastAsia"/>
          <w:color w:val="auto"/>
          <w:lang w:val="en-US" w:eastAsia="zh-CN"/>
        </w:rPr>
        <w:t>管道施工会对周围大气环境产生短期的干扰和影响，而大气污染物主要是TSP，主要来自建筑材料（白灰、水泥、砂子、石子等）的搬运及堆放；土方填挖及现场堆放；施工材料的堆放及清理；管沟回填；施工期运输车辆运行等，施工中不可避免的将新增“二次扬尘”污染源。本报告参照其他管网工程施工场地设置的扬尘监测数据进行类比分析，结果详见下表。</w:t>
      </w:r>
    </w:p>
    <w:p w14:paraId="2CF9F7F0">
      <w:pPr>
        <w:pStyle w:val="15"/>
        <w:numPr>
          <w:ilvl w:val="0"/>
          <w:numId w:val="29"/>
        </w:numPr>
        <w:tabs>
          <w:tab w:val="clear" w:pos="0"/>
        </w:tabs>
        <w:bidi w:val="0"/>
        <w:ind w:left="420" w:leftChars="0" w:hanging="420" w:firstLineChars="0"/>
        <w:rPr>
          <w:rFonts w:hint="eastAsia"/>
          <w:color w:val="auto"/>
          <w:lang w:val="en-US" w:eastAsia="zh-CN"/>
        </w:rPr>
      </w:pPr>
      <w:r>
        <w:rPr>
          <w:rFonts w:hint="eastAsia"/>
          <w:color w:val="auto"/>
          <w:lang w:val="en-US" w:eastAsia="zh-CN"/>
        </w:rPr>
        <w:t>施工期扬尘类比监测结果</w:t>
      </w:r>
    </w:p>
    <w:tbl>
      <w:tblPr>
        <w:tblStyle w:val="703"/>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29"/>
        <w:gridCol w:w="1028"/>
        <w:gridCol w:w="1002"/>
        <w:gridCol w:w="1020"/>
        <w:gridCol w:w="866"/>
        <w:gridCol w:w="1011"/>
        <w:gridCol w:w="866"/>
        <w:gridCol w:w="1011"/>
        <w:gridCol w:w="1094"/>
      </w:tblGrid>
      <w:tr w14:paraId="2D889E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vMerge w:val="restart"/>
            <w:tcBorders>
              <w:tl2br w:val="nil"/>
              <w:tr2bl w:val="nil"/>
            </w:tcBorders>
            <w:vAlign w:val="center"/>
          </w:tcPr>
          <w:p w14:paraId="41C53D49">
            <w:pPr>
              <w:pStyle w:val="12"/>
              <w:bidi w:val="0"/>
              <w:rPr>
                <w:b/>
                <w:bCs/>
                <w:color w:val="auto"/>
              </w:rPr>
            </w:pPr>
            <w:r>
              <w:rPr>
                <w:b/>
                <w:bCs/>
                <w:color w:val="auto"/>
              </w:rPr>
              <w:t>工程段</w:t>
            </w:r>
          </w:p>
        </w:tc>
        <w:tc>
          <w:tcPr>
            <w:tcW w:w="589" w:type="pct"/>
            <w:vMerge w:val="restart"/>
            <w:tcBorders>
              <w:tl2br w:val="nil"/>
              <w:tr2bl w:val="nil"/>
            </w:tcBorders>
            <w:vAlign w:val="center"/>
          </w:tcPr>
          <w:p w14:paraId="7F94FF6B">
            <w:pPr>
              <w:pStyle w:val="12"/>
              <w:bidi w:val="0"/>
              <w:rPr>
                <w:b/>
                <w:bCs/>
                <w:color w:val="auto"/>
              </w:rPr>
            </w:pPr>
            <w:r>
              <w:rPr>
                <w:b/>
                <w:bCs/>
                <w:color w:val="auto"/>
              </w:rPr>
              <w:t>围栏情况</w:t>
            </w:r>
          </w:p>
        </w:tc>
        <w:tc>
          <w:tcPr>
            <w:tcW w:w="3934" w:type="pct"/>
            <w:gridSpan w:val="7"/>
            <w:tcBorders>
              <w:tl2br w:val="nil"/>
              <w:tr2bl w:val="nil"/>
            </w:tcBorders>
            <w:vAlign w:val="center"/>
          </w:tcPr>
          <w:p w14:paraId="3D431009">
            <w:pPr>
              <w:pStyle w:val="12"/>
              <w:bidi w:val="0"/>
              <w:rPr>
                <w:b/>
                <w:bCs/>
                <w:color w:val="auto"/>
              </w:rPr>
            </w:pPr>
            <w:r>
              <w:rPr>
                <w:b/>
                <w:bCs/>
                <w:color w:val="auto"/>
              </w:rPr>
              <w:t>施工场地下风向距离Xm处TSP浓度（mg/</w:t>
            </w:r>
            <w:r>
              <w:rPr>
                <w:rFonts w:hint="eastAsia"/>
                <w:b/>
                <w:bCs/>
                <w:color w:val="auto"/>
                <w:lang w:eastAsia="zh-CN"/>
              </w:rPr>
              <w:t>m³</w:t>
            </w:r>
            <w:r>
              <w:rPr>
                <w:b/>
                <w:bCs/>
                <w:color w:val="auto"/>
              </w:rPr>
              <w:t>）</w:t>
            </w:r>
          </w:p>
        </w:tc>
      </w:tr>
      <w:tr w14:paraId="074EDD6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vMerge w:val="continue"/>
            <w:tcBorders>
              <w:tl2br w:val="nil"/>
              <w:tr2bl w:val="nil"/>
            </w:tcBorders>
            <w:vAlign w:val="center"/>
          </w:tcPr>
          <w:p w14:paraId="75291EE6">
            <w:pPr>
              <w:pStyle w:val="12"/>
              <w:bidi w:val="0"/>
              <w:rPr>
                <w:b/>
                <w:bCs/>
                <w:color w:val="auto"/>
              </w:rPr>
            </w:pPr>
          </w:p>
        </w:tc>
        <w:tc>
          <w:tcPr>
            <w:tcW w:w="589" w:type="pct"/>
            <w:vMerge w:val="continue"/>
            <w:tcBorders>
              <w:tl2br w:val="nil"/>
              <w:tr2bl w:val="nil"/>
            </w:tcBorders>
            <w:vAlign w:val="center"/>
          </w:tcPr>
          <w:p w14:paraId="702786B3">
            <w:pPr>
              <w:pStyle w:val="12"/>
              <w:bidi w:val="0"/>
              <w:rPr>
                <w:b/>
                <w:bCs/>
                <w:color w:val="auto"/>
              </w:rPr>
            </w:pPr>
          </w:p>
        </w:tc>
        <w:tc>
          <w:tcPr>
            <w:tcW w:w="574" w:type="pct"/>
            <w:tcBorders>
              <w:tl2br w:val="nil"/>
              <w:tr2bl w:val="nil"/>
            </w:tcBorders>
            <w:vAlign w:val="center"/>
          </w:tcPr>
          <w:p w14:paraId="5FCA0D65">
            <w:pPr>
              <w:pStyle w:val="12"/>
              <w:bidi w:val="0"/>
              <w:rPr>
                <w:b/>
                <w:bCs/>
                <w:color w:val="auto"/>
              </w:rPr>
            </w:pPr>
            <w:r>
              <w:rPr>
                <w:b/>
                <w:bCs/>
                <w:color w:val="auto"/>
              </w:rPr>
              <w:t>20</w:t>
            </w:r>
          </w:p>
        </w:tc>
        <w:tc>
          <w:tcPr>
            <w:tcW w:w="584" w:type="pct"/>
            <w:tcBorders>
              <w:tl2br w:val="nil"/>
              <w:tr2bl w:val="nil"/>
            </w:tcBorders>
            <w:vAlign w:val="center"/>
          </w:tcPr>
          <w:p w14:paraId="1997A73F">
            <w:pPr>
              <w:pStyle w:val="12"/>
              <w:bidi w:val="0"/>
              <w:rPr>
                <w:b/>
                <w:bCs/>
                <w:color w:val="auto"/>
              </w:rPr>
            </w:pPr>
            <w:r>
              <w:rPr>
                <w:b/>
                <w:bCs/>
                <w:color w:val="auto"/>
              </w:rPr>
              <w:t>50</w:t>
            </w:r>
          </w:p>
        </w:tc>
        <w:tc>
          <w:tcPr>
            <w:tcW w:w="496" w:type="pct"/>
            <w:tcBorders>
              <w:tl2br w:val="nil"/>
              <w:tr2bl w:val="nil"/>
            </w:tcBorders>
            <w:vAlign w:val="center"/>
          </w:tcPr>
          <w:p w14:paraId="642624B6">
            <w:pPr>
              <w:pStyle w:val="12"/>
              <w:bidi w:val="0"/>
              <w:rPr>
                <w:b/>
                <w:bCs/>
                <w:color w:val="auto"/>
              </w:rPr>
            </w:pPr>
            <w:r>
              <w:rPr>
                <w:b/>
                <w:bCs/>
                <w:color w:val="auto"/>
              </w:rPr>
              <w:t>100</w:t>
            </w:r>
          </w:p>
        </w:tc>
        <w:tc>
          <w:tcPr>
            <w:tcW w:w="579" w:type="pct"/>
            <w:tcBorders>
              <w:tl2br w:val="nil"/>
              <w:tr2bl w:val="nil"/>
            </w:tcBorders>
            <w:vAlign w:val="center"/>
          </w:tcPr>
          <w:p w14:paraId="3BCCC843">
            <w:pPr>
              <w:pStyle w:val="12"/>
              <w:bidi w:val="0"/>
              <w:rPr>
                <w:b/>
                <w:bCs/>
                <w:color w:val="auto"/>
              </w:rPr>
            </w:pPr>
            <w:r>
              <w:rPr>
                <w:b/>
                <w:bCs/>
                <w:color w:val="auto"/>
              </w:rPr>
              <w:t>150</w:t>
            </w:r>
          </w:p>
        </w:tc>
        <w:tc>
          <w:tcPr>
            <w:tcW w:w="496" w:type="pct"/>
            <w:tcBorders>
              <w:tl2br w:val="nil"/>
              <w:tr2bl w:val="nil"/>
            </w:tcBorders>
            <w:vAlign w:val="center"/>
          </w:tcPr>
          <w:p w14:paraId="0EFD2039">
            <w:pPr>
              <w:pStyle w:val="12"/>
              <w:bidi w:val="0"/>
              <w:rPr>
                <w:b/>
                <w:bCs/>
                <w:color w:val="auto"/>
              </w:rPr>
            </w:pPr>
            <w:r>
              <w:rPr>
                <w:b/>
                <w:bCs/>
                <w:color w:val="auto"/>
              </w:rPr>
              <w:t>200</w:t>
            </w:r>
          </w:p>
        </w:tc>
        <w:tc>
          <w:tcPr>
            <w:tcW w:w="579" w:type="pct"/>
            <w:tcBorders>
              <w:tl2br w:val="nil"/>
              <w:tr2bl w:val="nil"/>
            </w:tcBorders>
            <w:vAlign w:val="center"/>
          </w:tcPr>
          <w:p w14:paraId="1C52A2F7">
            <w:pPr>
              <w:pStyle w:val="12"/>
              <w:bidi w:val="0"/>
              <w:rPr>
                <w:b/>
                <w:bCs/>
                <w:color w:val="auto"/>
              </w:rPr>
            </w:pPr>
            <w:r>
              <w:rPr>
                <w:b/>
                <w:bCs/>
                <w:color w:val="auto"/>
              </w:rPr>
              <w:t>250</w:t>
            </w:r>
          </w:p>
        </w:tc>
        <w:tc>
          <w:tcPr>
            <w:tcW w:w="623" w:type="pct"/>
            <w:tcBorders>
              <w:tl2br w:val="nil"/>
              <w:tr2bl w:val="nil"/>
            </w:tcBorders>
            <w:vAlign w:val="center"/>
          </w:tcPr>
          <w:p w14:paraId="69D849B2">
            <w:pPr>
              <w:pStyle w:val="12"/>
              <w:bidi w:val="0"/>
              <w:rPr>
                <w:b/>
                <w:bCs/>
                <w:color w:val="auto"/>
              </w:rPr>
            </w:pPr>
            <w:r>
              <w:rPr>
                <w:b/>
                <w:bCs/>
                <w:color w:val="auto"/>
              </w:rPr>
              <w:t>点浓度</w:t>
            </w:r>
          </w:p>
        </w:tc>
      </w:tr>
      <w:tr w14:paraId="7BDE04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tcBorders>
              <w:tl2br w:val="nil"/>
              <w:tr2bl w:val="nil"/>
            </w:tcBorders>
            <w:vAlign w:val="center"/>
          </w:tcPr>
          <w:p w14:paraId="297175E8">
            <w:pPr>
              <w:pStyle w:val="12"/>
              <w:bidi w:val="0"/>
              <w:rPr>
                <w:color w:val="auto"/>
              </w:rPr>
            </w:pPr>
            <w:r>
              <w:rPr>
                <w:color w:val="auto"/>
              </w:rPr>
              <w:t>管线</w:t>
            </w:r>
          </w:p>
        </w:tc>
        <w:tc>
          <w:tcPr>
            <w:tcW w:w="589" w:type="pct"/>
            <w:tcBorders>
              <w:tl2br w:val="nil"/>
              <w:tr2bl w:val="nil"/>
            </w:tcBorders>
            <w:vAlign w:val="center"/>
          </w:tcPr>
          <w:p w14:paraId="29F571DC">
            <w:pPr>
              <w:pStyle w:val="12"/>
              <w:bidi w:val="0"/>
              <w:rPr>
                <w:color w:val="auto"/>
              </w:rPr>
            </w:pPr>
            <w:r>
              <w:rPr>
                <w:color w:val="auto"/>
              </w:rPr>
              <w:t>无</w:t>
            </w:r>
          </w:p>
        </w:tc>
        <w:tc>
          <w:tcPr>
            <w:tcW w:w="574" w:type="pct"/>
            <w:tcBorders>
              <w:tl2br w:val="nil"/>
              <w:tr2bl w:val="nil"/>
            </w:tcBorders>
            <w:vAlign w:val="center"/>
          </w:tcPr>
          <w:p w14:paraId="60167435">
            <w:pPr>
              <w:pStyle w:val="12"/>
              <w:bidi w:val="0"/>
              <w:rPr>
                <w:color w:val="auto"/>
              </w:rPr>
            </w:pPr>
            <w:r>
              <w:rPr>
                <w:color w:val="auto"/>
              </w:rPr>
              <w:t>1.503</w:t>
            </w:r>
          </w:p>
        </w:tc>
        <w:tc>
          <w:tcPr>
            <w:tcW w:w="584" w:type="pct"/>
            <w:tcBorders>
              <w:tl2br w:val="nil"/>
              <w:tr2bl w:val="nil"/>
            </w:tcBorders>
            <w:vAlign w:val="center"/>
          </w:tcPr>
          <w:p w14:paraId="7581858A">
            <w:pPr>
              <w:pStyle w:val="12"/>
              <w:bidi w:val="0"/>
              <w:rPr>
                <w:color w:val="auto"/>
              </w:rPr>
            </w:pPr>
            <w:r>
              <w:rPr>
                <w:color w:val="auto"/>
              </w:rPr>
              <w:t>0.922</w:t>
            </w:r>
          </w:p>
        </w:tc>
        <w:tc>
          <w:tcPr>
            <w:tcW w:w="496" w:type="pct"/>
            <w:tcBorders>
              <w:tl2br w:val="nil"/>
              <w:tr2bl w:val="nil"/>
            </w:tcBorders>
            <w:vAlign w:val="center"/>
          </w:tcPr>
          <w:p w14:paraId="5957401B">
            <w:pPr>
              <w:pStyle w:val="12"/>
              <w:bidi w:val="0"/>
              <w:rPr>
                <w:color w:val="auto"/>
              </w:rPr>
            </w:pPr>
            <w:r>
              <w:rPr>
                <w:color w:val="auto"/>
              </w:rPr>
              <w:t>0.602</w:t>
            </w:r>
          </w:p>
        </w:tc>
        <w:tc>
          <w:tcPr>
            <w:tcW w:w="579" w:type="pct"/>
            <w:tcBorders>
              <w:tl2br w:val="nil"/>
              <w:tr2bl w:val="nil"/>
            </w:tcBorders>
            <w:vAlign w:val="center"/>
          </w:tcPr>
          <w:p w14:paraId="28BAA1BC">
            <w:pPr>
              <w:pStyle w:val="12"/>
              <w:bidi w:val="0"/>
              <w:rPr>
                <w:color w:val="auto"/>
              </w:rPr>
            </w:pPr>
            <w:r>
              <w:rPr>
                <w:color w:val="auto"/>
              </w:rPr>
              <w:t>0.591</w:t>
            </w:r>
          </w:p>
        </w:tc>
        <w:tc>
          <w:tcPr>
            <w:tcW w:w="496" w:type="pct"/>
            <w:tcBorders>
              <w:tl2br w:val="nil"/>
              <w:tr2bl w:val="nil"/>
            </w:tcBorders>
            <w:vAlign w:val="center"/>
          </w:tcPr>
          <w:p w14:paraId="6DB1E33D">
            <w:pPr>
              <w:pStyle w:val="12"/>
              <w:bidi w:val="0"/>
              <w:rPr>
                <w:color w:val="auto"/>
              </w:rPr>
            </w:pPr>
            <w:r>
              <w:rPr>
                <w:color w:val="auto"/>
              </w:rPr>
              <w:t>0.512</w:t>
            </w:r>
          </w:p>
        </w:tc>
        <w:tc>
          <w:tcPr>
            <w:tcW w:w="579" w:type="pct"/>
            <w:tcBorders>
              <w:tl2br w:val="nil"/>
              <w:tr2bl w:val="nil"/>
            </w:tcBorders>
            <w:vAlign w:val="center"/>
          </w:tcPr>
          <w:p w14:paraId="107E0BB4">
            <w:pPr>
              <w:pStyle w:val="12"/>
              <w:bidi w:val="0"/>
              <w:rPr>
                <w:color w:val="auto"/>
              </w:rPr>
            </w:pPr>
            <w:r>
              <w:rPr>
                <w:color w:val="auto"/>
              </w:rPr>
              <w:t>0.406</w:t>
            </w:r>
          </w:p>
        </w:tc>
        <w:tc>
          <w:tcPr>
            <w:tcW w:w="623" w:type="pct"/>
            <w:tcBorders>
              <w:tl2br w:val="nil"/>
              <w:tr2bl w:val="nil"/>
            </w:tcBorders>
            <w:vAlign w:val="center"/>
          </w:tcPr>
          <w:p w14:paraId="3B68BC55">
            <w:pPr>
              <w:pStyle w:val="12"/>
              <w:bidi w:val="0"/>
              <w:rPr>
                <w:color w:val="auto"/>
              </w:rPr>
            </w:pPr>
            <w:r>
              <w:rPr>
                <w:color w:val="auto"/>
              </w:rPr>
              <w:t>0.419</w:t>
            </w:r>
          </w:p>
        </w:tc>
      </w:tr>
    </w:tbl>
    <w:p w14:paraId="5DD856ED">
      <w:pPr>
        <w:bidi w:val="0"/>
        <w:rPr>
          <w:rFonts w:hint="eastAsia"/>
          <w:color w:val="auto"/>
          <w:lang w:val="en-US" w:eastAsia="zh-CN"/>
        </w:rPr>
      </w:pPr>
      <w:r>
        <w:rPr>
          <w:rFonts w:hint="eastAsia"/>
          <w:color w:val="auto"/>
          <w:lang w:val="en-US" w:eastAsia="zh-CN"/>
        </w:rPr>
        <w:t>由上表可以看出，由于气象因素、工程量等因素的影响，在无围栏施工时，下风向距离20～200m范围内，大气中的TSP为0.512～1.503mg/m³，是对照点的1.27～3.72倍，施工场地下风向距离大于250m后，大气中TSP为0.411mg/m³，接近对照点；在有围栏施工时，施工场地下风向距离20～50m时，大气中TSP为0.622～1.024mg/m³，是对照点的1.49～2.44倍，施工场地下风向距离100～250m时，大气中TSP为0.419～0.435mg/m³，接近对照点。可见有围栏施工时，对大气中TSP影响范围和程度均有降低。</w:t>
      </w:r>
    </w:p>
    <w:p w14:paraId="7D17AFC7">
      <w:pPr>
        <w:bidi w:val="0"/>
        <w:rPr>
          <w:rFonts w:hint="eastAsia"/>
          <w:color w:val="auto"/>
          <w:lang w:val="en-US" w:eastAsia="zh-CN"/>
        </w:rPr>
      </w:pPr>
      <w:r>
        <w:rPr>
          <w:rFonts w:hint="eastAsia"/>
          <w:color w:val="auto"/>
          <w:lang w:val="en-US" w:eastAsia="zh-CN"/>
        </w:rPr>
        <w:t>由上表可以看出，管线施工会对沿途敏感目标产生不同程度的影响，但采取围栏施工后，施工扬尘的影响会得到一定程度的降低。管线施工中挖掘和堆土场扬尘属短期污染，其影响将随施工行为的结束而结束。</w:t>
      </w:r>
    </w:p>
    <w:p w14:paraId="5141FE5A">
      <w:pPr>
        <w:bidi w:val="0"/>
        <w:rPr>
          <w:rFonts w:hint="eastAsia"/>
          <w:b/>
          <w:bCs/>
          <w:color w:val="auto"/>
          <w:lang w:val="en-US" w:eastAsia="zh-CN"/>
        </w:rPr>
      </w:pPr>
      <w:r>
        <w:rPr>
          <w:rFonts w:hint="eastAsia"/>
          <w:b/>
          <w:bCs/>
          <w:color w:val="auto"/>
          <w:lang w:val="en-US" w:eastAsia="zh-CN"/>
        </w:rPr>
        <w:t>②施工机具和汽车运输尾气影响分析</w:t>
      </w:r>
    </w:p>
    <w:p w14:paraId="06D815D5">
      <w:pPr>
        <w:bidi w:val="0"/>
        <w:rPr>
          <w:rFonts w:hint="eastAsia"/>
          <w:color w:val="auto"/>
          <w:lang w:val="en-US" w:eastAsia="zh-CN"/>
        </w:rPr>
      </w:pPr>
      <w:r>
        <w:rPr>
          <w:rFonts w:hint="eastAsia"/>
          <w:color w:val="auto"/>
          <w:lang w:val="en-US" w:eastAsia="zh-CN"/>
        </w:rPr>
        <w:t>本项目施工工程中施工机具和运输车辆尾气污染物排放量不大，且本项目位于户外，地势开阔通风状况良好，因此施工机具和运输车辆尾气对项目周围环境空气质量影响较小。</w:t>
      </w:r>
    </w:p>
    <w:p w14:paraId="6FD5DD75">
      <w:pPr>
        <w:pStyle w:val="27"/>
        <w:pageBreakBefore w:val="0"/>
        <w:widowControl/>
        <w:wordWrap/>
        <w:bidi w:val="0"/>
        <w:adjustRightInd/>
        <w:snapToGrid/>
        <w:ind w:firstLine="482"/>
        <w:rPr>
          <w:rFonts w:ascii="Times New Roman" w:hAnsi="Times New Roman"/>
          <w:color w:val="auto"/>
          <w:sz w:val="24"/>
          <w:szCs w:val="24"/>
        </w:rPr>
      </w:pPr>
      <w:r>
        <w:rPr>
          <w:rFonts w:ascii="Times New Roman" w:hAnsi="Times New Roman"/>
          <w:b/>
          <w:bCs/>
          <w:color w:val="auto"/>
          <w:sz w:val="24"/>
          <w:u w:val="single"/>
        </w:rPr>
        <w:t>综上所述，项目施工期将会对项目所在地环境空气质量造成一定影响，但这些影响随着施工期的结束也会结束。因此，项目施工期不会造成项目所在地环境空气质量明显恶化</w:t>
      </w:r>
      <w:r>
        <w:rPr>
          <w:rFonts w:ascii="Times New Roman" w:hAnsi="Times New Roman"/>
          <w:b/>
          <w:bCs/>
          <w:color w:val="auto"/>
          <w:sz w:val="24"/>
        </w:rPr>
        <w:t>。</w:t>
      </w:r>
    </w:p>
    <w:p w14:paraId="6AD7D88E">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施工期地表水环境影响</w:t>
      </w:r>
      <w:bookmarkEnd w:id="172"/>
      <w:r>
        <w:rPr>
          <w:rFonts w:eastAsia="宋体"/>
          <w:color w:val="auto"/>
        </w:rPr>
        <w:t>预测与评价</w:t>
      </w:r>
    </w:p>
    <w:p w14:paraId="37D8C474">
      <w:pPr>
        <w:pageBreakBefore w:val="0"/>
        <w:wordWrap/>
        <w:bidi w:val="0"/>
        <w:adjustRightInd/>
        <w:snapToGrid/>
        <w:ind w:firstLine="480"/>
        <w:rPr>
          <w:color w:val="auto"/>
        </w:rPr>
      </w:pPr>
      <w:bookmarkStart w:id="173" w:name="_Toc362082746"/>
      <w:bookmarkStart w:id="174" w:name="_Toc29163"/>
      <w:bookmarkStart w:id="175" w:name="_Toc374627794"/>
      <w:r>
        <w:rPr>
          <w:rFonts w:hint="eastAsia"/>
          <w:color w:val="auto"/>
          <w:lang w:val="en-US" w:eastAsia="zh-CN"/>
        </w:rPr>
        <w:t>本</w:t>
      </w:r>
      <w:r>
        <w:rPr>
          <w:color w:val="auto"/>
        </w:rPr>
        <w:t>工程施工期产生的废水主要为施工人员的生活污水以及施工过程中产生的施工废水。</w:t>
      </w:r>
    </w:p>
    <w:p w14:paraId="2EA02E00">
      <w:pPr>
        <w:pageBreakBefore w:val="0"/>
        <w:wordWrap/>
        <w:bidi w:val="0"/>
        <w:adjustRightInd/>
        <w:snapToGrid/>
        <w:ind w:firstLine="480"/>
        <w:rPr>
          <w:b/>
          <w:bCs/>
          <w:color w:val="auto"/>
        </w:rPr>
      </w:pPr>
      <w:r>
        <w:rPr>
          <w:b/>
          <w:bCs/>
          <w:color w:val="auto"/>
        </w:rPr>
        <w:t>（1）生活污水</w:t>
      </w:r>
    </w:p>
    <w:p w14:paraId="0432ABBE">
      <w:pPr>
        <w:pageBreakBefore w:val="0"/>
        <w:wordWrap/>
        <w:bidi w:val="0"/>
        <w:adjustRightInd/>
        <w:snapToGrid/>
        <w:ind w:firstLine="480"/>
        <w:rPr>
          <w:color w:val="auto"/>
        </w:rPr>
      </w:pPr>
      <w:r>
        <w:rPr>
          <w:color w:val="auto"/>
        </w:rPr>
        <w:t>建设施工期间，高峰期使用民工及管理人员</w:t>
      </w:r>
      <w:r>
        <w:rPr>
          <w:rFonts w:hint="eastAsia"/>
          <w:color w:val="auto"/>
          <w:lang w:val="en-US" w:eastAsia="zh-CN"/>
        </w:rPr>
        <w:t>100</w:t>
      </w:r>
      <w:r>
        <w:rPr>
          <w:color w:val="auto"/>
        </w:rPr>
        <w:t>人。人均用水40L/d，则高峰生活用水量为</w:t>
      </w:r>
      <w:r>
        <w:rPr>
          <w:rFonts w:hint="eastAsia"/>
          <w:color w:val="auto"/>
          <w:lang w:val="en-US" w:eastAsia="zh-CN"/>
        </w:rPr>
        <w:t>4</w:t>
      </w:r>
      <w:r>
        <w:rPr>
          <w:rFonts w:hint="eastAsia"/>
          <w:color w:val="auto"/>
          <w:lang w:eastAsia="zh-CN"/>
        </w:rPr>
        <w:t>m³</w:t>
      </w:r>
      <w:r>
        <w:rPr>
          <w:color w:val="auto"/>
        </w:rPr>
        <w:t>/d，排污系数0.9，预计产生量</w:t>
      </w:r>
      <w:r>
        <w:rPr>
          <w:rFonts w:hint="eastAsia"/>
          <w:color w:val="auto"/>
          <w:lang w:val="en-US" w:eastAsia="zh-CN"/>
        </w:rPr>
        <w:t>3.6</w:t>
      </w:r>
      <w:r>
        <w:rPr>
          <w:rFonts w:hint="eastAsia"/>
          <w:color w:val="auto"/>
          <w:lang w:eastAsia="zh-CN"/>
        </w:rPr>
        <w:t>m³</w:t>
      </w:r>
      <w:r>
        <w:rPr>
          <w:color w:val="auto"/>
        </w:rPr>
        <w:t>/d。生活污水中主要含COD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-N、SS等。</w:t>
      </w:r>
    </w:p>
    <w:p w14:paraId="1EBB16C2">
      <w:pPr>
        <w:pageBreakBefore w:val="0"/>
        <w:wordWrap/>
        <w:bidi w:val="0"/>
        <w:adjustRightInd/>
        <w:snapToGrid/>
        <w:ind w:firstLine="480"/>
        <w:rPr>
          <w:color w:val="auto"/>
        </w:rPr>
      </w:pPr>
      <w:r>
        <w:rPr>
          <w:color w:val="auto"/>
        </w:rPr>
        <w:t>由于本项目污水处理厂施工区</w:t>
      </w:r>
      <w:r>
        <w:rPr>
          <w:rFonts w:hint="eastAsia"/>
          <w:color w:val="auto"/>
          <w:lang w:val="en-US" w:eastAsia="zh-CN"/>
        </w:rPr>
        <w:t>位于曾口镇，场镇内已建曾口镇</w:t>
      </w:r>
      <w:r>
        <w:rPr>
          <w:color w:val="auto"/>
        </w:rPr>
        <w:t>污水处理厂</w:t>
      </w:r>
      <w:r>
        <w:rPr>
          <w:rFonts w:hint="eastAsia"/>
          <w:color w:val="auto"/>
          <w:lang w:eastAsia="zh-CN"/>
        </w:rPr>
        <w:t>，</w:t>
      </w:r>
      <w:r>
        <w:rPr>
          <w:color w:val="auto"/>
        </w:rPr>
        <w:t>相应废水处理设施完善，施工人员产生的少量生活污水经收集至</w:t>
      </w:r>
      <w:r>
        <w:rPr>
          <w:rFonts w:hint="eastAsia"/>
          <w:color w:val="auto"/>
          <w:lang w:val="en-US" w:eastAsia="zh-CN"/>
        </w:rPr>
        <w:t>曾口镇</w:t>
      </w:r>
      <w:r>
        <w:rPr>
          <w:color w:val="auto"/>
        </w:rPr>
        <w:t>污水处理厂进行处理，达标排放。</w:t>
      </w:r>
    </w:p>
    <w:p w14:paraId="2D16EBCD">
      <w:pPr>
        <w:pageBreakBefore w:val="0"/>
        <w:wordWrap/>
        <w:bidi w:val="0"/>
        <w:adjustRightInd/>
        <w:snapToGrid/>
        <w:ind w:firstLine="480"/>
        <w:rPr>
          <w:b/>
          <w:bCs/>
          <w:color w:val="auto"/>
        </w:rPr>
      </w:pPr>
      <w:r>
        <w:rPr>
          <w:b/>
          <w:bCs/>
          <w:color w:val="auto"/>
        </w:rPr>
        <w:t>（2）施工废水</w:t>
      </w:r>
    </w:p>
    <w:p w14:paraId="7E807B0E">
      <w:pPr>
        <w:pageBreakBefore w:val="0"/>
        <w:wordWrap/>
        <w:bidi w:val="0"/>
        <w:adjustRightInd/>
        <w:snapToGrid/>
        <w:ind w:firstLine="480"/>
        <w:rPr>
          <w:color w:val="auto"/>
        </w:rPr>
      </w:pPr>
      <w:r>
        <w:rPr>
          <w:color w:val="auto"/>
        </w:rPr>
        <w:t>包括基坑排水、施工机械冲洗水、混凝土养护水等，主要污染物为SS和石油类，约在500</w:t>
      </w:r>
      <w:r>
        <w:rPr>
          <w:rFonts w:hint="eastAsia"/>
          <w:color w:val="auto"/>
          <w:lang w:eastAsia="zh-CN"/>
        </w:rPr>
        <w:t>～</w:t>
      </w:r>
      <w:r>
        <w:rPr>
          <w:color w:val="auto"/>
        </w:rPr>
        <w:t>2000mg/L左右，呈弱酸性，并带有少量油污。</w:t>
      </w:r>
    </w:p>
    <w:p w14:paraId="28244ADA">
      <w:pPr>
        <w:pageBreakBefore w:val="0"/>
        <w:wordWrap/>
        <w:bidi w:val="0"/>
        <w:adjustRightInd/>
        <w:snapToGrid/>
        <w:ind w:firstLine="482"/>
        <w:rPr>
          <w:color w:val="auto"/>
        </w:rPr>
      </w:pPr>
      <w:r>
        <w:rPr>
          <w:color w:val="auto"/>
        </w:rPr>
        <w:t>废水经隔油、沉淀后全部循环使用，不外排。本工程施工高峰期按3</w:t>
      </w:r>
      <w:r>
        <w:rPr>
          <w:rFonts w:hint="eastAsia"/>
          <w:color w:val="auto"/>
          <w:lang w:eastAsia="zh-CN"/>
        </w:rPr>
        <w:t>～</w:t>
      </w:r>
      <w:r>
        <w:rPr>
          <w:color w:val="auto"/>
        </w:rPr>
        <w:t>4个作业点计，平均每个作业点产生施工废水2</w:t>
      </w:r>
      <w:r>
        <w:rPr>
          <w:rFonts w:hint="eastAsia"/>
          <w:color w:val="auto"/>
          <w:lang w:eastAsia="zh-CN"/>
        </w:rPr>
        <w:t>m³</w:t>
      </w:r>
      <w:r>
        <w:rPr>
          <w:color w:val="auto"/>
        </w:rPr>
        <w:t>/d，日产生施工废水8</w:t>
      </w:r>
      <w:r>
        <w:rPr>
          <w:rFonts w:hint="eastAsia"/>
          <w:color w:val="auto"/>
          <w:lang w:eastAsia="zh-CN"/>
        </w:rPr>
        <w:t>m³</w:t>
      </w:r>
      <w:r>
        <w:rPr>
          <w:color w:val="auto"/>
        </w:rPr>
        <w:t>/d。</w:t>
      </w:r>
    </w:p>
    <w:p w14:paraId="55FE72BC">
      <w:pPr>
        <w:pageBreakBefore w:val="0"/>
        <w:wordWrap/>
        <w:bidi w:val="0"/>
        <w:adjustRightInd/>
        <w:snapToGrid/>
        <w:ind w:firstLine="480"/>
        <w:rPr>
          <w:color w:val="auto"/>
        </w:rPr>
      </w:pPr>
      <w:r>
        <w:rPr>
          <w:color w:val="auto"/>
        </w:rPr>
        <w:t>施工</w:t>
      </w:r>
      <w:r>
        <w:rPr>
          <w:rFonts w:hint="eastAsia"/>
          <w:color w:val="auto"/>
          <w:lang w:val="en-US" w:eastAsia="zh-CN"/>
        </w:rPr>
        <w:t>期</w:t>
      </w:r>
      <w:r>
        <w:rPr>
          <w:color w:val="auto"/>
        </w:rPr>
        <w:t>废水产生及</w:t>
      </w:r>
      <w:r>
        <w:rPr>
          <w:rFonts w:hint="eastAsia"/>
          <w:color w:val="auto"/>
          <w:lang w:val="en-US" w:eastAsia="zh-CN"/>
        </w:rPr>
        <w:t>排放</w:t>
      </w:r>
      <w:r>
        <w:rPr>
          <w:color w:val="auto"/>
        </w:rPr>
        <w:t>情况见下表。</w:t>
      </w:r>
    </w:p>
    <w:p w14:paraId="407C0CC5">
      <w:pPr>
        <w:pStyle w:val="15"/>
        <w:numPr>
          <w:ilvl w:val="0"/>
          <w:numId w:val="29"/>
        </w:numPr>
        <w:tabs>
          <w:tab w:val="clear" w:pos="0"/>
        </w:tabs>
        <w:bidi w:val="0"/>
        <w:ind w:left="420" w:leftChars="0" w:hanging="420" w:firstLineChars="0"/>
        <w:rPr>
          <w:color w:val="auto"/>
        </w:rPr>
      </w:pPr>
      <w:r>
        <w:rPr>
          <w:color w:val="auto"/>
        </w:rPr>
        <w:t>施工期生活污水、施工废水产生及排放情况</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23"/>
        <w:gridCol w:w="1402"/>
        <w:gridCol w:w="544"/>
        <w:gridCol w:w="1124"/>
        <w:gridCol w:w="1124"/>
        <w:gridCol w:w="950"/>
        <w:gridCol w:w="979"/>
        <w:gridCol w:w="1740"/>
      </w:tblGrid>
      <w:tr w14:paraId="55FCF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37EE53F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废水名称</w:t>
            </w:r>
          </w:p>
        </w:tc>
        <w:tc>
          <w:tcPr>
            <w:tcW w:w="797" w:type="pct"/>
            <w:tcBorders>
              <w:tl2br w:val="nil"/>
              <w:tr2bl w:val="nil"/>
            </w:tcBorders>
            <w:noWrap w:val="0"/>
            <w:vAlign w:val="center"/>
          </w:tcPr>
          <w:p w14:paraId="2A2226EF">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废水量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309" w:type="pct"/>
            <w:tcBorders>
              <w:tl2br w:val="nil"/>
              <w:tr2bl w:val="nil"/>
            </w:tcBorders>
            <w:noWrap w:val="0"/>
            <w:vAlign w:val="center"/>
          </w:tcPr>
          <w:p w14:paraId="1171B37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pH</w:t>
            </w:r>
          </w:p>
        </w:tc>
        <w:tc>
          <w:tcPr>
            <w:tcW w:w="639" w:type="pct"/>
            <w:tcBorders>
              <w:tl2br w:val="nil"/>
              <w:tr2bl w:val="nil"/>
            </w:tcBorders>
            <w:noWrap w:val="0"/>
            <w:vAlign w:val="center"/>
          </w:tcPr>
          <w:p w14:paraId="2459FF0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p w14:paraId="4BCBE4A7">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639" w:type="pct"/>
            <w:tcBorders>
              <w:tl2br w:val="nil"/>
              <w:tr2bl w:val="nil"/>
            </w:tcBorders>
            <w:noWrap w:val="0"/>
            <w:vAlign w:val="center"/>
          </w:tcPr>
          <w:p w14:paraId="7B3A775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p w14:paraId="771608F9">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0" w:type="pct"/>
            <w:tcBorders>
              <w:tl2br w:val="nil"/>
              <w:tr2bl w:val="nil"/>
            </w:tcBorders>
            <w:noWrap w:val="0"/>
            <w:vAlign w:val="center"/>
          </w:tcPr>
          <w:p w14:paraId="1798D6A5">
            <w:pPr>
              <w:pageBreakBefore w:val="0"/>
              <w:wordWrap/>
              <w:bidi w:val="0"/>
              <w:adjustRightInd/>
              <w:snapToGrid/>
              <w:spacing w:line="240" w:lineRule="auto"/>
              <w:ind w:firstLine="0" w:firstLineChars="0"/>
              <w:jc w:val="center"/>
              <w:rPr>
                <w:b/>
                <w:bCs/>
                <w:color w:val="auto"/>
                <w:sz w:val="21"/>
                <w:szCs w:val="21"/>
                <w:vertAlign w:val="subscript"/>
              </w:rPr>
            </w:pPr>
            <w:r>
              <w:rPr>
                <w:b/>
                <w:bCs/>
                <w:color w:val="auto"/>
                <w:sz w:val="21"/>
                <w:szCs w:val="21"/>
              </w:rPr>
              <w:t>BOD</w:t>
            </w:r>
            <w:r>
              <w:rPr>
                <w:b/>
                <w:bCs/>
                <w:color w:val="auto"/>
                <w:sz w:val="21"/>
                <w:szCs w:val="21"/>
                <w:vertAlign w:val="subscript"/>
              </w:rPr>
              <w:t>5</w:t>
            </w:r>
          </w:p>
          <w:p w14:paraId="7B9FEB1F">
            <w:pPr>
              <w:pageBreakBefore w:val="0"/>
              <w:wordWrap/>
              <w:bidi w:val="0"/>
              <w:adjustRightInd/>
              <w:snapToGrid/>
              <w:spacing w:line="240" w:lineRule="auto"/>
              <w:ind w:firstLine="0" w:firstLineChars="0"/>
              <w:jc w:val="center"/>
              <w:rPr>
                <w:rFonts w:hint="eastAsia" w:eastAsia="宋体"/>
                <w:b/>
                <w:bCs/>
                <w:color w:val="auto"/>
                <w:sz w:val="21"/>
                <w:szCs w:val="21"/>
                <w:vertAlign w:val="subscript"/>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57" w:type="pct"/>
            <w:tcBorders>
              <w:tl2br w:val="nil"/>
              <w:tr2bl w:val="nil"/>
            </w:tcBorders>
            <w:noWrap w:val="0"/>
            <w:vAlign w:val="center"/>
          </w:tcPr>
          <w:p w14:paraId="24EFF8A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石油类</w:t>
            </w:r>
          </w:p>
          <w:p w14:paraId="0B2DD9FB">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990" w:type="pct"/>
            <w:tcBorders>
              <w:tl2br w:val="nil"/>
              <w:tr2bl w:val="nil"/>
            </w:tcBorders>
            <w:noWrap w:val="0"/>
            <w:vAlign w:val="center"/>
          </w:tcPr>
          <w:p w14:paraId="12AE828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处置措施</w:t>
            </w:r>
          </w:p>
        </w:tc>
      </w:tr>
      <w:tr w14:paraId="08DFB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5B172CCD">
            <w:pPr>
              <w:pageBreakBefore w:val="0"/>
              <w:wordWrap/>
              <w:bidi w:val="0"/>
              <w:adjustRightInd/>
              <w:snapToGrid/>
              <w:spacing w:line="240" w:lineRule="auto"/>
              <w:ind w:firstLine="0" w:firstLineChars="0"/>
              <w:jc w:val="center"/>
              <w:rPr>
                <w:color w:val="auto"/>
                <w:sz w:val="21"/>
                <w:szCs w:val="21"/>
              </w:rPr>
            </w:pPr>
            <w:r>
              <w:rPr>
                <w:color w:val="auto"/>
                <w:sz w:val="21"/>
                <w:szCs w:val="21"/>
              </w:rPr>
              <w:t>生活污水</w:t>
            </w:r>
          </w:p>
        </w:tc>
        <w:tc>
          <w:tcPr>
            <w:tcW w:w="797" w:type="pct"/>
            <w:tcBorders>
              <w:tl2br w:val="nil"/>
              <w:tr2bl w:val="nil"/>
            </w:tcBorders>
            <w:noWrap w:val="0"/>
            <w:vAlign w:val="center"/>
          </w:tcPr>
          <w:p w14:paraId="60D1B63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3.6</w:t>
            </w:r>
          </w:p>
        </w:tc>
        <w:tc>
          <w:tcPr>
            <w:tcW w:w="309" w:type="pct"/>
            <w:tcBorders>
              <w:tl2br w:val="nil"/>
              <w:tr2bl w:val="nil"/>
            </w:tcBorders>
            <w:noWrap w:val="0"/>
            <w:vAlign w:val="center"/>
          </w:tcPr>
          <w:p w14:paraId="098032DB">
            <w:pPr>
              <w:pageBreakBefore w:val="0"/>
              <w:wordWrap/>
              <w:bidi w:val="0"/>
              <w:adjustRightInd/>
              <w:snapToGrid/>
              <w:spacing w:line="240" w:lineRule="auto"/>
              <w:ind w:firstLine="0" w:firstLineChars="0"/>
              <w:jc w:val="center"/>
              <w:rPr>
                <w:color w:val="auto"/>
                <w:sz w:val="21"/>
                <w:szCs w:val="21"/>
              </w:rPr>
            </w:pPr>
            <w:r>
              <w:rPr>
                <w:color w:val="auto"/>
                <w:sz w:val="21"/>
                <w:szCs w:val="21"/>
              </w:rPr>
              <w:t>6~9</w:t>
            </w:r>
          </w:p>
        </w:tc>
        <w:tc>
          <w:tcPr>
            <w:tcW w:w="639" w:type="pct"/>
            <w:tcBorders>
              <w:tl2br w:val="nil"/>
              <w:tr2bl w:val="nil"/>
            </w:tcBorders>
            <w:noWrap w:val="0"/>
            <w:vAlign w:val="center"/>
          </w:tcPr>
          <w:p w14:paraId="67320738">
            <w:pPr>
              <w:pageBreakBefore w:val="0"/>
              <w:wordWrap/>
              <w:bidi w:val="0"/>
              <w:adjustRightInd/>
              <w:snapToGrid/>
              <w:spacing w:line="240" w:lineRule="auto"/>
              <w:ind w:firstLine="0" w:firstLineChars="0"/>
              <w:jc w:val="center"/>
              <w:rPr>
                <w:color w:val="auto"/>
                <w:sz w:val="21"/>
                <w:szCs w:val="21"/>
              </w:rPr>
            </w:pPr>
            <w:r>
              <w:rPr>
                <w:color w:val="auto"/>
                <w:sz w:val="21"/>
                <w:szCs w:val="21"/>
              </w:rPr>
              <w:t>350</w:t>
            </w:r>
          </w:p>
        </w:tc>
        <w:tc>
          <w:tcPr>
            <w:tcW w:w="639" w:type="pct"/>
            <w:tcBorders>
              <w:tl2br w:val="nil"/>
              <w:tr2bl w:val="nil"/>
            </w:tcBorders>
            <w:noWrap w:val="0"/>
            <w:vAlign w:val="center"/>
          </w:tcPr>
          <w:p w14:paraId="5F88B2BC">
            <w:pPr>
              <w:pageBreakBefore w:val="0"/>
              <w:wordWrap/>
              <w:bidi w:val="0"/>
              <w:adjustRightInd/>
              <w:snapToGrid/>
              <w:spacing w:line="240" w:lineRule="auto"/>
              <w:ind w:firstLine="0" w:firstLineChars="0"/>
              <w:jc w:val="center"/>
              <w:rPr>
                <w:color w:val="auto"/>
                <w:sz w:val="21"/>
                <w:szCs w:val="21"/>
              </w:rPr>
            </w:pPr>
            <w:r>
              <w:rPr>
                <w:color w:val="auto"/>
                <w:sz w:val="21"/>
                <w:szCs w:val="21"/>
              </w:rPr>
              <w:t>250</w:t>
            </w:r>
          </w:p>
        </w:tc>
        <w:tc>
          <w:tcPr>
            <w:tcW w:w="540" w:type="pct"/>
            <w:tcBorders>
              <w:tl2br w:val="nil"/>
              <w:tr2bl w:val="nil"/>
            </w:tcBorders>
            <w:noWrap w:val="0"/>
            <w:vAlign w:val="center"/>
          </w:tcPr>
          <w:p w14:paraId="17EB0D0C">
            <w:pPr>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557" w:type="pct"/>
            <w:tcBorders>
              <w:tl2br w:val="nil"/>
              <w:tr2bl w:val="nil"/>
            </w:tcBorders>
            <w:noWrap w:val="0"/>
            <w:vAlign w:val="center"/>
          </w:tcPr>
          <w:p w14:paraId="1C3857A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990" w:type="pct"/>
            <w:tcBorders>
              <w:tl2br w:val="nil"/>
              <w:tr2bl w:val="nil"/>
            </w:tcBorders>
            <w:noWrap w:val="0"/>
            <w:vAlign w:val="center"/>
          </w:tcPr>
          <w:p w14:paraId="47785C9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依托</w:t>
            </w:r>
            <w:r>
              <w:rPr>
                <w:rFonts w:hint="eastAsia"/>
                <w:color w:val="auto"/>
                <w:sz w:val="21"/>
                <w:szCs w:val="21"/>
                <w:lang w:val="en-US" w:eastAsia="zh-CN"/>
              </w:rPr>
              <w:t>曾口镇污水处理厂</w:t>
            </w:r>
          </w:p>
        </w:tc>
      </w:tr>
      <w:tr w14:paraId="43AEC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74BE6E1E">
            <w:pPr>
              <w:pageBreakBefore w:val="0"/>
              <w:wordWrap/>
              <w:bidi w:val="0"/>
              <w:adjustRightInd/>
              <w:snapToGrid/>
              <w:spacing w:line="240" w:lineRule="auto"/>
              <w:ind w:firstLine="0" w:firstLineChars="0"/>
              <w:jc w:val="center"/>
              <w:rPr>
                <w:color w:val="auto"/>
                <w:sz w:val="21"/>
                <w:szCs w:val="21"/>
              </w:rPr>
            </w:pPr>
            <w:r>
              <w:rPr>
                <w:color w:val="auto"/>
                <w:sz w:val="21"/>
                <w:szCs w:val="21"/>
              </w:rPr>
              <w:t>施工废水</w:t>
            </w:r>
          </w:p>
        </w:tc>
        <w:tc>
          <w:tcPr>
            <w:tcW w:w="797" w:type="pct"/>
            <w:tcBorders>
              <w:tl2br w:val="nil"/>
              <w:tr2bl w:val="nil"/>
            </w:tcBorders>
            <w:noWrap w:val="0"/>
            <w:vAlign w:val="center"/>
          </w:tcPr>
          <w:p w14:paraId="6B60F1F7">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309" w:type="pct"/>
            <w:tcBorders>
              <w:tl2br w:val="nil"/>
              <w:tr2bl w:val="nil"/>
            </w:tcBorders>
            <w:noWrap w:val="0"/>
            <w:vAlign w:val="center"/>
          </w:tcPr>
          <w:p w14:paraId="4D0ACD5F">
            <w:pPr>
              <w:pageBreakBefore w:val="0"/>
              <w:wordWrap/>
              <w:bidi w:val="0"/>
              <w:adjustRightInd/>
              <w:snapToGrid/>
              <w:spacing w:line="240" w:lineRule="auto"/>
              <w:ind w:firstLine="0" w:firstLineChars="0"/>
              <w:jc w:val="center"/>
              <w:rPr>
                <w:color w:val="auto"/>
                <w:sz w:val="21"/>
                <w:szCs w:val="21"/>
              </w:rPr>
            </w:pPr>
            <w:r>
              <w:rPr>
                <w:color w:val="auto"/>
                <w:sz w:val="21"/>
                <w:szCs w:val="21"/>
              </w:rPr>
              <w:t>6~7</w:t>
            </w:r>
          </w:p>
        </w:tc>
        <w:tc>
          <w:tcPr>
            <w:tcW w:w="639" w:type="pct"/>
            <w:tcBorders>
              <w:tl2br w:val="nil"/>
              <w:tr2bl w:val="nil"/>
            </w:tcBorders>
            <w:noWrap w:val="0"/>
            <w:vAlign w:val="center"/>
          </w:tcPr>
          <w:p w14:paraId="12EA5514">
            <w:pPr>
              <w:pageBreakBefore w:val="0"/>
              <w:wordWrap/>
              <w:bidi w:val="0"/>
              <w:adjustRightInd/>
              <w:snapToGrid/>
              <w:spacing w:line="240" w:lineRule="auto"/>
              <w:ind w:firstLine="0" w:firstLineChars="0"/>
              <w:jc w:val="center"/>
              <w:rPr>
                <w:color w:val="auto"/>
                <w:sz w:val="21"/>
                <w:szCs w:val="21"/>
              </w:rPr>
            </w:pPr>
            <w:r>
              <w:rPr>
                <w:color w:val="auto"/>
                <w:sz w:val="21"/>
                <w:szCs w:val="21"/>
              </w:rPr>
              <w:t>80</w:t>
            </w:r>
          </w:p>
        </w:tc>
        <w:tc>
          <w:tcPr>
            <w:tcW w:w="639" w:type="pct"/>
            <w:tcBorders>
              <w:tl2br w:val="nil"/>
              <w:tr2bl w:val="nil"/>
            </w:tcBorders>
            <w:noWrap w:val="0"/>
            <w:vAlign w:val="center"/>
          </w:tcPr>
          <w:p w14:paraId="3C504036">
            <w:pPr>
              <w:pageBreakBefore w:val="0"/>
              <w:wordWrap/>
              <w:bidi w:val="0"/>
              <w:adjustRightInd/>
              <w:snapToGrid/>
              <w:spacing w:line="240" w:lineRule="auto"/>
              <w:ind w:firstLine="0" w:firstLineChars="0"/>
              <w:jc w:val="center"/>
              <w:rPr>
                <w:color w:val="auto"/>
                <w:sz w:val="21"/>
                <w:szCs w:val="21"/>
              </w:rPr>
            </w:pPr>
            <w:r>
              <w:rPr>
                <w:color w:val="auto"/>
                <w:sz w:val="21"/>
                <w:szCs w:val="21"/>
              </w:rPr>
              <w:t>1000</w:t>
            </w:r>
          </w:p>
        </w:tc>
        <w:tc>
          <w:tcPr>
            <w:tcW w:w="540" w:type="pct"/>
            <w:tcBorders>
              <w:tl2br w:val="nil"/>
              <w:tr2bl w:val="nil"/>
            </w:tcBorders>
            <w:noWrap w:val="0"/>
            <w:vAlign w:val="center"/>
          </w:tcPr>
          <w:p w14:paraId="668A4478">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557" w:type="pct"/>
            <w:tcBorders>
              <w:tl2br w:val="nil"/>
              <w:tr2bl w:val="nil"/>
            </w:tcBorders>
            <w:noWrap w:val="0"/>
            <w:vAlign w:val="center"/>
          </w:tcPr>
          <w:p w14:paraId="328A46AE">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990" w:type="pct"/>
            <w:tcBorders>
              <w:tl2br w:val="nil"/>
              <w:tr2bl w:val="nil"/>
            </w:tcBorders>
            <w:noWrap w:val="0"/>
            <w:vAlign w:val="center"/>
          </w:tcPr>
          <w:p w14:paraId="1B4F4D01">
            <w:pPr>
              <w:pageBreakBefore w:val="0"/>
              <w:wordWrap/>
              <w:bidi w:val="0"/>
              <w:adjustRightInd/>
              <w:snapToGrid/>
              <w:spacing w:line="240" w:lineRule="auto"/>
              <w:ind w:firstLine="0" w:firstLineChars="0"/>
              <w:jc w:val="center"/>
              <w:rPr>
                <w:color w:val="auto"/>
                <w:sz w:val="21"/>
                <w:szCs w:val="21"/>
              </w:rPr>
            </w:pPr>
            <w:r>
              <w:rPr>
                <w:color w:val="auto"/>
                <w:sz w:val="21"/>
                <w:szCs w:val="21"/>
              </w:rPr>
              <w:t>隔油沉淀处理后循环使用</w:t>
            </w:r>
          </w:p>
        </w:tc>
      </w:tr>
      <w:tr w14:paraId="142A7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6F8F3DC3">
            <w:pPr>
              <w:pageBreakBefore w:val="0"/>
              <w:wordWrap/>
              <w:bidi w:val="0"/>
              <w:adjustRightInd/>
              <w:snapToGrid/>
              <w:spacing w:line="240" w:lineRule="auto"/>
              <w:ind w:firstLine="0" w:firstLineChars="0"/>
              <w:jc w:val="center"/>
              <w:rPr>
                <w:color w:val="auto"/>
                <w:sz w:val="21"/>
                <w:szCs w:val="21"/>
              </w:rPr>
            </w:pPr>
            <w:r>
              <w:rPr>
                <w:color w:val="auto"/>
                <w:sz w:val="21"/>
                <w:szCs w:val="21"/>
              </w:rPr>
              <w:t>合计</w:t>
            </w:r>
          </w:p>
        </w:tc>
        <w:tc>
          <w:tcPr>
            <w:tcW w:w="797" w:type="pct"/>
            <w:tcBorders>
              <w:tl2br w:val="nil"/>
              <w:tr2bl w:val="nil"/>
            </w:tcBorders>
            <w:noWrap w:val="0"/>
            <w:vAlign w:val="center"/>
          </w:tcPr>
          <w:p w14:paraId="38467A7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11.6</w:t>
            </w:r>
          </w:p>
        </w:tc>
        <w:tc>
          <w:tcPr>
            <w:tcW w:w="309" w:type="pct"/>
            <w:tcBorders>
              <w:tl2br w:val="nil"/>
              <w:tr2bl w:val="nil"/>
            </w:tcBorders>
            <w:noWrap w:val="0"/>
            <w:vAlign w:val="center"/>
          </w:tcPr>
          <w:p w14:paraId="0F52BF1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39" w:type="pct"/>
            <w:tcBorders>
              <w:tl2br w:val="nil"/>
              <w:tr2bl w:val="nil"/>
            </w:tcBorders>
            <w:noWrap w:val="0"/>
            <w:vAlign w:val="center"/>
          </w:tcPr>
          <w:p w14:paraId="2195599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39" w:type="pct"/>
            <w:tcBorders>
              <w:tl2br w:val="nil"/>
              <w:tr2bl w:val="nil"/>
            </w:tcBorders>
            <w:noWrap w:val="0"/>
            <w:vAlign w:val="center"/>
          </w:tcPr>
          <w:p w14:paraId="12E9A7F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0" w:type="pct"/>
            <w:tcBorders>
              <w:tl2br w:val="nil"/>
              <w:tr2bl w:val="nil"/>
            </w:tcBorders>
            <w:noWrap w:val="0"/>
            <w:vAlign w:val="center"/>
          </w:tcPr>
          <w:p w14:paraId="4E59FF2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57" w:type="pct"/>
            <w:tcBorders>
              <w:tl2br w:val="nil"/>
              <w:tr2bl w:val="nil"/>
            </w:tcBorders>
            <w:noWrap w:val="0"/>
            <w:vAlign w:val="center"/>
          </w:tcPr>
          <w:p w14:paraId="4A65B86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990" w:type="pct"/>
            <w:tcBorders>
              <w:tl2br w:val="nil"/>
              <w:tr2bl w:val="nil"/>
            </w:tcBorders>
            <w:noWrap w:val="0"/>
            <w:vAlign w:val="center"/>
          </w:tcPr>
          <w:p w14:paraId="4D89CE0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45304518">
      <w:pPr>
        <w:pageBreakBefore w:val="0"/>
        <w:wordWrap/>
        <w:bidi w:val="0"/>
        <w:adjustRightInd/>
        <w:snapToGrid/>
        <w:ind w:firstLine="480"/>
        <w:rPr>
          <w:b/>
          <w:bCs/>
          <w:color w:val="auto"/>
          <w:kern w:val="0"/>
        </w:rPr>
      </w:pPr>
      <w:r>
        <w:rPr>
          <w:b/>
          <w:bCs/>
          <w:color w:val="auto"/>
          <w:kern w:val="0"/>
          <w:u w:val="single"/>
        </w:rPr>
        <w:t>综上所述，在采取上述措施治理后，实施期间产生的废水不会对区域地表水环境产生明显影响</w:t>
      </w:r>
      <w:r>
        <w:rPr>
          <w:b/>
          <w:bCs/>
          <w:color w:val="auto"/>
          <w:kern w:val="0"/>
        </w:rPr>
        <w:t>。</w:t>
      </w:r>
    </w:p>
    <w:p w14:paraId="44547FD8">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施工期声环境影响预测与评价</w:t>
      </w:r>
    </w:p>
    <w:p w14:paraId="775F82BA">
      <w:pPr>
        <w:pageBreakBefore w:val="0"/>
        <w:wordWrap/>
        <w:bidi w:val="0"/>
        <w:adjustRightInd/>
        <w:snapToGrid/>
        <w:ind w:firstLine="480"/>
        <w:rPr>
          <w:b/>
          <w:bCs/>
          <w:color w:val="auto"/>
        </w:rPr>
      </w:pPr>
      <w:r>
        <w:rPr>
          <w:b/>
          <w:bCs/>
          <w:color w:val="auto"/>
        </w:rPr>
        <w:t>1、施工期噪声源</w:t>
      </w:r>
    </w:p>
    <w:p w14:paraId="776C4B56">
      <w:pPr>
        <w:bidi w:val="0"/>
        <w:rPr>
          <w:color w:val="auto"/>
        </w:rPr>
      </w:pPr>
      <w:r>
        <w:rPr>
          <w:color w:val="auto"/>
        </w:rPr>
        <w:t>在项目的施工阶段，建筑施工机械作业一般位于露天，各种施工机械、设备噪声</w:t>
      </w:r>
      <w:r>
        <w:rPr>
          <w:rFonts w:hint="eastAsia"/>
          <w:color w:val="auto"/>
          <w:lang w:eastAsia="zh-CN"/>
        </w:rPr>
        <w:t>此起彼伏</w:t>
      </w:r>
      <w:r>
        <w:rPr>
          <w:color w:val="auto"/>
        </w:rPr>
        <w:t>；其噪声传播距离远，是重要的临时性声源。</w:t>
      </w:r>
    </w:p>
    <w:p w14:paraId="38729A65">
      <w:pPr>
        <w:bidi w:val="0"/>
        <w:rPr>
          <w:color w:val="auto"/>
        </w:rPr>
      </w:pPr>
      <w:r>
        <w:rPr>
          <w:color w:val="auto"/>
        </w:rPr>
        <w:t xml:space="preserve">在土建施工期间，噪声声源主要发生在挖土机、空压机、卷扬机等，以及运送建材、渣土的载重汽车等；在装饰装修及水电等设备安装阶段，主要噪声源有电钻、电锤、磨光机等设备。常用施工设备和运输车辆在作业期间所产生的噪声值见下表。 </w:t>
      </w:r>
    </w:p>
    <w:p w14:paraId="0371BC43">
      <w:pPr>
        <w:pStyle w:val="15"/>
        <w:numPr>
          <w:ilvl w:val="0"/>
          <w:numId w:val="29"/>
        </w:numPr>
        <w:tabs>
          <w:tab w:val="clear" w:pos="0"/>
        </w:tabs>
        <w:bidi w:val="0"/>
        <w:ind w:left="420" w:leftChars="0" w:hanging="420" w:firstLineChars="0"/>
        <w:rPr>
          <w:rFonts w:hint="eastAsia" w:eastAsia="宋体"/>
          <w:color w:val="auto"/>
          <w:lang w:eastAsia="zh-CN"/>
        </w:rPr>
      </w:pPr>
      <w:r>
        <w:rPr>
          <w:color w:val="auto"/>
        </w:rPr>
        <w:t>各种施工机械设备的噪声值 单位：dB</w:t>
      </w:r>
      <w:r>
        <w:rPr>
          <w:rFonts w:hint="eastAsia"/>
          <w:color w:val="auto"/>
          <w:lang w:eastAsia="zh-CN"/>
        </w:rPr>
        <w:t>（</w:t>
      </w:r>
      <w:r>
        <w:rPr>
          <w:color w:val="auto"/>
        </w:rPr>
        <w:t>A</w:t>
      </w:r>
      <w:r>
        <w:rPr>
          <w:rFonts w:hint="eastAsia"/>
          <w:color w:val="auto"/>
          <w:lang w:eastAsia="zh-CN"/>
        </w:rPr>
        <w:t>）</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2253"/>
        <w:gridCol w:w="2253"/>
        <w:gridCol w:w="3467"/>
      </w:tblGrid>
      <w:tr w14:paraId="2A28B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08B79E2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序号</w:t>
            </w:r>
          </w:p>
        </w:tc>
        <w:tc>
          <w:tcPr>
            <w:tcW w:w="1259" w:type="pct"/>
            <w:tcBorders>
              <w:tl2br w:val="nil"/>
              <w:tr2bl w:val="nil"/>
            </w:tcBorders>
            <w:noWrap w:val="0"/>
            <w:vAlign w:val="center"/>
          </w:tcPr>
          <w:p w14:paraId="162DA02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机械类型</w:t>
            </w:r>
          </w:p>
        </w:tc>
        <w:tc>
          <w:tcPr>
            <w:tcW w:w="1259" w:type="pct"/>
            <w:tcBorders>
              <w:tl2br w:val="nil"/>
              <w:tr2bl w:val="nil"/>
            </w:tcBorders>
            <w:noWrap w:val="0"/>
            <w:vAlign w:val="center"/>
          </w:tcPr>
          <w:p w14:paraId="16CBBE6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声源特点</w:t>
            </w:r>
          </w:p>
        </w:tc>
        <w:tc>
          <w:tcPr>
            <w:tcW w:w="1938" w:type="pct"/>
            <w:tcBorders>
              <w:tl2br w:val="nil"/>
              <w:tr2bl w:val="nil"/>
            </w:tcBorders>
            <w:noWrap w:val="0"/>
            <w:vAlign w:val="center"/>
          </w:tcPr>
          <w:p w14:paraId="72D338D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距离设备5m处噪声值</w:t>
            </w:r>
          </w:p>
        </w:tc>
      </w:tr>
      <w:tr w14:paraId="2D43F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4922874A">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259" w:type="pct"/>
            <w:tcBorders>
              <w:tl2br w:val="nil"/>
              <w:tr2bl w:val="nil"/>
            </w:tcBorders>
            <w:noWrap w:val="0"/>
            <w:vAlign w:val="center"/>
          </w:tcPr>
          <w:p w14:paraId="064AEDA4">
            <w:pPr>
              <w:pageBreakBefore w:val="0"/>
              <w:wordWrap/>
              <w:bidi w:val="0"/>
              <w:adjustRightInd/>
              <w:snapToGrid/>
              <w:spacing w:line="240" w:lineRule="auto"/>
              <w:ind w:firstLine="0" w:firstLineChars="0"/>
              <w:jc w:val="center"/>
              <w:rPr>
                <w:color w:val="auto"/>
                <w:sz w:val="21"/>
                <w:szCs w:val="21"/>
              </w:rPr>
            </w:pPr>
            <w:r>
              <w:rPr>
                <w:color w:val="auto"/>
                <w:sz w:val="21"/>
                <w:szCs w:val="21"/>
              </w:rPr>
              <w:t>路面破碎机</w:t>
            </w:r>
          </w:p>
        </w:tc>
        <w:tc>
          <w:tcPr>
            <w:tcW w:w="1259" w:type="pct"/>
            <w:tcBorders>
              <w:tl2br w:val="nil"/>
              <w:tr2bl w:val="nil"/>
            </w:tcBorders>
            <w:noWrap w:val="0"/>
            <w:vAlign w:val="center"/>
          </w:tcPr>
          <w:p w14:paraId="0ACCF3E6">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6FDA2A08">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63948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1FE69E2">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259" w:type="pct"/>
            <w:tcBorders>
              <w:tl2br w:val="nil"/>
              <w:tr2bl w:val="nil"/>
            </w:tcBorders>
            <w:noWrap w:val="0"/>
            <w:vAlign w:val="center"/>
          </w:tcPr>
          <w:p w14:paraId="2CD5D9D5">
            <w:pPr>
              <w:pageBreakBefore w:val="0"/>
              <w:wordWrap/>
              <w:bidi w:val="0"/>
              <w:adjustRightInd/>
              <w:snapToGrid/>
              <w:spacing w:line="240" w:lineRule="auto"/>
              <w:ind w:firstLine="0" w:firstLineChars="0"/>
              <w:jc w:val="center"/>
              <w:rPr>
                <w:color w:val="auto"/>
                <w:sz w:val="21"/>
                <w:szCs w:val="21"/>
              </w:rPr>
            </w:pPr>
            <w:r>
              <w:rPr>
                <w:color w:val="auto"/>
                <w:sz w:val="21"/>
                <w:szCs w:val="21"/>
              </w:rPr>
              <w:t>切割机</w:t>
            </w:r>
          </w:p>
        </w:tc>
        <w:tc>
          <w:tcPr>
            <w:tcW w:w="1259" w:type="pct"/>
            <w:tcBorders>
              <w:tl2br w:val="nil"/>
              <w:tr2bl w:val="nil"/>
            </w:tcBorders>
            <w:noWrap w:val="0"/>
            <w:vAlign w:val="center"/>
          </w:tcPr>
          <w:p w14:paraId="16CCC4E7">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4B39E15E">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23FFB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7328B808">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259" w:type="pct"/>
            <w:tcBorders>
              <w:tl2br w:val="nil"/>
              <w:tr2bl w:val="nil"/>
            </w:tcBorders>
            <w:noWrap w:val="0"/>
            <w:vAlign w:val="center"/>
          </w:tcPr>
          <w:p w14:paraId="67C7BA9E">
            <w:pPr>
              <w:pageBreakBefore w:val="0"/>
              <w:wordWrap/>
              <w:bidi w:val="0"/>
              <w:adjustRightInd/>
              <w:snapToGrid/>
              <w:spacing w:line="240" w:lineRule="auto"/>
              <w:ind w:firstLine="0" w:firstLineChars="0"/>
              <w:jc w:val="center"/>
              <w:rPr>
                <w:color w:val="auto"/>
                <w:sz w:val="21"/>
                <w:szCs w:val="21"/>
              </w:rPr>
            </w:pPr>
            <w:r>
              <w:rPr>
                <w:color w:val="auto"/>
                <w:sz w:val="21"/>
                <w:szCs w:val="21"/>
              </w:rPr>
              <w:t>装载机</w:t>
            </w:r>
          </w:p>
        </w:tc>
        <w:tc>
          <w:tcPr>
            <w:tcW w:w="1259" w:type="pct"/>
            <w:tcBorders>
              <w:tl2br w:val="nil"/>
              <w:tr2bl w:val="nil"/>
            </w:tcBorders>
            <w:noWrap w:val="0"/>
            <w:vAlign w:val="center"/>
          </w:tcPr>
          <w:p w14:paraId="684D5096">
            <w:pPr>
              <w:pageBreakBefore w:val="0"/>
              <w:wordWrap/>
              <w:bidi w:val="0"/>
              <w:adjustRightInd/>
              <w:snapToGrid/>
              <w:spacing w:line="240" w:lineRule="auto"/>
              <w:ind w:firstLine="0" w:firstLineChars="0"/>
              <w:jc w:val="center"/>
              <w:rPr>
                <w:color w:val="auto"/>
                <w:sz w:val="21"/>
                <w:szCs w:val="21"/>
              </w:rPr>
            </w:pPr>
            <w:r>
              <w:rPr>
                <w:color w:val="auto"/>
                <w:sz w:val="21"/>
                <w:szCs w:val="21"/>
              </w:rPr>
              <w:t>不稳态源</w:t>
            </w:r>
          </w:p>
        </w:tc>
        <w:tc>
          <w:tcPr>
            <w:tcW w:w="1938" w:type="pct"/>
            <w:tcBorders>
              <w:tl2br w:val="nil"/>
              <w:tr2bl w:val="nil"/>
            </w:tcBorders>
            <w:noWrap w:val="0"/>
            <w:vAlign w:val="center"/>
          </w:tcPr>
          <w:p w14:paraId="654A702E">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72865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25754227">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1259" w:type="pct"/>
            <w:tcBorders>
              <w:tl2br w:val="nil"/>
              <w:tr2bl w:val="nil"/>
            </w:tcBorders>
            <w:noWrap w:val="0"/>
            <w:vAlign w:val="center"/>
          </w:tcPr>
          <w:p w14:paraId="3C2FC680">
            <w:pPr>
              <w:pageBreakBefore w:val="0"/>
              <w:wordWrap/>
              <w:bidi w:val="0"/>
              <w:adjustRightInd/>
              <w:snapToGrid/>
              <w:spacing w:line="240" w:lineRule="auto"/>
              <w:ind w:firstLine="0" w:firstLineChars="0"/>
              <w:jc w:val="center"/>
              <w:rPr>
                <w:color w:val="auto"/>
                <w:sz w:val="21"/>
                <w:szCs w:val="21"/>
              </w:rPr>
            </w:pPr>
            <w:r>
              <w:rPr>
                <w:color w:val="auto"/>
                <w:sz w:val="21"/>
                <w:szCs w:val="21"/>
              </w:rPr>
              <w:t>压路机</w:t>
            </w:r>
          </w:p>
        </w:tc>
        <w:tc>
          <w:tcPr>
            <w:tcW w:w="1259" w:type="pct"/>
            <w:tcBorders>
              <w:tl2br w:val="nil"/>
              <w:tr2bl w:val="nil"/>
            </w:tcBorders>
            <w:noWrap w:val="0"/>
            <w:vAlign w:val="center"/>
          </w:tcPr>
          <w:p w14:paraId="3C07E9C6">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213474C7">
            <w:pPr>
              <w:pageBreakBefore w:val="0"/>
              <w:wordWrap/>
              <w:bidi w:val="0"/>
              <w:adjustRightInd/>
              <w:snapToGrid/>
              <w:spacing w:line="240" w:lineRule="auto"/>
              <w:ind w:firstLine="0" w:firstLineChars="0"/>
              <w:jc w:val="center"/>
              <w:rPr>
                <w:color w:val="auto"/>
                <w:sz w:val="21"/>
                <w:szCs w:val="21"/>
              </w:rPr>
            </w:pPr>
            <w:r>
              <w:rPr>
                <w:color w:val="auto"/>
                <w:sz w:val="21"/>
                <w:szCs w:val="21"/>
              </w:rPr>
              <w:t>85</w:t>
            </w:r>
          </w:p>
        </w:tc>
      </w:tr>
      <w:tr w14:paraId="7E523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42733973">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1259" w:type="pct"/>
            <w:tcBorders>
              <w:tl2br w:val="nil"/>
              <w:tr2bl w:val="nil"/>
            </w:tcBorders>
            <w:noWrap w:val="0"/>
            <w:vAlign w:val="center"/>
          </w:tcPr>
          <w:p w14:paraId="155E9D61">
            <w:pPr>
              <w:pageBreakBefore w:val="0"/>
              <w:wordWrap/>
              <w:bidi w:val="0"/>
              <w:adjustRightInd/>
              <w:snapToGrid/>
              <w:spacing w:line="240" w:lineRule="auto"/>
              <w:ind w:firstLine="0" w:firstLineChars="0"/>
              <w:jc w:val="center"/>
              <w:rPr>
                <w:color w:val="auto"/>
                <w:sz w:val="21"/>
                <w:szCs w:val="21"/>
              </w:rPr>
            </w:pPr>
            <w:r>
              <w:rPr>
                <w:color w:val="auto"/>
                <w:sz w:val="21"/>
                <w:szCs w:val="21"/>
              </w:rPr>
              <w:t>推土机</w:t>
            </w:r>
          </w:p>
        </w:tc>
        <w:tc>
          <w:tcPr>
            <w:tcW w:w="1259" w:type="pct"/>
            <w:tcBorders>
              <w:tl2br w:val="nil"/>
              <w:tr2bl w:val="nil"/>
            </w:tcBorders>
            <w:noWrap w:val="0"/>
            <w:vAlign w:val="center"/>
          </w:tcPr>
          <w:p w14:paraId="78610A0B">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5498AE52">
            <w:pPr>
              <w:pageBreakBefore w:val="0"/>
              <w:wordWrap/>
              <w:bidi w:val="0"/>
              <w:adjustRightInd/>
              <w:snapToGrid/>
              <w:spacing w:line="240" w:lineRule="auto"/>
              <w:ind w:firstLine="0" w:firstLineChars="0"/>
              <w:jc w:val="center"/>
              <w:rPr>
                <w:color w:val="auto"/>
                <w:sz w:val="21"/>
                <w:szCs w:val="21"/>
              </w:rPr>
            </w:pPr>
            <w:r>
              <w:rPr>
                <w:color w:val="auto"/>
                <w:sz w:val="21"/>
                <w:szCs w:val="21"/>
              </w:rPr>
              <w:t>82</w:t>
            </w:r>
          </w:p>
        </w:tc>
      </w:tr>
      <w:tr w14:paraId="33CC2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502BC7C">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1259" w:type="pct"/>
            <w:tcBorders>
              <w:tl2br w:val="nil"/>
              <w:tr2bl w:val="nil"/>
            </w:tcBorders>
            <w:noWrap w:val="0"/>
            <w:vAlign w:val="center"/>
          </w:tcPr>
          <w:p w14:paraId="3FEB7BCC">
            <w:pPr>
              <w:pageBreakBefore w:val="0"/>
              <w:wordWrap/>
              <w:bidi w:val="0"/>
              <w:adjustRightInd/>
              <w:snapToGrid/>
              <w:spacing w:line="240" w:lineRule="auto"/>
              <w:ind w:firstLine="0" w:firstLineChars="0"/>
              <w:jc w:val="center"/>
              <w:rPr>
                <w:color w:val="auto"/>
                <w:sz w:val="21"/>
                <w:szCs w:val="21"/>
              </w:rPr>
            </w:pPr>
            <w:r>
              <w:rPr>
                <w:color w:val="auto"/>
                <w:sz w:val="21"/>
                <w:szCs w:val="21"/>
              </w:rPr>
              <w:t>挖掘机</w:t>
            </w:r>
          </w:p>
        </w:tc>
        <w:tc>
          <w:tcPr>
            <w:tcW w:w="1259" w:type="pct"/>
            <w:tcBorders>
              <w:tl2br w:val="nil"/>
              <w:tr2bl w:val="nil"/>
            </w:tcBorders>
            <w:noWrap w:val="0"/>
            <w:vAlign w:val="center"/>
          </w:tcPr>
          <w:p w14:paraId="7BA63BEF">
            <w:pPr>
              <w:pageBreakBefore w:val="0"/>
              <w:wordWrap/>
              <w:bidi w:val="0"/>
              <w:adjustRightInd/>
              <w:snapToGrid/>
              <w:spacing w:line="240" w:lineRule="auto"/>
              <w:ind w:firstLine="0" w:firstLineChars="0"/>
              <w:jc w:val="center"/>
              <w:rPr>
                <w:color w:val="auto"/>
                <w:sz w:val="21"/>
                <w:szCs w:val="21"/>
              </w:rPr>
            </w:pPr>
            <w:r>
              <w:rPr>
                <w:color w:val="auto"/>
                <w:sz w:val="21"/>
                <w:szCs w:val="21"/>
              </w:rPr>
              <w:t>不稳态源</w:t>
            </w:r>
          </w:p>
        </w:tc>
        <w:tc>
          <w:tcPr>
            <w:tcW w:w="1938" w:type="pct"/>
            <w:tcBorders>
              <w:tl2br w:val="nil"/>
              <w:tr2bl w:val="nil"/>
            </w:tcBorders>
            <w:noWrap w:val="0"/>
            <w:vAlign w:val="center"/>
          </w:tcPr>
          <w:p w14:paraId="086CBAB1">
            <w:pPr>
              <w:pageBreakBefore w:val="0"/>
              <w:wordWrap/>
              <w:bidi w:val="0"/>
              <w:adjustRightInd/>
              <w:snapToGrid/>
              <w:spacing w:line="240" w:lineRule="auto"/>
              <w:ind w:firstLine="0" w:firstLineChars="0"/>
              <w:jc w:val="center"/>
              <w:rPr>
                <w:color w:val="auto"/>
                <w:sz w:val="21"/>
                <w:szCs w:val="21"/>
              </w:rPr>
            </w:pPr>
            <w:r>
              <w:rPr>
                <w:color w:val="auto"/>
                <w:sz w:val="21"/>
                <w:szCs w:val="21"/>
              </w:rPr>
              <w:t>84</w:t>
            </w:r>
          </w:p>
        </w:tc>
      </w:tr>
      <w:tr w14:paraId="5A9BF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45D278A4">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1259" w:type="pct"/>
            <w:tcBorders>
              <w:tl2br w:val="nil"/>
              <w:tr2bl w:val="nil"/>
            </w:tcBorders>
            <w:noWrap w:val="0"/>
            <w:vAlign w:val="center"/>
          </w:tcPr>
          <w:p w14:paraId="1C592830">
            <w:pPr>
              <w:pageBreakBefore w:val="0"/>
              <w:wordWrap/>
              <w:bidi w:val="0"/>
              <w:adjustRightInd/>
              <w:snapToGrid/>
              <w:spacing w:line="240" w:lineRule="auto"/>
              <w:ind w:firstLine="0" w:firstLineChars="0"/>
              <w:jc w:val="center"/>
              <w:rPr>
                <w:color w:val="auto"/>
                <w:sz w:val="21"/>
                <w:szCs w:val="21"/>
              </w:rPr>
            </w:pPr>
            <w:r>
              <w:rPr>
                <w:color w:val="auto"/>
                <w:sz w:val="21"/>
                <w:szCs w:val="21"/>
              </w:rPr>
              <w:t>混凝土搅拌机</w:t>
            </w:r>
          </w:p>
        </w:tc>
        <w:tc>
          <w:tcPr>
            <w:tcW w:w="1259" w:type="pct"/>
            <w:tcBorders>
              <w:tl2br w:val="nil"/>
              <w:tr2bl w:val="nil"/>
            </w:tcBorders>
            <w:noWrap w:val="0"/>
            <w:vAlign w:val="center"/>
          </w:tcPr>
          <w:p w14:paraId="79E1D9D9">
            <w:pPr>
              <w:pageBreakBefore w:val="0"/>
              <w:wordWrap/>
              <w:bidi w:val="0"/>
              <w:adjustRightInd/>
              <w:snapToGrid/>
              <w:spacing w:line="240" w:lineRule="auto"/>
              <w:ind w:firstLine="0" w:firstLineChars="0"/>
              <w:jc w:val="center"/>
              <w:rPr>
                <w:color w:val="auto"/>
                <w:sz w:val="21"/>
                <w:szCs w:val="21"/>
              </w:rPr>
            </w:pPr>
            <w:r>
              <w:rPr>
                <w:color w:val="auto"/>
                <w:sz w:val="21"/>
                <w:szCs w:val="21"/>
              </w:rPr>
              <w:t>固定稳态源</w:t>
            </w:r>
          </w:p>
        </w:tc>
        <w:tc>
          <w:tcPr>
            <w:tcW w:w="1938" w:type="pct"/>
            <w:tcBorders>
              <w:tl2br w:val="nil"/>
              <w:tr2bl w:val="nil"/>
            </w:tcBorders>
            <w:noWrap w:val="0"/>
            <w:vAlign w:val="center"/>
          </w:tcPr>
          <w:p w14:paraId="22CC5342">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00A38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42C284E">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1259" w:type="pct"/>
            <w:tcBorders>
              <w:tl2br w:val="nil"/>
              <w:tr2bl w:val="nil"/>
            </w:tcBorders>
            <w:noWrap w:val="0"/>
            <w:vAlign w:val="center"/>
          </w:tcPr>
          <w:p w14:paraId="5EE3ACA2">
            <w:pPr>
              <w:pageBreakBefore w:val="0"/>
              <w:wordWrap/>
              <w:bidi w:val="0"/>
              <w:adjustRightInd/>
              <w:snapToGrid/>
              <w:spacing w:line="240" w:lineRule="auto"/>
              <w:ind w:firstLine="0" w:firstLineChars="0"/>
              <w:jc w:val="center"/>
              <w:rPr>
                <w:color w:val="auto"/>
                <w:sz w:val="21"/>
                <w:szCs w:val="21"/>
              </w:rPr>
            </w:pPr>
            <w:r>
              <w:rPr>
                <w:color w:val="auto"/>
                <w:sz w:val="21"/>
                <w:szCs w:val="21"/>
              </w:rPr>
              <w:t>混凝土泵</w:t>
            </w:r>
          </w:p>
        </w:tc>
        <w:tc>
          <w:tcPr>
            <w:tcW w:w="1259" w:type="pct"/>
            <w:tcBorders>
              <w:tl2br w:val="nil"/>
              <w:tr2bl w:val="nil"/>
            </w:tcBorders>
            <w:noWrap w:val="0"/>
            <w:vAlign w:val="center"/>
          </w:tcPr>
          <w:p w14:paraId="15636095">
            <w:pPr>
              <w:pageBreakBefore w:val="0"/>
              <w:wordWrap/>
              <w:bidi w:val="0"/>
              <w:adjustRightInd/>
              <w:snapToGrid/>
              <w:spacing w:line="240" w:lineRule="auto"/>
              <w:ind w:firstLine="0" w:firstLineChars="0"/>
              <w:jc w:val="center"/>
              <w:rPr>
                <w:color w:val="auto"/>
                <w:sz w:val="21"/>
                <w:szCs w:val="21"/>
              </w:rPr>
            </w:pPr>
            <w:r>
              <w:rPr>
                <w:color w:val="auto"/>
                <w:sz w:val="21"/>
                <w:szCs w:val="21"/>
              </w:rPr>
              <w:t>固定稳态源</w:t>
            </w:r>
          </w:p>
        </w:tc>
        <w:tc>
          <w:tcPr>
            <w:tcW w:w="1938" w:type="pct"/>
            <w:tcBorders>
              <w:tl2br w:val="nil"/>
              <w:tr2bl w:val="nil"/>
            </w:tcBorders>
            <w:noWrap w:val="0"/>
            <w:vAlign w:val="center"/>
          </w:tcPr>
          <w:p w14:paraId="72C5070A">
            <w:pPr>
              <w:pageBreakBefore w:val="0"/>
              <w:wordWrap/>
              <w:bidi w:val="0"/>
              <w:adjustRightInd/>
              <w:snapToGrid/>
              <w:spacing w:line="240" w:lineRule="auto"/>
              <w:ind w:firstLine="0" w:firstLineChars="0"/>
              <w:jc w:val="center"/>
              <w:rPr>
                <w:color w:val="auto"/>
                <w:sz w:val="21"/>
                <w:szCs w:val="21"/>
              </w:rPr>
            </w:pPr>
            <w:r>
              <w:rPr>
                <w:color w:val="auto"/>
                <w:sz w:val="21"/>
                <w:szCs w:val="21"/>
              </w:rPr>
              <w:t>85</w:t>
            </w:r>
          </w:p>
        </w:tc>
      </w:tr>
      <w:tr w14:paraId="59FB8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445A0656">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1259" w:type="pct"/>
            <w:tcBorders>
              <w:tl2br w:val="nil"/>
              <w:tr2bl w:val="nil"/>
            </w:tcBorders>
            <w:noWrap w:val="0"/>
            <w:vAlign w:val="center"/>
          </w:tcPr>
          <w:p w14:paraId="1939A5CF">
            <w:pPr>
              <w:pageBreakBefore w:val="0"/>
              <w:wordWrap/>
              <w:bidi w:val="0"/>
              <w:adjustRightInd/>
              <w:snapToGrid/>
              <w:spacing w:line="240" w:lineRule="auto"/>
              <w:ind w:firstLine="0" w:firstLineChars="0"/>
              <w:jc w:val="center"/>
              <w:rPr>
                <w:color w:val="auto"/>
                <w:sz w:val="21"/>
                <w:szCs w:val="21"/>
              </w:rPr>
            </w:pPr>
            <w:r>
              <w:rPr>
                <w:color w:val="auto"/>
                <w:sz w:val="21"/>
                <w:szCs w:val="21"/>
              </w:rPr>
              <w:t>移动式吊车</w:t>
            </w:r>
          </w:p>
        </w:tc>
        <w:tc>
          <w:tcPr>
            <w:tcW w:w="1259" w:type="pct"/>
            <w:tcBorders>
              <w:tl2br w:val="nil"/>
              <w:tr2bl w:val="nil"/>
            </w:tcBorders>
            <w:noWrap w:val="0"/>
            <w:vAlign w:val="center"/>
          </w:tcPr>
          <w:p w14:paraId="4D61BD4B">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4E694028">
            <w:pPr>
              <w:pageBreakBefore w:val="0"/>
              <w:wordWrap/>
              <w:bidi w:val="0"/>
              <w:adjustRightInd/>
              <w:snapToGrid/>
              <w:spacing w:line="240" w:lineRule="auto"/>
              <w:ind w:firstLine="0" w:firstLineChars="0"/>
              <w:jc w:val="center"/>
              <w:rPr>
                <w:color w:val="auto"/>
                <w:sz w:val="21"/>
                <w:szCs w:val="21"/>
              </w:rPr>
            </w:pPr>
            <w:r>
              <w:rPr>
                <w:color w:val="auto"/>
                <w:sz w:val="21"/>
                <w:szCs w:val="21"/>
              </w:rPr>
              <w:t>92</w:t>
            </w:r>
          </w:p>
        </w:tc>
      </w:tr>
      <w:tr w14:paraId="1C90A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EED9925">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1259" w:type="pct"/>
            <w:tcBorders>
              <w:tl2br w:val="nil"/>
              <w:tr2bl w:val="nil"/>
            </w:tcBorders>
            <w:noWrap w:val="0"/>
            <w:vAlign w:val="center"/>
          </w:tcPr>
          <w:p w14:paraId="4AC2C793">
            <w:pPr>
              <w:pageBreakBefore w:val="0"/>
              <w:wordWrap/>
              <w:bidi w:val="0"/>
              <w:adjustRightInd/>
              <w:snapToGrid/>
              <w:spacing w:line="240" w:lineRule="auto"/>
              <w:ind w:firstLine="0" w:firstLineChars="0"/>
              <w:jc w:val="center"/>
              <w:rPr>
                <w:color w:val="auto"/>
                <w:sz w:val="21"/>
                <w:szCs w:val="21"/>
              </w:rPr>
            </w:pPr>
            <w:r>
              <w:rPr>
                <w:color w:val="auto"/>
                <w:sz w:val="21"/>
                <w:szCs w:val="21"/>
              </w:rPr>
              <w:t>运输车辆</w:t>
            </w:r>
          </w:p>
        </w:tc>
        <w:tc>
          <w:tcPr>
            <w:tcW w:w="1259" w:type="pct"/>
            <w:tcBorders>
              <w:tl2br w:val="nil"/>
              <w:tr2bl w:val="nil"/>
            </w:tcBorders>
            <w:noWrap w:val="0"/>
            <w:vAlign w:val="center"/>
          </w:tcPr>
          <w:p w14:paraId="318A989A">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0F1AB94C">
            <w:pPr>
              <w:pageBreakBefore w:val="0"/>
              <w:wordWrap/>
              <w:bidi w:val="0"/>
              <w:adjustRightInd/>
              <w:snapToGrid/>
              <w:spacing w:line="240" w:lineRule="auto"/>
              <w:ind w:firstLine="0" w:firstLineChars="0"/>
              <w:jc w:val="center"/>
              <w:rPr>
                <w:color w:val="auto"/>
                <w:sz w:val="21"/>
                <w:szCs w:val="21"/>
              </w:rPr>
            </w:pPr>
            <w:r>
              <w:rPr>
                <w:color w:val="auto"/>
                <w:sz w:val="21"/>
                <w:szCs w:val="21"/>
              </w:rPr>
              <w:t>88</w:t>
            </w:r>
          </w:p>
        </w:tc>
      </w:tr>
    </w:tbl>
    <w:p w14:paraId="39676294">
      <w:pPr>
        <w:pageBreakBefore w:val="0"/>
        <w:wordWrap/>
        <w:bidi w:val="0"/>
        <w:adjustRightInd/>
        <w:snapToGrid/>
        <w:ind w:firstLine="480"/>
        <w:rPr>
          <w:color w:val="auto"/>
        </w:rPr>
      </w:pPr>
      <w:r>
        <w:rPr>
          <w:color w:val="auto"/>
        </w:rPr>
        <w:t>工程机械噪声主要属于中低频噪声，因此采取距离衰减预测公</w:t>
      </w:r>
      <w:r>
        <w:rPr>
          <w:rFonts w:hint="eastAsia"/>
          <w:color w:val="auto"/>
          <w:lang w:eastAsia="zh-CN"/>
        </w:rPr>
        <w:t>式</w:t>
      </w:r>
      <w:r>
        <w:rPr>
          <w:color w:val="auto"/>
        </w:rPr>
        <w:t>如下：</w:t>
      </w:r>
    </w:p>
    <w:p w14:paraId="0F79F895">
      <w:pPr>
        <w:pageBreakBefore w:val="0"/>
        <w:wordWrap/>
        <w:bidi w:val="0"/>
        <w:adjustRightInd/>
        <w:snapToGrid/>
        <w:ind w:firstLine="480"/>
        <w:jc w:val="center"/>
        <w:rPr>
          <w:color w:val="auto"/>
        </w:rPr>
      </w:pPr>
      <w:r>
        <w:rPr>
          <w:color w:val="auto"/>
        </w:rPr>
        <w:t>L</w:t>
      </w:r>
      <w:r>
        <w:rPr>
          <w:color w:val="auto"/>
          <w:vertAlign w:val="subscript"/>
        </w:rPr>
        <w:t>m</w:t>
      </w:r>
      <w:r>
        <w:rPr>
          <w:color w:val="auto"/>
        </w:rPr>
        <w:t>=L</w:t>
      </w:r>
      <w:r>
        <w:rPr>
          <w:color w:val="auto"/>
          <w:vertAlign w:val="subscript"/>
        </w:rPr>
        <w:t>0</w:t>
      </w:r>
      <w:r>
        <w:rPr>
          <w:color w:val="auto"/>
        </w:rPr>
        <w:t>-20logr/r</w:t>
      </w:r>
      <w:r>
        <w:rPr>
          <w:color w:val="auto"/>
          <w:vertAlign w:val="subscript"/>
        </w:rPr>
        <w:t>0</w:t>
      </w:r>
    </w:p>
    <w:p w14:paraId="1B381926">
      <w:pPr>
        <w:pageBreakBefore w:val="0"/>
        <w:wordWrap/>
        <w:bidi w:val="0"/>
        <w:adjustRightInd/>
        <w:snapToGrid/>
        <w:ind w:firstLine="480"/>
        <w:rPr>
          <w:color w:val="auto"/>
        </w:rPr>
      </w:pPr>
      <w:r>
        <w:rPr>
          <w:color w:val="auto"/>
        </w:rPr>
        <w:t>式中：Lm——距离声源为r米处预测受声点噪声预测值[dB（A）]；</w:t>
      </w:r>
    </w:p>
    <w:p w14:paraId="66425457">
      <w:pPr>
        <w:bidi w:val="0"/>
        <w:ind w:firstLine="960" w:firstLineChars="400"/>
        <w:rPr>
          <w:color w:val="auto"/>
        </w:rPr>
      </w:pPr>
      <w:r>
        <w:rPr>
          <w:color w:val="auto"/>
        </w:rPr>
        <w:t>L</w:t>
      </w:r>
      <w:r>
        <w:rPr>
          <w:color w:val="auto"/>
          <w:vertAlign w:val="subscript"/>
        </w:rPr>
        <w:t>0</w:t>
      </w:r>
      <w:r>
        <w:rPr>
          <w:color w:val="auto"/>
        </w:rPr>
        <w:t>——距离声源为r</w:t>
      </w:r>
      <w:r>
        <w:rPr>
          <w:color w:val="auto"/>
          <w:vertAlign w:val="subscript"/>
        </w:rPr>
        <w:t>0</w:t>
      </w:r>
      <w:r>
        <w:rPr>
          <w:color w:val="auto"/>
        </w:rPr>
        <w:t>米处室外声源的总声级值[dB（A）]；</w:t>
      </w:r>
    </w:p>
    <w:p w14:paraId="2A012806">
      <w:pPr>
        <w:bidi w:val="0"/>
        <w:ind w:firstLine="960" w:firstLineChars="400"/>
        <w:rPr>
          <w:color w:val="auto"/>
        </w:rPr>
      </w:pPr>
      <w:r>
        <w:rPr>
          <w:color w:val="auto"/>
        </w:rPr>
        <w:t>r——预测受声点距声源的预测距离（米）。</w:t>
      </w:r>
    </w:p>
    <w:p w14:paraId="1A4A62C6">
      <w:pPr>
        <w:bidi w:val="0"/>
        <w:rPr>
          <w:color w:val="auto"/>
        </w:rPr>
      </w:pPr>
      <w:r>
        <w:rPr>
          <w:color w:val="auto"/>
        </w:rPr>
        <w:t>根据类比分析，施工工地场界围墙引起的衰减一般为10</w:t>
      </w:r>
      <w:r>
        <w:rPr>
          <w:rFonts w:hint="eastAsia"/>
          <w:color w:val="auto"/>
          <w:lang w:eastAsia="zh-CN"/>
        </w:rPr>
        <w:t>~</w:t>
      </w:r>
      <w:r>
        <w:rPr>
          <w:color w:val="auto"/>
        </w:rPr>
        <w:t>30dB（A），考虑到对环境最不利，在此取10dB（A）。</w:t>
      </w:r>
    </w:p>
    <w:p w14:paraId="5D6FB1E6">
      <w:pPr>
        <w:pageBreakBefore w:val="0"/>
        <w:wordWrap/>
        <w:bidi w:val="0"/>
        <w:adjustRightInd/>
        <w:snapToGrid/>
        <w:ind w:firstLine="480"/>
        <w:rPr>
          <w:color w:val="auto"/>
        </w:rPr>
      </w:pPr>
      <w:r>
        <w:rPr>
          <w:color w:val="auto"/>
        </w:rPr>
        <w:t>本次环评考虑到高噪声设备同时作业时间很少，因此采用单点源距离衰减预测模式，计算得出本项目施工作业对周边环境的声学影响情况，具体见</w:t>
      </w:r>
      <w:r>
        <w:rPr>
          <w:rFonts w:hint="eastAsia"/>
          <w:color w:val="auto"/>
          <w:lang w:val="en-US" w:eastAsia="zh-CN"/>
        </w:rPr>
        <w:t>下表</w:t>
      </w:r>
      <w:r>
        <w:rPr>
          <w:color w:val="auto"/>
        </w:rPr>
        <w:t>。</w:t>
      </w:r>
    </w:p>
    <w:p w14:paraId="2E2E2072">
      <w:pPr>
        <w:pStyle w:val="15"/>
        <w:pageBreakBefore w:val="0"/>
        <w:numPr>
          <w:ilvl w:val="0"/>
          <w:numId w:val="29"/>
        </w:numPr>
        <w:tabs>
          <w:tab w:val="clear" w:pos="0"/>
        </w:tabs>
        <w:wordWrap/>
        <w:bidi w:val="0"/>
        <w:adjustRightInd/>
        <w:snapToGrid/>
        <w:ind w:left="420" w:leftChars="0" w:hanging="420" w:firstLineChars="0"/>
        <w:rPr>
          <w:rFonts w:hint="eastAsia" w:eastAsia="宋体"/>
          <w:color w:val="auto"/>
          <w:lang w:eastAsia="zh-CN"/>
        </w:rPr>
      </w:pPr>
      <w:r>
        <w:rPr>
          <w:color w:val="auto"/>
        </w:rPr>
        <w:t>施工期噪声预测结果表   单位：dB</w:t>
      </w:r>
      <w:r>
        <w:rPr>
          <w:rFonts w:hint="eastAsia"/>
          <w:color w:val="auto"/>
          <w:lang w:eastAsia="zh-CN"/>
        </w:rPr>
        <w:t>（</w:t>
      </w:r>
      <w:r>
        <w:rPr>
          <w:color w:val="auto"/>
        </w:rPr>
        <w:t>A</w:t>
      </w:r>
      <w:r>
        <w:rPr>
          <w:rFonts w:hint="eastAsia"/>
          <w:color w:val="auto"/>
          <w:lang w:eastAsia="zh-CN"/>
        </w:rPr>
        <w:t>）</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569"/>
        <w:gridCol w:w="760"/>
        <w:gridCol w:w="760"/>
        <w:gridCol w:w="760"/>
        <w:gridCol w:w="760"/>
        <w:gridCol w:w="760"/>
        <w:gridCol w:w="760"/>
        <w:gridCol w:w="761"/>
        <w:gridCol w:w="761"/>
        <w:gridCol w:w="770"/>
      </w:tblGrid>
      <w:tr w14:paraId="2D0C4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vMerge w:val="restart"/>
            <w:tcBorders>
              <w:tl2br w:val="nil"/>
              <w:tr2bl w:val="nil"/>
            </w:tcBorders>
            <w:noWrap w:val="0"/>
            <w:vAlign w:val="center"/>
          </w:tcPr>
          <w:p w14:paraId="65A24DE5">
            <w:pPr>
              <w:pStyle w:val="12"/>
              <w:bidi w:val="0"/>
              <w:rPr>
                <w:b/>
                <w:bCs/>
                <w:color w:val="auto"/>
              </w:rPr>
            </w:pPr>
            <w:r>
              <w:rPr>
                <w:b/>
                <w:bCs/>
                <w:color w:val="auto"/>
              </w:rPr>
              <w:t>机械名称</w:t>
            </w:r>
          </w:p>
        </w:tc>
        <w:tc>
          <w:tcPr>
            <w:tcW w:w="4148" w:type="pct"/>
            <w:gridSpan w:val="10"/>
            <w:tcBorders>
              <w:tl2br w:val="nil"/>
              <w:tr2bl w:val="nil"/>
            </w:tcBorders>
            <w:noWrap w:val="0"/>
            <w:vAlign w:val="center"/>
          </w:tcPr>
          <w:p w14:paraId="46A1C80F">
            <w:pPr>
              <w:pStyle w:val="12"/>
              <w:bidi w:val="0"/>
              <w:rPr>
                <w:rFonts w:hint="eastAsia"/>
                <w:b/>
                <w:bCs/>
                <w:color w:val="auto"/>
                <w:lang w:eastAsia="zh-CN"/>
              </w:rPr>
            </w:pPr>
            <w:r>
              <w:rPr>
                <w:b/>
                <w:bCs/>
                <w:color w:val="auto"/>
              </w:rPr>
              <w:t>噪声预测值dB</w:t>
            </w:r>
            <w:r>
              <w:rPr>
                <w:rFonts w:hint="eastAsia"/>
                <w:b/>
                <w:bCs/>
                <w:color w:val="auto"/>
                <w:lang w:eastAsia="zh-CN"/>
              </w:rPr>
              <w:t>（</w:t>
            </w:r>
            <w:r>
              <w:rPr>
                <w:b/>
                <w:bCs/>
                <w:color w:val="auto"/>
              </w:rPr>
              <w:t>A</w:t>
            </w:r>
            <w:r>
              <w:rPr>
                <w:rFonts w:hint="eastAsia"/>
                <w:b/>
                <w:bCs/>
                <w:color w:val="auto"/>
                <w:lang w:eastAsia="zh-CN"/>
              </w:rPr>
              <w:t>）</w:t>
            </w:r>
          </w:p>
        </w:tc>
      </w:tr>
      <w:tr w14:paraId="434BF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vMerge w:val="continue"/>
            <w:tcBorders>
              <w:tl2br w:val="nil"/>
              <w:tr2bl w:val="nil"/>
            </w:tcBorders>
            <w:noWrap w:val="0"/>
            <w:vAlign w:val="center"/>
          </w:tcPr>
          <w:p w14:paraId="735A6E1C">
            <w:pPr>
              <w:pStyle w:val="12"/>
              <w:bidi w:val="0"/>
              <w:rPr>
                <w:b/>
                <w:bCs/>
                <w:color w:val="auto"/>
              </w:rPr>
            </w:pPr>
          </w:p>
        </w:tc>
        <w:tc>
          <w:tcPr>
            <w:tcW w:w="318" w:type="pct"/>
            <w:tcBorders>
              <w:tl2br w:val="nil"/>
              <w:tr2bl w:val="nil"/>
            </w:tcBorders>
            <w:noWrap w:val="0"/>
            <w:vAlign w:val="center"/>
          </w:tcPr>
          <w:p w14:paraId="578DF1D4">
            <w:pPr>
              <w:pStyle w:val="12"/>
              <w:bidi w:val="0"/>
              <w:rPr>
                <w:b/>
                <w:bCs/>
                <w:color w:val="auto"/>
              </w:rPr>
            </w:pPr>
            <w:r>
              <w:rPr>
                <w:b/>
                <w:bCs/>
                <w:color w:val="auto"/>
              </w:rPr>
              <w:t>5m</w:t>
            </w:r>
          </w:p>
        </w:tc>
        <w:tc>
          <w:tcPr>
            <w:tcW w:w="425" w:type="pct"/>
            <w:tcBorders>
              <w:tl2br w:val="nil"/>
              <w:tr2bl w:val="nil"/>
            </w:tcBorders>
            <w:noWrap w:val="0"/>
            <w:vAlign w:val="center"/>
          </w:tcPr>
          <w:p w14:paraId="3DF0A3BF">
            <w:pPr>
              <w:pStyle w:val="12"/>
              <w:bidi w:val="0"/>
              <w:rPr>
                <w:b/>
                <w:bCs/>
                <w:color w:val="auto"/>
              </w:rPr>
            </w:pPr>
            <w:r>
              <w:rPr>
                <w:b/>
                <w:bCs/>
                <w:color w:val="auto"/>
              </w:rPr>
              <w:t>10m</w:t>
            </w:r>
          </w:p>
        </w:tc>
        <w:tc>
          <w:tcPr>
            <w:tcW w:w="425" w:type="pct"/>
            <w:tcBorders>
              <w:tl2br w:val="nil"/>
              <w:tr2bl w:val="nil"/>
            </w:tcBorders>
            <w:noWrap w:val="0"/>
            <w:vAlign w:val="center"/>
          </w:tcPr>
          <w:p w14:paraId="6FA210C0">
            <w:pPr>
              <w:pStyle w:val="12"/>
              <w:bidi w:val="0"/>
              <w:rPr>
                <w:b/>
                <w:bCs/>
                <w:color w:val="auto"/>
              </w:rPr>
            </w:pPr>
            <w:r>
              <w:rPr>
                <w:b/>
                <w:bCs/>
                <w:color w:val="auto"/>
              </w:rPr>
              <w:t>20m</w:t>
            </w:r>
          </w:p>
        </w:tc>
        <w:tc>
          <w:tcPr>
            <w:tcW w:w="425" w:type="pct"/>
            <w:tcBorders>
              <w:tl2br w:val="nil"/>
              <w:tr2bl w:val="nil"/>
            </w:tcBorders>
            <w:noWrap w:val="0"/>
            <w:vAlign w:val="center"/>
          </w:tcPr>
          <w:p w14:paraId="79DCEF7B">
            <w:pPr>
              <w:pStyle w:val="12"/>
              <w:bidi w:val="0"/>
              <w:rPr>
                <w:b/>
                <w:bCs/>
                <w:color w:val="auto"/>
              </w:rPr>
            </w:pPr>
            <w:r>
              <w:rPr>
                <w:b/>
                <w:bCs/>
                <w:color w:val="auto"/>
              </w:rPr>
              <w:t>30m</w:t>
            </w:r>
          </w:p>
        </w:tc>
        <w:tc>
          <w:tcPr>
            <w:tcW w:w="425" w:type="pct"/>
            <w:tcBorders>
              <w:tl2br w:val="nil"/>
              <w:tr2bl w:val="nil"/>
            </w:tcBorders>
            <w:noWrap w:val="0"/>
            <w:vAlign w:val="center"/>
          </w:tcPr>
          <w:p w14:paraId="1B334D98">
            <w:pPr>
              <w:pStyle w:val="12"/>
              <w:bidi w:val="0"/>
              <w:rPr>
                <w:b/>
                <w:bCs/>
                <w:color w:val="auto"/>
              </w:rPr>
            </w:pPr>
            <w:r>
              <w:rPr>
                <w:b/>
                <w:bCs/>
                <w:color w:val="auto"/>
              </w:rPr>
              <w:t>40m</w:t>
            </w:r>
          </w:p>
        </w:tc>
        <w:tc>
          <w:tcPr>
            <w:tcW w:w="425" w:type="pct"/>
            <w:tcBorders>
              <w:tl2br w:val="nil"/>
              <w:tr2bl w:val="nil"/>
            </w:tcBorders>
            <w:noWrap w:val="0"/>
            <w:vAlign w:val="center"/>
          </w:tcPr>
          <w:p w14:paraId="32A3318F">
            <w:pPr>
              <w:pStyle w:val="12"/>
              <w:bidi w:val="0"/>
              <w:rPr>
                <w:b/>
                <w:bCs/>
                <w:color w:val="auto"/>
              </w:rPr>
            </w:pPr>
            <w:r>
              <w:rPr>
                <w:b/>
                <w:bCs/>
                <w:color w:val="auto"/>
              </w:rPr>
              <w:t>50m</w:t>
            </w:r>
          </w:p>
        </w:tc>
        <w:tc>
          <w:tcPr>
            <w:tcW w:w="425" w:type="pct"/>
            <w:tcBorders>
              <w:tl2br w:val="nil"/>
              <w:tr2bl w:val="nil"/>
            </w:tcBorders>
            <w:noWrap w:val="0"/>
            <w:vAlign w:val="center"/>
          </w:tcPr>
          <w:p w14:paraId="1642726D">
            <w:pPr>
              <w:pStyle w:val="12"/>
              <w:bidi w:val="0"/>
              <w:rPr>
                <w:b/>
                <w:bCs/>
                <w:color w:val="auto"/>
              </w:rPr>
            </w:pPr>
            <w:r>
              <w:rPr>
                <w:b/>
                <w:bCs/>
                <w:color w:val="auto"/>
              </w:rPr>
              <w:t>100m</w:t>
            </w:r>
          </w:p>
        </w:tc>
        <w:tc>
          <w:tcPr>
            <w:tcW w:w="425" w:type="pct"/>
            <w:tcBorders>
              <w:tl2br w:val="nil"/>
              <w:tr2bl w:val="nil"/>
            </w:tcBorders>
            <w:noWrap w:val="0"/>
            <w:vAlign w:val="center"/>
          </w:tcPr>
          <w:p w14:paraId="1BCDC1CD">
            <w:pPr>
              <w:pStyle w:val="12"/>
              <w:bidi w:val="0"/>
              <w:rPr>
                <w:b/>
                <w:bCs/>
                <w:color w:val="auto"/>
              </w:rPr>
            </w:pPr>
            <w:r>
              <w:rPr>
                <w:b/>
                <w:bCs/>
                <w:color w:val="auto"/>
              </w:rPr>
              <w:t>150m</w:t>
            </w:r>
          </w:p>
        </w:tc>
        <w:tc>
          <w:tcPr>
            <w:tcW w:w="425" w:type="pct"/>
            <w:tcBorders>
              <w:tl2br w:val="nil"/>
              <w:tr2bl w:val="nil"/>
            </w:tcBorders>
            <w:noWrap w:val="0"/>
            <w:vAlign w:val="center"/>
          </w:tcPr>
          <w:p w14:paraId="57467D95">
            <w:pPr>
              <w:pStyle w:val="12"/>
              <w:bidi w:val="0"/>
              <w:rPr>
                <w:b/>
                <w:bCs/>
                <w:color w:val="auto"/>
              </w:rPr>
            </w:pPr>
            <w:r>
              <w:rPr>
                <w:b/>
                <w:bCs/>
                <w:color w:val="auto"/>
              </w:rPr>
              <w:t>200m</w:t>
            </w:r>
          </w:p>
        </w:tc>
        <w:tc>
          <w:tcPr>
            <w:tcW w:w="426" w:type="pct"/>
            <w:tcBorders>
              <w:tl2br w:val="nil"/>
              <w:tr2bl w:val="nil"/>
            </w:tcBorders>
            <w:noWrap w:val="0"/>
            <w:vAlign w:val="center"/>
          </w:tcPr>
          <w:p w14:paraId="3FBA78AA">
            <w:pPr>
              <w:pStyle w:val="12"/>
              <w:bidi w:val="0"/>
              <w:rPr>
                <w:b/>
                <w:bCs/>
                <w:color w:val="auto"/>
              </w:rPr>
            </w:pPr>
            <w:r>
              <w:rPr>
                <w:b/>
                <w:bCs/>
                <w:color w:val="auto"/>
              </w:rPr>
              <w:t>300m</w:t>
            </w:r>
          </w:p>
        </w:tc>
      </w:tr>
      <w:tr w14:paraId="65379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736440C8">
            <w:pPr>
              <w:pStyle w:val="12"/>
              <w:bidi w:val="0"/>
              <w:rPr>
                <w:color w:val="auto"/>
              </w:rPr>
            </w:pPr>
            <w:r>
              <w:rPr>
                <w:color w:val="auto"/>
              </w:rPr>
              <w:t>路面破碎机</w:t>
            </w:r>
          </w:p>
        </w:tc>
        <w:tc>
          <w:tcPr>
            <w:tcW w:w="318" w:type="pct"/>
            <w:tcBorders>
              <w:tl2br w:val="nil"/>
              <w:tr2bl w:val="nil"/>
            </w:tcBorders>
            <w:noWrap w:val="0"/>
            <w:vAlign w:val="center"/>
          </w:tcPr>
          <w:p w14:paraId="3310F643">
            <w:pPr>
              <w:pStyle w:val="12"/>
              <w:bidi w:val="0"/>
              <w:rPr>
                <w:color w:val="auto"/>
              </w:rPr>
            </w:pPr>
            <w:r>
              <w:rPr>
                <w:color w:val="auto"/>
              </w:rPr>
              <w:t>90</w:t>
            </w:r>
          </w:p>
        </w:tc>
        <w:tc>
          <w:tcPr>
            <w:tcW w:w="425" w:type="pct"/>
            <w:tcBorders>
              <w:tl2br w:val="nil"/>
              <w:tr2bl w:val="nil"/>
            </w:tcBorders>
            <w:noWrap w:val="0"/>
            <w:vAlign w:val="center"/>
          </w:tcPr>
          <w:p w14:paraId="2FBCF58C">
            <w:pPr>
              <w:pStyle w:val="12"/>
              <w:bidi w:val="0"/>
              <w:rPr>
                <w:color w:val="auto"/>
              </w:rPr>
            </w:pPr>
            <w:r>
              <w:rPr>
                <w:color w:val="auto"/>
              </w:rPr>
              <w:t>84</w:t>
            </w:r>
          </w:p>
        </w:tc>
        <w:tc>
          <w:tcPr>
            <w:tcW w:w="425" w:type="pct"/>
            <w:tcBorders>
              <w:tl2br w:val="nil"/>
              <w:tr2bl w:val="nil"/>
            </w:tcBorders>
            <w:noWrap w:val="0"/>
            <w:vAlign w:val="center"/>
          </w:tcPr>
          <w:p w14:paraId="668E8DE3">
            <w:pPr>
              <w:pStyle w:val="12"/>
              <w:bidi w:val="0"/>
              <w:rPr>
                <w:color w:val="auto"/>
              </w:rPr>
            </w:pPr>
            <w:r>
              <w:rPr>
                <w:color w:val="auto"/>
              </w:rPr>
              <w:t>78</w:t>
            </w:r>
          </w:p>
        </w:tc>
        <w:tc>
          <w:tcPr>
            <w:tcW w:w="425" w:type="pct"/>
            <w:tcBorders>
              <w:tl2br w:val="nil"/>
              <w:tr2bl w:val="nil"/>
            </w:tcBorders>
            <w:noWrap w:val="0"/>
            <w:vAlign w:val="center"/>
          </w:tcPr>
          <w:p w14:paraId="6E8AEB9B">
            <w:pPr>
              <w:pStyle w:val="12"/>
              <w:bidi w:val="0"/>
              <w:rPr>
                <w:color w:val="auto"/>
              </w:rPr>
            </w:pPr>
            <w:r>
              <w:rPr>
                <w:color w:val="auto"/>
              </w:rPr>
              <w:t>74</w:t>
            </w:r>
          </w:p>
        </w:tc>
        <w:tc>
          <w:tcPr>
            <w:tcW w:w="425" w:type="pct"/>
            <w:tcBorders>
              <w:tl2br w:val="nil"/>
              <w:tr2bl w:val="nil"/>
            </w:tcBorders>
            <w:noWrap w:val="0"/>
            <w:vAlign w:val="center"/>
          </w:tcPr>
          <w:p w14:paraId="6714709C">
            <w:pPr>
              <w:pStyle w:val="12"/>
              <w:bidi w:val="0"/>
              <w:rPr>
                <w:color w:val="auto"/>
              </w:rPr>
            </w:pPr>
            <w:r>
              <w:rPr>
                <w:color w:val="auto"/>
              </w:rPr>
              <w:t>72</w:t>
            </w:r>
          </w:p>
        </w:tc>
        <w:tc>
          <w:tcPr>
            <w:tcW w:w="425" w:type="pct"/>
            <w:tcBorders>
              <w:tl2br w:val="nil"/>
              <w:tr2bl w:val="nil"/>
            </w:tcBorders>
            <w:noWrap w:val="0"/>
            <w:vAlign w:val="center"/>
          </w:tcPr>
          <w:p w14:paraId="119BE443">
            <w:pPr>
              <w:pStyle w:val="12"/>
              <w:bidi w:val="0"/>
              <w:rPr>
                <w:color w:val="auto"/>
              </w:rPr>
            </w:pPr>
            <w:r>
              <w:rPr>
                <w:color w:val="auto"/>
              </w:rPr>
              <w:t>70</w:t>
            </w:r>
          </w:p>
        </w:tc>
        <w:tc>
          <w:tcPr>
            <w:tcW w:w="425" w:type="pct"/>
            <w:tcBorders>
              <w:tl2br w:val="nil"/>
              <w:tr2bl w:val="nil"/>
            </w:tcBorders>
            <w:noWrap w:val="0"/>
            <w:vAlign w:val="center"/>
          </w:tcPr>
          <w:p w14:paraId="0952D200">
            <w:pPr>
              <w:pStyle w:val="12"/>
              <w:bidi w:val="0"/>
              <w:rPr>
                <w:color w:val="auto"/>
              </w:rPr>
            </w:pPr>
            <w:r>
              <w:rPr>
                <w:color w:val="auto"/>
              </w:rPr>
              <w:t>64</w:t>
            </w:r>
          </w:p>
        </w:tc>
        <w:tc>
          <w:tcPr>
            <w:tcW w:w="425" w:type="pct"/>
            <w:tcBorders>
              <w:tl2br w:val="nil"/>
              <w:tr2bl w:val="nil"/>
            </w:tcBorders>
            <w:noWrap w:val="0"/>
            <w:vAlign w:val="center"/>
          </w:tcPr>
          <w:p w14:paraId="5860FB79">
            <w:pPr>
              <w:pStyle w:val="12"/>
              <w:bidi w:val="0"/>
              <w:rPr>
                <w:color w:val="auto"/>
              </w:rPr>
            </w:pPr>
            <w:r>
              <w:rPr>
                <w:color w:val="auto"/>
              </w:rPr>
              <w:t>60</w:t>
            </w:r>
          </w:p>
        </w:tc>
        <w:tc>
          <w:tcPr>
            <w:tcW w:w="425" w:type="pct"/>
            <w:tcBorders>
              <w:tl2br w:val="nil"/>
              <w:tr2bl w:val="nil"/>
            </w:tcBorders>
            <w:noWrap w:val="0"/>
            <w:vAlign w:val="center"/>
          </w:tcPr>
          <w:p w14:paraId="65A4001B">
            <w:pPr>
              <w:pStyle w:val="12"/>
              <w:bidi w:val="0"/>
              <w:rPr>
                <w:color w:val="auto"/>
              </w:rPr>
            </w:pPr>
            <w:r>
              <w:rPr>
                <w:color w:val="auto"/>
              </w:rPr>
              <w:t>58</w:t>
            </w:r>
          </w:p>
        </w:tc>
        <w:tc>
          <w:tcPr>
            <w:tcW w:w="426" w:type="pct"/>
            <w:tcBorders>
              <w:tl2br w:val="nil"/>
              <w:tr2bl w:val="nil"/>
            </w:tcBorders>
            <w:noWrap w:val="0"/>
            <w:vAlign w:val="center"/>
          </w:tcPr>
          <w:p w14:paraId="39ECB7E3">
            <w:pPr>
              <w:pStyle w:val="12"/>
              <w:bidi w:val="0"/>
              <w:rPr>
                <w:color w:val="auto"/>
              </w:rPr>
            </w:pPr>
            <w:r>
              <w:rPr>
                <w:color w:val="auto"/>
              </w:rPr>
              <w:t>54</w:t>
            </w:r>
          </w:p>
        </w:tc>
      </w:tr>
      <w:tr w14:paraId="46A3A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1C07FED6">
            <w:pPr>
              <w:pStyle w:val="12"/>
              <w:bidi w:val="0"/>
              <w:rPr>
                <w:color w:val="auto"/>
              </w:rPr>
            </w:pPr>
            <w:r>
              <w:rPr>
                <w:color w:val="auto"/>
              </w:rPr>
              <w:t>切割机</w:t>
            </w:r>
          </w:p>
        </w:tc>
        <w:tc>
          <w:tcPr>
            <w:tcW w:w="318" w:type="pct"/>
            <w:tcBorders>
              <w:tl2br w:val="nil"/>
              <w:tr2bl w:val="nil"/>
            </w:tcBorders>
            <w:noWrap w:val="0"/>
            <w:vAlign w:val="center"/>
          </w:tcPr>
          <w:p w14:paraId="469AA2A3">
            <w:pPr>
              <w:pStyle w:val="12"/>
              <w:bidi w:val="0"/>
              <w:rPr>
                <w:color w:val="auto"/>
              </w:rPr>
            </w:pPr>
            <w:r>
              <w:rPr>
                <w:color w:val="auto"/>
              </w:rPr>
              <w:t>90</w:t>
            </w:r>
          </w:p>
        </w:tc>
        <w:tc>
          <w:tcPr>
            <w:tcW w:w="425" w:type="pct"/>
            <w:tcBorders>
              <w:tl2br w:val="nil"/>
              <w:tr2bl w:val="nil"/>
            </w:tcBorders>
            <w:noWrap w:val="0"/>
            <w:vAlign w:val="center"/>
          </w:tcPr>
          <w:p w14:paraId="455D4D66">
            <w:pPr>
              <w:pStyle w:val="12"/>
              <w:bidi w:val="0"/>
              <w:rPr>
                <w:color w:val="auto"/>
              </w:rPr>
            </w:pPr>
            <w:r>
              <w:rPr>
                <w:color w:val="auto"/>
              </w:rPr>
              <w:t>84</w:t>
            </w:r>
          </w:p>
        </w:tc>
        <w:tc>
          <w:tcPr>
            <w:tcW w:w="425" w:type="pct"/>
            <w:tcBorders>
              <w:tl2br w:val="nil"/>
              <w:tr2bl w:val="nil"/>
            </w:tcBorders>
            <w:noWrap w:val="0"/>
            <w:vAlign w:val="center"/>
          </w:tcPr>
          <w:p w14:paraId="64C0D0F4">
            <w:pPr>
              <w:pStyle w:val="12"/>
              <w:bidi w:val="0"/>
              <w:rPr>
                <w:color w:val="auto"/>
              </w:rPr>
            </w:pPr>
            <w:r>
              <w:rPr>
                <w:color w:val="auto"/>
              </w:rPr>
              <w:t>78</w:t>
            </w:r>
          </w:p>
        </w:tc>
        <w:tc>
          <w:tcPr>
            <w:tcW w:w="425" w:type="pct"/>
            <w:tcBorders>
              <w:tl2br w:val="nil"/>
              <w:tr2bl w:val="nil"/>
            </w:tcBorders>
            <w:noWrap w:val="0"/>
            <w:vAlign w:val="center"/>
          </w:tcPr>
          <w:p w14:paraId="3E8946F3">
            <w:pPr>
              <w:pStyle w:val="12"/>
              <w:bidi w:val="0"/>
              <w:rPr>
                <w:color w:val="auto"/>
              </w:rPr>
            </w:pPr>
            <w:r>
              <w:rPr>
                <w:color w:val="auto"/>
              </w:rPr>
              <w:t>74</w:t>
            </w:r>
          </w:p>
        </w:tc>
        <w:tc>
          <w:tcPr>
            <w:tcW w:w="425" w:type="pct"/>
            <w:tcBorders>
              <w:tl2br w:val="nil"/>
              <w:tr2bl w:val="nil"/>
            </w:tcBorders>
            <w:noWrap w:val="0"/>
            <w:vAlign w:val="center"/>
          </w:tcPr>
          <w:p w14:paraId="2440773D">
            <w:pPr>
              <w:pStyle w:val="12"/>
              <w:bidi w:val="0"/>
              <w:rPr>
                <w:color w:val="auto"/>
              </w:rPr>
            </w:pPr>
            <w:r>
              <w:rPr>
                <w:color w:val="auto"/>
              </w:rPr>
              <w:t>72</w:t>
            </w:r>
          </w:p>
        </w:tc>
        <w:tc>
          <w:tcPr>
            <w:tcW w:w="425" w:type="pct"/>
            <w:tcBorders>
              <w:tl2br w:val="nil"/>
              <w:tr2bl w:val="nil"/>
            </w:tcBorders>
            <w:noWrap w:val="0"/>
            <w:vAlign w:val="center"/>
          </w:tcPr>
          <w:p w14:paraId="53B7829D">
            <w:pPr>
              <w:pStyle w:val="12"/>
              <w:bidi w:val="0"/>
              <w:rPr>
                <w:color w:val="auto"/>
              </w:rPr>
            </w:pPr>
            <w:r>
              <w:rPr>
                <w:color w:val="auto"/>
              </w:rPr>
              <w:t>70</w:t>
            </w:r>
          </w:p>
        </w:tc>
        <w:tc>
          <w:tcPr>
            <w:tcW w:w="425" w:type="pct"/>
            <w:tcBorders>
              <w:tl2br w:val="nil"/>
              <w:tr2bl w:val="nil"/>
            </w:tcBorders>
            <w:noWrap w:val="0"/>
            <w:vAlign w:val="center"/>
          </w:tcPr>
          <w:p w14:paraId="32EAD906">
            <w:pPr>
              <w:pStyle w:val="12"/>
              <w:bidi w:val="0"/>
              <w:rPr>
                <w:color w:val="auto"/>
              </w:rPr>
            </w:pPr>
            <w:r>
              <w:rPr>
                <w:color w:val="auto"/>
              </w:rPr>
              <w:t>64</w:t>
            </w:r>
          </w:p>
        </w:tc>
        <w:tc>
          <w:tcPr>
            <w:tcW w:w="425" w:type="pct"/>
            <w:tcBorders>
              <w:tl2br w:val="nil"/>
              <w:tr2bl w:val="nil"/>
            </w:tcBorders>
            <w:noWrap w:val="0"/>
            <w:vAlign w:val="center"/>
          </w:tcPr>
          <w:p w14:paraId="3DB1A88D">
            <w:pPr>
              <w:pStyle w:val="12"/>
              <w:bidi w:val="0"/>
              <w:rPr>
                <w:color w:val="auto"/>
              </w:rPr>
            </w:pPr>
            <w:r>
              <w:rPr>
                <w:color w:val="auto"/>
              </w:rPr>
              <w:t>60</w:t>
            </w:r>
          </w:p>
        </w:tc>
        <w:tc>
          <w:tcPr>
            <w:tcW w:w="425" w:type="pct"/>
            <w:tcBorders>
              <w:tl2br w:val="nil"/>
              <w:tr2bl w:val="nil"/>
            </w:tcBorders>
            <w:noWrap w:val="0"/>
            <w:vAlign w:val="center"/>
          </w:tcPr>
          <w:p w14:paraId="6480BDB8">
            <w:pPr>
              <w:pStyle w:val="12"/>
              <w:bidi w:val="0"/>
              <w:rPr>
                <w:color w:val="auto"/>
              </w:rPr>
            </w:pPr>
            <w:r>
              <w:rPr>
                <w:color w:val="auto"/>
              </w:rPr>
              <w:t>58</w:t>
            </w:r>
          </w:p>
        </w:tc>
        <w:tc>
          <w:tcPr>
            <w:tcW w:w="426" w:type="pct"/>
            <w:tcBorders>
              <w:tl2br w:val="nil"/>
              <w:tr2bl w:val="nil"/>
            </w:tcBorders>
            <w:noWrap w:val="0"/>
            <w:vAlign w:val="center"/>
          </w:tcPr>
          <w:p w14:paraId="5C4CF92F">
            <w:pPr>
              <w:pStyle w:val="12"/>
              <w:bidi w:val="0"/>
              <w:rPr>
                <w:color w:val="auto"/>
              </w:rPr>
            </w:pPr>
            <w:r>
              <w:rPr>
                <w:color w:val="auto"/>
              </w:rPr>
              <w:t>54</w:t>
            </w:r>
          </w:p>
        </w:tc>
      </w:tr>
      <w:tr w14:paraId="071AB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282EE88F">
            <w:pPr>
              <w:pStyle w:val="12"/>
              <w:bidi w:val="0"/>
              <w:rPr>
                <w:color w:val="auto"/>
              </w:rPr>
            </w:pPr>
            <w:r>
              <w:rPr>
                <w:color w:val="auto"/>
              </w:rPr>
              <w:t>装载机</w:t>
            </w:r>
          </w:p>
        </w:tc>
        <w:tc>
          <w:tcPr>
            <w:tcW w:w="318" w:type="pct"/>
            <w:tcBorders>
              <w:tl2br w:val="nil"/>
              <w:tr2bl w:val="nil"/>
            </w:tcBorders>
            <w:noWrap w:val="0"/>
            <w:vAlign w:val="center"/>
          </w:tcPr>
          <w:p w14:paraId="004C4346">
            <w:pPr>
              <w:pStyle w:val="12"/>
              <w:bidi w:val="0"/>
              <w:rPr>
                <w:color w:val="auto"/>
              </w:rPr>
            </w:pPr>
            <w:r>
              <w:rPr>
                <w:color w:val="auto"/>
              </w:rPr>
              <w:t>90</w:t>
            </w:r>
          </w:p>
        </w:tc>
        <w:tc>
          <w:tcPr>
            <w:tcW w:w="425" w:type="pct"/>
            <w:tcBorders>
              <w:tl2br w:val="nil"/>
              <w:tr2bl w:val="nil"/>
            </w:tcBorders>
            <w:noWrap w:val="0"/>
            <w:vAlign w:val="center"/>
          </w:tcPr>
          <w:p w14:paraId="433AB0D9">
            <w:pPr>
              <w:pStyle w:val="12"/>
              <w:bidi w:val="0"/>
              <w:rPr>
                <w:color w:val="auto"/>
              </w:rPr>
            </w:pPr>
            <w:r>
              <w:rPr>
                <w:color w:val="auto"/>
              </w:rPr>
              <w:t>84</w:t>
            </w:r>
          </w:p>
        </w:tc>
        <w:tc>
          <w:tcPr>
            <w:tcW w:w="425" w:type="pct"/>
            <w:tcBorders>
              <w:tl2br w:val="nil"/>
              <w:tr2bl w:val="nil"/>
            </w:tcBorders>
            <w:noWrap w:val="0"/>
            <w:vAlign w:val="center"/>
          </w:tcPr>
          <w:p w14:paraId="427ABA93">
            <w:pPr>
              <w:pStyle w:val="12"/>
              <w:bidi w:val="0"/>
              <w:rPr>
                <w:color w:val="auto"/>
              </w:rPr>
            </w:pPr>
            <w:r>
              <w:rPr>
                <w:color w:val="auto"/>
              </w:rPr>
              <w:t>78</w:t>
            </w:r>
          </w:p>
        </w:tc>
        <w:tc>
          <w:tcPr>
            <w:tcW w:w="425" w:type="pct"/>
            <w:tcBorders>
              <w:tl2br w:val="nil"/>
              <w:tr2bl w:val="nil"/>
            </w:tcBorders>
            <w:noWrap w:val="0"/>
            <w:vAlign w:val="center"/>
          </w:tcPr>
          <w:p w14:paraId="5280F031">
            <w:pPr>
              <w:pStyle w:val="12"/>
              <w:bidi w:val="0"/>
              <w:rPr>
                <w:color w:val="auto"/>
              </w:rPr>
            </w:pPr>
            <w:r>
              <w:rPr>
                <w:color w:val="auto"/>
              </w:rPr>
              <w:t>74</w:t>
            </w:r>
          </w:p>
        </w:tc>
        <w:tc>
          <w:tcPr>
            <w:tcW w:w="425" w:type="pct"/>
            <w:tcBorders>
              <w:tl2br w:val="nil"/>
              <w:tr2bl w:val="nil"/>
            </w:tcBorders>
            <w:noWrap w:val="0"/>
            <w:vAlign w:val="center"/>
          </w:tcPr>
          <w:p w14:paraId="50A10221">
            <w:pPr>
              <w:pStyle w:val="12"/>
              <w:bidi w:val="0"/>
              <w:rPr>
                <w:color w:val="auto"/>
              </w:rPr>
            </w:pPr>
            <w:r>
              <w:rPr>
                <w:color w:val="auto"/>
              </w:rPr>
              <w:t>72</w:t>
            </w:r>
          </w:p>
        </w:tc>
        <w:tc>
          <w:tcPr>
            <w:tcW w:w="425" w:type="pct"/>
            <w:tcBorders>
              <w:tl2br w:val="nil"/>
              <w:tr2bl w:val="nil"/>
            </w:tcBorders>
            <w:noWrap w:val="0"/>
            <w:vAlign w:val="center"/>
          </w:tcPr>
          <w:p w14:paraId="231DC25B">
            <w:pPr>
              <w:pStyle w:val="12"/>
              <w:bidi w:val="0"/>
              <w:rPr>
                <w:color w:val="auto"/>
              </w:rPr>
            </w:pPr>
            <w:r>
              <w:rPr>
                <w:color w:val="auto"/>
              </w:rPr>
              <w:t>70</w:t>
            </w:r>
          </w:p>
        </w:tc>
        <w:tc>
          <w:tcPr>
            <w:tcW w:w="425" w:type="pct"/>
            <w:tcBorders>
              <w:tl2br w:val="nil"/>
              <w:tr2bl w:val="nil"/>
            </w:tcBorders>
            <w:noWrap w:val="0"/>
            <w:vAlign w:val="center"/>
          </w:tcPr>
          <w:p w14:paraId="4FE41F03">
            <w:pPr>
              <w:pStyle w:val="12"/>
              <w:bidi w:val="0"/>
              <w:rPr>
                <w:color w:val="auto"/>
              </w:rPr>
            </w:pPr>
            <w:r>
              <w:rPr>
                <w:color w:val="auto"/>
              </w:rPr>
              <w:t>64</w:t>
            </w:r>
          </w:p>
        </w:tc>
        <w:tc>
          <w:tcPr>
            <w:tcW w:w="425" w:type="pct"/>
            <w:tcBorders>
              <w:tl2br w:val="nil"/>
              <w:tr2bl w:val="nil"/>
            </w:tcBorders>
            <w:noWrap w:val="0"/>
            <w:vAlign w:val="center"/>
          </w:tcPr>
          <w:p w14:paraId="3856F743">
            <w:pPr>
              <w:pStyle w:val="12"/>
              <w:bidi w:val="0"/>
              <w:rPr>
                <w:color w:val="auto"/>
              </w:rPr>
            </w:pPr>
            <w:r>
              <w:rPr>
                <w:color w:val="auto"/>
              </w:rPr>
              <w:t>60</w:t>
            </w:r>
          </w:p>
        </w:tc>
        <w:tc>
          <w:tcPr>
            <w:tcW w:w="425" w:type="pct"/>
            <w:tcBorders>
              <w:tl2br w:val="nil"/>
              <w:tr2bl w:val="nil"/>
            </w:tcBorders>
            <w:noWrap w:val="0"/>
            <w:vAlign w:val="center"/>
          </w:tcPr>
          <w:p w14:paraId="124A73A2">
            <w:pPr>
              <w:pStyle w:val="12"/>
              <w:bidi w:val="0"/>
              <w:rPr>
                <w:color w:val="auto"/>
              </w:rPr>
            </w:pPr>
            <w:r>
              <w:rPr>
                <w:color w:val="auto"/>
              </w:rPr>
              <w:t>58</w:t>
            </w:r>
          </w:p>
        </w:tc>
        <w:tc>
          <w:tcPr>
            <w:tcW w:w="426" w:type="pct"/>
            <w:tcBorders>
              <w:tl2br w:val="nil"/>
              <w:tr2bl w:val="nil"/>
            </w:tcBorders>
            <w:noWrap w:val="0"/>
            <w:vAlign w:val="center"/>
          </w:tcPr>
          <w:p w14:paraId="3F11A3B5">
            <w:pPr>
              <w:pStyle w:val="12"/>
              <w:bidi w:val="0"/>
              <w:rPr>
                <w:color w:val="auto"/>
              </w:rPr>
            </w:pPr>
            <w:r>
              <w:rPr>
                <w:color w:val="auto"/>
              </w:rPr>
              <w:t>54</w:t>
            </w:r>
          </w:p>
        </w:tc>
      </w:tr>
      <w:tr w14:paraId="752D5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5A195269">
            <w:pPr>
              <w:pStyle w:val="12"/>
              <w:bidi w:val="0"/>
              <w:rPr>
                <w:color w:val="auto"/>
              </w:rPr>
            </w:pPr>
            <w:r>
              <w:rPr>
                <w:color w:val="auto"/>
              </w:rPr>
              <w:t>压路机</w:t>
            </w:r>
          </w:p>
        </w:tc>
        <w:tc>
          <w:tcPr>
            <w:tcW w:w="318" w:type="pct"/>
            <w:tcBorders>
              <w:tl2br w:val="nil"/>
              <w:tr2bl w:val="nil"/>
            </w:tcBorders>
            <w:noWrap w:val="0"/>
            <w:vAlign w:val="center"/>
          </w:tcPr>
          <w:p w14:paraId="324E155B">
            <w:pPr>
              <w:pStyle w:val="12"/>
              <w:bidi w:val="0"/>
              <w:rPr>
                <w:color w:val="auto"/>
              </w:rPr>
            </w:pPr>
            <w:r>
              <w:rPr>
                <w:color w:val="auto"/>
              </w:rPr>
              <w:t>85</w:t>
            </w:r>
          </w:p>
        </w:tc>
        <w:tc>
          <w:tcPr>
            <w:tcW w:w="425" w:type="pct"/>
            <w:tcBorders>
              <w:tl2br w:val="nil"/>
              <w:tr2bl w:val="nil"/>
            </w:tcBorders>
            <w:noWrap w:val="0"/>
            <w:vAlign w:val="center"/>
          </w:tcPr>
          <w:p w14:paraId="5E640C4A">
            <w:pPr>
              <w:pStyle w:val="12"/>
              <w:bidi w:val="0"/>
              <w:rPr>
                <w:color w:val="auto"/>
              </w:rPr>
            </w:pPr>
            <w:r>
              <w:rPr>
                <w:color w:val="auto"/>
              </w:rPr>
              <w:t>79</w:t>
            </w:r>
          </w:p>
        </w:tc>
        <w:tc>
          <w:tcPr>
            <w:tcW w:w="425" w:type="pct"/>
            <w:tcBorders>
              <w:tl2br w:val="nil"/>
              <w:tr2bl w:val="nil"/>
            </w:tcBorders>
            <w:noWrap w:val="0"/>
            <w:vAlign w:val="center"/>
          </w:tcPr>
          <w:p w14:paraId="5DBF4CBA">
            <w:pPr>
              <w:pStyle w:val="12"/>
              <w:bidi w:val="0"/>
              <w:rPr>
                <w:color w:val="auto"/>
              </w:rPr>
            </w:pPr>
            <w:r>
              <w:rPr>
                <w:color w:val="auto"/>
              </w:rPr>
              <w:t>73</w:t>
            </w:r>
          </w:p>
        </w:tc>
        <w:tc>
          <w:tcPr>
            <w:tcW w:w="425" w:type="pct"/>
            <w:tcBorders>
              <w:tl2br w:val="nil"/>
              <w:tr2bl w:val="nil"/>
            </w:tcBorders>
            <w:noWrap w:val="0"/>
            <w:vAlign w:val="center"/>
          </w:tcPr>
          <w:p w14:paraId="073A42D1">
            <w:pPr>
              <w:pStyle w:val="12"/>
              <w:bidi w:val="0"/>
              <w:rPr>
                <w:color w:val="auto"/>
              </w:rPr>
            </w:pPr>
            <w:r>
              <w:rPr>
                <w:color w:val="auto"/>
              </w:rPr>
              <w:t>69</w:t>
            </w:r>
          </w:p>
        </w:tc>
        <w:tc>
          <w:tcPr>
            <w:tcW w:w="425" w:type="pct"/>
            <w:tcBorders>
              <w:tl2br w:val="nil"/>
              <w:tr2bl w:val="nil"/>
            </w:tcBorders>
            <w:noWrap w:val="0"/>
            <w:vAlign w:val="center"/>
          </w:tcPr>
          <w:p w14:paraId="7F95623F">
            <w:pPr>
              <w:pStyle w:val="12"/>
              <w:bidi w:val="0"/>
              <w:rPr>
                <w:color w:val="auto"/>
              </w:rPr>
            </w:pPr>
            <w:r>
              <w:rPr>
                <w:color w:val="auto"/>
              </w:rPr>
              <w:t>67</w:t>
            </w:r>
          </w:p>
        </w:tc>
        <w:tc>
          <w:tcPr>
            <w:tcW w:w="425" w:type="pct"/>
            <w:tcBorders>
              <w:tl2br w:val="nil"/>
              <w:tr2bl w:val="nil"/>
            </w:tcBorders>
            <w:noWrap w:val="0"/>
            <w:vAlign w:val="center"/>
          </w:tcPr>
          <w:p w14:paraId="12BD71EA">
            <w:pPr>
              <w:pStyle w:val="12"/>
              <w:bidi w:val="0"/>
              <w:rPr>
                <w:color w:val="auto"/>
              </w:rPr>
            </w:pPr>
            <w:r>
              <w:rPr>
                <w:color w:val="auto"/>
              </w:rPr>
              <w:t>65</w:t>
            </w:r>
          </w:p>
        </w:tc>
        <w:tc>
          <w:tcPr>
            <w:tcW w:w="425" w:type="pct"/>
            <w:tcBorders>
              <w:tl2br w:val="nil"/>
              <w:tr2bl w:val="nil"/>
            </w:tcBorders>
            <w:noWrap w:val="0"/>
            <w:vAlign w:val="center"/>
          </w:tcPr>
          <w:p w14:paraId="6760CC84">
            <w:pPr>
              <w:pStyle w:val="12"/>
              <w:bidi w:val="0"/>
              <w:rPr>
                <w:color w:val="auto"/>
              </w:rPr>
            </w:pPr>
            <w:r>
              <w:rPr>
                <w:color w:val="auto"/>
              </w:rPr>
              <w:t>59</w:t>
            </w:r>
          </w:p>
        </w:tc>
        <w:tc>
          <w:tcPr>
            <w:tcW w:w="425" w:type="pct"/>
            <w:tcBorders>
              <w:tl2br w:val="nil"/>
              <w:tr2bl w:val="nil"/>
            </w:tcBorders>
            <w:noWrap w:val="0"/>
            <w:vAlign w:val="center"/>
          </w:tcPr>
          <w:p w14:paraId="71FBE60F">
            <w:pPr>
              <w:pStyle w:val="12"/>
              <w:bidi w:val="0"/>
              <w:rPr>
                <w:color w:val="auto"/>
              </w:rPr>
            </w:pPr>
            <w:r>
              <w:rPr>
                <w:color w:val="auto"/>
              </w:rPr>
              <w:t>55</w:t>
            </w:r>
          </w:p>
        </w:tc>
        <w:tc>
          <w:tcPr>
            <w:tcW w:w="425" w:type="pct"/>
            <w:tcBorders>
              <w:tl2br w:val="nil"/>
              <w:tr2bl w:val="nil"/>
            </w:tcBorders>
            <w:noWrap w:val="0"/>
            <w:vAlign w:val="center"/>
          </w:tcPr>
          <w:p w14:paraId="59CCAC97">
            <w:pPr>
              <w:pStyle w:val="12"/>
              <w:bidi w:val="0"/>
              <w:rPr>
                <w:color w:val="auto"/>
              </w:rPr>
            </w:pPr>
            <w:r>
              <w:rPr>
                <w:color w:val="auto"/>
              </w:rPr>
              <w:t>53</w:t>
            </w:r>
          </w:p>
        </w:tc>
        <w:tc>
          <w:tcPr>
            <w:tcW w:w="426" w:type="pct"/>
            <w:tcBorders>
              <w:tl2br w:val="nil"/>
              <w:tr2bl w:val="nil"/>
            </w:tcBorders>
            <w:noWrap w:val="0"/>
            <w:vAlign w:val="center"/>
          </w:tcPr>
          <w:p w14:paraId="696F5760">
            <w:pPr>
              <w:pStyle w:val="12"/>
              <w:bidi w:val="0"/>
              <w:rPr>
                <w:color w:val="auto"/>
              </w:rPr>
            </w:pPr>
            <w:r>
              <w:rPr>
                <w:color w:val="auto"/>
              </w:rPr>
              <w:t>51</w:t>
            </w:r>
          </w:p>
        </w:tc>
      </w:tr>
      <w:tr w14:paraId="75AE2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66F00808">
            <w:pPr>
              <w:pStyle w:val="12"/>
              <w:bidi w:val="0"/>
              <w:rPr>
                <w:color w:val="auto"/>
              </w:rPr>
            </w:pPr>
            <w:r>
              <w:rPr>
                <w:color w:val="auto"/>
              </w:rPr>
              <w:t>推土机</w:t>
            </w:r>
          </w:p>
        </w:tc>
        <w:tc>
          <w:tcPr>
            <w:tcW w:w="318" w:type="pct"/>
            <w:tcBorders>
              <w:tl2br w:val="nil"/>
              <w:tr2bl w:val="nil"/>
            </w:tcBorders>
            <w:noWrap w:val="0"/>
            <w:vAlign w:val="center"/>
          </w:tcPr>
          <w:p w14:paraId="62B2A6F7">
            <w:pPr>
              <w:pStyle w:val="12"/>
              <w:bidi w:val="0"/>
              <w:rPr>
                <w:color w:val="auto"/>
              </w:rPr>
            </w:pPr>
            <w:r>
              <w:rPr>
                <w:color w:val="auto"/>
              </w:rPr>
              <w:t>82</w:t>
            </w:r>
          </w:p>
        </w:tc>
        <w:tc>
          <w:tcPr>
            <w:tcW w:w="425" w:type="pct"/>
            <w:tcBorders>
              <w:tl2br w:val="nil"/>
              <w:tr2bl w:val="nil"/>
            </w:tcBorders>
            <w:noWrap w:val="0"/>
            <w:vAlign w:val="center"/>
          </w:tcPr>
          <w:p w14:paraId="5EE10CD7">
            <w:pPr>
              <w:pStyle w:val="12"/>
              <w:bidi w:val="0"/>
              <w:rPr>
                <w:color w:val="auto"/>
              </w:rPr>
            </w:pPr>
            <w:r>
              <w:rPr>
                <w:color w:val="auto"/>
              </w:rPr>
              <w:t>76</w:t>
            </w:r>
          </w:p>
        </w:tc>
        <w:tc>
          <w:tcPr>
            <w:tcW w:w="425" w:type="pct"/>
            <w:tcBorders>
              <w:tl2br w:val="nil"/>
              <w:tr2bl w:val="nil"/>
            </w:tcBorders>
            <w:noWrap w:val="0"/>
            <w:vAlign w:val="center"/>
          </w:tcPr>
          <w:p w14:paraId="60EF5A3A">
            <w:pPr>
              <w:pStyle w:val="12"/>
              <w:bidi w:val="0"/>
              <w:rPr>
                <w:color w:val="auto"/>
              </w:rPr>
            </w:pPr>
            <w:r>
              <w:rPr>
                <w:color w:val="auto"/>
              </w:rPr>
              <w:t>70</w:t>
            </w:r>
          </w:p>
        </w:tc>
        <w:tc>
          <w:tcPr>
            <w:tcW w:w="425" w:type="pct"/>
            <w:tcBorders>
              <w:tl2br w:val="nil"/>
              <w:tr2bl w:val="nil"/>
            </w:tcBorders>
            <w:noWrap w:val="0"/>
            <w:vAlign w:val="center"/>
          </w:tcPr>
          <w:p w14:paraId="547F4D94">
            <w:pPr>
              <w:pStyle w:val="12"/>
              <w:bidi w:val="0"/>
              <w:rPr>
                <w:color w:val="auto"/>
              </w:rPr>
            </w:pPr>
            <w:r>
              <w:rPr>
                <w:color w:val="auto"/>
              </w:rPr>
              <w:t>66</w:t>
            </w:r>
          </w:p>
        </w:tc>
        <w:tc>
          <w:tcPr>
            <w:tcW w:w="425" w:type="pct"/>
            <w:tcBorders>
              <w:tl2br w:val="nil"/>
              <w:tr2bl w:val="nil"/>
            </w:tcBorders>
            <w:noWrap w:val="0"/>
            <w:vAlign w:val="center"/>
          </w:tcPr>
          <w:p w14:paraId="7854978C">
            <w:pPr>
              <w:pStyle w:val="12"/>
              <w:bidi w:val="0"/>
              <w:rPr>
                <w:color w:val="auto"/>
              </w:rPr>
            </w:pPr>
            <w:r>
              <w:rPr>
                <w:color w:val="auto"/>
              </w:rPr>
              <w:t>64</w:t>
            </w:r>
          </w:p>
        </w:tc>
        <w:tc>
          <w:tcPr>
            <w:tcW w:w="425" w:type="pct"/>
            <w:tcBorders>
              <w:tl2br w:val="nil"/>
              <w:tr2bl w:val="nil"/>
            </w:tcBorders>
            <w:noWrap w:val="0"/>
            <w:vAlign w:val="center"/>
          </w:tcPr>
          <w:p w14:paraId="6C54B479">
            <w:pPr>
              <w:pStyle w:val="12"/>
              <w:bidi w:val="0"/>
              <w:rPr>
                <w:color w:val="auto"/>
              </w:rPr>
            </w:pPr>
            <w:r>
              <w:rPr>
                <w:color w:val="auto"/>
              </w:rPr>
              <w:t>62</w:t>
            </w:r>
          </w:p>
        </w:tc>
        <w:tc>
          <w:tcPr>
            <w:tcW w:w="425" w:type="pct"/>
            <w:tcBorders>
              <w:tl2br w:val="nil"/>
              <w:tr2bl w:val="nil"/>
            </w:tcBorders>
            <w:noWrap w:val="0"/>
            <w:vAlign w:val="center"/>
          </w:tcPr>
          <w:p w14:paraId="01F69A66">
            <w:pPr>
              <w:pStyle w:val="12"/>
              <w:bidi w:val="0"/>
              <w:rPr>
                <w:color w:val="auto"/>
              </w:rPr>
            </w:pPr>
            <w:r>
              <w:rPr>
                <w:color w:val="auto"/>
              </w:rPr>
              <w:t>56</w:t>
            </w:r>
          </w:p>
        </w:tc>
        <w:tc>
          <w:tcPr>
            <w:tcW w:w="425" w:type="pct"/>
            <w:tcBorders>
              <w:tl2br w:val="nil"/>
              <w:tr2bl w:val="nil"/>
            </w:tcBorders>
            <w:noWrap w:val="0"/>
            <w:vAlign w:val="center"/>
          </w:tcPr>
          <w:p w14:paraId="264957C4">
            <w:pPr>
              <w:pStyle w:val="12"/>
              <w:bidi w:val="0"/>
              <w:rPr>
                <w:color w:val="auto"/>
              </w:rPr>
            </w:pPr>
            <w:r>
              <w:rPr>
                <w:color w:val="auto"/>
              </w:rPr>
              <w:t>52</w:t>
            </w:r>
          </w:p>
        </w:tc>
        <w:tc>
          <w:tcPr>
            <w:tcW w:w="425" w:type="pct"/>
            <w:tcBorders>
              <w:tl2br w:val="nil"/>
              <w:tr2bl w:val="nil"/>
            </w:tcBorders>
            <w:noWrap w:val="0"/>
            <w:vAlign w:val="center"/>
          </w:tcPr>
          <w:p w14:paraId="4DBE4CE1">
            <w:pPr>
              <w:pStyle w:val="12"/>
              <w:bidi w:val="0"/>
              <w:rPr>
                <w:color w:val="auto"/>
              </w:rPr>
            </w:pPr>
            <w:r>
              <w:rPr>
                <w:color w:val="auto"/>
              </w:rPr>
              <w:t>50</w:t>
            </w:r>
          </w:p>
        </w:tc>
        <w:tc>
          <w:tcPr>
            <w:tcW w:w="426" w:type="pct"/>
            <w:tcBorders>
              <w:tl2br w:val="nil"/>
              <w:tr2bl w:val="nil"/>
            </w:tcBorders>
            <w:noWrap w:val="0"/>
            <w:vAlign w:val="center"/>
          </w:tcPr>
          <w:p w14:paraId="5040340C">
            <w:pPr>
              <w:pStyle w:val="12"/>
              <w:bidi w:val="0"/>
              <w:rPr>
                <w:color w:val="auto"/>
              </w:rPr>
            </w:pPr>
            <w:r>
              <w:rPr>
                <w:color w:val="auto"/>
              </w:rPr>
              <w:t>46</w:t>
            </w:r>
          </w:p>
        </w:tc>
      </w:tr>
      <w:tr w14:paraId="351E1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3E795A9C">
            <w:pPr>
              <w:pStyle w:val="12"/>
              <w:bidi w:val="0"/>
              <w:rPr>
                <w:color w:val="auto"/>
              </w:rPr>
            </w:pPr>
            <w:r>
              <w:rPr>
                <w:color w:val="auto"/>
              </w:rPr>
              <w:t>挖掘机</w:t>
            </w:r>
          </w:p>
        </w:tc>
        <w:tc>
          <w:tcPr>
            <w:tcW w:w="318" w:type="pct"/>
            <w:tcBorders>
              <w:tl2br w:val="nil"/>
              <w:tr2bl w:val="nil"/>
            </w:tcBorders>
            <w:noWrap w:val="0"/>
            <w:vAlign w:val="center"/>
          </w:tcPr>
          <w:p w14:paraId="08587AA4">
            <w:pPr>
              <w:pStyle w:val="12"/>
              <w:bidi w:val="0"/>
              <w:rPr>
                <w:color w:val="auto"/>
              </w:rPr>
            </w:pPr>
            <w:r>
              <w:rPr>
                <w:color w:val="auto"/>
              </w:rPr>
              <w:t>84</w:t>
            </w:r>
          </w:p>
        </w:tc>
        <w:tc>
          <w:tcPr>
            <w:tcW w:w="425" w:type="pct"/>
            <w:tcBorders>
              <w:tl2br w:val="nil"/>
              <w:tr2bl w:val="nil"/>
            </w:tcBorders>
            <w:noWrap w:val="0"/>
            <w:vAlign w:val="center"/>
          </w:tcPr>
          <w:p w14:paraId="03D25D40">
            <w:pPr>
              <w:pStyle w:val="12"/>
              <w:bidi w:val="0"/>
              <w:rPr>
                <w:color w:val="auto"/>
              </w:rPr>
            </w:pPr>
            <w:r>
              <w:rPr>
                <w:color w:val="auto"/>
              </w:rPr>
              <w:t>78</w:t>
            </w:r>
          </w:p>
        </w:tc>
        <w:tc>
          <w:tcPr>
            <w:tcW w:w="425" w:type="pct"/>
            <w:tcBorders>
              <w:tl2br w:val="nil"/>
              <w:tr2bl w:val="nil"/>
            </w:tcBorders>
            <w:noWrap w:val="0"/>
            <w:vAlign w:val="center"/>
          </w:tcPr>
          <w:p w14:paraId="156CD3B3">
            <w:pPr>
              <w:pStyle w:val="12"/>
              <w:bidi w:val="0"/>
              <w:rPr>
                <w:color w:val="auto"/>
              </w:rPr>
            </w:pPr>
            <w:r>
              <w:rPr>
                <w:color w:val="auto"/>
              </w:rPr>
              <w:t>72</w:t>
            </w:r>
          </w:p>
        </w:tc>
        <w:tc>
          <w:tcPr>
            <w:tcW w:w="425" w:type="pct"/>
            <w:tcBorders>
              <w:tl2br w:val="nil"/>
              <w:tr2bl w:val="nil"/>
            </w:tcBorders>
            <w:noWrap w:val="0"/>
            <w:vAlign w:val="center"/>
          </w:tcPr>
          <w:p w14:paraId="3CA42D4F">
            <w:pPr>
              <w:pStyle w:val="12"/>
              <w:bidi w:val="0"/>
              <w:rPr>
                <w:color w:val="auto"/>
              </w:rPr>
            </w:pPr>
            <w:r>
              <w:rPr>
                <w:color w:val="auto"/>
              </w:rPr>
              <w:t>68</w:t>
            </w:r>
          </w:p>
        </w:tc>
        <w:tc>
          <w:tcPr>
            <w:tcW w:w="425" w:type="pct"/>
            <w:tcBorders>
              <w:tl2br w:val="nil"/>
              <w:tr2bl w:val="nil"/>
            </w:tcBorders>
            <w:noWrap w:val="0"/>
            <w:vAlign w:val="center"/>
          </w:tcPr>
          <w:p w14:paraId="7053149C">
            <w:pPr>
              <w:pStyle w:val="12"/>
              <w:bidi w:val="0"/>
              <w:rPr>
                <w:color w:val="auto"/>
              </w:rPr>
            </w:pPr>
            <w:r>
              <w:rPr>
                <w:color w:val="auto"/>
              </w:rPr>
              <w:t>66</w:t>
            </w:r>
          </w:p>
        </w:tc>
        <w:tc>
          <w:tcPr>
            <w:tcW w:w="425" w:type="pct"/>
            <w:tcBorders>
              <w:tl2br w:val="nil"/>
              <w:tr2bl w:val="nil"/>
            </w:tcBorders>
            <w:noWrap w:val="0"/>
            <w:vAlign w:val="center"/>
          </w:tcPr>
          <w:p w14:paraId="18AC9E10">
            <w:pPr>
              <w:pStyle w:val="12"/>
              <w:bidi w:val="0"/>
              <w:rPr>
                <w:color w:val="auto"/>
              </w:rPr>
            </w:pPr>
            <w:r>
              <w:rPr>
                <w:color w:val="auto"/>
              </w:rPr>
              <w:t>64</w:t>
            </w:r>
          </w:p>
        </w:tc>
        <w:tc>
          <w:tcPr>
            <w:tcW w:w="425" w:type="pct"/>
            <w:tcBorders>
              <w:tl2br w:val="nil"/>
              <w:tr2bl w:val="nil"/>
            </w:tcBorders>
            <w:noWrap w:val="0"/>
            <w:vAlign w:val="center"/>
          </w:tcPr>
          <w:p w14:paraId="624C3574">
            <w:pPr>
              <w:pStyle w:val="12"/>
              <w:bidi w:val="0"/>
              <w:rPr>
                <w:color w:val="auto"/>
              </w:rPr>
            </w:pPr>
            <w:r>
              <w:rPr>
                <w:color w:val="auto"/>
              </w:rPr>
              <w:t>58</w:t>
            </w:r>
          </w:p>
        </w:tc>
        <w:tc>
          <w:tcPr>
            <w:tcW w:w="425" w:type="pct"/>
            <w:tcBorders>
              <w:tl2br w:val="nil"/>
              <w:tr2bl w:val="nil"/>
            </w:tcBorders>
            <w:noWrap w:val="0"/>
            <w:vAlign w:val="center"/>
          </w:tcPr>
          <w:p w14:paraId="7393253E">
            <w:pPr>
              <w:pStyle w:val="12"/>
              <w:bidi w:val="0"/>
              <w:rPr>
                <w:color w:val="auto"/>
              </w:rPr>
            </w:pPr>
            <w:r>
              <w:rPr>
                <w:color w:val="auto"/>
              </w:rPr>
              <w:t>54</w:t>
            </w:r>
          </w:p>
        </w:tc>
        <w:tc>
          <w:tcPr>
            <w:tcW w:w="425" w:type="pct"/>
            <w:tcBorders>
              <w:tl2br w:val="nil"/>
              <w:tr2bl w:val="nil"/>
            </w:tcBorders>
            <w:noWrap w:val="0"/>
            <w:vAlign w:val="center"/>
          </w:tcPr>
          <w:p w14:paraId="4E026F3E">
            <w:pPr>
              <w:pStyle w:val="12"/>
              <w:bidi w:val="0"/>
              <w:rPr>
                <w:color w:val="auto"/>
              </w:rPr>
            </w:pPr>
            <w:r>
              <w:rPr>
                <w:color w:val="auto"/>
              </w:rPr>
              <w:t>52</w:t>
            </w:r>
          </w:p>
        </w:tc>
        <w:tc>
          <w:tcPr>
            <w:tcW w:w="426" w:type="pct"/>
            <w:tcBorders>
              <w:tl2br w:val="nil"/>
              <w:tr2bl w:val="nil"/>
            </w:tcBorders>
            <w:noWrap w:val="0"/>
            <w:vAlign w:val="center"/>
          </w:tcPr>
          <w:p w14:paraId="02143AE7">
            <w:pPr>
              <w:pStyle w:val="12"/>
              <w:bidi w:val="0"/>
              <w:rPr>
                <w:color w:val="auto"/>
              </w:rPr>
            </w:pPr>
            <w:r>
              <w:rPr>
                <w:color w:val="auto"/>
              </w:rPr>
              <w:t>48</w:t>
            </w:r>
          </w:p>
        </w:tc>
      </w:tr>
      <w:tr w14:paraId="39B9A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0862BD5E">
            <w:pPr>
              <w:pStyle w:val="12"/>
              <w:bidi w:val="0"/>
              <w:rPr>
                <w:color w:val="auto"/>
              </w:rPr>
            </w:pPr>
            <w:r>
              <w:rPr>
                <w:color w:val="auto"/>
              </w:rPr>
              <w:t>混凝土搅拌机</w:t>
            </w:r>
          </w:p>
        </w:tc>
        <w:tc>
          <w:tcPr>
            <w:tcW w:w="318" w:type="pct"/>
            <w:tcBorders>
              <w:tl2br w:val="nil"/>
              <w:tr2bl w:val="nil"/>
            </w:tcBorders>
            <w:noWrap w:val="0"/>
            <w:vAlign w:val="center"/>
          </w:tcPr>
          <w:p w14:paraId="5D27014D">
            <w:pPr>
              <w:pStyle w:val="12"/>
              <w:bidi w:val="0"/>
              <w:rPr>
                <w:color w:val="auto"/>
              </w:rPr>
            </w:pPr>
            <w:r>
              <w:rPr>
                <w:color w:val="auto"/>
              </w:rPr>
              <w:t>90</w:t>
            </w:r>
          </w:p>
        </w:tc>
        <w:tc>
          <w:tcPr>
            <w:tcW w:w="425" w:type="pct"/>
            <w:tcBorders>
              <w:tl2br w:val="nil"/>
              <w:tr2bl w:val="nil"/>
            </w:tcBorders>
            <w:noWrap w:val="0"/>
            <w:vAlign w:val="center"/>
          </w:tcPr>
          <w:p w14:paraId="42DEFA76">
            <w:pPr>
              <w:pStyle w:val="12"/>
              <w:bidi w:val="0"/>
              <w:rPr>
                <w:color w:val="auto"/>
              </w:rPr>
            </w:pPr>
            <w:r>
              <w:rPr>
                <w:color w:val="auto"/>
              </w:rPr>
              <w:t>84</w:t>
            </w:r>
          </w:p>
        </w:tc>
        <w:tc>
          <w:tcPr>
            <w:tcW w:w="425" w:type="pct"/>
            <w:tcBorders>
              <w:tl2br w:val="nil"/>
              <w:tr2bl w:val="nil"/>
            </w:tcBorders>
            <w:noWrap w:val="0"/>
            <w:vAlign w:val="center"/>
          </w:tcPr>
          <w:p w14:paraId="7F1C2939">
            <w:pPr>
              <w:pStyle w:val="12"/>
              <w:bidi w:val="0"/>
              <w:rPr>
                <w:color w:val="auto"/>
              </w:rPr>
            </w:pPr>
            <w:r>
              <w:rPr>
                <w:color w:val="auto"/>
              </w:rPr>
              <w:t>78</w:t>
            </w:r>
          </w:p>
        </w:tc>
        <w:tc>
          <w:tcPr>
            <w:tcW w:w="425" w:type="pct"/>
            <w:tcBorders>
              <w:tl2br w:val="nil"/>
              <w:tr2bl w:val="nil"/>
            </w:tcBorders>
            <w:noWrap w:val="0"/>
            <w:vAlign w:val="center"/>
          </w:tcPr>
          <w:p w14:paraId="7C5C9C55">
            <w:pPr>
              <w:pStyle w:val="12"/>
              <w:bidi w:val="0"/>
              <w:rPr>
                <w:color w:val="auto"/>
              </w:rPr>
            </w:pPr>
            <w:r>
              <w:rPr>
                <w:color w:val="auto"/>
              </w:rPr>
              <w:t>74</w:t>
            </w:r>
          </w:p>
        </w:tc>
        <w:tc>
          <w:tcPr>
            <w:tcW w:w="425" w:type="pct"/>
            <w:tcBorders>
              <w:tl2br w:val="nil"/>
              <w:tr2bl w:val="nil"/>
            </w:tcBorders>
            <w:noWrap w:val="0"/>
            <w:vAlign w:val="center"/>
          </w:tcPr>
          <w:p w14:paraId="2A8DCA28">
            <w:pPr>
              <w:pStyle w:val="12"/>
              <w:bidi w:val="0"/>
              <w:rPr>
                <w:color w:val="auto"/>
              </w:rPr>
            </w:pPr>
            <w:r>
              <w:rPr>
                <w:color w:val="auto"/>
              </w:rPr>
              <w:t>72</w:t>
            </w:r>
          </w:p>
        </w:tc>
        <w:tc>
          <w:tcPr>
            <w:tcW w:w="425" w:type="pct"/>
            <w:tcBorders>
              <w:tl2br w:val="nil"/>
              <w:tr2bl w:val="nil"/>
            </w:tcBorders>
            <w:noWrap w:val="0"/>
            <w:vAlign w:val="center"/>
          </w:tcPr>
          <w:p w14:paraId="325547DB">
            <w:pPr>
              <w:pStyle w:val="12"/>
              <w:bidi w:val="0"/>
              <w:rPr>
                <w:color w:val="auto"/>
              </w:rPr>
            </w:pPr>
            <w:r>
              <w:rPr>
                <w:color w:val="auto"/>
              </w:rPr>
              <w:t>70</w:t>
            </w:r>
          </w:p>
        </w:tc>
        <w:tc>
          <w:tcPr>
            <w:tcW w:w="425" w:type="pct"/>
            <w:tcBorders>
              <w:tl2br w:val="nil"/>
              <w:tr2bl w:val="nil"/>
            </w:tcBorders>
            <w:noWrap w:val="0"/>
            <w:vAlign w:val="center"/>
          </w:tcPr>
          <w:p w14:paraId="045FBBA3">
            <w:pPr>
              <w:pStyle w:val="12"/>
              <w:bidi w:val="0"/>
              <w:rPr>
                <w:color w:val="auto"/>
              </w:rPr>
            </w:pPr>
            <w:r>
              <w:rPr>
                <w:color w:val="auto"/>
              </w:rPr>
              <w:t>64</w:t>
            </w:r>
          </w:p>
        </w:tc>
        <w:tc>
          <w:tcPr>
            <w:tcW w:w="425" w:type="pct"/>
            <w:tcBorders>
              <w:tl2br w:val="nil"/>
              <w:tr2bl w:val="nil"/>
            </w:tcBorders>
            <w:noWrap w:val="0"/>
            <w:vAlign w:val="center"/>
          </w:tcPr>
          <w:p w14:paraId="004E3009">
            <w:pPr>
              <w:pStyle w:val="12"/>
              <w:bidi w:val="0"/>
              <w:rPr>
                <w:color w:val="auto"/>
              </w:rPr>
            </w:pPr>
            <w:r>
              <w:rPr>
                <w:color w:val="auto"/>
              </w:rPr>
              <w:t>60</w:t>
            </w:r>
          </w:p>
        </w:tc>
        <w:tc>
          <w:tcPr>
            <w:tcW w:w="425" w:type="pct"/>
            <w:tcBorders>
              <w:tl2br w:val="nil"/>
              <w:tr2bl w:val="nil"/>
            </w:tcBorders>
            <w:noWrap w:val="0"/>
            <w:vAlign w:val="center"/>
          </w:tcPr>
          <w:p w14:paraId="0F2D6DEE">
            <w:pPr>
              <w:pStyle w:val="12"/>
              <w:bidi w:val="0"/>
              <w:rPr>
                <w:color w:val="auto"/>
              </w:rPr>
            </w:pPr>
            <w:r>
              <w:rPr>
                <w:color w:val="auto"/>
              </w:rPr>
              <w:t>58</w:t>
            </w:r>
          </w:p>
        </w:tc>
        <w:tc>
          <w:tcPr>
            <w:tcW w:w="426" w:type="pct"/>
            <w:tcBorders>
              <w:tl2br w:val="nil"/>
              <w:tr2bl w:val="nil"/>
            </w:tcBorders>
            <w:noWrap w:val="0"/>
            <w:vAlign w:val="center"/>
          </w:tcPr>
          <w:p w14:paraId="62F97C41">
            <w:pPr>
              <w:pStyle w:val="12"/>
              <w:bidi w:val="0"/>
              <w:rPr>
                <w:color w:val="auto"/>
              </w:rPr>
            </w:pPr>
            <w:r>
              <w:rPr>
                <w:color w:val="auto"/>
              </w:rPr>
              <w:t>54</w:t>
            </w:r>
          </w:p>
        </w:tc>
      </w:tr>
      <w:tr w14:paraId="6A163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38A2FAEB">
            <w:pPr>
              <w:pStyle w:val="12"/>
              <w:bidi w:val="0"/>
              <w:rPr>
                <w:color w:val="auto"/>
              </w:rPr>
            </w:pPr>
            <w:r>
              <w:rPr>
                <w:color w:val="auto"/>
              </w:rPr>
              <w:t>混凝土泵</w:t>
            </w:r>
          </w:p>
        </w:tc>
        <w:tc>
          <w:tcPr>
            <w:tcW w:w="318" w:type="pct"/>
            <w:tcBorders>
              <w:tl2br w:val="nil"/>
              <w:tr2bl w:val="nil"/>
            </w:tcBorders>
            <w:noWrap w:val="0"/>
            <w:vAlign w:val="center"/>
          </w:tcPr>
          <w:p w14:paraId="5954F4B0">
            <w:pPr>
              <w:pStyle w:val="12"/>
              <w:bidi w:val="0"/>
              <w:rPr>
                <w:color w:val="auto"/>
              </w:rPr>
            </w:pPr>
            <w:r>
              <w:rPr>
                <w:color w:val="auto"/>
              </w:rPr>
              <w:t>85</w:t>
            </w:r>
          </w:p>
        </w:tc>
        <w:tc>
          <w:tcPr>
            <w:tcW w:w="425" w:type="pct"/>
            <w:tcBorders>
              <w:tl2br w:val="nil"/>
              <w:tr2bl w:val="nil"/>
            </w:tcBorders>
            <w:noWrap w:val="0"/>
            <w:vAlign w:val="center"/>
          </w:tcPr>
          <w:p w14:paraId="74140721">
            <w:pPr>
              <w:pStyle w:val="12"/>
              <w:bidi w:val="0"/>
              <w:rPr>
                <w:color w:val="auto"/>
              </w:rPr>
            </w:pPr>
            <w:r>
              <w:rPr>
                <w:color w:val="auto"/>
              </w:rPr>
              <w:t>79</w:t>
            </w:r>
          </w:p>
        </w:tc>
        <w:tc>
          <w:tcPr>
            <w:tcW w:w="425" w:type="pct"/>
            <w:tcBorders>
              <w:tl2br w:val="nil"/>
              <w:tr2bl w:val="nil"/>
            </w:tcBorders>
            <w:noWrap w:val="0"/>
            <w:vAlign w:val="center"/>
          </w:tcPr>
          <w:p w14:paraId="1E70ACC2">
            <w:pPr>
              <w:pStyle w:val="12"/>
              <w:bidi w:val="0"/>
              <w:rPr>
                <w:color w:val="auto"/>
              </w:rPr>
            </w:pPr>
            <w:r>
              <w:rPr>
                <w:color w:val="auto"/>
              </w:rPr>
              <w:t>73</w:t>
            </w:r>
          </w:p>
        </w:tc>
        <w:tc>
          <w:tcPr>
            <w:tcW w:w="425" w:type="pct"/>
            <w:tcBorders>
              <w:tl2br w:val="nil"/>
              <w:tr2bl w:val="nil"/>
            </w:tcBorders>
            <w:noWrap w:val="0"/>
            <w:vAlign w:val="center"/>
          </w:tcPr>
          <w:p w14:paraId="3089907B">
            <w:pPr>
              <w:pStyle w:val="12"/>
              <w:bidi w:val="0"/>
              <w:rPr>
                <w:color w:val="auto"/>
              </w:rPr>
            </w:pPr>
            <w:r>
              <w:rPr>
                <w:color w:val="auto"/>
              </w:rPr>
              <w:t>69</w:t>
            </w:r>
          </w:p>
        </w:tc>
        <w:tc>
          <w:tcPr>
            <w:tcW w:w="425" w:type="pct"/>
            <w:tcBorders>
              <w:tl2br w:val="nil"/>
              <w:tr2bl w:val="nil"/>
            </w:tcBorders>
            <w:noWrap w:val="0"/>
            <w:vAlign w:val="center"/>
          </w:tcPr>
          <w:p w14:paraId="32ECF26D">
            <w:pPr>
              <w:pStyle w:val="12"/>
              <w:bidi w:val="0"/>
              <w:rPr>
                <w:color w:val="auto"/>
              </w:rPr>
            </w:pPr>
            <w:r>
              <w:rPr>
                <w:color w:val="auto"/>
              </w:rPr>
              <w:t>67</w:t>
            </w:r>
          </w:p>
        </w:tc>
        <w:tc>
          <w:tcPr>
            <w:tcW w:w="425" w:type="pct"/>
            <w:tcBorders>
              <w:tl2br w:val="nil"/>
              <w:tr2bl w:val="nil"/>
            </w:tcBorders>
            <w:noWrap w:val="0"/>
            <w:vAlign w:val="center"/>
          </w:tcPr>
          <w:p w14:paraId="719A06A9">
            <w:pPr>
              <w:pStyle w:val="12"/>
              <w:bidi w:val="0"/>
              <w:rPr>
                <w:color w:val="auto"/>
              </w:rPr>
            </w:pPr>
            <w:r>
              <w:rPr>
                <w:color w:val="auto"/>
              </w:rPr>
              <w:t>65</w:t>
            </w:r>
          </w:p>
        </w:tc>
        <w:tc>
          <w:tcPr>
            <w:tcW w:w="425" w:type="pct"/>
            <w:tcBorders>
              <w:tl2br w:val="nil"/>
              <w:tr2bl w:val="nil"/>
            </w:tcBorders>
            <w:noWrap w:val="0"/>
            <w:vAlign w:val="center"/>
          </w:tcPr>
          <w:p w14:paraId="739812A2">
            <w:pPr>
              <w:pStyle w:val="12"/>
              <w:bidi w:val="0"/>
              <w:rPr>
                <w:color w:val="auto"/>
              </w:rPr>
            </w:pPr>
            <w:r>
              <w:rPr>
                <w:color w:val="auto"/>
              </w:rPr>
              <w:t>59</w:t>
            </w:r>
          </w:p>
        </w:tc>
        <w:tc>
          <w:tcPr>
            <w:tcW w:w="425" w:type="pct"/>
            <w:tcBorders>
              <w:tl2br w:val="nil"/>
              <w:tr2bl w:val="nil"/>
            </w:tcBorders>
            <w:noWrap w:val="0"/>
            <w:vAlign w:val="center"/>
          </w:tcPr>
          <w:p w14:paraId="554D6FD5">
            <w:pPr>
              <w:pStyle w:val="12"/>
              <w:bidi w:val="0"/>
              <w:rPr>
                <w:color w:val="auto"/>
              </w:rPr>
            </w:pPr>
            <w:r>
              <w:rPr>
                <w:color w:val="auto"/>
              </w:rPr>
              <w:t>55</w:t>
            </w:r>
          </w:p>
        </w:tc>
        <w:tc>
          <w:tcPr>
            <w:tcW w:w="425" w:type="pct"/>
            <w:tcBorders>
              <w:tl2br w:val="nil"/>
              <w:tr2bl w:val="nil"/>
            </w:tcBorders>
            <w:noWrap w:val="0"/>
            <w:vAlign w:val="center"/>
          </w:tcPr>
          <w:p w14:paraId="5780CD71">
            <w:pPr>
              <w:pStyle w:val="12"/>
              <w:bidi w:val="0"/>
              <w:rPr>
                <w:color w:val="auto"/>
              </w:rPr>
            </w:pPr>
            <w:r>
              <w:rPr>
                <w:color w:val="auto"/>
              </w:rPr>
              <w:t>53</w:t>
            </w:r>
          </w:p>
        </w:tc>
        <w:tc>
          <w:tcPr>
            <w:tcW w:w="426" w:type="pct"/>
            <w:tcBorders>
              <w:tl2br w:val="nil"/>
              <w:tr2bl w:val="nil"/>
            </w:tcBorders>
            <w:noWrap w:val="0"/>
            <w:vAlign w:val="center"/>
          </w:tcPr>
          <w:p w14:paraId="3C2B28D5">
            <w:pPr>
              <w:pStyle w:val="12"/>
              <w:bidi w:val="0"/>
              <w:rPr>
                <w:color w:val="auto"/>
              </w:rPr>
            </w:pPr>
            <w:r>
              <w:rPr>
                <w:color w:val="auto"/>
              </w:rPr>
              <w:t>49</w:t>
            </w:r>
          </w:p>
        </w:tc>
      </w:tr>
      <w:tr w14:paraId="31D3F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217096F1">
            <w:pPr>
              <w:pStyle w:val="12"/>
              <w:bidi w:val="0"/>
              <w:rPr>
                <w:color w:val="auto"/>
              </w:rPr>
            </w:pPr>
            <w:r>
              <w:rPr>
                <w:color w:val="auto"/>
              </w:rPr>
              <w:t>移动式吊车</w:t>
            </w:r>
          </w:p>
        </w:tc>
        <w:tc>
          <w:tcPr>
            <w:tcW w:w="318" w:type="pct"/>
            <w:tcBorders>
              <w:tl2br w:val="nil"/>
              <w:tr2bl w:val="nil"/>
            </w:tcBorders>
            <w:noWrap w:val="0"/>
            <w:vAlign w:val="center"/>
          </w:tcPr>
          <w:p w14:paraId="25D01569">
            <w:pPr>
              <w:pStyle w:val="12"/>
              <w:bidi w:val="0"/>
              <w:rPr>
                <w:color w:val="auto"/>
              </w:rPr>
            </w:pPr>
            <w:r>
              <w:rPr>
                <w:color w:val="auto"/>
              </w:rPr>
              <w:t>92</w:t>
            </w:r>
          </w:p>
        </w:tc>
        <w:tc>
          <w:tcPr>
            <w:tcW w:w="425" w:type="pct"/>
            <w:tcBorders>
              <w:tl2br w:val="nil"/>
              <w:tr2bl w:val="nil"/>
            </w:tcBorders>
            <w:noWrap w:val="0"/>
            <w:vAlign w:val="center"/>
          </w:tcPr>
          <w:p w14:paraId="3447825B">
            <w:pPr>
              <w:pStyle w:val="12"/>
              <w:bidi w:val="0"/>
              <w:rPr>
                <w:color w:val="auto"/>
              </w:rPr>
            </w:pPr>
            <w:r>
              <w:rPr>
                <w:color w:val="auto"/>
              </w:rPr>
              <w:t>86</w:t>
            </w:r>
          </w:p>
        </w:tc>
        <w:tc>
          <w:tcPr>
            <w:tcW w:w="425" w:type="pct"/>
            <w:tcBorders>
              <w:tl2br w:val="nil"/>
              <w:tr2bl w:val="nil"/>
            </w:tcBorders>
            <w:noWrap w:val="0"/>
            <w:vAlign w:val="center"/>
          </w:tcPr>
          <w:p w14:paraId="049B848B">
            <w:pPr>
              <w:pStyle w:val="12"/>
              <w:bidi w:val="0"/>
              <w:rPr>
                <w:color w:val="auto"/>
              </w:rPr>
            </w:pPr>
            <w:r>
              <w:rPr>
                <w:color w:val="auto"/>
              </w:rPr>
              <w:t>80</w:t>
            </w:r>
          </w:p>
        </w:tc>
        <w:tc>
          <w:tcPr>
            <w:tcW w:w="425" w:type="pct"/>
            <w:tcBorders>
              <w:tl2br w:val="nil"/>
              <w:tr2bl w:val="nil"/>
            </w:tcBorders>
            <w:noWrap w:val="0"/>
            <w:vAlign w:val="center"/>
          </w:tcPr>
          <w:p w14:paraId="09C1E496">
            <w:pPr>
              <w:pStyle w:val="12"/>
              <w:bidi w:val="0"/>
              <w:rPr>
                <w:color w:val="auto"/>
              </w:rPr>
            </w:pPr>
            <w:r>
              <w:rPr>
                <w:color w:val="auto"/>
              </w:rPr>
              <w:t>76</w:t>
            </w:r>
          </w:p>
        </w:tc>
        <w:tc>
          <w:tcPr>
            <w:tcW w:w="425" w:type="pct"/>
            <w:tcBorders>
              <w:tl2br w:val="nil"/>
              <w:tr2bl w:val="nil"/>
            </w:tcBorders>
            <w:noWrap w:val="0"/>
            <w:vAlign w:val="center"/>
          </w:tcPr>
          <w:p w14:paraId="1EB361C9">
            <w:pPr>
              <w:pStyle w:val="12"/>
              <w:bidi w:val="0"/>
              <w:rPr>
                <w:color w:val="auto"/>
              </w:rPr>
            </w:pPr>
            <w:r>
              <w:rPr>
                <w:color w:val="auto"/>
              </w:rPr>
              <w:t>74</w:t>
            </w:r>
          </w:p>
        </w:tc>
        <w:tc>
          <w:tcPr>
            <w:tcW w:w="425" w:type="pct"/>
            <w:tcBorders>
              <w:tl2br w:val="nil"/>
              <w:tr2bl w:val="nil"/>
            </w:tcBorders>
            <w:noWrap w:val="0"/>
            <w:vAlign w:val="center"/>
          </w:tcPr>
          <w:p w14:paraId="1C114919">
            <w:pPr>
              <w:pStyle w:val="12"/>
              <w:bidi w:val="0"/>
              <w:rPr>
                <w:color w:val="auto"/>
              </w:rPr>
            </w:pPr>
            <w:r>
              <w:rPr>
                <w:color w:val="auto"/>
              </w:rPr>
              <w:t>72</w:t>
            </w:r>
          </w:p>
        </w:tc>
        <w:tc>
          <w:tcPr>
            <w:tcW w:w="425" w:type="pct"/>
            <w:tcBorders>
              <w:tl2br w:val="nil"/>
              <w:tr2bl w:val="nil"/>
            </w:tcBorders>
            <w:noWrap w:val="0"/>
            <w:vAlign w:val="center"/>
          </w:tcPr>
          <w:p w14:paraId="70B81958">
            <w:pPr>
              <w:pStyle w:val="12"/>
              <w:bidi w:val="0"/>
              <w:rPr>
                <w:color w:val="auto"/>
              </w:rPr>
            </w:pPr>
            <w:r>
              <w:rPr>
                <w:color w:val="auto"/>
              </w:rPr>
              <w:t>66</w:t>
            </w:r>
          </w:p>
        </w:tc>
        <w:tc>
          <w:tcPr>
            <w:tcW w:w="425" w:type="pct"/>
            <w:tcBorders>
              <w:tl2br w:val="nil"/>
              <w:tr2bl w:val="nil"/>
            </w:tcBorders>
            <w:noWrap w:val="0"/>
            <w:vAlign w:val="center"/>
          </w:tcPr>
          <w:p w14:paraId="03B7C849">
            <w:pPr>
              <w:pStyle w:val="12"/>
              <w:bidi w:val="0"/>
              <w:rPr>
                <w:color w:val="auto"/>
              </w:rPr>
            </w:pPr>
            <w:r>
              <w:rPr>
                <w:color w:val="auto"/>
              </w:rPr>
              <w:t>62</w:t>
            </w:r>
          </w:p>
        </w:tc>
        <w:tc>
          <w:tcPr>
            <w:tcW w:w="425" w:type="pct"/>
            <w:tcBorders>
              <w:tl2br w:val="nil"/>
              <w:tr2bl w:val="nil"/>
            </w:tcBorders>
            <w:noWrap w:val="0"/>
            <w:vAlign w:val="center"/>
          </w:tcPr>
          <w:p w14:paraId="6F213FB3">
            <w:pPr>
              <w:pStyle w:val="12"/>
              <w:bidi w:val="0"/>
              <w:rPr>
                <w:color w:val="auto"/>
              </w:rPr>
            </w:pPr>
            <w:r>
              <w:rPr>
                <w:color w:val="auto"/>
              </w:rPr>
              <w:t>60</w:t>
            </w:r>
          </w:p>
        </w:tc>
        <w:tc>
          <w:tcPr>
            <w:tcW w:w="426" w:type="pct"/>
            <w:tcBorders>
              <w:tl2br w:val="nil"/>
              <w:tr2bl w:val="nil"/>
            </w:tcBorders>
            <w:noWrap w:val="0"/>
            <w:vAlign w:val="center"/>
          </w:tcPr>
          <w:p w14:paraId="09CEF6F6">
            <w:pPr>
              <w:pStyle w:val="12"/>
              <w:bidi w:val="0"/>
              <w:rPr>
                <w:color w:val="auto"/>
              </w:rPr>
            </w:pPr>
            <w:r>
              <w:rPr>
                <w:color w:val="auto"/>
              </w:rPr>
              <w:t>56</w:t>
            </w:r>
          </w:p>
        </w:tc>
      </w:tr>
      <w:tr w14:paraId="26174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561B8F52">
            <w:pPr>
              <w:pStyle w:val="12"/>
              <w:bidi w:val="0"/>
              <w:rPr>
                <w:color w:val="auto"/>
              </w:rPr>
            </w:pPr>
            <w:r>
              <w:rPr>
                <w:color w:val="auto"/>
              </w:rPr>
              <w:t>运输车辆</w:t>
            </w:r>
          </w:p>
        </w:tc>
        <w:tc>
          <w:tcPr>
            <w:tcW w:w="318" w:type="pct"/>
            <w:tcBorders>
              <w:tl2br w:val="nil"/>
              <w:tr2bl w:val="nil"/>
            </w:tcBorders>
            <w:noWrap w:val="0"/>
            <w:vAlign w:val="center"/>
          </w:tcPr>
          <w:p w14:paraId="45C40DA7">
            <w:pPr>
              <w:pStyle w:val="12"/>
              <w:bidi w:val="0"/>
              <w:rPr>
                <w:color w:val="auto"/>
              </w:rPr>
            </w:pPr>
            <w:r>
              <w:rPr>
                <w:color w:val="auto"/>
              </w:rPr>
              <w:t>88</w:t>
            </w:r>
          </w:p>
        </w:tc>
        <w:tc>
          <w:tcPr>
            <w:tcW w:w="425" w:type="pct"/>
            <w:tcBorders>
              <w:tl2br w:val="nil"/>
              <w:tr2bl w:val="nil"/>
            </w:tcBorders>
            <w:noWrap w:val="0"/>
            <w:vAlign w:val="center"/>
          </w:tcPr>
          <w:p w14:paraId="6F861753">
            <w:pPr>
              <w:pStyle w:val="12"/>
              <w:bidi w:val="0"/>
              <w:rPr>
                <w:color w:val="auto"/>
              </w:rPr>
            </w:pPr>
            <w:r>
              <w:rPr>
                <w:color w:val="auto"/>
              </w:rPr>
              <w:t>82</w:t>
            </w:r>
          </w:p>
        </w:tc>
        <w:tc>
          <w:tcPr>
            <w:tcW w:w="425" w:type="pct"/>
            <w:tcBorders>
              <w:tl2br w:val="nil"/>
              <w:tr2bl w:val="nil"/>
            </w:tcBorders>
            <w:noWrap w:val="0"/>
            <w:vAlign w:val="center"/>
          </w:tcPr>
          <w:p w14:paraId="71CC3319">
            <w:pPr>
              <w:pStyle w:val="12"/>
              <w:bidi w:val="0"/>
              <w:rPr>
                <w:color w:val="auto"/>
              </w:rPr>
            </w:pPr>
            <w:r>
              <w:rPr>
                <w:color w:val="auto"/>
              </w:rPr>
              <w:t>76</w:t>
            </w:r>
          </w:p>
        </w:tc>
        <w:tc>
          <w:tcPr>
            <w:tcW w:w="425" w:type="pct"/>
            <w:tcBorders>
              <w:tl2br w:val="nil"/>
              <w:tr2bl w:val="nil"/>
            </w:tcBorders>
            <w:noWrap w:val="0"/>
            <w:vAlign w:val="center"/>
          </w:tcPr>
          <w:p w14:paraId="59FEEF38">
            <w:pPr>
              <w:pStyle w:val="12"/>
              <w:bidi w:val="0"/>
              <w:rPr>
                <w:color w:val="auto"/>
              </w:rPr>
            </w:pPr>
            <w:r>
              <w:rPr>
                <w:color w:val="auto"/>
              </w:rPr>
              <w:t>72</w:t>
            </w:r>
          </w:p>
        </w:tc>
        <w:tc>
          <w:tcPr>
            <w:tcW w:w="425" w:type="pct"/>
            <w:tcBorders>
              <w:tl2br w:val="nil"/>
              <w:tr2bl w:val="nil"/>
            </w:tcBorders>
            <w:noWrap w:val="0"/>
            <w:vAlign w:val="center"/>
          </w:tcPr>
          <w:p w14:paraId="0504725F">
            <w:pPr>
              <w:pStyle w:val="12"/>
              <w:bidi w:val="0"/>
              <w:rPr>
                <w:color w:val="auto"/>
              </w:rPr>
            </w:pPr>
            <w:r>
              <w:rPr>
                <w:color w:val="auto"/>
              </w:rPr>
              <w:t>72</w:t>
            </w:r>
          </w:p>
        </w:tc>
        <w:tc>
          <w:tcPr>
            <w:tcW w:w="425" w:type="pct"/>
            <w:tcBorders>
              <w:tl2br w:val="nil"/>
              <w:tr2bl w:val="nil"/>
            </w:tcBorders>
            <w:noWrap w:val="0"/>
            <w:vAlign w:val="center"/>
          </w:tcPr>
          <w:p w14:paraId="2B21E778">
            <w:pPr>
              <w:pStyle w:val="12"/>
              <w:bidi w:val="0"/>
              <w:rPr>
                <w:color w:val="auto"/>
              </w:rPr>
            </w:pPr>
            <w:r>
              <w:rPr>
                <w:color w:val="auto"/>
              </w:rPr>
              <w:t>68</w:t>
            </w:r>
          </w:p>
        </w:tc>
        <w:tc>
          <w:tcPr>
            <w:tcW w:w="425" w:type="pct"/>
            <w:tcBorders>
              <w:tl2br w:val="nil"/>
              <w:tr2bl w:val="nil"/>
            </w:tcBorders>
            <w:noWrap w:val="0"/>
            <w:vAlign w:val="center"/>
          </w:tcPr>
          <w:p w14:paraId="754E89D4">
            <w:pPr>
              <w:pStyle w:val="12"/>
              <w:bidi w:val="0"/>
              <w:rPr>
                <w:color w:val="auto"/>
              </w:rPr>
            </w:pPr>
            <w:r>
              <w:rPr>
                <w:color w:val="auto"/>
              </w:rPr>
              <w:t>62</w:t>
            </w:r>
          </w:p>
        </w:tc>
        <w:tc>
          <w:tcPr>
            <w:tcW w:w="425" w:type="pct"/>
            <w:tcBorders>
              <w:tl2br w:val="nil"/>
              <w:tr2bl w:val="nil"/>
            </w:tcBorders>
            <w:noWrap w:val="0"/>
            <w:vAlign w:val="center"/>
          </w:tcPr>
          <w:p w14:paraId="574E8CED">
            <w:pPr>
              <w:pStyle w:val="12"/>
              <w:bidi w:val="0"/>
              <w:rPr>
                <w:color w:val="auto"/>
              </w:rPr>
            </w:pPr>
            <w:r>
              <w:rPr>
                <w:color w:val="auto"/>
              </w:rPr>
              <w:t>58</w:t>
            </w:r>
          </w:p>
        </w:tc>
        <w:tc>
          <w:tcPr>
            <w:tcW w:w="425" w:type="pct"/>
            <w:tcBorders>
              <w:tl2br w:val="nil"/>
              <w:tr2bl w:val="nil"/>
            </w:tcBorders>
            <w:noWrap w:val="0"/>
            <w:vAlign w:val="center"/>
          </w:tcPr>
          <w:p w14:paraId="5322A574">
            <w:pPr>
              <w:pStyle w:val="12"/>
              <w:bidi w:val="0"/>
              <w:rPr>
                <w:color w:val="auto"/>
              </w:rPr>
            </w:pPr>
            <w:r>
              <w:rPr>
                <w:color w:val="auto"/>
              </w:rPr>
              <w:t>56</w:t>
            </w:r>
          </w:p>
        </w:tc>
        <w:tc>
          <w:tcPr>
            <w:tcW w:w="426" w:type="pct"/>
            <w:tcBorders>
              <w:tl2br w:val="nil"/>
              <w:tr2bl w:val="nil"/>
            </w:tcBorders>
            <w:noWrap w:val="0"/>
            <w:vAlign w:val="center"/>
          </w:tcPr>
          <w:p w14:paraId="32249698">
            <w:pPr>
              <w:pStyle w:val="12"/>
              <w:bidi w:val="0"/>
              <w:rPr>
                <w:color w:val="auto"/>
              </w:rPr>
            </w:pPr>
            <w:r>
              <w:rPr>
                <w:color w:val="auto"/>
              </w:rPr>
              <w:t>52</w:t>
            </w:r>
          </w:p>
        </w:tc>
      </w:tr>
    </w:tbl>
    <w:p w14:paraId="657F887B">
      <w:pPr>
        <w:pageBreakBefore w:val="0"/>
        <w:wordWrap/>
        <w:bidi w:val="0"/>
        <w:adjustRightInd/>
        <w:snapToGrid/>
        <w:spacing w:before="6" w:line="140" w:lineRule="exact"/>
        <w:ind w:firstLine="280"/>
        <w:jc w:val="left"/>
        <w:rPr>
          <w:color w:val="auto"/>
          <w:kern w:val="0"/>
          <w:sz w:val="14"/>
          <w:szCs w:val="14"/>
        </w:rPr>
      </w:pPr>
    </w:p>
    <w:p w14:paraId="2E234AE0">
      <w:pPr>
        <w:bidi w:val="0"/>
        <w:rPr>
          <w:color w:val="auto"/>
        </w:rPr>
      </w:pPr>
      <w:r>
        <w:rPr>
          <w:color w:val="auto"/>
        </w:rPr>
        <w:t>工程建设施工工作量大，而且机械化程度高，由此而产生的噪声对周围区域环境有一定的影响。这种影响是短期的、暂时的，而且具有局部地段特性。根据《建筑施工场界环境噪声排放标准》（GB12523-2011），施工场界噪声限值为：昼间70dB</w:t>
      </w:r>
      <w:r>
        <w:rPr>
          <w:rFonts w:hint="eastAsia"/>
          <w:color w:val="auto"/>
          <w:lang w:eastAsia="zh-CN"/>
        </w:rPr>
        <w:t>（</w:t>
      </w:r>
      <w:r>
        <w:rPr>
          <w:color w:val="auto"/>
        </w:rPr>
        <w:t>A</w:t>
      </w:r>
      <w:r>
        <w:rPr>
          <w:rFonts w:hint="eastAsia"/>
          <w:color w:val="auto"/>
          <w:lang w:eastAsia="zh-CN"/>
        </w:rPr>
        <w:t>）</w:t>
      </w:r>
      <w:r>
        <w:rPr>
          <w:color w:val="auto"/>
        </w:rPr>
        <w:t>，夜间55dB</w:t>
      </w:r>
      <w:r>
        <w:rPr>
          <w:rFonts w:hint="eastAsia"/>
          <w:color w:val="auto"/>
          <w:lang w:eastAsia="zh-CN"/>
        </w:rPr>
        <w:t>（</w:t>
      </w:r>
      <w:r>
        <w:rPr>
          <w:color w:val="auto"/>
        </w:rPr>
        <w:t>A</w:t>
      </w:r>
      <w:r>
        <w:rPr>
          <w:rFonts w:hint="eastAsia"/>
          <w:color w:val="auto"/>
          <w:lang w:eastAsia="zh-CN"/>
        </w:rPr>
        <w:t>）</w:t>
      </w:r>
      <w:r>
        <w:rPr>
          <w:color w:val="auto"/>
        </w:rPr>
        <w:t>。从上表可知，在不采取积极降噪措施情况下，仅凭距离衰减，昼间在距施工机械30m处和夜间距施工机械300m处噪声才符合《建筑施工场界环境噪声排放标准》（GB12523-2011）标准限值。由于项目300m范围内存在声环境保护目标，因此施工噪声对周边居民日常生活影响较大，必须采取积极降噪措施。</w:t>
      </w:r>
    </w:p>
    <w:p w14:paraId="2613F894">
      <w:pPr>
        <w:pageBreakBefore w:val="0"/>
        <w:wordWrap/>
        <w:bidi w:val="0"/>
        <w:adjustRightInd/>
        <w:snapToGrid/>
        <w:ind w:firstLine="480"/>
        <w:rPr>
          <w:color w:val="auto"/>
        </w:rPr>
      </w:pPr>
      <w:r>
        <w:rPr>
          <w:color w:val="auto"/>
        </w:rPr>
        <w:t>本项目施工噪声特别是夜间施工噪声对周围单位和居民群众存在较大影响。为减小施工噪声对周围环境特别是噪声敏感点的影响，环评提出以下要求：</w:t>
      </w:r>
    </w:p>
    <w:p w14:paraId="2BE66CAD">
      <w:pPr>
        <w:pageBreakBefore w:val="0"/>
        <w:wordWrap/>
        <w:bidi w:val="0"/>
        <w:adjustRightInd/>
        <w:snapToGrid/>
        <w:ind w:firstLine="480"/>
        <w:rPr>
          <w:color w:val="auto"/>
        </w:rPr>
      </w:pPr>
      <w:r>
        <w:rPr>
          <w:color w:val="auto"/>
        </w:rPr>
        <w:t>（1）凡是噪声达到85dB</w:t>
      </w:r>
      <w:r>
        <w:rPr>
          <w:rFonts w:hint="eastAsia"/>
          <w:color w:val="auto"/>
          <w:lang w:eastAsia="zh-CN"/>
        </w:rPr>
        <w:t>（</w:t>
      </w:r>
      <w:r>
        <w:rPr>
          <w:color w:val="auto"/>
        </w:rPr>
        <w:t>A</w:t>
      </w:r>
      <w:r>
        <w:rPr>
          <w:rFonts w:hint="eastAsia"/>
          <w:color w:val="auto"/>
          <w:lang w:eastAsia="zh-CN"/>
        </w:rPr>
        <w:t>）</w:t>
      </w:r>
      <w:r>
        <w:rPr>
          <w:color w:val="auto"/>
        </w:rPr>
        <w:t>以上的作业，禁止夜间施工。如果工艺要求必须连续作业的强噪声施工，应首先征的当地环保、城管等主管部门的同意，并及时公告周围的居民和单位，以免发生噪声扰民纠纷。</w:t>
      </w:r>
    </w:p>
    <w:p w14:paraId="0D7332EB">
      <w:pPr>
        <w:pageBreakBefore w:val="0"/>
        <w:wordWrap/>
        <w:bidi w:val="0"/>
        <w:adjustRightInd/>
        <w:snapToGrid/>
        <w:ind w:firstLine="480"/>
        <w:rPr>
          <w:color w:val="auto"/>
        </w:rPr>
      </w:pPr>
      <w:r>
        <w:rPr>
          <w:color w:val="auto"/>
        </w:rPr>
        <w:t>（2）工程在施工时，将主要噪声源，如搅拌机，布置在远离敏感点的地方，同时尽量采用低噪声的施工工具，如以液压工具代替气压工具，同时尽可能采用施工噪声低的施工方法。合理安排施工时间，避免夜间施工。中、高考期间禁止施工。工程施工汽车晚间运输应用灯光示警，禁鸣喇叭。</w:t>
      </w:r>
    </w:p>
    <w:p w14:paraId="312D0463">
      <w:pPr>
        <w:pageBreakBefore w:val="0"/>
        <w:wordWrap/>
        <w:bidi w:val="0"/>
        <w:adjustRightInd/>
        <w:snapToGrid/>
        <w:ind w:firstLine="480"/>
        <w:rPr>
          <w:color w:val="auto"/>
        </w:rPr>
      </w:pPr>
      <w:r>
        <w:rPr>
          <w:color w:val="auto"/>
        </w:rPr>
        <w:t>（3）混凝土搅拌机等固定施工机械应设置在150m范围内无学校和较大居民区的地方，在无法避开的情况下，应采取临时降噪措施，如安置临时声屏障等。建设单位应规范使用施工现场围挡，充分发挥其隔声降噪作用，距施工点两侧50m以内如有声环境保护目标，则该路段施工时应增加施工围挡的高度。</w:t>
      </w:r>
    </w:p>
    <w:p w14:paraId="14C9A599">
      <w:pPr>
        <w:pageBreakBefore w:val="0"/>
        <w:wordWrap/>
        <w:bidi w:val="0"/>
        <w:adjustRightInd/>
        <w:snapToGrid/>
        <w:ind w:firstLine="480"/>
        <w:rPr>
          <w:color w:val="auto"/>
        </w:rPr>
      </w:pPr>
      <w:r>
        <w:rPr>
          <w:color w:val="auto"/>
        </w:rPr>
        <w:t>（4）施工设备尽量采用先进低噪声设备，对产生噪声的施工设备加强维护和维修工作。</w:t>
      </w:r>
    </w:p>
    <w:p w14:paraId="4E82B20D">
      <w:pPr>
        <w:pageBreakBefore w:val="0"/>
        <w:wordWrap/>
        <w:bidi w:val="0"/>
        <w:adjustRightInd/>
        <w:snapToGrid/>
        <w:ind w:firstLine="480"/>
        <w:rPr>
          <w:color w:val="auto"/>
        </w:rPr>
      </w:pPr>
      <w:r>
        <w:rPr>
          <w:color w:val="auto"/>
        </w:rPr>
        <w:t>（5）加强对施工运输车辆的管理，尽量压缩工区汽车数量和行车密度，控制汽车鸣笛。</w:t>
      </w:r>
    </w:p>
    <w:p w14:paraId="482E076B">
      <w:pPr>
        <w:pageBreakBefore w:val="0"/>
        <w:wordWrap/>
        <w:bidi w:val="0"/>
        <w:adjustRightInd/>
        <w:snapToGrid/>
        <w:ind w:firstLine="480"/>
        <w:rPr>
          <w:color w:val="auto"/>
        </w:rPr>
      </w:pPr>
      <w:r>
        <w:rPr>
          <w:color w:val="auto"/>
        </w:rPr>
        <w:t>（6）施工单位要加强与施工点周围单位和住户的沟通和联系，讲清项目建设的必要性和重要意义，做好受影响群众的思想工作，提高广大群众的认识，争取群众的理解和支持。同时施工单位要加强对职工的教育，</w:t>
      </w:r>
      <w:r>
        <w:rPr>
          <w:rFonts w:hint="eastAsia"/>
          <w:color w:val="auto"/>
          <w:lang w:eastAsia="zh-CN"/>
        </w:rPr>
        <w:t>增强</w:t>
      </w:r>
      <w:r>
        <w:rPr>
          <w:color w:val="auto"/>
        </w:rPr>
        <w:t>作业人员的环保意识，坚持科学组织、文明施工。</w:t>
      </w:r>
    </w:p>
    <w:p w14:paraId="3D0DBC5C">
      <w:pPr>
        <w:pageBreakBefore w:val="0"/>
        <w:wordWrap/>
        <w:bidi w:val="0"/>
        <w:adjustRightInd/>
        <w:snapToGrid/>
        <w:ind w:firstLine="480"/>
        <w:rPr>
          <w:b/>
          <w:bCs/>
          <w:color w:val="auto"/>
          <w:u w:val="single"/>
        </w:rPr>
      </w:pPr>
      <w:r>
        <w:rPr>
          <w:b/>
          <w:bCs/>
          <w:color w:val="auto"/>
          <w:u w:val="single"/>
        </w:rPr>
        <w:t>采取有效措施对场址施工噪声进行控制后，会将本项目施工噪声对周围敏感点影响控制在最低水平。</w:t>
      </w:r>
    </w:p>
    <w:p w14:paraId="04B32881">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施工期固体废物环境影响预测与评价</w:t>
      </w:r>
    </w:p>
    <w:p w14:paraId="2F88696E">
      <w:pPr>
        <w:pageBreakBefore w:val="0"/>
        <w:wordWrap/>
        <w:autoSpaceDE w:val="0"/>
        <w:autoSpaceDN w:val="0"/>
        <w:bidi w:val="0"/>
        <w:adjustRightInd/>
        <w:snapToGrid/>
        <w:ind w:firstLine="480"/>
        <w:rPr>
          <w:color w:val="auto"/>
        </w:rPr>
      </w:pPr>
      <w:r>
        <w:rPr>
          <w:color w:val="auto"/>
        </w:rPr>
        <w:t>工程在建设过程产生的主要固体废物为施工建筑垃圾、生活垃圾、土石方弃土以及建筑材料等。</w:t>
      </w:r>
    </w:p>
    <w:p w14:paraId="3CF64C5C">
      <w:pPr>
        <w:pageBreakBefore w:val="0"/>
        <w:numPr>
          <w:ilvl w:val="0"/>
          <w:numId w:val="30"/>
        </w:numPr>
        <w:wordWrap/>
        <w:autoSpaceDE w:val="0"/>
        <w:autoSpaceDN w:val="0"/>
        <w:bidi w:val="0"/>
        <w:adjustRightInd/>
        <w:snapToGrid/>
        <w:ind w:firstLine="480"/>
        <w:rPr>
          <w:b/>
          <w:color w:val="auto"/>
          <w:szCs w:val="28"/>
        </w:rPr>
      </w:pPr>
      <w:r>
        <w:rPr>
          <w:b/>
          <w:color w:val="auto"/>
          <w:szCs w:val="28"/>
        </w:rPr>
        <w:t>建筑垃圾</w:t>
      </w:r>
    </w:p>
    <w:p w14:paraId="04E5DEE3">
      <w:pPr>
        <w:bidi w:val="0"/>
        <w:rPr>
          <w:color w:val="auto"/>
        </w:rPr>
      </w:pPr>
      <w:r>
        <w:rPr>
          <w:color w:val="auto"/>
        </w:rPr>
        <w:t>建设单位应在施工现场设置建筑垃圾临时堆场，并树立标示牌，临时堆场布置于地块</w:t>
      </w:r>
      <w:r>
        <w:rPr>
          <w:rFonts w:hint="eastAsia"/>
          <w:color w:val="auto"/>
          <w:lang w:val="en-US" w:eastAsia="zh-CN"/>
        </w:rPr>
        <w:t>南侧</w:t>
      </w:r>
      <w:r>
        <w:rPr>
          <w:color w:val="auto"/>
        </w:rPr>
        <w:t>。对于施工期间产生的可回收利用的废料（如钢筋、钢板、木材等下</w:t>
      </w:r>
      <w:r>
        <w:rPr>
          <w:rFonts w:hint="eastAsia"/>
          <w:color w:val="auto"/>
        </w:rPr>
        <w:t>脚</w:t>
      </w:r>
      <w:r>
        <w:rPr>
          <w:color w:val="auto"/>
        </w:rPr>
        <w:t>料）通过分类收集后交废物收购站处理；对不能回收的建筑垃圾（如混凝土废料、含砖、石、砂的杂土等）应及时清运至政府部门指定的建筑垃圾堆放场所。同时，为确保建筑垃圾处置措施落实，建设单位或施工总承包单位在与建筑垃圾清运公司签订运输合同时，应要求承包公司提供废弃物去向的证明材料，严禁随意倾倒、填埋，不得出现超载、撒漏、不到指定地点卸货等现象。严禁建筑垃圾倾倒至项目周边地表水体内。</w:t>
      </w:r>
    </w:p>
    <w:p w14:paraId="125974BA">
      <w:pPr>
        <w:bidi w:val="0"/>
        <w:rPr>
          <w:color w:val="auto"/>
          <w:szCs w:val="28"/>
        </w:rPr>
      </w:pPr>
      <w:r>
        <w:rPr>
          <w:rFonts w:hint="eastAsia"/>
          <w:b/>
          <w:color w:val="auto"/>
          <w:szCs w:val="28"/>
          <w:lang w:eastAsia="zh-CN"/>
        </w:rPr>
        <w:t>（</w:t>
      </w:r>
      <w:r>
        <w:rPr>
          <w:rFonts w:hint="eastAsia"/>
          <w:b/>
          <w:color w:val="auto"/>
          <w:szCs w:val="28"/>
          <w:lang w:val="en-US" w:eastAsia="zh-CN"/>
        </w:rPr>
        <w:t>2</w:t>
      </w:r>
      <w:r>
        <w:rPr>
          <w:rFonts w:hint="eastAsia"/>
          <w:b/>
          <w:color w:val="auto"/>
          <w:szCs w:val="28"/>
          <w:lang w:eastAsia="zh-CN"/>
        </w:rPr>
        <w:t>）</w:t>
      </w:r>
      <w:r>
        <w:rPr>
          <w:b/>
          <w:color w:val="auto"/>
          <w:szCs w:val="28"/>
        </w:rPr>
        <w:t>装修垃圾</w:t>
      </w:r>
    </w:p>
    <w:p w14:paraId="6C413FDA">
      <w:pPr>
        <w:bidi w:val="0"/>
        <w:rPr>
          <w:color w:val="auto"/>
          <w:szCs w:val="28"/>
        </w:rPr>
      </w:pPr>
      <w:r>
        <w:rPr>
          <w:color w:val="auto"/>
        </w:rPr>
        <w:t>在主体工程完工后，进行室内装修阶段，</w:t>
      </w:r>
      <w:r>
        <w:rPr>
          <w:color w:val="auto"/>
          <w:szCs w:val="28"/>
        </w:rPr>
        <w:t>装修垃圾一般有废砖头、砂、水泥及木屑等，会产生扬尘，因此不能随意倾倒，而应用编织袋包装后运出屋外，放在指定地点，由环卫部门统一清运处理。外运以上各种建筑垃圾时，出场前一律清洗轮胎，用毡布覆盖，尽量避免轮胎上的泥土掉落至路面而造成扬尘。</w:t>
      </w:r>
    </w:p>
    <w:p w14:paraId="05A51F4F">
      <w:pPr>
        <w:pageBreakBefore w:val="0"/>
        <w:wordWrap/>
        <w:bidi w:val="0"/>
        <w:adjustRightInd/>
        <w:snapToGrid/>
        <w:rPr>
          <w:color w:val="auto"/>
        </w:rPr>
      </w:pPr>
      <w:r>
        <w:rPr>
          <w:rFonts w:hint="eastAsia"/>
          <w:color w:val="auto"/>
          <w:lang w:val="en-US" w:eastAsia="zh-CN"/>
        </w:rPr>
        <w:t>装修阶段还</w:t>
      </w:r>
      <w:r>
        <w:rPr>
          <w:color w:val="auto"/>
        </w:rPr>
        <w:t>会使用大量的乳胶漆等，因此装修过程中将会产生大量的漆桶，本次评价要求在装修阶段，设置临时漆桶暂存间（建议利用移动板房设置，并在板房内设置托盘，施工期间产生的漆桶临时存放至该暂存间内，定期委托有资质的单位进行处置）。</w:t>
      </w:r>
    </w:p>
    <w:p w14:paraId="52D1C602">
      <w:pPr>
        <w:pageBreakBefore w:val="0"/>
        <w:numPr>
          <w:ilvl w:val="0"/>
          <w:numId w:val="0"/>
        </w:numPr>
        <w:wordWrap/>
        <w:autoSpaceDE w:val="0"/>
        <w:autoSpaceDN w:val="0"/>
        <w:bidi w:val="0"/>
        <w:adjustRightInd/>
        <w:snapToGrid/>
        <w:ind w:leftChars="200"/>
        <w:rPr>
          <w:b/>
          <w:color w:val="auto"/>
          <w:szCs w:val="28"/>
        </w:rPr>
      </w:pPr>
      <w:r>
        <w:rPr>
          <w:rFonts w:hint="eastAsia"/>
          <w:b/>
          <w:color w:val="auto"/>
          <w:szCs w:val="28"/>
          <w:lang w:eastAsia="zh-CN"/>
        </w:rPr>
        <w:t>（</w:t>
      </w:r>
      <w:r>
        <w:rPr>
          <w:rFonts w:hint="eastAsia"/>
          <w:b/>
          <w:color w:val="auto"/>
          <w:szCs w:val="28"/>
          <w:lang w:val="en-US" w:eastAsia="zh-CN"/>
        </w:rPr>
        <w:t>3</w:t>
      </w:r>
      <w:r>
        <w:rPr>
          <w:rFonts w:hint="eastAsia"/>
          <w:b/>
          <w:color w:val="auto"/>
          <w:szCs w:val="28"/>
          <w:lang w:eastAsia="zh-CN"/>
        </w:rPr>
        <w:t>）</w:t>
      </w:r>
      <w:r>
        <w:rPr>
          <w:b/>
          <w:color w:val="auto"/>
          <w:szCs w:val="28"/>
        </w:rPr>
        <w:t>生活垃圾</w:t>
      </w:r>
    </w:p>
    <w:p w14:paraId="7ECDB505">
      <w:pPr>
        <w:bidi w:val="0"/>
        <w:rPr>
          <w:color w:val="auto"/>
        </w:rPr>
      </w:pPr>
      <w:r>
        <w:rPr>
          <w:color w:val="auto"/>
        </w:rPr>
        <w:t>生活垃圾经袋装收集后，由环卫部门统一运送到垃圾</w:t>
      </w:r>
      <w:r>
        <w:rPr>
          <w:rFonts w:hint="eastAsia"/>
          <w:color w:val="auto"/>
        </w:rPr>
        <w:t>处理厂</w:t>
      </w:r>
      <w:r>
        <w:rPr>
          <w:color w:val="auto"/>
        </w:rPr>
        <w:t>集中处理，严禁就地填埋或焚烧，以避免对区域环境空气和水环境质量构成潜在的影响。</w:t>
      </w:r>
    </w:p>
    <w:p w14:paraId="59C7792B">
      <w:pPr>
        <w:pageBreakBefore w:val="0"/>
        <w:numPr>
          <w:ilvl w:val="0"/>
          <w:numId w:val="0"/>
        </w:numPr>
        <w:wordWrap/>
        <w:bidi w:val="0"/>
        <w:adjustRightInd/>
        <w:snapToGrid/>
        <w:ind w:leftChars="200"/>
        <w:rPr>
          <w:b/>
          <w:color w:val="auto"/>
          <w:szCs w:val="28"/>
        </w:rPr>
      </w:pPr>
      <w:r>
        <w:rPr>
          <w:rFonts w:hint="eastAsia"/>
          <w:b/>
          <w:color w:val="auto"/>
          <w:szCs w:val="28"/>
          <w:lang w:eastAsia="zh-CN"/>
        </w:rPr>
        <w:t>（</w:t>
      </w:r>
      <w:r>
        <w:rPr>
          <w:rFonts w:hint="eastAsia"/>
          <w:b/>
          <w:color w:val="auto"/>
          <w:szCs w:val="28"/>
          <w:lang w:val="en-US" w:eastAsia="zh-CN"/>
        </w:rPr>
        <w:t>4</w:t>
      </w:r>
      <w:r>
        <w:rPr>
          <w:rFonts w:hint="eastAsia"/>
          <w:b/>
          <w:color w:val="auto"/>
          <w:szCs w:val="28"/>
          <w:lang w:eastAsia="zh-CN"/>
        </w:rPr>
        <w:t>）</w:t>
      </w:r>
      <w:r>
        <w:rPr>
          <w:b/>
          <w:color w:val="auto"/>
          <w:szCs w:val="28"/>
        </w:rPr>
        <w:t>土石方</w:t>
      </w:r>
    </w:p>
    <w:p w14:paraId="506FD625">
      <w:pPr>
        <w:bidi w:val="0"/>
        <w:rPr>
          <w:color w:val="auto"/>
        </w:rPr>
      </w:pPr>
      <w:r>
        <w:rPr>
          <w:color w:val="auto"/>
          <w:szCs w:val="28"/>
        </w:rPr>
        <w:t>为避免项目土石方开挖及堆放过程中产生不利影响，</w:t>
      </w:r>
      <w:r>
        <w:rPr>
          <w:b/>
          <w:color w:val="auto"/>
          <w:szCs w:val="28"/>
        </w:rPr>
        <w:t>本环评要求采取以下防治措施：</w:t>
      </w:r>
      <w:r>
        <w:rPr>
          <w:color w:val="auto"/>
          <w:szCs w:val="28"/>
        </w:rPr>
        <w:t>合理安排土方开挖和回填作业，开挖土石方经临时堆土场堆放后，需及时进行回填处理，必须做好围护工作，防止形成新的水土流失；建设单位施工期做好水土保持方案，在施工场地及临时土方堆场周围修筑一定围护设施，防止形成的泥浆水外溢；</w:t>
      </w:r>
      <w:r>
        <w:rPr>
          <w:color w:val="auto"/>
        </w:rPr>
        <w:t>控制外借土石房和开挖回填土临时堆放场占地面积和堆放量，并在土石堆上覆盖塑料薄膜，以及在临时堆放场地周围设置导流明渠，将雨水引导到沉淀池后再排入园区雨水管网；借方运输车辆应进行对土方进行遮盖处理，避免造成撒漏和产生扬尘。运输车辆尽量不行走市区道路，避免给沿线地区增加车流量、造成交通堵塞。另外，运输车辆的运输时间应该避开上下班的高峰期及人流物流的高峰时间。</w:t>
      </w:r>
    </w:p>
    <w:p w14:paraId="64C3E855">
      <w:pPr>
        <w:pageBreakBefore w:val="0"/>
        <w:wordWrap/>
        <w:bidi w:val="0"/>
        <w:adjustRightInd/>
        <w:snapToGrid/>
        <w:ind w:firstLine="482"/>
        <w:rPr>
          <w:b/>
          <w:bCs/>
          <w:color w:val="auto"/>
        </w:rPr>
      </w:pPr>
      <w:r>
        <w:rPr>
          <w:b/>
          <w:bCs/>
          <w:color w:val="auto"/>
          <w:u w:val="single"/>
        </w:rPr>
        <w:t>综上所述，采取以上措施后，项目施工期间产生的固体废弃物均能得到清洁处理和处置，施工期产生的固废对周围环境的影响较小</w:t>
      </w:r>
      <w:r>
        <w:rPr>
          <w:b/>
          <w:bCs/>
          <w:color w:val="auto"/>
        </w:rPr>
        <w:t>。</w:t>
      </w:r>
    </w:p>
    <w:p w14:paraId="7C807238">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施工期生态环境影响分析</w:t>
      </w:r>
    </w:p>
    <w:p w14:paraId="29ACD835">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本项目施工期生态影响主要是工程占地、植被破坏、水土流失等。</w:t>
      </w:r>
    </w:p>
    <w:p w14:paraId="70ABC0FC">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（1）工程占地影响</w:t>
      </w:r>
    </w:p>
    <w:p w14:paraId="7AD11A36">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项目建设会</w:t>
      </w:r>
      <w:r>
        <w:rPr>
          <w:rFonts w:hint="eastAsia" w:cs="Times New Roman"/>
          <w:color w:val="auto"/>
          <w:lang w:val="en-US" w:eastAsia="zh-CN"/>
        </w:rPr>
        <w:t>新增永久占地</w:t>
      </w:r>
      <w:r>
        <w:rPr>
          <w:rFonts w:hint="default" w:ascii="Times New Roman" w:hAnsi="Times New Roman" w:eastAsia="宋体" w:cs="Times New Roman"/>
          <w:color w:val="auto"/>
          <w:lang w:val="en-US" w:eastAsia="zh-CN"/>
        </w:rPr>
        <w:t>，破坏耕地和植被，</w:t>
      </w:r>
      <w:r>
        <w:rPr>
          <w:rFonts w:hint="eastAsia" w:cs="Times New Roman"/>
          <w:color w:val="auto"/>
          <w:lang w:val="en-US" w:eastAsia="zh-CN"/>
        </w:rPr>
        <w:t>但项目不涉及占用基本农田，</w:t>
      </w:r>
      <w:r>
        <w:rPr>
          <w:rFonts w:ascii="宋体" w:hAnsi="宋体" w:eastAsia="宋体" w:cs="宋体"/>
          <w:color w:val="auto"/>
          <w:spacing w:val="-1"/>
          <w:sz w:val="24"/>
          <w:szCs w:val="24"/>
        </w:rPr>
        <w:t>对当地</w:t>
      </w:r>
      <w:r>
        <w:rPr>
          <w:rFonts w:ascii="宋体" w:hAnsi="宋体" w:eastAsia="宋体" w:cs="宋体"/>
          <w:color w:val="auto"/>
          <w:spacing w:val="-4"/>
          <w:sz w:val="24"/>
          <w:szCs w:val="24"/>
        </w:rPr>
        <w:t>土地利用类型影响较小。</w:t>
      </w:r>
      <w:r>
        <w:rPr>
          <w:rFonts w:hint="default" w:ascii="Times New Roman" w:hAnsi="Times New Roman" w:eastAsia="宋体" w:cs="Times New Roman"/>
          <w:color w:val="auto"/>
          <w:lang w:val="en-US" w:eastAsia="zh-CN"/>
        </w:rPr>
        <w:t>其中临时占地主要用于埋设管道、土石方堆放、管材堆放等，该部分占地管线建成后将逐渐恢复其原有土地利用性质。</w:t>
      </w:r>
    </w:p>
    <w:p w14:paraId="1891A6CE">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w:t>
      </w:r>
      <w:r>
        <w:rPr>
          <w:rFonts w:hint="eastAsia" w:cs="Times New Roman"/>
          <w:b/>
          <w:bCs/>
          <w:color w:val="auto"/>
          <w:lang w:val="en-US" w:eastAsia="zh-CN"/>
        </w:rPr>
        <w:t>污水处理厂</w:t>
      </w:r>
      <w:r>
        <w:rPr>
          <w:rFonts w:hint="default" w:ascii="Times New Roman" w:hAnsi="Times New Roman" w:eastAsia="宋体" w:cs="Times New Roman"/>
          <w:b/>
          <w:bCs/>
          <w:color w:val="auto"/>
          <w:lang w:val="en-US" w:eastAsia="zh-CN"/>
        </w:rPr>
        <w:t>建设对生态环境的影响</w:t>
      </w:r>
    </w:p>
    <w:p w14:paraId="08317B5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厂区大量填方在未压实或固结条件下，易被水力和风力侵蚀造成大量水土流失，大量</w:t>
      </w:r>
      <w:r>
        <w:rPr>
          <w:rFonts w:hint="eastAsia" w:ascii="Times New Roman" w:hAnsi="Times New Roman" w:eastAsia="宋体" w:cs="Times New Roman"/>
          <w:color w:val="auto"/>
          <w:lang w:val="en-US" w:eastAsia="zh-CN"/>
        </w:rPr>
        <w:t>泥沙</w:t>
      </w:r>
      <w:r>
        <w:rPr>
          <w:rFonts w:hint="default" w:ascii="Times New Roman" w:hAnsi="Times New Roman" w:eastAsia="宋体" w:cs="Times New Roman"/>
          <w:color w:val="auto"/>
          <w:lang w:val="en-US" w:eastAsia="zh-CN"/>
        </w:rPr>
        <w:t>随地表雨水进入河流造成河水SS升高；厂外</w:t>
      </w:r>
      <w:r>
        <w:rPr>
          <w:rFonts w:hint="eastAsia" w:cs="Times New Roman"/>
          <w:color w:val="auto"/>
          <w:lang w:val="en-US" w:eastAsia="zh-CN"/>
        </w:rPr>
        <w:t>污水</w:t>
      </w:r>
      <w:r>
        <w:rPr>
          <w:rFonts w:hint="default" w:ascii="Times New Roman" w:hAnsi="Times New Roman" w:eastAsia="宋体" w:cs="Times New Roman"/>
          <w:color w:val="auto"/>
          <w:lang w:val="en-US" w:eastAsia="zh-CN"/>
        </w:rPr>
        <w:t>管道土石方临时堆弃也易造成水土流失；工程砂砾料的采集，可能堵塞河道，改变河流形态，增加水土流失。</w:t>
      </w:r>
    </w:p>
    <w:p w14:paraId="716E7BC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（3）管网敷设建设对生态环境的影响</w:t>
      </w:r>
    </w:p>
    <w:p w14:paraId="5AE15023">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管网敷设作业属于短期的临时性占地，在施工开挖过程中，会造成地面裸露，</w:t>
      </w:r>
      <w:r>
        <w:rPr>
          <w:rFonts w:hint="eastAsia" w:cs="Times New Roman"/>
          <w:color w:val="auto"/>
          <w:lang w:val="en-US" w:eastAsia="zh-CN"/>
        </w:rPr>
        <w:t>加剧</w:t>
      </w:r>
      <w:r>
        <w:rPr>
          <w:rFonts w:hint="default" w:ascii="Times New Roman" w:hAnsi="Times New Roman" w:eastAsia="宋体" w:cs="Times New Roman"/>
          <w:color w:val="auto"/>
          <w:lang w:val="en-US" w:eastAsia="zh-CN"/>
        </w:rPr>
        <w:t>土壤侵蚀和水土流失。总体来说项目施工对城区植被的影响很小。</w:t>
      </w:r>
      <w:r>
        <w:rPr>
          <w:rFonts w:hint="eastAsia" w:cs="Times New Roman"/>
          <w:color w:val="auto"/>
          <w:lang w:val="en-US" w:eastAsia="zh-CN"/>
        </w:rPr>
        <w:t>污水管网</w:t>
      </w:r>
      <w:r>
        <w:rPr>
          <w:rFonts w:hint="default" w:ascii="Times New Roman" w:hAnsi="Times New Roman" w:eastAsia="宋体" w:cs="Times New Roman"/>
          <w:color w:val="auto"/>
          <w:lang w:val="en-US" w:eastAsia="zh-CN"/>
        </w:rPr>
        <w:t>在正常输送过程中全线采用密闭流程，无污染物外排。施工中场地临时堆方因结构松散会被雨水冲刷造成水土流失。</w:t>
      </w:r>
    </w:p>
    <w:p w14:paraId="1106A85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（4）土壤影响</w:t>
      </w:r>
    </w:p>
    <w:p w14:paraId="4DB3BF35">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管线施工过程中，开挖管沟宽度范围内，将底土翻出，使土体结构几乎完全改变，挖掘区内植被全部被破坏，植被恢复需要较长的时间；管沟开挖破坏土壤结构，改变土壤质地，改变土壤耕作层及土壤紧实度，影响土壤发育和农作物的生长，土壤肥力下降，农作物的产量将下降，覆土回填后，土壤的容量、土体结构、土壤抗蚀指数等也会发生较大变化。管沟两侧施工区域内，也会因土石方堆放等因素，改变土壤结构，从而影响土壤发育和农作物的生长，甚至导致水土流失。对土壤环境的影响主要由管道施工开挖土方引起，将对土壤结构、土壤的紧实度、</w:t>
      </w:r>
      <w:r>
        <w:rPr>
          <w:rFonts w:hint="eastAsia" w:ascii="Times New Roman" w:hAnsi="Times New Roman" w:eastAsia="宋体" w:cs="Times New Roman"/>
          <w:color w:val="auto"/>
          <w:lang w:val="en-US" w:eastAsia="zh-CN"/>
        </w:rPr>
        <w:t>土壤</w:t>
      </w:r>
      <w:r>
        <w:rPr>
          <w:rFonts w:hint="default" w:ascii="Times New Roman" w:hAnsi="Times New Roman" w:eastAsia="宋体" w:cs="Times New Roman"/>
          <w:color w:val="auto"/>
          <w:lang w:val="en-US" w:eastAsia="zh-CN"/>
        </w:rPr>
        <w:t>养分状况造成影响。</w:t>
      </w:r>
    </w:p>
    <w:p w14:paraId="161EB0DC">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①扰动土壤耕作层、破坏土壤结构</w:t>
      </w:r>
    </w:p>
    <w:p w14:paraId="0C6EDAFD">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土壤结构是土壤团聚体的总称。土壤结构直接影响土壤的松紧和孔隙状况，影响到土壤耕作和农作物幼苗出土、扎根的难易程度。因此，土壤结构是调节土壤肥力最活跃的因素</w:t>
      </w:r>
      <w:r>
        <w:rPr>
          <w:rFonts w:hint="eastAsia" w:ascii="Times New Roman" w:hAnsi="Times New Roman" w:eastAsia="宋体" w:cs="Times New Roman"/>
          <w:color w:val="auto"/>
          <w:lang w:val="en-US" w:eastAsia="zh-CN"/>
        </w:rPr>
        <w:t>之一</w:t>
      </w:r>
      <w:r>
        <w:rPr>
          <w:rFonts w:hint="default" w:ascii="Times New Roman" w:hAnsi="Times New Roman" w:eastAsia="宋体" w:cs="Times New Roman"/>
          <w:color w:val="auto"/>
          <w:lang w:val="en-US" w:eastAsia="zh-CN"/>
        </w:rPr>
        <w:t>。土壤结构的形成不仅需要较长的时间，而且不同的土地利用方式也会对土壤结构产生影响，因此，其结构一旦破坏，要恢复就需要较长的时间，并花费较大的精力。</w:t>
      </w:r>
    </w:p>
    <w:p w14:paraId="4F38E18C">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管道开挖必定扰乱和破坏土壤的耕作层，除管道开挖部分的土壤受到直接破坏外，将开挖</w:t>
      </w:r>
      <w:r>
        <w:rPr>
          <w:rFonts w:hint="eastAsia" w:ascii="Times New Roman" w:hAnsi="Times New Roman" w:eastAsia="宋体" w:cs="Times New Roman"/>
          <w:color w:val="auto"/>
          <w:lang w:val="en-US" w:eastAsia="zh-CN"/>
        </w:rPr>
        <w:t>土方</w:t>
      </w:r>
      <w:r>
        <w:rPr>
          <w:rFonts w:hint="default" w:ascii="Times New Roman" w:hAnsi="Times New Roman" w:eastAsia="宋体" w:cs="Times New Roman"/>
          <w:color w:val="auto"/>
          <w:lang w:val="en-US" w:eastAsia="zh-CN"/>
        </w:rPr>
        <w:t>堆放两边占用农田，也会破坏农田的耕作土，此外，土层的混合和扰动，同样会改变原有农田耕作层的性质。因此在整个施工过程中，对土壤耕作层的影响最为严重。</w:t>
      </w:r>
    </w:p>
    <w:p w14:paraId="278894F4">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②混合土壤层次、改变土壤质地</w:t>
      </w:r>
    </w:p>
    <w:p w14:paraId="5905BAC2">
      <w:pPr>
        <w:bidi w:val="0"/>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土壤质地因地形和土壤形成条件的不同而有较大的差异，即使同一土壤剖面，表层</w:t>
      </w:r>
      <w:r>
        <w:rPr>
          <w:rFonts w:hint="eastAsia" w:ascii="Times New Roman" w:hAnsi="Times New Roman" w:eastAsia="宋体" w:cs="Times New Roman"/>
          <w:b w:val="0"/>
          <w:bCs w:val="0"/>
          <w:color w:val="auto"/>
          <w:lang w:val="en-US" w:eastAsia="zh-CN"/>
        </w:rPr>
        <w:t>土壤质地</w:t>
      </w:r>
      <w:r>
        <w:rPr>
          <w:rFonts w:hint="default" w:ascii="Times New Roman" w:hAnsi="Times New Roman" w:eastAsia="宋体" w:cs="Times New Roman"/>
          <w:b w:val="0"/>
          <w:bCs w:val="0"/>
          <w:color w:val="auto"/>
          <w:lang w:val="en-US" w:eastAsia="zh-CN"/>
        </w:rPr>
        <w:t>与底层的也截然不同。管道的开挖和回填，必定混合原有的土壤层次，降低</w:t>
      </w:r>
      <w:r>
        <w:rPr>
          <w:rFonts w:hint="eastAsia" w:ascii="Times New Roman" w:hAnsi="Times New Roman" w:eastAsia="宋体" w:cs="Times New Roman"/>
          <w:b w:val="0"/>
          <w:bCs w:val="0"/>
          <w:color w:val="auto"/>
          <w:lang w:val="en-US" w:eastAsia="zh-CN"/>
        </w:rPr>
        <w:t>土地</w:t>
      </w:r>
      <w:r>
        <w:rPr>
          <w:rFonts w:hint="default" w:ascii="Times New Roman" w:hAnsi="Times New Roman" w:eastAsia="宋体" w:cs="Times New Roman"/>
          <w:b w:val="0"/>
          <w:bCs w:val="0"/>
          <w:color w:val="auto"/>
          <w:lang w:val="en-US" w:eastAsia="zh-CN"/>
        </w:rPr>
        <w:t>的蓄水保肥能力，易受风蚀，从而影响土壤的</w:t>
      </w:r>
      <w:r>
        <w:rPr>
          <w:rFonts w:hint="eastAsia" w:ascii="Times New Roman" w:hAnsi="Times New Roman" w:eastAsia="宋体" w:cs="Times New Roman"/>
          <w:b w:val="0"/>
          <w:bCs w:val="0"/>
          <w:color w:val="auto"/>
          <w:lang w:val="en-US" w:eastAsia="zh-CN"/>
        </w:rPr>
        <w:t>发育</w:t>
      </w:r>
      <w:r>
        <w:rPr>
          <w:rFonts w:hint="default" w:ascii="Times New Roman" w:hAnsi="Times New Roman" w:eastAsia="宋体" w:cs="Times New Roman"/>
          <w:b w:val="0"/>
          <w:bCs w:val="0"/>
          <w:color w:val="auto"/>
          <w:lang w:val="en-US" w:eastAsia="zh-CN"/>
        </w:rPr>
        <w:t>，植被的恢复；在农田区将降低土壤的耕作性能，影响农作物的生长，最终导致农作物产量的下降。</w:t>
      </w:r>
    </w:p>
    <w:p w14:paraId="785CB79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③影响土壤养分</w:t>
      </w:r>
    </w:p>
    <w:p w14:paraId="20E113F6">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土壤养分状况的好坏直接影响作物的质量和产量。据国内外的有关资料表明，管道工程对土壤养分及土壤的理化性质的影响与施工作业方式有关。在实行分层堆放，分层覆盖的措施下，土壤的有机质将下降30%</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40%，土壤养分将下降30%</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50%，其中全氨下降43%左右，磷素下降40%，钾素下降43%。这表明即使在管道施工过程中实行分层堆放和分层覆土等保护措施，管道工程对土壤养分仍有明显的影响，事实上，在管道施工过程中，难以严格保证对表土实行分层堆放和分层覆土，因而管道施工对土壤养分的影响更为明显，最后导致土地生物生产量的下降。</w:t>
      </w:r>
    </w:p>
    <w:p w14:paraId="35B20B3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④影响土壤紧实度</w:t>
      </w:r>
    </w:p>
    <w:p w14:paraId="70A66684">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管道铺设后的回填，一般难以恢复原有的土壤紧实度，施工中机械碾压，人员践踏等都会影响土壤的紧实度。土层过松，易引起水土流失，土体过紧，又会影响作物生长。</w:t>
      </w:r>
    </w:p>
    <w:p w14:paraId="24C8FB94">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（5）对动植物的影响</w:t>
      </w:r>
    </w:p>
    <w:p w14:paraId="64057640">
      <w:pPr>
        <w:bidi w:val="0"/>
        <w:rPr>
          <w:rFonts w:hint="default"/>
          <w:color w:val="auto"/>
          <w:lang w:val="en-US" w:eastAsia="zh-CN"/>
        </w:rPr>
      </w:pPr>
      <w:r>
        <w:rPr>
          <w:rFonts w:hint="default"/>
          <w:color w:val="auto"/>
          <w:lang w:val="en-US" w:eastAsia="zh-CN"/>
        </w:rPr>
        <w:t>本项目</w:t>
      </w:r>
      <w:r>
        <w:rPr>
          <w:rFonts w:hint="eastAsia"/>
          <w:color w:val="auto"/>
          <w:lang w:val="en-US" w:eastAsia="zh-CN"/>
        </w:rPr>
        <w:t>污水处理厂</w:t>
      </w:r>
      <w:r>
        <w:rPr>
          <w:rFonts w:hint="default"/>
          <w:color w:val="auto"/>
          <w:lang w:val="en-US" w:eastAsia="zh-CN"/>
        </w:rPr>
        <w:t>占地区域为人类频繁活动区，经调查访问和沿途观察，附近的野生动物主要是适合栖息于旱地、居民点周边的种类，如农田常见的啮齿类、两栖类、爬行类和麻雀等常见鸟类，无大型野生动物，也无国家保护的珍稀野生动物。</w:t>
      </w:r>
    </w:p>
    <w:p w14:paraId="78A48B0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施工使植被生物量减少和丧失是项目产生的主要负面影响之一，但是管道施工期占用的植被生物量是可以在后期给予恢复的。施工活动结束后，农作物生产恢复，影响消失。施工期，会破坏野生动物原有的生存环境，根据调查，管道沿线周围100m范围内无古树名木和珍稀濒危动植物，且区内人类活动比较频繁，主要以家禽、家畜养殖为主，野生动物少。因此，管道施工对动物的影响不大。施工完毕后，这些影响将消失。</w:t>
      </w:r>
    </w:p>
    <w:p w14:paraId="7CE22A82">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（7）水土流失</w:t>
      </w:r>
    </w:p>
    <w:p w14:paraId="4026239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开挖和填筑将使原地表植被、地面组成物质、地形地貌受到扰动和破坏，使临时占地范围内的表层土裸露或形成较松散堆积体，失去原有植被的防冲、固土能力，增加新的水土流失。</w:t>
      </w:r>
    </w:p>
    <w:p w14:paraId="6B451D8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水土流失的危害主要表现为降低土地生产力和水土保持功能，破坏周边生态环境，危害工程安全，影响生态效益。因此，为保护生态环境，控制水土流失，需对各新增水土流失区域采取适宜、有效、经济的水土保持措施，进行植被和景观恢复，并把临时堆土作为本项目的重点防治对象，最大程度减少水土流失。</w:t>
      </w:r>
    </w:p>
    <w:p w14:paraId="2387EF9B">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水土流失防治措施：</w:t>
      </w:r>
    </w:p>
    <w:p w14:paraId="2FF2DF25">
      <w:pPr>
        <w:bidi w:val="0"/>
        <w:rPr>
          <w:rFonts w:hint="default"/>
          <w:color w:val="auto"/>
          <w:lang w:val="en-US" w:eastAsia="zh-CN"/>
        </w:rPr>
      </w:pPr>
      <w:r>
        <w:rPr>
          <w:rFonts w:hint="default"/>
          <w:color w:val="auto"/>
          <w:lang w:val="en-US" w:eastAsia="zh-CN"/>
        </w:rPr>
        <w:t>工程施工期间，由于地表有一定开挖量，对植被产生破坏，若不采取妥善措施将使拟建项目所在地的土壤流失量出现成倍增长的趋势，因此，应采取严格的环保措施，以有效地控制水土流失的发生：</w:t>
      </w:r>
    </w:p>
    <w:p w14:paraId="022BBC1F">
      <w:pPr>
        <w:bidi w:val="0"/>
        <w:rPr>
          <w:rFonts w:hint="default"/>
          <w:color w:val="auto"/>
          <w:lang w:val="en-US" w:eastAsia="zh-CN"/>
        </w:rPr>
      </w:pPr>
      <w:r>
        <w:rPr>
          <w:rFonts w:hint="default"/>
          <w:color w:val="auto"/>
          <w:lang w:val="en-US" w:eastAsia="zh-CN"/>
        </w:rPr>
        <w:t>①在开挖建设中，应尽量避开雨季，在物料堆场、灰土排合场地等周围，雨季应设土工布围栏，预防水土流失；</w:t>
      </w:r>
    </w:p>
    <w:p w14:paraId="76ABB655">
      <w:pPr>
        <w:bidi w:val="0"/>
        <w:rPr>
          <w:rFonts w:hint="default"/>
          <w:color w:val="auto"/>
          <w:lang w:val="en-US" w:eastAsia="zh-CN"/>
        </w:rPr>
      </w:pPr>
      <w:r>
        <w:rPr>
          <w:rFonts w:hint="default"/>
          <w:color w:val="auto"/>
          <w:lang w:val="en-US" w:eastAsia="zh-CN"/>
        </w:rPr>
        <w:t>②工程施工中做好土石方平衡工作，开挖的土方尽量作为施工场地平整回填之用；管道敷设产生的弃</w:t>
      </w:r>
      <w:r>
        <w:rPr>
          <w:rFonts w:hint="eastAsia"/>
          <w:color w:val="auto"/>
          <w:lang w:val="en-US" w:eastAsia="zh-CN"/>
        </w:rPr>
        <w:t>土</w:t>
      </w:r>
      <w:r>
        <w:rPr>
          <w:rFonts w:hint="default"/>
          <w:color w:val="auto"/>
          <w:lang w:val="en-US" w:eastAsia="zh-CN"/>
        </w:rPr>
        <w:t>在回填后多余部分及时运至周边低洼地带填平；</w:t>
      </w:r>
    </w:p>
    <w:p w14:paraId="4C9BA2AB">
      <w:pPr>
        <w:bidi w:val="0"/>
        <w:rPr>
          <w:rFonts w:hint="default"/>
          <w:color w:val="auto"/>
          <w:lang w:val="en-US" w:eastAsia="zh-CN"/>
        </w:rPr>
      </w:pPr>
      <w:r>
        <w:rPr>
          <w:rFonts w:hint="default"/>
          <w:color w:val="auto"/>
          <w:lang w:val="en-US" w:eastAsia="zh-CN"/>
        </w:rPr>
        <w:t>③临时堆放场应选择较平整的场地，且场地使用后尽快恢复植被，临时堆放场在弃土堆放期间应做好覆盖措施，堆放场边坡坡脚砌编织土袋拦挡，坡顶面采用塑料薄膜或毡布遮盖，堆场周围修建简易排水沟，排水沟出口设简易沉淀池，汇水经沉淀后用于场地内降尘；</w:t>
      </w:r>
    </w:p>
    <w:p w14:paraId="0D838832">
      <w:pPr>
        <w:bidi w:val="0"/>
        <w:rPr>
          <w:rFonts w:hint="default"/>
          <w:color w:val="auto"/>
          <w:lang w:val="en-US" w:eastAsia="zh-CN"/>
        </w:rPr>
      </w:pPr>
      <w:r>
        <w:rPr>
          <w:rFonts w:hint="default"/>
          <w:color w:val="auto"/>
          <w:lang w:val="en-US" w:eastAsia="zh-CN"/>
        </w:rPr>
        <w:t>④工程施工应分期分区进行，不要全线全面铺开以缩短单项工期。开挖的裸露面要有防治措施，尽量缩短暴露时间，减少水土流失；</w:t>
      </w:r>
    </w:p>
    <w:p w14:paraId="4E3BFF1D">
      <w:pPr>
        <w:bidi w:val="0"/>
        <w:rPr>
          <w:rFonts w:hint="default"/>
          <w:color w:val="auto"/>
          <w:lang w:val="en-US" w:eastAsia="zh-CN"/>
        </w:rPr>
      </w:pPr>
      <w:r>
        <w:rPr>
          <w:rFonts w:hint="default"/>
          <w:color w:val="auto"/>
          <w:lang w:val="en-US" w:eastAsia="zh-CN"/>
        </w:rPr>
        <w:t>⑤施工场地应注意土方的合理堆置，距河道保持一定距离，尽量避免流入河道，减少水土流失对河流的影响。</w:t>
      </w:r>
    </w:p>
    <w:p w14:paraId="50FF376B">
      <w:pPr>
        <w:bidi w:val="0"/>
        <w:rPr>
          <w:rFonts w:hint="default"/>
          <w:b/>
          <w:bCs/>
          <w:color w:val="auto"/>
          <w:u w:val="single"/>
          <w:lang w:val="en-US" w:eastAsia="zh-CN"/>
        </w:rPr>
      </w:pPr>
      <w:r>
        <w:rPr>
          <w:rFonts w:hint="default"/>
          <w:b/>
          <w:bCs/>
          <w:color w:val="auto"/>
          <w:u w:val="single"/>
          <w:lang w:val="en-US" w:eastAsia="zh-CN"/>
        </w:rPr>
        <w:t>综上分析，本项目在施工期间对城区生态环境影响不大，而且通过采取相应的生态保护和恢复措施，尤其是通过施工管理和强化施工期的保护和恢复，则本项目建设对生态环境影响是可接受的。</w:t>
      </w:r>
    </w:p>
    <w:p w14:paraId="6C2AFB17">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施工方案实施建议</w:t>
      </w:r>
    </w:p>
    <w:p w14:paraId="24CCFAA7">
      <w:pPr>
        <w:bidi w:val="0"/>
        <w:rPr>
          <w:color w:val="auto"/>
        </w:rPr>
      </w:pPr>
      <w:bookmarkStart w:id="176" w:name="_Toc505087360"/>
      <w:r>
        <w:rPr>
          <w:color w:val="auto"/>
        </w:rPr>
        <w:t>项目在建设过程中，根据环境影响评价结果以及目前施工情况，建议施工方实施施工组织方案时注意以下问题：</w:t>
      </w:r>
    </w:p>
    <w:p w14:paraId="6C027AEB">
      <w:pPr>
        <w:bidi w:val="0"/>
        <w:rPr>
          <w:color w:val="auto"/>
        </w:rPr>
      </w:pPr>
      <w:r>
        <w:rPr>
          <w:color w:val="auto"/>
        </w:rPr>
        <w:t>①施工单位必须编制建筑工程施工组织设计，项目若实行总包和分包的，总包单位负责编制建筑工程施工组织设计，分包单位负责编制分包工程的施工方案中环境管理篇章中针对重要污染因素</w:t>
      </w:r>
      <w:r>
        <w:rPr>
          <w:rFonts w:hint="eastAsia"/>
          <w:color w:val="auto"/>
          <w:lang w:eastAsia="zh-CN"/>
        </w:rPr>
        <w:t>（</w:t>
      </w:r>
      <w:r>
        <w:rPr>
          <w:color w:val="auto"/>
        </w:rPr>
        <w:t>扬尘、噪声和震动</w:t>
      </w:r>
      <w:r>
        <w:rPr>
          <w:rFonts w:hint="eastAsia"/>
          <w:color w:val="auto"/>
          <w:lang w:eastAsia="zh-CN"/>
        </w:rPr>
        <w:t>）</w:t>
      </w:r>
      <w:r>
        <w:rPr>
          <w:color w:val="auto"/>
        </w:rPr>
        <w:t>提出的控制措施应全面、可行，为保护周围环境，还应根据执行情况</w:t>
      </w:r>
      <w:r>
        <w:rPr>
          <w:rFonts w:hint="eastAsia"/>
          <w:color w:val="auto"/>
          <w:lang w:eastAsia="zh-CN"/>
        </w:rPr>
        <w:t>做</w:t>
      </w:r>
      <w:r>
        <w:rPr>
          <w:color w:val="auto"/>
        </w:rPr>
        <w:t>适当的调整。</w:t>
      </w:r>
    </w:p>
    <w:p w14:paraId="17A62680">
      <w:pPr>
        <w:bidi w:val="0"/>
        <w:rPr>
          <w:color w:val="auto"/>
        </w:rPr>
      </w:pPr>
      <w:r>
        <w:rPr>
          <w:color w:val="auto"/>
        </w:rPr>
        <w:t>②禁止在22时至次日6时进行产生环境噪声污染的建设施工。因生产工艺要求或者需要必须连续作业，确需进行夜间施工的，办理《夜间施工许可证》后在工地进出口和临近居民的地方悬挂，公告附近居民，施工中应当采取降噪措施，尽可能将噪声污染控制在最低水平。在中考、高考期间禁止夜间施工</w:t>
      </w:r>
      <w:r>
        <w:rPr>
          <w:rFonts w:hint="eastAsia"/>
          <w:color w:val="auto"/>
          <w:lang w:eastAsia="zh-CN"/>
        </w:rPr>
        <w:t>（</w:t>
      </w:r>
      <w:r>
        <w:rPr>
          <w:color w:val="auto"/>
        </w:rPr>
        <w:t>抢修、抢险的施工作业除外</w:t>
      </w:r>
      <w:r>
        <w:rPr>
          <w:rFonts w:hint="eastAsia"/>
          <w:color w:val="auto"/>
          <w:lang w:eastAsia="zh-CN"/>
        </w:rPr>
        <w:t>）</w:t>
      </w:r>
      <w:r>
        <w:rPr>
          <w:color w:val="auto"/>
        </w:rPr>
        <w:t>，具体时间和要求，见市城建主管部门公告。</w:t>
      </w:r>
    </w:p>
    <w:p w14:paraId="2ECE31E6">
      <w:pPr>
        <w:bidi w:val="0"/>
        <w:rPr>
          <w:color w:val="auto"/>
        </w:rPr>
      </w:pPr>
      <w:r>
        <w:rPr>
          <w:color w:val="auto"/>
        </w:rPr>
        <w:t>③施工时应对正在修建的建筑物外围进行围护结构遮挡。施工车辆出施工场地前其轮胎等部位必须经过严格冲洗，防止进出车辆将泥土带入附近道路，造成扬尘及景观污染。</w:t>
      </w:r>
    </w:p>
    <w:p w14:paraId="79D57031">
      <w:pPr>
        <w:bidi w:val="0"/>
        <w:rPr>
          <w:color w:val="auto"/>
        </w:rPr>
      </w:pPr>
      <w:r>
        <w:rPr>
          <w:color w:val="auto"/>
        </w:rPr>
        <w:t>④保证施工现场</w:t>
      </w:r>
      <w:r>
        <w:rPr>
          <w:rFonts w:hint="eastAsia"/>
          <w:color w:val="auto"/>
          <w:lang w:eastAsia="zh-CN"/>
        </w:rPr>
        <w:t>雨污水</w:t>
      </w:r>
      <w:r>
        <w:rPr>
          <w:color w:val="auto"/>
        </w:rPr>
        <w:t>系统排水通畅，防止施工期间施工人员生活污水乱排放，施工废水经过二次沉淀后回用，减少排放量。</w:t>
      </w:r>
    </w:p>
    <w:p w14:paraId="5B3B4E39">
      <w:pPr>
        <w:bidi w:val="0"/>
        <w:rPr>
          <w:color w:val="auto"/>
        </w:rPr>
      </w:pPr>
      <w:r>
        <w:rPr>
          <w:color w:val="auto"/>
        </w:rPr>
        <w:t>⑤各种型号的材料及构件应分类堆放，堆放场地</w:t>
      </w:r>
      <w:r>
        <w:rPr>
          <w:rFonts w:hint="eastAsia"/>
          <w:color w:val="auto"/>
          <w:lang w:eastAsia="zh-CN"/>
        </w:rPr>
        <w:t>具有</w:t>
      </w:r>
      <w:r>
        <w:rPr>
          <w:color w:val="auto"/>
        </w:rPr>
        <w:t>良好的排水设施。对于剩余无用的材料和各种外包装物品应集中堆放，统一处理，禁止外来人员进入场区捡拾垃圾，以免造成环境污染及安全隐患。</w:t>
      </w:r>
    </w:p>
    <w:p w14:paraId="47E2CD76">
      <w:pPr>
        <w:bidi w:val="0"/>
        <w:rPr>
          <w:color w:val="auto"/>
        </w:rPr>
      </w:pPr>
      <w:r>
        <w:rPr>
          <w:color w:val="auto"/>
        </w:rPr>
        <w:t>⑥项目交通干道旁，施工单位</w:t>
      </w:r>
      <w:r>
        <w:rPr>
          <w:rFonts w:hint="eastAsia"/>
          <w:color w:val="auto"/>
          <w:lang w:eastAsia="zh-CN"/>
        </w:rPr>
        <w:t>及其他</w:t>
      </w:r>
      <w:r>
        <w:rPr>
          <w:color w:val="auto"/>
        </w:rPr>
        <w:t>项目相关方应加强进出车辆管理，尽量避开高峰时间，确保周围道路畅通。</w:t>
      </w:r>
    </w:p>
    <w:p w14:paraId="1E20FF5D">
      <w:pPr>
        <w:bidi w:val="0"/>
        <w:rPr>
          <w:color w:val="auto"/>
        </w:rPr>
      </w:pPr>
      <w:r>
        <w:rPr>
          <w:color w:val="auto"/>
        </w:rPr>
        <w:t>⑦施工环境管理工作还可以按照IS01400l的要求，建立一套</w:t>
      </w:r>
      <w:r>
        <w:rPr>
          <w:rFonts w:hint="eastAsia"/>
          <w:color w:val="auto"/>
          <w:lang w:eastAsia="zh-CN"/>
        </w:rPr>
        <w:t>“</w:t>
      </w:r>
      <w:r>
        <w:rPr>
          <w:color w:val="auto"/>
        </w:rPr>
        <w:t>环境污染控制管理方案</w:t>
      </w:r>
      <w:r>
        <w:rPr>
          <w:rFonts w:hint="eastAsia"/>
          <w:color w:val="auto"/>
          <w:lang w:eastAsia="zh-CN"/>
        </w:rPr>
        <w:t>”</w:t>
      </w:r>
      <w:r>
        <w:rPr>
          <w:color w:val="auto"/>
        </w:rPr>
        <w:t>，并利用其中的</w:t>
      </w:r>
      <w:r>
        <w:rPr>
          <w:rFonts w:hint="eastAsia"/>
          <w:color w:val="auto"/>
          <w:lang w:eastAsia="zh-CN"/>
        </w:rPr>
        <w:t>“</w:t>
      </w:r>
      <w:r>
        <w:rPr>
          <w:color w:val="auto"/>
        </w:rPr>
        <w:t>运行控制程序</w:t>
      </w:r>
      <w:r>
        <w:rPr>
          <w:rFonts w:hint="eastAsia"/>
          <w:color w:val="auto"/>
          <w:lang w:eastAsia="zh-CN"/>
        </w:rPr>
        <w:t>”</w:t>
      </w:r>
      <w:r>
        <w:rPr>
          <w:color w:val="auto"/>
        </w:rPr>
        <w:t>进行严格管理，施工企业树立更为良好的社会形象，有利于企业的发展，以便更好的做到文明施工、把对周围环境造成的污染影响降至最低。</w:t>
      </w:r>
    </w:p>
    <w:p w14:paraId="7AF57C52">
      <w:pPr>
        <w:bidi w:val="0"/>
        <w:rPr>
          <w:color w:val="auto"/>
        </w:rPr>
      </w:pPr>
      <w:r>
        <w:rPr>
          <w:color w:val="auto"/>
        </w:rPr>
        <w:t>⑧施工平面布置要充分考虑对周边住宅区环境敏感点环境噪声的影响，将主要产噪施工设备尽量远离这些目标，优化施工平面布局。</w:t>
      </w:r>
    </w:p>
    <w:p w14:paraId="159C7DA3">
      <w:pPr>
        <w:pStyle w:val="4"/>
        <w:pageBreakBefore w:val="0"/>
        <w:wordWrap/>
        <w:bidi w:val="0"/>
        <w:adjustRightInd/>
        <w:snapToGrid/>
        <w:rPr>
          <w:rFonts w:ascii="Times New Roman" w:hAnsi="Times New Roman" w:eastAsia="宋体"/>
          <w:color w:val="auto"/>
        </w:rPr>
      </w:pPr>
      <w:bookmarkStart w:id="177" w:name="_Toc31299"/>
      <w:r>
        <w:rPr>
          <w:rFonts w:hint="eastAsia" w:ascii="Times New Roman" w:hAnsi="Times New Roman" w:eastAsia="宋体"/>
          <w:color w:val="auto"/>
        </w:rPr>
        <w:t xml:space="preserve"> </w:t>
      </w:r>
      <w:bookmarkStart w:id="178" w:name="_Toc4156"/>
      <w:r>
        <w:rPr>
          <w:rFonts w:ascii="Times New Roman" w:hAnsi="Times New Roman" w:eastAsia="宋体"/>
          <w:color w:val="auto"/>
        </w:rPr>
        <w:t>营运期环境</w:t>
      </w:r>
      <w:bookmarkEnd w:id="173"/>
      <w:bookmarkEnd w:id="174"/>
      <w:bookmarkEnd w:id="175"/>
      <w:bookmarkEnd w:id="176"/>
      <w:r>
        <w:rPr>
          <w:rFonts w:ascii="Times New Roman" w:hAnsi="Times New Roman" w:eastAsia="宋体"/>
          <w:color w:val="auto"/>
        </w:rPr>
        <w:t>影响预测与评价</w:t>
      </w:r>
      <w:bookmarkEnd w:id="177"/>
      <w:bookmarkEnd w:id="178"/>
    </w:p>
    <w:p w14:paraId="4D008D9A">
      <w:pPr>
        <w:pStyle w:val="5"/>
        <w:pageBreakBefore w:val="0"/>
        <w:wordWrap/>
        <w:bidi w:val="0"/>
        <w:adjustRightInd/>
        <w:snapToGrid/>
        <w:spacing w:before="62" w:after="62"/>
        <w:ind w:left="0"/>
        <w:rPr>
          <w:rFonts w:eastAsia="宋体"/>
          <w:color w:val="auto"/>
        </w:rPr>
      </w:pPr>
      <w:bookmarkStart w:id="179" w:name="_Toc374627795"/>
      <w:bookmarkStart w:id="180" w:name="_Toc5243"/>
      <w:r>
        <w:rPr>
          <w:rFonts w:hint="eastAsia" w:eastAsia="宋体"/>
          <w:color w:val="auto"/>
        </w:rPr>
        <w:t xml:space="preserve"> </w:t>
      </w:r>
      <w:r>
        <w:rPr>
          <w:rFonts w:eastAsia="宋体"/>
          <w:color w:val="auto"/>
        </w:rPr>
        <w:t>营运期大气</w:t>
      </w:r>
      <w:bookmarkEnd w:id="179"/>
      <w:bookmarkEnd w:id="180"/>
      <w:r>
        <w:rPr>
          <w:rFonts w:eastAsia="宋体"/>
          <w:color w:val="auto"/>
        </w:rPr>
        <w:t>环境预测与评价</w:t>
      </w:r>
    </w:p>
    <w:p w14:paraId="3E2674F5">
      <w:pPr>
        <w:pStyle w:val="6"/>
        <w:pageBreakBefore w:val="0"/>
        <w:wordWrap/>
        <w:bidi w:val="0"/>
        <w:adjustRightInd/>
        <w:snapToGrid/>
        <w:rPr>
          <w:color w:val="auto"/>
        </w:rPr>
      </w:pPr>
      <w:r>
        <w:rPr>
          <w:color w:val="auto"/>
        </w:rPr>
        <w:t>气象资料</w:t>
      </w:r>
    </w:p>
    <w:p w14:paraId="71D6FE82">
      <w:pPr>
        <w:pageBreakBefore w:val="0"/>
        <w:wordWrap/>
        <w:bidi w:val="0"/>
        <w:adjustRightInd/>
        <w:snapToGrid/>
        <w:rPr>
          <w:color w:val="auto"/>
        </w:rPr>
      </w:pPr>
      <w:r>
        <w:rPr>
          <w:rFonts w:hint="eastAsia"/>
          <w:color w:val="auto"/>
        </w:rPr>
        <w:t>巴中市属亚热带湿润季风气候，四季分明，雨量充沛，光照适宜，年降水分布不均，旱涝交替，年总雨量正常；日照正常略偏少，春旱、夏旱、伏旱相继出现，暴雨、大风、冰雹时有发生。</w:t>
      </w:r>
    </w:p>
    <w:p w14:paraId="1D7F4CD1">
      <w:pPr>
        <w:pageBreakBefore w:val="0"/>
        <w:wordWrap/>
        <w:bidi w:val="0"/>
        <w:adjustRightInd/>
        <w:snapToGrid/>
        <w:rPr>
          <w:color w:val="auto"/>
        </w:rPr>
      </w:pPr>
      <w:r>
        <w:rPr>
          <w:rFonts w:hint="eastAsia"/>
          <w:color w:val="auto"/>
        </w:rPr>
        <w:t>巴州区是南北气候的交汇地带，属于典型的亚热带湿润季风气候，四季分明，无霜期长，光照适宜，雨量充沛，</w:t>
      </w:r>
      <w:r>
        <w:rPr>
          <w:rFonts w:hint="eastAsia"/>
          <w:color w:val="auto"/>
          <w:lang w:eastAsia="zh-CN"/>
        </w:rPr>
        <w:t>极其适合</w:t>
      </w:r>
      <w:r>
        <w:rPr>
          <w:rFonts w:hint="eastAsia"/>
          <w:color w:val="auto"/>
        </w:rPr>
        <w:t>保健养生、休闲度假，素有</w:t>
      </w:r>
      <w:r>
        <w:rPr>
          <w:rFonts w:hint="eastAsia"/>
          <w:color w:val="auto"/>
          <w:lang w:eastAsia="zh-CN"/>
        </w:rPr>
        <w:t>“</w:t>
      </w:r>
      <w:r>
        <w:rPr>
          <w:rFonts w:hint="eastAsia"/>
          <w:color w:val="auto"/>
        </w:rPr>
        <w:t>川东北天然氧吧</w:t>
      </w:r>
      <w:r>
        <w:rPr>
          <w:rFonts w:hint="eastAsia"/>
          <w:color w:val="auto"/>
          <w:lang w:eastAsia="zh-CN"/>
        </w:rPr>
        <w:t>”</w:t>
      </w:r>
      <w:r>
        <w:rPr>
          <w:rFonts w:hint="eastAsia"/>
          <w:color w:val="auto"/>
        </w:rPr>
        <w:t>的称号。全区森林覆盖率</w:t>
      </w:r>
      <w:r>
        <w:rPr>
          <w:color w:val="auto"/>
        </w:rPr>
        <w:t>50.2%</w:t>
      </w:r>
      <w:r>
        <w:rPr>
          <w:rFonts w:hint="eastAsia"/>
          <w:color w:val="auto"/>
        </w:rPr>
        <w:t>、是全国平均水平的</w:t>
      </w:r>
      <w:r>
        <w:rPr>
          <w:color w:val="auto"/>
        </w:rPr>
        <w:t>3</w:t>
      </w:r>
      <w:r>
        <w:rPr>
          <w:rFonts w:hint="eastAsia"/>
          <w:color w:val="auto"/>
        </w:rPr>
        <w:t>倍，境域负氧离子平均浓度达</w:t>
      </w:r>
      <w:r>
        <w:rPr>
          <w:color w:val="auto"/>
        </w:rPr>
        <w:t>Ⅰ</w:t>
      </w:r>
      <w:r>
        <w:rPr>
          <w:rFonts w:hint="eastAsia"/>
          <w:color w:val="auto"/>
        </w:rPr>
        <w:t>级标准，农产品优产度达</w:t>
      </w:r>
      <w:r>
        <w:rPr>
          <w:color w:val="auto"/>
        </w:rPr>
        <w:t>85%</w:t>
      </w:r>
      <w:r>
        <w:rPr>
          <w:rFonts w:hint="eastAsia"/>
          <w:color w:val="auto"/>
        </w:rPr>
        <w:t>，空气质量优良率达</w:t>
      </w:r>
      <w:r>
        <w:rPr>
          <w:color w:val="auto"/>
        </w:rPr>
        <w:t>95%</w:t>
      </w:r>
      <w:r>
        <w:rPr>
          <w:rFonts w:hint="eastAsia"/>
          <w:color w:val="auto"/>
        </w:rPr>
        <w:t>以上。</w:t>
      </w:r>
    </w:p>
    <w:p w14:paraId="54D22F64">
      <w:pPr>
        <w:pageBreakBefore w:val="0"/>
        <w:wordWrap/>
        <w:bidi w:val="0"/>
        <w:adjustRightInd/>
        <w:snapToGrid/>
        <w:rPr>
          <w:color w:val="auto"/>
        </w:rPr>
      </w:pPr>
      <w:r>
        <w:rPr>
          <w:rFonts w:hint="eastAsia"/>
          <w:color w:val="auto"/>
        </w:rPr>
        <w:t>巴中市主要气象参数条件如下：</w:t>
      </w:r>
    </w:p>
    <w:p w14:paraId="5E008F38">
      <w:pPr>
        <w:pageBreakBefore w:val="0"/>
        <w:wordWrap/>
        <w:bidi w:val="0"/>
        <w:adjustRightInd/>
        <w:snapToGrid/>
        <w:rPr>
          <w:color w:val="auto"/>
        </w:rPr>
      </w:pPr>
      <w:r>
        <w:rPr>
          <w:rFonts w:hint="eastAsia"/>
          <w:color w:val="auto"/>
        </w:rPr>
        <w:t>多年平均气温：</w:t>
      </w:r>
      <w:r>
        <w:rPr>
          <w:color w:val="auto"/>
        </w:rPr>
        <w:t>16.9~17.4℃</w:t>
      </w:r>
      <w:r>
        <w:rPr>
          <w:rFonts w:hint="eastAsia"/>
          <w:color w:val="auto"/>
        </w:rPr>
        <w:t>；多年极端最高气温：</w:t>
      </w:r>
      <w:r>
        <w:rPr>
          <w:color w:val="auto"/>
        </w:rPr>
        <w:t>40.3℃</w:t>
      </w:r>
      <w:r>
        <w:rPr>
          <w:rFonts w:hint="eastAsia"/>
          <w:color w:val="auto"/>
        </w:rPr>
        <w:t>；</w:t>
      </w:r>
    </w:p>
    <w:p w14:paraId="6830E66C">
      <w:pPr>
        <w:pageBreakBefore w:val="0"/>
        <w:wordWrap/>
        <w:bidi w:val="0"/>
        <w:adjustRightInd/>
        <w:snapToGrid/>
        <w:rPr>
          <w:color w:val="auto"/>
        </w:rPr>
      </w:pPr>
      <w:r>
        <w:rPr>
          <w:rFonts w:hint="eastAsia"/>
          <w:color w:val="auto"/>
        </w:rPr>
        <w:t>多年极端最低气温：</w:t>
      </w:r>
      <w:r>
        <w:rPr>
          <w:color w:val="auto"/>
        </w:rPr>
        <w:t>-5.3℃</w:t>
      </w:r>
      <w:r>
        <w:rPr>
          <w:rFonts w:hint="eastAsia"/>
          <w:color w:val="auto"/>
        </w:rPr>
        <w:t>；平均降水量：</w:t>
      </w:r>
      <w:r>
        <w:rPr>
          <w:color w:val="auto"/>
        </w:rPr>
        <w:t>1104mm</w:t>
      </w:r>
      <w:r>
        <w:rPr>
          <w:rFonts w:hint="eastAsia"/>
          <w:color w:val="auto"/>
        </w:rPr>
        <w:t>；</w:t>
      </w:r>
    </w:p>
    <w:p w14:paraId="515F55DE">
      <w:pPr>
        <w:pageBreakBefore w:val="0"/>
        <w:wordWrap/>
        <w:bidi w:val="0"/>
        <w:adjustRightInd/>
        <w:snapToGrid/>
        <w:rPr>
          <w:color w:val="auto"/>
        </w:rPr>
      </w:pPr>
      <w:r>
        <w:rPr>
          <w:rFonts w:hint="eastAsia"/>
          <w:color w:val="auto"/>
        </w:rPr>
        <w:t>降雨日数（年平均）：</w:t>
      </w:r>
      <w:r>
        <w:rPr>
          <w:color w:val="auto"/>
        </w:rPr>
        <w:t>139</w:t>
      </w:r>
      <w:r>
        <w:rPr>
          <w:rFonts w:hint="eastAsia"/>
          <w:color w:val="auto"/>
        </w:rPr>
        <w:t>天；无霜期：</w:t>
      </w:r>
      <w:r>
        <w:rPr>
          <w:color w:val="auto"/>
        </w:rPr>
        <w:t>281</w:t>
      </w:r>
      <w:r>
        <w:rPr>
          <w:rFonts w:hint="eastAsia"/>
          <w:color w:val="auto"/>
        </w:rPr>
        <w:t>天；</w:t>
      </w:r>
    </w:p>
    <w:p w14:paraId="238D0DD8">
      <w:pPr>
        <w:pageBreakBefore w:val="0"/>
        <w:wordWrap/>
        <w:bidi w:val="0"/>
        <w:adjustRightInd/>
        <w:snapToGrid/>
        <w:rPr>
          <w:color w:val="auto"/>
        </w:rPr>
      </w:pPr>
      <w:r>
        <w:rPr>
          <w:rFonts w:hint="eastAsia"/>
          <w:color w:val="auto"/>
        </w:rPr>
        <w:t>年均雷暴日：</w:t>
      </w:r>
      <w:r>
        <w:rPr>
          <w:color w:val="auto"/>
        </w:rPr>
        <w:t>56</w:t>
      </w:r>
      <w:r>
        <w:rPr>
          <w:rFonts w:hint="eastAsia"/>
          <w:color w:val="auto"/>
        </w:rPr>
        <w:t>天；陆地蒸发量：</w:t>
      </w:r>
      <w:r>
        <w:rPr>
          <w:color w:val="auto"/>
        </w:rPr>
        <w:t>77.2-84.7mm</w:t>
      </w:r>
      <w:r>
        <w:rPr>
          <w:rFonts w:hint="eastAsia"/>
          <w:color w:val="auto"/>
        </w:rPr>
        <w:t>；</w:t>
      </w:r>
    </w:p>
    <w:p w14:paraId="0B8469AC">
      <w:pPr>
        <w:pageBreakBefore w:val="0"/>
        <w:wordWrap/>
        <w:bidi w:val="0"/>
        <w:adjustRightInd/>
        <w:snapToGrid/>
        <w:rPr>
          <w:color w:val="auto"/>
        </w:rPr>
      </w:pPr>
      <w:r>
        <w:rPr>
          <w:rFonts w:hint="eastAsia"/>
          <w:color w:val="auto"/>
        </w:rPr>
        <w:t>日平均相对湿度：</w:t>
      </w:r>
      <w:r>
        <w:rPr>
          <w:color w:val="auto"/>
        </w:rPr>
        <w:t>80%</w:t>
      </w:r>
      <w:r>
        <w:rPr>
          <w:rFonts w:hint="eastAsia"/>
          <w:color w:val="auto"/>
        </w:rPr>
        <w:t>；全年平均相对湿度：</w:t>
      </w:r>
      <w:r>
        <w:rPr>
          <w:color w:val="auto"/>
        </w:rPr>
        <w:t>77%</w:t>
      </w:r>
      <w:r>
        <w:rPr>
          <w:rFonts w:hint="eastAsia"/>
          <w:color w:val="auto"/>
        </w:rPr>
        <w:t>；</w:t>
      </w:r>
    </w:p>
    <w:p w14:paraId="48A98AAA">
      <w:pPr>
        <w:pageBreakBefore w:val="0"/>
        <w:wordWrap/>
        <w:bidi w:val="0"/>
        <w:adjustRightInd/>
        <w:snapToGrid/>
        <w:rPr>
          <w:color w:val="auto"/>
        </w:rPr>
      </w:pPr>
      <w:r>
        <w:rPr>
          <w:rFonts w:hint="eastAsia"/>
          <w:color w:val="auto"/>
        </w:rPr>
        <w:t>主导风向：常年冬季西北风，常年夏季西北、东南风，春秋季风向不定，</w:t>
      </w:r>
    </w:p>
    <w:p w14:paraId="475988EA">
      <w:pPr>
        <w:pageBreakBefore w:val="0"/>
        <w:wordWrap/>
        <w:bidi w:val="0"/>
        <w:adjustRightInd/>
        <w:snapToGrid/>
        <w:rPr>
          <w:color w:val="auto"/>
        </w:rPr>
      </w:pPr>
      <w:r>
        <w:rPr>
          <w:rFonts w:hint="eastAsia"/>
          <w:color w:val="auto"/>
        </w:rPr>
        <w:t>但阵风偏西北风，亦有南风，年平均风速</w:t>
      </w:r>
      <w:r>
        <w:rPr>
          <w:color w:val="auto"/>
        </w:rPr>
        <w:t>1.27m/s</w:t>
      </w:r>
      <w:r>
        <w:rPr>
          <w:rFonts w:hint="eastAsia"/>
          <w:color w:val="auto"/>
        </w:rPr>
        <w:t>。</w:t>
      </w:r>
    </w:p>
    <w:p w14:paraId="70F20505">
      <w:pPr>
        <w:pStyle w:val="6"/>
        <w:pageBreakBefore w:val="0"/>
        <w:wordWrap/>
        <w:bidi w:val="0"/>
        <w:adjustRightInd/>
        <w:snapToGrid/>
        <w:rPr>
          <w:color w:val="auto"/>
        </w:rPr>
      </w:pPr>
      <w:r>
        <w:rPr>
          <w:color w:val="auto"/>
        </w:rPr>
        <w:t>预测因子、预测范围及内容</w:t>
      </w:r>
    </w:p>
    <w:p w14:paraId="4006F095">
      <w:pPr>
        <w:pageBreakBefore w:val="0"/>
        <w:wordWrap/>
        <w:bidi w:val="0"/>
        <w:adjustRightInd/>
        <w:snapToGrid/>
        <w:ind w:firstLine="480"/>
        <w:rPr>
          <w:b/>
          <w:bCs/>
          <w:color w:val="auto"/>
        </w:rPr>
      </w:pPr>
      <w:r>
        <w:rPr>
          <w:b/>
          <w:bCs/>
          <w:color w:val="auto"/>
        </w:rPr>
        <w:t>（1）预测模式选择</w:t>
      </w:r>
    </w:p>
    <w:p w14:paraId="500292FB">
      <w:pPr>
        <w:pageBreakBefore w:val="0"/>
        <w:wordWrap/>
        <w:bidi w:val="0"/>
        <w:adjustRightInd/>
        <w:snapToGrid/>
        <w:ind w:firstLine="480"/>
        <w:rPr>
          <w:color w:val="auto"/>
        </w:rPr>
      </w:pPr>
      <w:r>
        <w:rPr>
          <w:color w:val="auto"/>
        </w:rPr>
        <w:t>为了解各大气污染源对环境的影响程度，评价采用《环境影响评价与技术导则大气环境》（HJ2.2-2018）规定的AERSCREEN计算模式大气污染物扩散计算。</w:t>
      </w:r>
    </w:p>
    <w:p w14:paraId="537A0EC7">
      <w:pPr>
        <w:pageBreakBefore w:val="0"/>
        <w:wordWrap/>
        <w:bidi w:val="0"/>
        <w:adjustRightInd/>
        <w:snapToGrid/>
        <w:ind w:firstLine="480"/>
        <w:rPr>
          <w:b/>
          <w:bCs/>
          <w:color w:val="auto"/>
        </w:rPr>
      </w:pPr>
      <w:r>
        <w:rPr>
          <w:b/>
          <w:bCs/>
          <w:color w:val="auto"/>
        </w:rPr>
        <w:t>（2）预测因子</w:t>
      </w:r>
    </w:p>
    <w:p w14:paraId="695E3BA4">
      <w:pPr>
        <w:pageBreakBefore w:val="0"/>
        <w:wordWrap/>
        <w:bidi w:val="0"/>
        <w:adjustRightInd/>
        <w:snapToGrid/>
        <w:ind w:firstLine="480"/>
        <w:rPr>
          <w:color w:val="auto"/>
        </w:rPr>
      </w:pPr>
      <w:r>
        <w:rPr>
          <w:color w:val="auto"/>
        </w:rPr>
        <w:t>项目生产的废气污染物主要有NH</w:t>
      </w:r>
      <w:r>
        <w:rPr>
          <w:color w:val="auto"/>
          <w:vertAlign w:val="subscript"/>
        </w:rPr>
        <w:t>3</w:t>
      </w:r>
      <w:r>
        <w:rPr>
          <w:color w:val="auto"/>
        </w:rPr>
        <w:t>、H</w:t>
      </w:r>
      <w:r>
        <w:rPr>
          <w:color w:val="auto"/>
          <w:vertAlign w:val="subscript"/>
        </w:rPr>
        <w:t>2</w:t>
      </w:r>
      <w:r>
        <w:rPr>
          <w:color w:val="auto"/>
        </w:rPr>
        <w:t>S等。根据本项目污染特征，选取污染物排放量较大的主要大气污染物NH</w:t>
      </w:r>
      <w:r>
        <w:rPr>
          <w:color w:val="auto"/>
          <w:vertAlign w:val="subscript"/>
        </w:rPr>
        <w:t>3</w:t>
      </w:r>
      <w:r>
        <w:rPr>
          <w:color w:val="auto"/>
        </w:rPr>
        <w:t>、H</w:t>
      </w:r>
      <w:r>
        <w:rPr>
          <w:color w:val="auto"/>
          <w:vertAlign w:val="subscript"/>
        </w:rPr>
        <w:t>2</w:t>
      </w:r>
      <w:r>
        <w:rPr>
          <w:color w:val="auto"/>
        </w:rPr>
        <w:t>S作为预测因子。</w:t>
      </w:r>
    </w:p>
    <w:p w14:paraId="0D55ECCD">
      <w:pPr>
        <w:pageBreakBefore w:val="0"/>
        <w:wordWrap/>
        <w:bidi w:val="0"/>
        <w:adjustRightInd/>
        <w:snapToGrid/>
        <w:ind w:firstLine="480"/>
        <w:rPr>
          <w:b/>
          <w:bCs/>
          <w:color w:val="auto"/>
        </w:rPr>
      </w:pPr>
      <w:r>
        <w:rPr>
          <w:b/>
          <w:bCs/>
          <w:color w:val="auto"/>
        </w:rPr>
        <w:t>（3）污染物评价标准</w:t>
      </w:r>
    </w:p>
    <w:p w14:paraId="6A940C34">
      <w:pPr>
        <w:pageBreakBefore w:val="0"/>
        <w:wordWrap/>
        <w:bidi w:val="0"/>
        <w:adjustRightInd/>
        <w:snapToGrid/>
        <w:ind w:firstLine="480"/>
        <w:rPr>
          <w:color w:val="auto"/>
        </w:rPr>
      </w:pPr>
      <w:r>
        <w:rPr>
          <w:color w:val="auto"/>
        </w:rPr>
        <w:t>本项目大气评价标准见</w:t>
      </w:r>
      <w:r>
        <w:rPr>
          <w:rFonts w:hint="eastAsia"/>
          <w:color w:val="auto"/>
          <w:lang w:val="en-US" w:eastAsia="zh-CN"/>
        </w:rPr>
        <w:t>下表</w:t>
      </w:r>
      <w:r>
        <w:rPr>
          <w:color w:val="auto"/>
        </w:rPr>
        <w:t>。</w:t>
      </w:r>
    </w:p>
    <w:p w14:paraId="047CB2E4">
      <w:pPr>
        <w:pStyle w:val="15"/>
        <w:numPr>
          <w:ilvl w:val="0"/>
          <w:numId w:val="31"/>
        </w:numPr>
        <w:bidi w:val="0"/>
        <w:ind w:left="0" w:leftChars="0" w:firstLine="0" w:firstLineChars="0"/>
        <w:rPr>
          <w:rFonts w:hint="eastAsia"/>
          <w:color w:val="auto"/>
          <w:lang w:eastAsia="zh-CN"/>
        </w:rPr>
      </w:pPr>
      <w:r>
        <w:rPr>
          <w:color w:val="auto"/>
        </w:rPr>
        <w:t>大气评价标准   单位：mg/</w:t>
      </w:r>
      <w:r>
        <w:rPr>
          <w:rFonts w:hint="eastAsia"/>
          <w:color w:val="auto"/>
          <w:lang w:eastAsia="zh-CN"/>
        </w:rPr>
        <w:t>m³</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559"/>
        <w:gridCol w:w="1418"/>
        <w:gridCol w:w="4784"/>
      </w:tblGrid>
      <w:tr w14:paraId="64787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959" w:type="dxa"/>
            <w:tcBorders>
              <w:tl2br w:val="nil"/>
              <w:tr2bl w:val="nil"/>
            </w:tcBorders>
            <w:noWrap w:val="0"/>
            <w:vAlign w:val="center"/>
          </w:tcPr>
          <w:p w14:paraId="1BDD5D3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559" w:type="dxa"/>
            <w:tcBorders>
              <w:tl2br w:val="nil"/>
              <w:tr2bl w:val="nil"/>
            </w:tcBorders>
            <w:noWrap w:val="0"/>
            <w:vAlign w:val="center"/>
          </w:tcPr>
          <w:p w14:paraId="368B320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24小时平均</w:t>
            </w:r>
          </w:p>
        </w:tc>
        <w:tc>
          <w:tcPr>
            <w:tcW w:w="1418" w:type="dxa"/>
            <w:tcBorders>
              <w:tl2br w:val="nil"/>
              <w:tr2bl w:val="nil"/>
            </w:tcBorders>
            <w:noWrap w:val="0"/>
            <w:vAlign w:val="center"/>
          </w:tcPr>
          <w:p w14:paraId="5C2BCC1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1小时平均</w:t>
            </w:r>
          </w:p>
        </w:tc>
        <w:tc>
          <w:tcPr>
            <w:tcW w:w="4784" w:type="dxa"/>
            <w:tcBorders>
              <w:tl2br w:val="nil"/>
              <w:tr2bl w:val="nil"/>
            </w:tcBorders>
            <w:noWrap w:val="0"/>
            <w:vAlign w:val="center"/>
          </w:tcPr>
          <w:p w14:paraId="7AE2867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执行标准</w:t>
            </w:r>
          </w:p>
        </w:tc>
      </w:tr>
      <w:tr w14:paraId="399BF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dxa"/>
            <w:tcBorders>
              <w:tl2br w:val="nil"/>
              <w:tr2bl w:val="nil"/>
            </w:tcBorders>
            <w:noWrap w:val="0"/>
            <w:vAlign w:val="center"/>
          </w:tcPr>
          <w:p w14:paraId="533A8F74">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1559" w:type="dxa"/>
            <w:tcBorders>
              <w:tl2br w:val="nil"/>
              <w:tr2bl w:val="nil"/>
            </w:tcBorders>
            <w:noWrap w:val="0"/>
            <w:vAlign w:val="center"/>
          </w:tcPr>
          <w:p w14:paraId="3FB0AB9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418" w:type="dxa"/>
            <w:tcBorders>
              <w:tl2br w:val="nil"/>
              <w:tr2bl w:val="nil"/>
            </w:tcBorders>
            <w:noWrap w:val="0"/>
            <w:vAlign w:val="center"/>
          </w:tcPr>
          <w:p w14:paraId="4C630DF5">
            <w:pPr>
              <w:pageBreakBefore w:val="0"/>
              <w:wordWrap/>
              <w:bidi w:val="0"/>
              <w:adjustRightInd/>
              <w:snapToGrid/>
              <w:spacing w:line="240" w:lineRule="auto"/>
              <w:ind w:firstLine="0" w:firstLineChars="0"/>
              <w:jc w:val="center"/>
              <w:rPr>
                <w:color w:val="auto"/>
                <w:sz w:val="21"/>
                <w:szCs w:val="21"/>
              </w:rPr>
            </w:pPr>
            <w:r>
              <w:rPr>
                <w:color w:val="auto"/>
                <w:sz w:val="21"/>
                <w:szCs w:val="21"/>
              </w:rPr>
              <w:t>0.2</w:t>
            </w:r>
          </w:p>
        </w:tc>
        <w:tc>
          <w:tcPr>
            <w:tcW w:w="4784" w:type="dxa"/>
            <w:vMerge w:val="restart"/>
            <w:tcBorders>
              <w:tl2br w:val="nil"/>
              <w:tr2bl w:val="nil"/>
            </w:tcBorders>
            <w:noWrap w:val="0"/>
            <w:vAlign w:val="center"/>
          </w:tcPr>
          <w:p w14:paraId="2E18A564">
            <w:pPr>
              <w:pageBreakBefore w:val="0"/>
              <w:wordWrap/>
              <w:bidi w:val="0"/>
              <w:adjustRightInd/>
              <w:snapToGrid/>
              <w:spacing w:line="240" w:lineRule="auto"/>
              <w:ind w:firstLine="0" w:firstLineChars="0"/>
              <w:jc w:val="center"/>
              <w:rPr>
                <w:color w:val="auto"/>
                <w:sz w:val="21"/>
                <w:szCs w:val="21"/>
              </w:rPr>
            </w:pPr>
            <w:r>
              <w:rPr>
                <w:color w:val="auto"/>
                <w:sz w:val="21"/>
                <w:szCs w:val="21"/>
              </w:rPr>
              <w:t>《环境影响评价技术导则 大气环境》（HJ2.2-2018）附录D中相应污染物空气质量浓度限值</w:t>
            </w:r>
          </w:p>
        </w:tc>
      </w:tr>
      <w:tr w14:paraId="2C438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dxa"/>
            <w:tcBorders>
              <w:tl2br w:val="nil"/>
              <w:tr2bl w:val="nil"/>
            </w:tcBorders>
            <w:noWrap w:val="0"/>
            <w:vAlign w:val="center"/>
          </w:tcPr>
          <w:p w14:paraId="67D93F86">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1559" w:type="dxa"/>
            <w:tcBorders>
              <w:tl2br w:val="nil"/>
              <w:tr2bl w:val="nil"/>
            </w:tcBorders>
            <w:noWrap w:val="0"/>
            <w:vAlign w:val="center"/>
          </w:tcPr>
          <w:p w14:paraId="46B1660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418" w:type="dxa"/>
            <w:tcBorders>
              <w:tl2br w:val="nil"/>
              <w:tr2bl w:val="nil"/>
            </w:tcBorders>
            <w:noWrap w:val="0"/>
            <w:vAlign w:val="center"/>
          </w:tcPr>
          <w:p w14:paraId="1A9B17FC">
            <w:pPr>
              <w:pageBreakBefore w:val="0"/>
              <w:wordWrap/>
              <w:bidi w:val="0"/>
              <w:adjustRightInd/>
              <w:snapToGrid/>
              <w:spacing w:line="240" w:lineRule="auto"/>
              <w:ind w:firstLine="0" w:firstLineChars="0"/>
              <w:jc w:val="center"/>
              <w:rPr>
                <w:color w:val="auto"/>
                <w:sz w:val="21"/>
                <w:szCs w:val="21"/>
              </w:rPr>
            </w:pPr>
            <w:r>
              <w:rPr>
                <w:color w:val="auto"/>
                <w:sz w:val="21"/>
                <w:szCs w:val="21"/>
              </w:rPr>
              <w:t>0.01</w:t>
            </w:r>
          </w:p>
        </w:tc>
        <w:tc>
          <w:tcPr>
            <w:tcW w:w="4784" w:type="dxa"/>
            <w:vMerge w:val="continue"/>
            <w:tcBorders>
              <w:tl2br w:val="nil"/>
              <w:tr2bl w:val="nil"/>
            </w:tcBorders>
            <w:noWrap w:val="0"/>
            <w:vAlign w:val="center"/>
          </w:tcPr>
          <w:p w14:paraId="6DF4FE86">
            <w:pPr>
              <w:pageBreakBefore w:val="0"/>
              <w:wordWrap/>
              <w:bidi w:val="0"/>
              <w:adjustRightInd/>
              <w:snapToGrid/>
              <w:spacing w:line="240" w:lineRule="auto"/>
              <w:ind w:firstLine="0" w:firstLineChars="0"/>
              <w:jc w:val="center"/>
              <w:rPr>
                <w:color w:val="auto"/>
                <w:sz w:val="21"/>
                <w:szCs w:val="21"/>
              </w:rPr>
            </w:pPr>
          </w:p>
        </w:tc>
      </w:tr>
    </w:tbl>
    <w:p w14:paraId="288AE644">
      <w:pPr>
        <w:pageBreakBefore w:val="0"/>
        <w:wordWrap/>
        <w:bidi w:val="0"/>
        <w:adjustRightInd/>
        <w:snapToGrid/>
        <w:ind w:firstLine="480"/>
        <w:rPr>
          <w:b/>
          <w:bCs/>
          <w:color w:val="auto"/>
        </w:rPr>
      </w:pPr>
      <w:r>
        <w:rPr>
          <w:b/>
          <w:bCs/>
          <w:color w:val="auto"/>
        </w:rPr>
        <w:t>（4）预测范围</w:t>
      </w:r>
    </w:p>
    <w:p w14:paraId="3B5EC0E3">
      <w:pPr>
        <w:pageBreakBefore w:val="0"/>
        <w:wordWrap/>
        <w:bidi w:val="0"/>
        <w:adjustRightInd/>
        <w:snapToGrid/>
        <w:ind w:firstLine="480"/>
        <w:rPr>
          <w:color w:val="auto"/>
        </w:rPr>
      </w:pPr>
      <w:r>
        <w:rPr>
          <w:color w:val="auto"/>
        </w:rPr>
        <w:t>预测范围为项目的大气评价范围，重点关注相关大气排放源周围5km以内的区域的影响情况。</w:t>
      </w:r>
    </w:p>
    <w:p w14:paraId="0C9BFD8C">
      <w:pPr>
        <w:pageBreakBefore w:val="0"/>
        <w:wordWrap/>
        <w:bidi w:val="0"/>
        <w:adjustRightInd/>
        <w:snapToGrid/>
        <w:jc w:val="center"/>
        <w:rPr>
          <w:rFonts w:hint="eastAsia" w:eastAsia="宋体"/>
          <w:color w:val="auto"/>
          <w:lang w:eastAsia="zh-CN"/>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2856865</wp:posOffset>
                </wp:positionH>
                <wp:positionV relativeFrom="paragraph">
                  <wp:posOffset>1570990</wp:posOffset>
                </wp:positionV>
                <wp:extent cx="834390" cy="320040"/>
                <wp:effectExtent l="0" t="0" r="0" b="0"/>
                <wp:wrapNone/>
                <wp:docPr id="55" name="自选图形 74"/>
                <wp:cNvGraphicFramePr/>
                <a:graphic xmlns:a="http://schemas.openxmlformats.org/drawingml/2006/main">
                  <a:graphicData uri="http://schemas.microsoft.com/office/word/2010/wordprocessingShape">
                    <wps:wsp>
                      <wps:cNvSpPr/>
                      <wps:spPr>
                        <a:xfrm>
                          <a:off x="0" y="0"/>
                          <a:ext cx="834390" cy="320040"/>
                        </a:xfrm>
                        <a:prstGeom prst="wedgeRectCallout">
                          <a:avLst>
                            <a:gd name="adj1" fmla="val -36671"/>
                            <a:gd name="adj2" fmla="val 142093"/>
                          </a:avLst>
                        </a:prstGeom>
                        <a:noFill/>
                        <a:ln w="9525" cap="flat" cmpd="sng">
                          <a:solidFill>
                            <a:srgbClr val="FF0000"/>
                          </a:solidFill>
                          <a:prstDash val="solid"/>
                          <a:miter/>
                          <a:headEnd type="none" w="med" len="med"/>
                          <a:tailEnd type="none" w="med" len="med"/>
                        </a:ln>
                      </wps:spPr>
                      <wps:txbx>
                        <w:txbxContent>
                          <w:p w14:paraId="484B0DE3">
                            <w:pPr>
                              <w:ind w:left="0" w:leftChars="0" w:firstLine="0" w:firstLineChars="0"/>
                              <w:jc w:val="center"/>
                              <w:rPr>
                                <w:rFonts w:hint="eastAsia"/>
                                <w:color w:val="FF0000"/>
                                <w:sz w:val="21"/>
                                <w:szCs w:val="21"/>
                              </w:rPr>
                            </w:pPr>
                            <w:r>
                              <w:rPr>
                                <w:rFonts w:hint="eastAsia"/>
                                <w:color w:val="FF0000"/>
                                <w:sz w:val="21"/>
                                <w:szCs w:val="21"/>
                              </w:rPr>
                              <w:t>本项目</w:t>
                            </w:r>
                          </w:p>
                        </w:txbxContent>
                      </wps:txbx>
                      <wps:bodyPr wrap="square" lIns="0" tIns="0" rIns="0" bIns="0" upright="1"/>
                    </wps:wsp>
                  </a:graphicData>
                </a:graphic>
              </wp:anchor>
            </w:drawing>
          </mc:Choice>
          <mc:Fallback>
            <w:pict>
              <v:shape id="自选图形 74" o:spid="_x0000_s1026" o:spt="61" type="#_x0000_t61" style="position:absolute;left:0pt;margin-left:224.95pt;margin-top:123.7pt;height:25.2pt;width:65.7pt;z-index:251667456;mso-width-relative:page;mso-height-relative:page;" filled="f" stroked="t" coordsize="21600,21600" o:gfxdata="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7NCvn3AAAAAsB&#10;AAAPAAAAAAAAAAEAIAAAACIAAABkcnMvZG93bnJldi54bWxQSwECFAAUAAAACACHTuJADvYUblAC&#10;AACYBAAADgAAAAAAAAABACAAAAArAQAAZHJzL2Uyb0RvYy54bWxQSwUGAAAAAAYABgBZAQAA7QUA&#10;AAAA&#10;" adj="2879,41492">
                <v:fill on="f" focussize="0,0"/>
                <v:stroke color="#FF0000" joinstyle="miter"/>
                <v:imagedata o:title=""/>
                <o:lock v:ext="edit" aspectratio="f"/>
                <v:textbox inset="0mm,0mm,0mm,0mm">
                  <w:txbxContent>
                    <w:p w14:paraId="484B0DE3">
                      <w:pPr>
                        <w:ind w:left="0" w:leftChars="0" w:firstLine="0" w:firstLineChars="0"/>
                        <w:jc w:val="center"/>
                        <w:rPr>
                          <w:rFonts w:hint="eastAsia"/>
                          <w:color w:val="FF0000"/>
                          <w:sz w:val="21"/>
                          <w:szCs w:val="21"/>
                        </w:rPr>
                      </w:pPr>
                      <w:r>
                        <w:rPr>
                          <w:rFonts w:hint="eastAsia"/>
                          <w:color w:val="FF0000"/>
                          <w:sz w:val="21"/>
                          <w:szCs w:val="21"/>
                        </w:rPr>
                        <w:t>本项目</w:t>
                      </w:r>
                    </w:p>
                  </w:txbxContent>
                </v:textbox>
              </v:shap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3627120</wp:posOffset>
                </wp:positionH>
                <wp:positionV relativeFrom="paragraph">
                  <wp:posOffset>2237740</wp:posOffset>
                </wp:positionV>
                <wp:extent cx="914400" cy="344805"/>
                <wp:effectExtent l="0" t="0" r="0" b="0"/>
                <wp:wrapNone/>
                <wp:docPr id="53" name="文本框 75"/>
                <wp:cNvGraphicFramePr/>
                <a:graphic xmlns:a="http://schemas.openxmlformats.org/drawingml/2006/main">
                  <a:graphicData uri="http://schemas.microsoft.com/office/word/2010/wordprocessingShape">
                    <wps:wsp>
                      <wps:cNvSpPr txBox="1"/>
                      <wps:spPr>
                        <a:xfrm>
                          <a:off x="0" y="0"/>
                          <a:ext cx="914400" cy="344805"/>
                        </a:xfrm>
                        <a:prstGeom prst="rect">
                          <a:avLst/>
                        </a:prstGeom>
                        <a:noFill/>
                        <a:ln>
                          <a:noFill/>
                        </a:ln>
                      </wps:spPr>
                      <wps:txbx>
                        <w:txbxContent>
                          <w:p w14:paraId="6B1CA23B">
                            <w:pPr>
                              <w:spacing w:line="240" w:lineRule="auto"/>
                              <w:ind w:left="0" w:leftChars="0" w:firstLine="0" w:firstLineChars="0"/>
                            </w:pPr>
                            <w:r>
                              <w:rPr>
                                <w:rFonts w:hint="eastAsia"/>
                              </w:rPr>
                              <w:t>2.5km</w:t>
                            </w:r>
                          </w:p>
                        </w:txbxContent>
                      </wps:txbx>
                      <wps:bodyPr wrap="square" upright="1"/>
                    </wps:wsp>
                  </a:graphicData>
                </a:graphic>
              </wp:anchor>
            </w:drawing>
          </mc:Choice>
          <mc:Fallback>
            <w:pict>
              <v:shape id="文本框 75" o:spid="_x0000_s1026" o:spt="202" type="#_x0000_t202" style="position:absolute;left:0pt;margin-left:285.6pt;margin-top:176.2pt;height:27.15pt;width:72pt;z-index:251665408;mso-width-relative:page;mso-height-relative:page;" filled="f" stroked="f" coordsize="21600,21600" o:gfxdata="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XrJVNgAAAALAQAADwAAAAAAAAABACAAAAAiAAAAZHJzL2Rvd25yZXYueG1sUEsBAhQA&#10;FAAAAAgAh07iQLc4KWi5AQAAXQMAAA4AAAAAAAAAAQAgAAAAJwEAAGRycy9lMm9Eb2MueG1sUEsF&#10;BgAAAAAGAAYAWQEAAFIFAAAAAA==&#10;">
                <v:fill on="f" focussize="0,0"/>
                <v:stroke on="f"/>
                <v:imagedata o:title=""/>
                <o:lock v:ext="edit" aspectratio="f"/>
                <v:textbox>
                  <w:txbxContent>
                    <w:p w14:paraId="6B1CA23B">
                      <w:pPr>
                        <w:spacing w:line="240" w:lineRule="auto"/>
                        <w:ind w:left="0" w:leftChars="0" w:firstLine="0" w:firstLineChars="0"/>
                      </w:pPr>
                      <w:r>
                        <w:rPr>
                          <w:rFonts w:hint="eastAsia"/>
                        </w:rPr>
                        <w:t>2.5km</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3090545</wp:posOffset>
                </wp:positionH>
                <wp:positionV relativeFrom="paragraph">
                  <wp:posOffset>2247900</wp:posOffset>
                </wp:positionV>
                <wp:extent cx="1895475" cy="2540"/>
                <wp:effectExtent l="0" t="48895" r="9525" b="62865"/>
                <wp:wrapNone/>
                <wp:docPr id="52" name="自选图形 76"/>
                <wp:cNvGraphicFramePr/>
                <a:graphic xmlns:a="http://schemas.openxmlformats.org/drawingml/2006/main">
                  <a:graphicData uri="http://schemas.microsoft.com/office/word/2010/wordprocessingShape">
                    <wps:wsp>
                      <wps:cNvCnPr/>
                      <wps:spPr>
                        <a:xfrm flipV="1">
                          <a:off x="0" y="0"/>
                          <a:ext cx="1895475" cy="2540"/>
                        </a:xfrm>
                        <a:prstGeom prst="straightConnector1">
                          <a:avLst/>
                        </a:prstGeom>
                        <a:ln w="9525" cap="flat" cmpd="sng">
                          <a:solidFill>
                            <a:srgbClr val="000000"/>
                          </a:solidFill>
                          <a:prstDash val="solid"/>
                          <a:headEnd type="arrow" w="med" len="med"/>
                          <a:tailEnd type="arrow" w="med" len="med"/>
                        </a:ln>
                      </wps:spPr>
                      <wps:bodyPr/>
                    </wps:wsp>
                  </a:graphicData>
                </a:graphic>
              </wp:anchor>
            </w:drawing>
          </mc:Choice>
          <mc:Fallback>
            <w:pict>
              <v:shape id="自选图形 76" o:spid="_x0000_s1026" o:spt="32" type="#_x0000_t32" style="position:absolute;left:0pt;flip:y;margin-left:243.35pt;margin-top:177pt;height:0.2pt;width:149.25pt;z-index:251664384;mso-width-relative:page;mso-height-relative:page;" filled="f" stroked="t" coordsize="21600,21600" o:gfxdata="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dfLljaAAAACwEAAA8AAAAAAAAAAQAgAAAAIgAAAGRy&#10;cy9kb3ducmV2LnhtbFBLAQIUABQAAAAIAIdO4kAxzLxiAwIAAPQDAAAOAAAAAAAAAAEAIAAAACkB&#10;AABkcnMvZTJvRG9jLnhtbFBLBQYAAAAABgAGAFkBAACeBQAAAAA=&#10;">
                <v:fill on="f" focussize="0,0"/>
                <v:stroke color="#000000" joinstyle="round" startarrow="open" endarrow="open"/>
                <v:imagedata o:title=""/>
                <o:lock v:ext="edit" aspectratio="f"/>
              </v:shape>
            </w:pict>
          </mc:Fallback>
        </mc:AlternateContent>
      </w:r>
      <w:r>
        <w:rPr>
          <w:color w:val="auto"/>
          <w:szCs w:val="21"/>
        </w:rPr>
        <mc:AlternateContent>
          <mc:Choice Requires="wps">
            <w:drawing>
              <wp:anchor distT="0" distB="0" distL="114300" distR="114300" simplePos="0" relativeHeight="251666432" behindDoc="0" locked="0" layoutInCell="1" allowOverlap="1">
                <wp:simplePos x="0" y="0"/>
                <wp:positionH relativeFrom="column">
                  <wp:posOffset>997585</wp:posOffset>
                </wp:positionH>
                <wp:positionV relativeFrom="paragraph">
                  <wp:posOffset>534670</wp:posOffset>
                </wp:positionV>
                <wp:extent cx="1548130" cy="396875"/>
                <wp:effectExtent l="0" t="0" r="0" b="0"/>
                <wp:wrapNone/>
                <wp:docPr id="54" name="文本框 72"/>
                <wp:cNvGraphicFramePr/>
                <a:graphic xmlns:a="http://schemas.openxmlformats.org/drawingml/2006/main">
                  <a:graphicData uri="http://schemas.microsoft.com/office/word/2010/wordprocessingShape">
                    <wps:wsp>
                      <wps:cNvSpPr txBox="1"/>
                      <wps:spPr>
                        <a:xfrm>
                          <a:off x="0" y="0"/>
                          <a:ext cx="1548130" cy="396875"/>
                        </a:xfrm>
                        <a:prstGeom prst="rect">
                          <a:avLst/>
                        </a:prstGeom>
                        <a:noFill/>
                        <a:ln>
                          <a:noFill/>
                        </a:ln>
                      </wps:spPr>
                      <wps:txbx>
                        <w:txbxContent>
                          <w:p w14:paraId="242C5EAA">
                            <w:pPr>
                              <w:ind w:firstLine="480"/>
                              <w:rPr>
                                <w:b/>
                                <w:bCs/>
                                <w:color w:val="0000FF"/>
                              </w:rPr>
                            </w:pPr>
                            <w:r>
                              <w:rPr>
                                <w:rFonts w:hint="eastAsia"/>
                                <w:b/>
                                <w:bCs/>
                                <w:color w:val="0000FF"/>
                              </w:rPr>
                              <w:t>大气评价范围</w:t>
                            </w:r>
                          </w:p>
                        </w:txbxContent>
                      </wps:txbx>
                      <wps:bodyPr wrap="square" upright="1"/>
                    </wps:wsp>
                  </a:graphicData>
                </a:graphic>
              </wp:anchor>
            </w:drawing>
          </mc:Choice>
          <mc:Fallback>
            <w:pict>
              <v:shape id="文本框 72" o:spid="_x0000_s1026" o:spt="202" type="#_x0000_t202" style="position:absolute;left:0pt;margin-left:78.55pt;margin-top:42.1pt;height:31.25pt;width:121.9pt;z-index:251666432;mso-width-relative:page;mso-height-relative:page;" filled="f" stroked="f" coordsize="21600,21600" o:gfxdata="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idlQP1wAAAAoBAAAPAAAAAAAAAAEAIAAAACIAAABkcnMvZG93bnJldi54bWxQSwECFAAU&#10;AAAACACHTuJAk7Or27kBAABeAwAADgAAAAAAAAABACAAAAAmAQAAZHJzL2Uyb0RvYy54bWxQSwUG&#10;AAAAAAYABgBZAQAAUQUAAAAA&#10;">
                <v:fill on="f" focussize="0,0"/>
                <v:stroke on="f"/>
                <v:imagedata o:title=""/>
                <o:lock v:ext="edit" aspectratio="f"/>
                <v:textbox>
                  <w:txbxContent>
                    <w:p w14:paraId="242C5EAA">
                      <w:pPr>
                        <w:ind w:firstLine="480"/>
                        <w:rPr>
                          <w:b/>
                          <w:bCs/>
                          <w:color w:val="0000FF"/>
                        </w:rPr>
                      </w:pPr>
                      <w:r>
                        <w:rPr>
                          <w:rFonts w:hint="eastAsia"/>
                          <w:b/>
                          <w:bCs/>
                          <w:color w:val="0000FF"/>
                        </w:rPr>
                        <w:t>大气评价范围</w:t>
                      </w:r>
                    </w:p>
                  </w:txbxContent>
                </v:textbox>
              </v:shape>
            </w:pict>
          </mc:Fallback>
        </mc:AlternateContent>
      </w:r>
      <w:r>
        <w:rPr>
          <w:rFonts w:hint="eastAsia" w:eastAsia="宋体"/>
          <w:color w:val="auto"/>
          <w:lang w:eastAsia="zh-CN"/>
        </w:rPr>
        <w:drawing>
          <wp:inline distT="0" distB="0" distL="114300" distR="114300">
            <wp:extent cx="5394325" cy="4200525"/>
            <wp:effectExtent l="0" t="0" r="15875" b="9525"/>
            <wp:docPr id="95" name="图片 95" descr="172076397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720763977654"/>
                    <pic:cNvPicPr>
                      <a:picLocks noChangeAspect="1"/>
                    </pic:cNvPicPr>
                  </pic:nvPicPr>
                  <pic:blipFill>
                    <a:blip r:embed="rId70"/>
                    <a:stretch>
                      <a:fillRect/>
                    </a:stretch>
                  </pic:blipFill>
                  <pic:spPr>
                    <a:xfrm>
                      <a:off x="0" y="0"/>
                      <a:ext cx="5394325" cy="4200525"/>
                    </a:xfrm>
                    <a:prstGeom prst="rect">
                      <a:avLst/>
                    </a:prstGeom>
                  </pic:spPr>
                </pic:pic>
              </a:graphicData>
            </a:graphic>
          </wp:inline>
        </w:drawing>
      </w:r>
    </w:p>
    <w:p w14:paraId="1F03E518">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4.2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 xml:space="preserve"> </w:t>
      </w:r>
      <w:r>
        <w:rPr>
          <w:color w:val="auto"/>
        </w:rPr>
        <w:t>大气评价范围</w:t>
      </w:r>
    </w:p>
    <w:p w14:paraId="4D478A40">
      <w:pPr>
        <w:pageBreakBefore w:val="0"/>
        <w:wordWrap/>
        <w:bidi w:val="0"/>
        <w:adjustRightInd/>
        <w:snapToGrid/>
        <w:ind w:firstLine="482"/>
        <w:rPr>
          <w:b/>
          <w:color w:val="auto"/>
        </w:rPr>
      </w:pPr>
      <w:r>
        <w:rPr>
          <w:b/>
          <w:color w:val="auto"/>
        </w:rPr>
        <w:t>（5）预测内容及情景</w:t>
      </w:r>
    </w:p>
    <w:p w14:paraId="6F3AC329">
      <w:pPr>
        <w:bidi w:val="0"/>
        <w:rPr>
          <w:color w:val="auto"/>
        </w:rPr>
      </w:pPr>
      <w:r>
        <w:rPr>
          <w:color w:val="auto"/>
        </w:rPr>
        <w:t>根据《环境影响评价技术导则》（HJ2.2-2018）的要求，二级评价不进行进一步预测与评价，直接利用估算模型计算结果进行大气环境影响分析。采用AERSCREEN模型中的自动筛选模式预测本工程排放废气中各预测因子小时最大落地浓度贡献值及位置。根据废气污染物的无组织排放情况计算厂界达标情况，同时计算大气环境保护距离和卫生防护距离。</w:t>
      </w:r>
    </w:p>
    <w:p w14:paraId="6B3754EB">
      <w:pPr>
        <w:pStyle w:val="6"/>
        <w:pageBreakBefore w:val="0"/>
        <w:wordWrap/>
        <w:bidi w:val="0"/>
        <w:adjustRightInd/>
        <w:snapToGrid/>
        <w:rPr>
          <w:color w:val="auto"/>
        </w:rPr>
      </w:pPr>
      <w:r>
        <w:rPr>
          <w:color w:val="auto"/>
        </w:rPr>
        <w:t>大气环境影响预测分析</w:t>
      </w:r>
    </w:p>
    <w:p w14:paraId="44C9498B">
      <w:pPr>
        <w:pageBreakBefore w:val="0"/>
        <w:wordWrap/>
        <w:autoSpaceDE w:val="0"/>
        <w:autoSpaceDN w:val="0"/>
        <w:bidi w:val="0"/>
        <w:adjustRightInd/>
        <w:snapToGrid/>
        <w:spacing w:before="120" w:beforeLines="50"/>
        <w:ind w:firstLine="480"/>
        <w:rPr>
          <w:color w:val="auto"/>
          <w:kern w:val="0"/>
        </w:rPr>
      </w:pPr>
      <w:r>
        <w:rPr>
          <w:color w:val="auto"/>
          <w:kern w:val="0"/>
        </w:rPr>
        <w:t>由</w:t>
      </w:r>
      <w:r>
        <w:rPr>
          <w:rFonts w:hint="eastAsia"/>
          <w:color w:val="auto"/>
          <w:kern w:val="0"/>
          <w:lang w:val="en-US" w:eastAsia="zh-CN"/>
        </w:rPr>
        <w:t>预测结果</w:t>
      </w:r>
      <w:r>
        <w:rPr>
          <w:color w:val="auto"/>
          <w:kern w:val="0"/>
        </w:rPr>
        <w:t>可知，本项目新建污水处理厂恶臭NH</w:t>
      </w:r>
      <w:r>
        <w:rPr>
          <w:color w:val="auto"/>
          <w:kern w:val="0"/>
          <w:vertAlign w:val="subscript"/>
        </w:rPr>
        <w:t>3</w:t>
      </w:r>
      <w:r>
        <w:rPr>
          <w:color w:val="auto"/>
          <w:kern w:val="0"/>
        </w:rPr>
        <w:t>、H</w:t>
      </w:r>
      <w:r>
        <w:rPr>
          <w:color w:val="auto"/>
          <w:kern w:val="0"/>
          <w:vertAlign w:val="subscript"/>
        </w:rPr>
        <w:t>2</w:t>
      </w:r>
      <w:r>
        <w:rPr>
          <w:color w:val="auto"/>
          <w:kern w:val="0"/>
        </w:rPr>
        <w:t>S正常排放的最大地面小时浓度分别为</w:t>
      </w:r>
      <w:r>
        <w:rPr>
          <w:rFonts w:hint="eastAsia"/>
          <w:color w:val="auto"/>
          <w:kern w:val="0"/>
          <w:lang w:val="en-US" w:eastAsia="zh-CN"/>
        </w:rPr>
        <w:t>2.79×10</w:t>
      </w:r>
      <w:r>
        <w:rPr>
          <w:rFonts w:hint="eastAsia"/>
          <w:color w:val="auto"/>
          <w:kern w:val="0"/>
          <w:vertAlign w:val="superscript"/>
          <w:lang w:val="en-US" w:eastAsia="zh-CN"/>
        </w:rPr>
        <w:t>-3</w:t>
      </w:r>
      <w:r>
        <w:rPr>
          <w:color w:val="auto"/>
          <w:kern w:val="0"/>
        </w:rPr>
        <w:t>mg/</w:t>
      </w:r>
      <w:r>
        <w:rPr>
          <w:rFonts w:hint="eastAsia"/>
          <w:color w:val="auto"/>
          <w:kern w:val="0"/>
          <w:lang w:eastAsia="zh-CN"/>
        </w:rPr>
        <w:t>m³</w:t>
      </w:r>
      <w:r>
        <w:rPr>
          <w:color w:val="auto"/>
          <w:kern w:val="0"/>
        </w:rPr>
        <w:t>、</w:t>
      </w:r>
      <w:r>
        <w:rPr>
          <w:rFonts w:hint="eastAsia"/>
          <w:color w:val="auto"/>
          <w:kern w:val="0"/>
          <w:lang w:val="en-US" w:eastAsia="zh-CN"/>
        </w:rPr>
        <w:t>4.03×10</w:t>
      </w:r>
      <w:r>
        <w:rPr>
          <w:rFonts w:hint="eastAsia"/>
          <w:color w:val="auto"/>
          <w:kern w:val="0"/>
          <w:vertAlign w:val="superscript"/>
          <w:lang w:val="en-US" w:eastAsia="zh-CN"/>
        </w:rPr>
        <w:t>-5</w:t>
      </w:r>
      <w:r>
        <w:rPr>
          <w:color w:val="auto"/>
          <w:kern w:val="0"/>
        </w:rPr>
        <w:t>mg/</w:t>
      </w:r>
      <w:r>
        <w:rPr>
          <w:rFonts w:hint="eastAsia"/>
          <w:color w:val="auto"/>
          <w:kern w:val="0"/>
          <w:lang w:eastAsia="zh-CN"/>
        </w:rPr>
        <w:t>m³</w:t>
      </w:r>
      <w:r>
        <w:rPr>
          <w:color w:val="auto"/>
          <w:kern w:val="0"/>
        </w:rPr>
        <w:t>，占标率分别为</w:t>
      </w:r>
      <w:r>
        <w:rPr>
          <w:rFonts w:hint="eastAsia"/>
          <w:color w:val="auto"/>
          <w:kern w:val="0"/>
          <w:lang w:val="en-US" w:eastAsia="zh-CN"/>
        </w:rPr>
        <w:t>1.39</w:t>
      </w:r>
      <w:r>
        <w:rPr>
          <w:color w:val="auto"/>
          <w:kern w:val="0"/>
        </w:rPr>
        <w:t>%、</w:t>
      </w:r>
      <w:r>
        <w:rPr>
          <w:rFonts w:hint="eastAsia"/>
          <w:color w:val="auto"/>
          <w:kern w:val="0"/>
          <w:lang w:val="en-US" w:eastAsia="zh-CN"/>
        </w:rPr>
        <w:t>0.4</w:t>
      </w:r>
      <w:r>
        <w:rPr>
          <w:color w:val="auto"/>
          <w:kern w:val="0"/>
        </w:rPr>
        <w:t>%，NH</w:t>
      </w:r>
      <w:r>
        <w:rPr>
          <w:color w:val="auto"/>
          <w:kern w:val="0"/>
          <w:vertAlign w:val="subscript"/>
        </w:rPr>
        <w:t>3</w:t>
      </w:r>
      <w:r>
        <w:rPr>
          <w:color w:val="auto"/>
          <w:kern w:val="0"/>
        </w:rPr>
        <w:t>最大地面浓度距离</w:t>
      </w:r>
      <w:r>
        <w:rPr>
          <w:rFonts w:hint="eastAsia"/>
          <w:color w:val="auto"/>
          <w:kern w:val="0"/>
          <w:lang w:val="en-US" w:eastAsia="zh-CN"/>
        </w:rPr>
        <w:t>污水</w:t>
      </w:r>
      <w:r>
        <w:rPr>
          <w:color w:val="auto"/>
          <w:kern w:val="0"/>
        </w:rPr>
        <w:t>处理单元下风向</w:t>
      </w:r>
      <w:r>
        <w:rPr>
          <w:rFonts w:hint="eastAsia"/>
          <w:color w:val="auto"/>
          <w:kern w:val="0"/>
          <w:lang w:val="en-US" w:eastAsia="zh-CN"/>
        </w:rPr>
        <w:t>110</w:t>
      </w:r>
      <w:r>
        <w:rPr>
          <w:color w:val="auto"/>
          <w:kern w:val="0"/>
        </w:rPr>
        <w:t>米，H</w:t>
      </w:r>
      <w:r>
        <w:rPr>
          <w:color w:val="auto"/>
          <w:kern w:val="0"/>
          <w:vertAlign w:val="subscript"/>
        </w:rPr>
        <w:t>2</w:t>
      </w:r>
      <w:r>
        <w:rPr>
          <w:color w:val="auto"/>
          <w:kern w:val="0"/>
        </w:rPr>
        <w:t>S最大地面浓度距离</w:t>
      </w:r>
      <w:r>
        <w:rPr>
          <w:rFonts w:hint="eastAsia"/>
          <w:color w:val="auto"/>
          <w:kern w:val="0"/>
          <w:lang w:val="en-US" w:eastAsia="zh-CN"/>
        </w:rPr>
        <w:t>污水处理单元</w:t>
      </w:r>
      <w:r>
        <w:rPr>
          <w:color w:val="auto"/>
          <w:kern w:val="0"/>
        </w:rPr>
        <w:t>下风向</w:t>
      </w:r>
      <w:r>
        <w:rPr>
          <w:rFonts w:hint="eastAsia"/>
          <w:color w:val="auto"/>
          <w:kern w:val="0"/>
          <w:lang w:val="en-US" w:eastAsia="zh-CN"/>
        </w:rPr>
        <w:t>110</w:t>
      </w:r>
      <w:r>
        <w:rPr>
          <w:color w:val="auto"/>
          <w:kern w:val="0"/>
        </w:rPr>
        <w:t>米。</w:t>
      </w:r>
    </w:p>
    <w:p w14:paraId="3E248487">
      <w:pPr>
        <w:pageBreakBefore w:val="0"/>
        <w:wordWrap/>
        <w:autoSpaceDE w:val="0"/>
        <w:autoSpaceDN w:val="0"/>
        <w:bidi w:val="0"/>
        <w:adjustRightInd/>
        <w:snapToGrid/>
        <w:ind w:firstLine="480"/>
        <w:rPr>
          <w:color w:val="auto"/>
          <w:kern w:val="0"/>
        </w:rPr>
      </w:pPr>
      <w:r>
        <w:rPr>
          <w:color w:val="auto"/>
          <w:kern w:val="0"/>
        </w:rPr>
        <w:t>污水处理厂各臭气收集装置收集的臭气经生物滤池除臭，且在本厂周边设置绿化带，进一步吸收恶臭气体，故污染物排放对周围环境的影响不大。</w:t>
      </w:r>
    </w:p>
    <w:p w14:paraId="06AD48A3">
      <w:pPr>
        <w:pageBreakBefore w:val="0"/>
        <w:wordWrap/>
        <w:autoSpaceDE w:val="0"/>
        <w:autoSpaceDN w:val="0"/>
        <w:bidi w:val="0"/>
        <w:adjustRightInd/>
        <w:snapToGrid/>
        <w:ind w:firstLine="480"/>
        <w:rPr>
          <w:color w:val="auto"/>
          <w:kern w:val="0"/>
        </w:rPr>
      </w:pPr>
      <w:r>
        <w:rPr>
          <w:color w:val="auto"/>
          <w:kern w:val="0"/>
        </w:rPr>
        <w:t>本项目新建污水处理厂恶臭NH</w:t>
      </w:r>
      <w:r>
        <w:rPr>
          <w:color w:val="auto"/>
          <w:kern w:val="0"/>
          <w:vertAlign w:val="subscript"/>
        </w:rPr>
        <w:t>3</w:t>
      </w:r>
      <w:r>
        <w:rPr>
          <w:color w:val="auto"/>
          <w:kern w:val="0"/>
        </w:rPr>
        <w:t>、H</w:t>
      </w:r>
      <w:r>
        <w:rPr>
          <w:color w:val="auto"/>
          <w:kern w:val="0"/>
          <w:vertAlign w:val="subscript"/>
        </w:rPr>
        <w:t>2</w:t>
      </w:r>
      <w:r>
        <w:rPr>
          <w:color w:val="auto"/>
          <w:kern w:val="0"/>
        </w:rPr>
        <w:t>S非正常排放的最大地面小时浓度分别为</w:t>
      </w:r>
      <w:r>
        <w:rPr>
          <w:rFonts w:hint="eastAsia"/>
          <w:color w:val="auto"/>
          <w:kern w:val="0"/>
          <w:lang w:val="en-US" w:eastAsia="zh-CN"/>
        </w:rPr>
        <w:t>0.0363</w:t>
      </w:r>
      <w:r>
        <w:rPr>
          <w:color w:val="auto"/>
          <w:kern w:val="0"/>
        </w:rPr>
        <w:t>mg/</w:t>
      </w:r>
      <w:r>
        <w:rPr>
          <w:rFonts w:hint="eastAsia"/>
          <w:color w:val="auto"/>
          <w:kern w:val="0"/>
          <w:lang w:eastAsia="zh-CN"/>
        </w:rPr>
        <w:t>m³</w:t>
      </w:r>
      <w:r>
        <w:rPr>
          <w:color w:val="auto"/>
          <w:kern w:val="0"/>
        </w:rPr>
        <w:t>、</w:t>
      </w:r>
      <w:r>
        <w:rPr>
          <w:rFonts w:hint="eastAsia"/>
          <w:color w:val="auto"/>
          <w:kern w:val="0"/>
          <w:lang w:val="en-US" w:eastAsia="zh-CN"/>
        </w:rPr>
        <w:t>0.000524</w:t>
      </w:r>
      <w:r>
        <w:rPr>
          <w:color w:val="auto"/>
          <w:kern w:val="0"/>
        </w:rPr>
        <w:t>mg/</w:t>
      </w:r>
      <w:r>
        <w:rPr>
          <w:rFonts w:hint="eastAsia"/>
          <w:color w:val="auto"/>
          <w:kern w:val="0"/>
          <w:lang w:eastAsia="zh-CN"/>
        </w:rPr>
        <w:t>m³</w:t>
      </w:r>
      <w:r>
        <w:rPr>
          <w:color w:val="auto"/>
          <w:kern w:val="0"/>
        </w:rPr>
        <w:t>，占标率分别为</w:t>
      </w:r>
      <w:r>
        <w:rPr>
          <w:rFonts w:hint="eastAsia"/>
          <w:color w:val="auto"/>
          <w:kern w:val="0"/>
          <w:lang w:val="en-US" w:eastAsia="zh-CN"/>
        </w:rPr>
        <w:t>18.15</w:t>
      </w:r>
      <w:r>
        <w:rPr>
          <w:color w:val="auto"/>
          <w:kern w:val="0"/>
        </w:rPr>
        <w:t>%、</w:t>
      </w:r>
      <w:r>
        <w:rPr>
          <w:rFonts w:hint="eastAsia"/>
          <w:color w:val="auto"/>
          <w:kern w:val="0"/>
          <w:lang w:val="en-US" w:eastAsia="zh-CN"/>
        </w:rPr>
        <w:t>5.24</w:t>
      </w:r>
      <w:r>
        <w:rPr>
          <w:color w:val="auto"/>
          <w:kern w:val="0"/>
        </w:rPr>
        <w:t>%，最大地面浓度距离</w:t>
      </w:r>
      <w:r>
        <w:rPr>
          <w:rFonts w:hint="eastAsia"/>
          <w:color w:val="auto"/>
          <w:kern w:val="0"/>
          <w:lang w:val="en-US" w:eastAsia="zh-CN"/>
        </w:rPr>
        <w:t>污水</w:t>
      </w:r>
      <w:r>
        <w:rPr>
          <w:color w:val="auto"/>
          <w:kern w:val="0"/>
        </w:rPr>
        <w:t>处理单元下风向</w:t>
      </w:r>
      <w:r>
        <w:rPr>
          <w:rFonts w:hint="eastAsia"/>
          <w:color w:val="auto"/>
          <w:kern w:val="0"/>
          <w:lang w:val="en-US" w:eastAsia="zh-CN"/>
        </w:rPr>
        <w:t>133</w:t>
      </w:r>
      <w:r>
        <w:rPr>
          <w:color w:val="auto"/>
          <w:kern w:val="0"/>
        </w:rPr>
        <w:t>米，对周边环境有一定的影响，应避免非正常排放。</w:t>
      </w:r>
    </w:p>
    <w:p w14:paraId="1C9E84FE">
      <w:pPr>
        <w:pageBreakBefore w:val="0"/>
        <w:wordWrap/>
        <w:bidi w:val="0"/>
        <w:adjustRightInd/>
        <w:snapToGrid/>
        <w:ind w:firstLine="480"/>
        <w:rPr>
          <w:color w:val="auto"/>
        </w:rPr>
      </w:pPr>
      <w:r>
        <w:rPr>
          <w:color w:val="auto"/>
        </w:rPr>
        <w:t>（4）评价工作等级确定</w:t>
      </w:r>
    </w:p>
    <w:p w14:paraId="2716A951">
      <w:pPr>
        <w:pageBreakBefore w:val="0"/>
        <w:wordWrap/>
        <w:bidi w:val="0"/>
        <w:adjustRightInd/>
        <w:snapToGrid/>
        <w:ind w:firstLine="480"/>
        <w:rPr>
          <w:color w:val="auto"/>
        </w:rPr>
      </w:pPr>
      <w:r>
        <w:rPr>
          <w:color w:val="auto"/>
        </w:rPr>
        <w:t>根据《环境影响评价技术导则大气环境》（HJ/2.2-2018），本项目建成后全厂氨和硫化氢的最大占标率P</w:t>
      </w:r>
      <w:r>
        <w:rPr>
          <w:color w:val="auto"/>
          <w:vertAlign w:val="subscript"/>
        </w:rPr>
        <w:t>max</w:t>
      </w:r>
      <w:r>
        <w:rPr>
          <w:color w:val="auto"/>
        </w:rPr>
        <w:t>分别为</w:t>
      </w:r>
      <w:r>
        <w:rPr>
          <w:rFonts w:hint="eastAsia"/>
          <w:color w:val="auto"/>
          <w:kern w:val="0"/>
          <w:lang w:eastAsia="zh-CN"/>
        </w:rPr>
        <w:t>1.39%</w:t>
      </w:r>
      <w:r>
        <w:rPr>
          <w:color w:val="auto"/>
          <w:kern w:val="0"/>
        </w:rPr>
        <w:t>、</w:t>
      </w:r>
      <w:r>
        <w:rPr>
          <w:rFonts w:hint="eastAsia"/>
          <w:color w:val="auto"/>
          <w:kern w:val="0"/>
          <w:lang w:eastAsia="zh-CN"/>
        </w:rPr>
        <w:t>0.4%</w:t>
      </w:r>
      <w:r>
        <w:rPr>
          <w:color w:val="auto"/>
        </w:rPr>
        <w:t>，本项目为二级评价，二级评价项目不进行进一步预测与评价，只对污染物排放量进行核算。</w:t>
      </w:r>
    </w:p>
    <w:p w14:paraId="1FB27B8C">
      <w:pPr>
        <w:pageBreakBefore w:val="0"/>
        <w:wordWrap/>
        <w:autoSpaceDE w:val="0"/>
        <w:autoSpaceDN w:val="0"/>
        <w:bidi w:val="0"/>
        <w:adjustRightInd/>
        <w:snapToGrid/>
        <w:ind w:firstLine="480"/>
        <w:rPr>
          <w:color w:val="auto"/>
        </w:rPr>
      </w:pPr>
      <w:r>
        <w:rPr>
          <w:color w:val="auto"/>
        </w:rPr>
        <w:t>（5）污染物排放量核算</w:t>
      </w:r>
    </w:p>
    <w:p w14:paraId="0D9D0FFC">
      <w:pPr>
        <w:pageBreakBefore w:val="0"/>
        <w:wordWrap/>
        <w:autoSpaceDE w:val="0"/>
        <w:autoSpaceDN w:val="0"/>
        <w:bidi w:val="0"/>
        <w:adjustRightInd/>
        <w:snapToGrid/>
        <w:ind w:firstLine="480"/>
        <w:rPr>
          <w:color w:val="auto"/>
        </w:rPr>
      </w:pPr>
      <w:r>
        <w:rPr>
          <w:color w:val="auto"/>
        </w:rPr>
        <w:t>根据Aerscreen输出结果，本项目为二级评价。二级评价项目不进行进一步预测与评价，只对污染物排放量进行核算。核算结果如下：</w:t>
      </w:r>
    </w:p>
    <w:p w14:paraId="27D10B78">
      <w:pPr>
        <w:pageBreakBefore w:val="0"/>
        <w:wordWrap/>
        <w:bidi w:val="0"/>
        <w:adjustRightInd/>
        <w:snapToGrid/>
        <w:ind w:firstLine="480"/>
        <w:rPr>
          <w:color w:val="auto"/>
        </w:rPr>
      </w:pPr>
      <w:r>
        <w:rPr>
          <w:rFonts w:hint="eastAsia"/>
          <w:color w:val="auto"/>
        </w:rPr>
        <w:t>①有组织排放量核算</w:t>
      </w:r>
    </w:p>
    <w:p w14:paraId="0FCA766D">
      <w:pPr>
        <w:pStyle w:val="15"/>
        <w:numPr>
          <w:ilvl w:val="0"/>
          <w:numId w:val="31"/>
        </w:numPr>
        <w:bidi w:val="0"/>
        <w:ind w:left="0" w:leftChars="0" w:firstLine="0" w:firstLineChars="0"/>
        <w:rPr>
          <w:color w:val="auto"/>
        </w:rPr>
      </w:pPr>
      <w:r>
        <w:rPr>
          <w:color w:val="auto"/>
        </w:rPr>
        <w:t>大气污染物有组织排放量核算表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92"/>
        <w:gridCol w:w="1231"/>
        <w:gridCol w:w="817"/>
        <w:gridCol w:w="2251"/>
        <w:gridCol w:w="2041"/>
        <w:gridCol w:w="1949"/>
      </w:tblGrid>
      <w:tr w14:paraId="295A0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tcBorders>
              <w:tl2br w:val="nil"/>
              <w:tr2bl w:val="nil"/>
            </w:tcBorders>
            <w:noWrap w:val="0"/>
            <w:vAlign w:val="center"/>
          </w:tcPr>
          <w:p w14:paraId="78E84CD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700" w:type="pct"/>
            <w:tcBorders>
              <w:tl2br w:val="nil"/>
              <w:tr2bl w:val="nil"/>
            </w:tcBorders>
            <w:noWrap w:val="0"/>
            <w:vAlign w:val="center"/>
          </w:tcPr>
          <w:p w14:paraId="452CBE6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465" w:type="pct"/>
            <w:tcBorders>
              <w:tl2br w:val="nil"/>
              <w:tr2bl w:val="nil"/>
            </w:tcBorders>
            <w:noWrap w:val="0"/>
            <w:vAlign w:val="center"/>
          </w:tcPr>
          <w:p w14:paraId="122C416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282" w:type="pct"/>
            <w:tcBorders>
              <w:tl2br w:val="nil"/>
              <w:tr2bl w:val="nil"/>
            </w:tcBorders>
            <w:noWrap w:val="0"/>
            <w:vAlign w:val="center"/>
          </w:tcPr>
          <w:p w14:paraId="6B8FBFC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核算排放浓度（mg/</w:t>
            </w:r>
            <w:r>
              <w:rPr>
                <w:rFonts w:hint="eastAsia"/>
                <w:b/>
                <w:bCs/>
                <w:color w:val="auto"/>
                <w:sz w:val="21"/>
                <w:szCs w:val="21"/>
                <w:lang w:eastAsia="zh-CN"/>
              </w:rPr>
              <w:t>m³</w:t>
            </w:r>
            <w:r>
              <w:rPr>
                <w:b/>
                <w:bCs/>
                <w:color w:val="auto"/>
                <w:sz w:val="21"/>
                <w:szCs w:val="21"/>
              </w:rPr>
              <w:t>）</w:t>
            </w:r>
          </w:p>
        </w:tc>
        <w:tc>
          <w:tcPr>
            <w:tcW w:w="1161" w:type="pct"/>
            <w:tcBorders>
              <w:tl2br w:val="nil"/>
              <w:tr2bl w:val="nil"/>
            </w:tcBorders>
            <w:noWrap w:val="0"/>
            <w:vAlign w:val="center"/>
          </w:tcPr>
          <w:p w14:paraId="1F51B0E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核算排放速率（kg/h）</w:t>
            </w:r>
          </w:p>
        </w:tc>
        <w:tc>
          <w:tcPr>
            <w:tcW w:w="1109" w:type="pct"/>
            <w:tcBorders>
              <w:tl2br w:val="nil"/>
              <w:tr2bl w:val="nil"/>
            </w:tcBorders>
            <w:noWrap w:val="0"/>
            <w:vAlign w:val="center"/>
          </w:tcPr>
          <w:p w14:paraId="015EE8E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核算年排放量（t/a）</w:t>
            </w:r>
          </w:p>
        </w:tc>
      </w:tr>
      <w:tr w14:paraId="41ADD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6"/>
            <w:tcBorders>
              <w:tl2br w:val="nil"/>
              <w:tr2bl w:val="nil"/>
            </w:tcBorders>
            <w:noWrap w:val="0"/>
            <w:vAlign w:val="center"/>
          </w:tcPr>
          <w:p w14:paraId="6EFBDFAC">
            <w:pPr>
              <w:pageBreakBefore w:val="0"/>
              <w:wordWrap/>
              <w:bidi w:val="0"/>
              <w:adjustRightInd/>
              <w:snapToGrid/>
              <w:spacing w:line="240" w:lineRule="auto"/>
              <w:ind w:firstLine="0" w:firstLineChars="0"/>
              <w:jc w:val="center"/>
              <w:rPr>
                <w:color w:val="auto"/>
                <w:sz w:val="21"/>
                <w:szCs w:val="21"/>
              </w:rPr>
            </w:pPr>
            <w:r>
              <w:rPr>
                <w:color w:val="auto"/>
                <w:sz w:val="21"/>
                <w:szCs w:val="21"/>
              </w:rPr>
              <w:t>一般排放口</w:t>
            </w:r>
          </w:p>
        </w:tc>
      </w:tr>
      <w:tr w14:paraId="616AE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vMerge w:val="restart"/>
            <w:tcBorders>
              <w:tl2br w:val="nil"/>
              <w:tr2bl w:val="nil"/>
            </w:tcBorders>
            <w:noWrap w:val="0"/>
            <w:vAlign w:val="center"/>
          </w:tcPr>
          <w:p w14:paraId="7033623F">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700" w:type="pct"/>
            <w:vMerge w:val="restart"/>
            <w:tcBorders>
              <w:tl2br w:val="nil"/>
              <w:tr2bl w:val="nil"/>
            </w:tcBorders>
            <w:noWrap w:val="0"/>
            <w:vAlign w:val="center"/>
          </w:tcPr>
          <w:p w14:paraId="68B3079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DA001</w:t>
            </w:r>
          </w:p>
        </w:tc>
        <w:tc>
          <w:tcPr>
            <w:tcW w:w="465" w:type="pct"/>
            <w:tcBorders>
              <w:tl2br w:val="nil"/>
              <w:tr2bl w:val="nil"/>
            </w:tcBorders>
            <w:noWrap w:val="0"/>
            <w:vAlign w:val="center"/>
          </w:tcPr>
          <w:p w14:paraId="6DF479AE">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282" w:type="pct"/>
            <w:tcBorders>
              <w:tl2br w:val="nil"/>
              <w:tr2bl w:val="nil"/>
            </w:tcBorders>
            <w:noWrap w:val="0"/>
            <w:vAlign w:val="center"/>
          </w:tcPr>
          <w:p w14:paraId="17DAA96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2.14</w:t>
            </w:r>
          </w:p>
        </w:tc>
        <w:tc>
          <w:tcPr>
            <w:tcW w:w="1161" w:type="pct"/>
            <w:tcBorders>
              <w:tl2br w:val="nil"/>
              <w:tr2bl w:val="nil"/>
            </w:tcBorders>
            <w:noWrap w:val="0"/>
            <w:vAlign w:val="center"/>
          </w:tcPr>
          <w:p w14:paraId="4420C68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0.0428</w:t>
            </w:r>
          </w:p>
        </w:tc>
        <w:tc>
          <w:tcPr>
            <w:tcW w:w="1109" w:type="pct"/>
            <w:tcBorders>
              <w:tl2br w:val="nil"/>
              <w:tr2bl w:val="nil"/>
            </w:tcBorders>
            <w:noWrap w:val="0"/>
            <w:vAlign w:val="center"/>
          </w:tcPr>
          <w:p w14:paraId="085B4F4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0.3749</w:t>
            </w:r>
          </w:p>
        </w:tc>
      </w:tr>
      <w:tr w14:paraId="26102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vMerge w:val="continue"/>
            <w:tcBorders>
              <w:tl2br w:val="nil"/>
              <w:tr2bl w:val="nil"/>
            </w:tcBorders>
            <w:noWrap w:val="0"/>
            <w:vAlign w:val="center"/>
          </w:tcPr>
          <w:p w14:paraId="652ECA75">
            <w:pPr>
              <w:pageBreakBefore w:val="0"/>
              <w:wordWrap/>
              <w:bidi w:val="0"/>
              <w:adjustRightInd/>
              <w:snapToGrid/>
              <w:spacing w:line="240" w:lineRule="auto"/>
              <w:ind w:firstLine="0" w:firstLineChars="0"/>
              <w:jc w:val="center"/>
              <w:rPr>
                <w:color w:val="auto"/>
                <w:sz w:val="21"/>
                <w:szCs w:val="21"/>
              </w:rPr>
            </w:pPr>
          </w:p>
        </w:tc>
        <w:tc>
          <w:tcPr>
            <w:tcW w:w="700" w:type="pct"/>
            <w:vMerge w:val="continue"/>
            <w:tcBorders>
              <w:tl2br w:val="nil"/>
              <w:tr2bl w:val="nil"/>
            </w:tcBorders>
            <w:noWrap w:val="0"/>
            <w:vAlign w:val="center"/>
          </w:tcPr>
          <w:p w14:paraId="01888105">
            <w:pPr>
              <w:pageBreakBefore w:val="0"/>
              <w:wordWrap/>
              <w:bidi w:val="0"/>
              <w:adjustRightInd/>
              <w:snapToGrid/>
              <w:spacing w:line="240" w:lineRule="auto"/>
              <w:ind w:firstLine="0" w:firstLineChars="0"/>
              <w:jc w:val="center"/>
              <w:rPr>
                <w:color w:val="auto"/>
                <w:sz w:val="21"/>
                <w:szCs w:val="21"/>
              </w:rPr>
            </w:pPr>
          </w:p>
        </w:tc>
        <w:tc>
          <w:tcPr>
            <w:tcW w:w="465" w:type="pct"/>
            <w:tcBorders>
              <w:tl2br w:val="nil"/>
              <w:tr2bl w:val="nil"/>
            </w:tcBorders>
            <w:noWrap w:val="0"/>
            <w:vAlign w:val="center"/>
          </w:tcPr>
          <w:p w14:paraId="5C5FDB90">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282" w:type="pct"/>
            <w:tcBorders>
              <w:tl2br w:val="nil"/>
              <w:tr2bl w:val="nil"/>
            </w:tcBorders>
            <w:noWrap w:val="0"/>
            <w:vAlign w:val="center"/>
          </w:tcPr>
          <w:p w14:paraId="51997DE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0.0315</w:t>
            </w:r>
          </w:p>
        </w:tc>
        <w:tc>
          <w:tcPr>
            <w:tcW w:w="1161" w:type="pct"/>
            <w:tcBorders>
              <w:tl2br w:val="nil"/>
              <w:tr2bl w:val="nil"/>
            </w:tcBorders>
            <w:noWrap w:val="0"/>
            <w:vAlign w:val="center"/>
          </w:tcPr>
          <w:p w14:paraId="018B888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0.00063</w:t>
            </w:r>
          </w:p>
        </w:tc>
        <w:tc>
          <w:tcPr>
            <w:tcW w:w="1109" w:type="pct"/>
            <w:tcBorders>
              <w:tl2br w:val="nil"/>
              <w:tr2bl w:val="nil"/>
            </w:tcBorders>
            <w:noWrap w:val="0"/>
            <w:vAlign w:val="center"/>
          </w:tcPr>
          <w:p w14:paraId="4AE0F8B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0.0055</w:t>
            </w:r>
          </w:p>
        </w:tc>
      </w:tr>
      <w:tr w14:paraId="48422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6"/>
            <w:tcBorders>
              <w:tl2br w:val="nil"/>
              <w:tr2bl w:val="nil"/>
            </w:tcBorders>
            <w:noWrap w:val="0"/>
            <w:vAlign w:val="center"/>
          </w:tcPr>
          <w:p w14:paraId="3C1B637C">
            <w:pPr>
              <w:pageBreakBefore w:val="0"/>
              <w:wordWrap/>
              <w:bidi w:val="0"/>
              <w:adjustRightInd/>
              <w:snapToGrid/>
              <w:spacing w:line="240" w:lineRule="auto"/>
              <w:ind w:firstLine="0" w:firstLineChars="0"/>
              <w:jc w:val="center"/>
              <w:rPr>
                <w:color w:val="auto"/>
                <w:sz w:val="21"/>
                <w:szCs w:val="21"/>
              </w:rPr>
            </w:pPr>
            <w:r>
              <w:rPr>
                <w:color w:val="auto"/>
                <w:sz w:val="21"/>
                <w:szCs w:val="21"/>
              </w:rPr>
              <w:t>有组织排放总计</w:t>
            </w:r>
          </w:p>
        </w:tc>
      </w:tr>
      <w:tr w14:paraId="3F25F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1" w:type="pct"/>
            <w:gridSpan w:val="2"/>
            <w:vMerge w:val="restart"/>
            <w:tcBorders>
              <w:tl2br w:val="nil"/>
              <w:tr2bl w:val="nil"/>
            </w:tcBorders>
            <w:noWrap w:val="0"/>
            <w:vAlign w:val="center"/>
          </w:tcPr>
          <w:p w14:paraId="5DBE80D7">
            <w:pPr>
              <w:pageBreakBefore w:val="0"/>
              <w:wordWrap/>
              <w:bidi w:val="0"/>
              <w:adjustRightInd/>
              <w:snapToGrid/>
              <w:spacing w:line="240" w:lineRule="auto"/>
              <w:ind w:firstLine="0" w:firstLineChars="0"/>
              <w:jc w:val="center"/>
              <w:rPr>
                <w:color w:val="auto"/>
                <w:sz w:val="21"/>
                <w:szCs w:val="21"/>
              </w:rPr>
            </w:pPr>
            <w:r>
              <w:rPr>
                <w:color w:val="auto"/>
                <w:sz w:val="21"/>
                <w:szCs w:val="21"/>
              </w:rPr>
              <w:t>有组织排放</w:t>
            </w:r>
          </w:p>
        </w:tc>
        <w:tc>
          <w:tcPr>
            <w:tcW w:w="2909" w:type="pct"/>
            <w:gridSpan w:val="3"/>
            <w:tcBorders>
              <w:tl2br w:val="nil"/>
              <w:tr2bl w:val="nil"/>
            </w:tcBorders>
            <w:noWrap w:val="0"/>
            <w:vAlign w:val="center"/>
          </w:tcPr>
          <w:p w14:paraId="7B5F19EF">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949" w:type="dxa"/>
            <w:tcBorders>
              <w:tl2br w:val="nil"/>
              <w:tr2bl w:val="nil"/>
            </w:tcBorders>
            <w:noWrap w:val="0"/>
            <w:vAlign w:val="center"/>
          </w:tcPr>
          <w:p w14:paraId="0D348C29">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0.3749</w:t>
            </w:r>
          </w:p>
        </w:tc>
      </w:tr>
      <w:tr w14:paraId="168DA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1" w:type="pct"/>
            <w:gridSpan w:val="2"/>
            <w:vMerge w:val="continue"/>
            <w:tcBorders>
              <w:tl2br w:val="nil"/>
              <w:tr2bl w:val="nil"/>
            </w:tcBorders>
            <w:noWrap w:val="0"/>
            <w:vAlign w:val="center"/>
          </w:tcPr>
          <w:p w14:paraId="6EE55593">
            <w:pPr>
              <w:pageBreakBefore w:val="0"/>
              <w:wordWrap/>
              <w:bidi w:val="0"/>
              <w:adjustRightInd/>
              <w:snapToGrid/>
              <w:spacing w:line="240" w:lineRule="auto"/>
              <w:ind w:firstLine="0" w:firstLineChars="0"/>
              <w:jc w:val="center"/>
              <w:rPr>
                <w:color w:val="auto"/>
                <w:sz w:val="21"/>
                <w:szCs w:val="21"/>
              </w:rPr>
            </w:pPr>
          </w:p>
        </w:tc>
        <w:tc>
          <w:tcPr>
            <w:tcW w:w="2909" w:type="pct"/>
            <w:gridSpan w:val="3"/>
            <w:tcBorders>
              <w:tl2br w:val="nil"/>
              <w:tr2bl w:val="nil"/>
            </w:tcBorders>
            <w:noWrap w:val="0"/>
            <w:vAlign w:val="center"/>
          </w:tcPr>
          <w:p w14:paraId="2BAF991F">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949" w:type="dxa"/>
            <w:tcBorders>
              <w:tl2br w:val="nil"/>
              <w:tr2bl w:val="nil"/>
            </w:tcBorders>
            <w:noWrap w:val="0"/>
            <w:vAlign w:val="center"/>
          </w:tcPr>
          <w:p w14:paraId="2B0CF722">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0.0055</w:t>
            </w:r>
          </w:p>
        </w:tc>
      </w:tr>
    </w:tbl>
    <w:p w14:paraId="7B904EC4">
      <w:pPr>
        <w:pageBreakBefore w:val="0"/>
        <w:wordWrap/>
        <w:bidi w:val="0"/>
        <w:adjustRightInd/>
        <w:snapToGrid/>
        <w:spacing w:before="120" w:beforeLines="50"/>
        <w:ind w:firstLine="480"/>
        <w:rPr>
          <w:color w:val="auto"/>
          <w:sz w:val="21"/>
          <w:szCs w:val="21"/>
        </w:rPr>
      </w:pPr>
      <w:r>
        <w:rPr>
          <w:rFonts w:hint="eastAsia"/>
          <w:color w:val="auto"/>
        </w:rPr>
        <w:t>②无组织排放量核算</w:t>
      </w:r>
    </w:p>
    <w:p w14:paraId="1B7D3A5A">
      <w:pPr>
        <w:pStyle w:val="15"/>
        <w:numPr>
          <w:ilvl w:val="0"/>
          <w:numId w:val="31"/>
        </w:numPr>
        <w:bidi w:val="0"/>
        <w:ind w:left="0" w:leftChars="0" w:firstLine="0" w:firstLineChars="0"/>
        <w:rPr>
          <w:color w:val="auto"/>
        </w:rPr>
      </w:pPr>
      <w:r>
        <w:rPr>
          <w:color w:val="auto"/>
        </w:rPr>
        <w:t>大气污染物无组织排放量核算表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45"/>
        <w:gridCol w:w="821"/>
        <w:gridCol w:w="995"/>
        <w:gridCol w:w="608"/>
        <w:gridCol w:w="1369"/>
        <w:gridCol w:w="2367"/>
        <w:gridCol w:w="1204"/>
        <w:gridCol w:w="877"/>
      </w:tblGrid>
      <w:tr w14:paraId="43DEF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1" w:type="pct"/>
            <w:vMerge w:val="restart"/>
            <w:tcBorders>
              <w:tl2br w:val="nil"/>
              <w:tr2bl w:val="nil"/>
            </w:tcBorders>
            <w:noWrap w:val="0"/>
            <w:vAlign w:val="center"/>
          </w:tcPr>
          <w:p w14:paraId="6727EA3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467" w:type="pct"/>
            <w:vMerge w:val="restart"/>
            <w:tcBorders>
              <w:tl2br w:val="nil"/>
              <w:tr2bl w:val="nil"/>
            </w:tcBorders>
            <w:noWrap w:val="0"/>
            <w:vAlign w:val="center"/>
          </w:tcPr>
          <w:p w14:paraId="2224F53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566" w:type="pct"/>
            <w:vMerge w:val="restart"/>
            <w:tcBorders>
              <w:tl2br w:val="nil"/>
              <w:tr2bl w:val="nil"/>
            </w:tcBorders>
            <w:noWrap w:val="0"/>
            <w:vAlign w:val="center"/>
          </w:tcPr>
          <w:p w14:paraId="3579F01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产污环节</w:t>
            </w:r>
          </w:p>
        </w:tc>
        <w:tc>
          <w:tcPr>
            <w:tcW w:w="343" w:type="pct"/>
            <w:vMerge w:val="restart"/>
            <w:tcBorders>
              <w:tl2br w:val="nil"/>
              <w:tr2bl w:val="nil"/>
            </w:tcBorders>
            <w:noWrap w:val="0"/>
            <w:vAlign w:val="center"/>
          </w:tcPr>
          <w:p w14:paraId="19B2709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779" w:type="pct"/>
            <w:vMerge w:val="restart"/>
            <w:tcBorders>
              <w:tl2br w:val="nil"/>
              <w:tr2bl w:val="nil"/>
            </w:tcBorders>
            <w:noWrap w:val="0"/>
            <w:vAlign w:val="center"/>
          </w:tcPr>
          <w:p w14:paraId="528992C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主要污染防治措施</w:t>
            </w:r>
          </w:p>
        </w:tc>
        <w:tc>
          <w:tcPr>
            <w:tcW w:w="2032" w:type="pct"/>
            <w:gridSpan w:val="2"/>
            <w:tcBorders>
              <w:tl2br w:val="nil"/>
              <w:tr2bl w:val="nil"/>
            </w:tcBorders>
            <w:noWrap w:val="0"/>
            <w:vAlign w:val="center"/>
          </w:tcPr>
          <w:p w14:paraId="30AA0C6D">
            <w:pPr>
              <w:pageBreakBefore w:val="0"/>
              <w:wordWrap/>
              <w:autoSpaceDE w:val="0"/>
              <w:autoSpaceDN w:val="0"/>
              <w:bidi w:val="0"/>
              <w:adjustRightInd/>
              <w:snapToGrid/>
              <w:spacing w:line="240" w:lineRule="auto"/>
              <w:ind w:firstLine="0" w:firstLineChars="0"/>
              <w:jc w:val="center"/>
              <w:rPr>
                <w:b/>
                <w:bCs/>
                <w:color w:val="auto"/>
                <w:sz w:val="21"/>
                <w:szCs w:val="21"/>
              </w:rPr>
            </w:pPr>
            <w:r>
              <w:rPr>
                <w:b/>
                <w:bCs/>
                <w:color w:val="auto"/>
                <w:kern w:val="0"/>
                <w:sz w:val="21"/>
                <w:szCs w:val="21"/>
              </w:rPr>
              <w:t>国家或地方污染物排放标准</w:t>
            </w:r>
          </w:p>
        </w:tc>
        <w:tc>
          <w:tcPr>
            <w:tcW w:w="498" w:type="pct"/>
            <w:vMerge w:val="restart"/>
            <w:tcBorders>
              <w:tl2br w:val="nil"/>
              <w:tr2bl w:val="nil"/>
            </w:tcBorders>
            <w:noWrap w:val="0"/>
            <w:vAlign w:val="center"/>
          </w:tcPr>
          <w:p w14:paraId="5486B88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54178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1" w:type="pct"/>
            <w:vMerge w:val="continue"/>
            <w:tcBorders>
              <w:tl2br w:val="nil"/>
              <w:tr2bl w:val="nil"/>
            </w:tcBorders>
            <w:noWrap w:val="0"/>
            <w:vAlign w:val="center"/>
          </w:tcPr>
          <w:p w14:paraId="5DBC8E0B">
            <w:pPr>
              <w:pageBreakBefore w:val="0"/>
              <w:wordWrap/>
              <w:bidi w:val="0"/>
              <w:adjustRightInd/>
              <w:snapToGrid/>
              <w:spacing w:line="240" w:lineRule="auto"/>
              <w:ind w:firstLine="0" w:firstLineChars="0"/>
              <w:jc w:val="center"/>
              <w:rPr>
                <w:color w:val="auto"/>
                <w:sz w:val="21"/>
                <w:szCs w:val="21"/>
              </w:rPr>
            </w:pPr>
          </w:p>
        </w:tc>
        <w:tc>
          <w:tcPr>
            <w:tcW w:w="467" w:type="pct"/>
            <w:vMerge w:val="continue"/>
            <w:tcBorders>
              <w:tl2br w:val="nil"/>
              <w:tr2bl w:val="nil"/>
            </w:tcBorders>
            <w:noWrap w:val="0"/>
            <w:vAlign w:val="center"/>
          </w:tcPr>
          <w:p w14:paraId="61D60513">
            <w:pPr>
              <w:pageBreakBefore w:val="0"/>
              <w:wordWrap/>
              <w:bidi w:val="0"/>
              <w:adjustRightInd/>
              <w:snapToGrid/>
              <w:spacing w:line="240" w:lineRule="auto"/>
              <w:ind w:firstLine="0" w:firstLineChars="0"/>
              <w:jc w:val="center"/>
              <w:rPr>
                <w:color w:val="auto"/>
                <w:sz w:val="21"/>
                <w:szCs w:val="21"/>
              </w:rPr>
            </w:pPr>
          </w:p>
        </w:tc>
        <w:tc>
          <w:tcPr>
            <w:tcW w:w="566" w:type="pct"/>
            <w:vMerge w:val="continue"/>
            <w:tcBorders>
              <w:tl2br w:val="nil"/>
              <w:tr2bl w:val="nil"/>
            </w:tcBorders>
            <w:noWrap w:val="0"/>
            <w:vAlign w:val="center"/>
          </w:tcPr>
          <w:p w14:paraId="40D661DF">
            <w:pPr>
              <w:pageBreakBefore w:val="0"/>
              <w:wordWrap/>
              <w:bidi w:val="0"/>
              <w:adjustRightInd/>
              <w:snapToGrid/>
              <w:spacing w:line="240" w:lineRule="auto"/>
              <w:ind w:firstLine="0" w:firstLineChars="0"/>
              <w:jc w:val="center"/>
              <w:rPr>
                <w:color w:val="auto"/>
                <w:sz w:val="21"/>
                <w:szCs w:val="21"/>
              </w:rPr>
            </w:pPr>
          </w:p>
        </w:tc>
        <w:tc>
          <w:tcPr>
            <w:tcW w:w="343" w:type="pct"/>
            <w:vMerge w:val="continue"/>
            <w:tcBorders>
              <w:tl2br w:val="nil"/>
              <w:tr2bl w:val="nil"/>
            </w:tcBorders>
            <w:noWrap w:val="0"/>
            <w:vAlign w:val="center"/>
          </w:tcPr>
          <w:p w14:paraId="002A18E2">
            <w:pPr>
              <w:pageBreakBefore w:val="0"/>
              <w:wordWrap/>
              <w:bidi w:val="0"/>
              <w:adjustRightInd/>
              <w:snapToGrid/>
              <w:spacing w:line="240" w:lineRule="auto"/>
              <w:ind w:firstLine="0" w:firstLineChars="0"/>
              <w:jc w:val="center"/>
              <w:rPr>
                <w:color w:val="auto"/>
                <w:sz w:val="21"/>
                <w:szCs w:val="21"/>
              </w:rPr>
            </w:pPr>
          </w:p>
        </w:tc>
        <w:tc>
          <w:tcPr>
            <w:tcW w:w="779" w:type="pct"/>
            <w:vMerge w:val="continue"/>
            <w:tcBorders>
              <w:tl2br w:val="nil"/>
              <w:tr2bl w:val="nil"/>
            </w:tcBorders>
            <w:noWrap w:val="0"/>
            <w:vAlign w:val="center"/>
          </w:tcPr>
          <w:p w14:paraId="56C947DD">
            <w:pPr>
              <w:pageBreakBefore w:val="0"/>
              <w:wordWrap/>
              <w:bidi w:val="0"/>
              <w:adjustRightInd/>
              <w:snapToGrid/>
              <w:spacing w:line="240" w:lineRule="auto"/>
              <w:ind w:firstLine="0" w:firstLineChars="0"/>
              <w:jc w:val="center"/>
              <w:rPr>
                <w:color w:val="auto"/>
                <w:sz w:val="21"/>
                <w:szCs w:val="21"/>
              </w:rPr>
            </w:pPr>
          </w:p>
        </w:tc>
        <w:tc>
          <w:tcPr>
            <w:tcW w:w="1347" w:type="pct"/>
            <w:tcBorders>
              <w:tl2br w:val="nil"/>
              <w:tr2bl w:val="nil"/>
            </w:tcBorders>
            <w:noWrap w:val="0"/>
            <w:vAlign w:val="center"/>
          </w:tcPr>
          <w:p w14:paraId="0AB9943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标准名称</w:t>
            </w:r>
          </w:p>
        </w:tc>
        <w:tc>
          <w:tcPr>
            <w:tcW w:w="685" w:type="pct"/>
            <w:tcBorders>
              <w:tl2br w:val="nil"/>
              <w:tr2bl w:val="nil"/>
            </w:tcBorders>
            <w:noWrap w:val="0"/>
            <w:vAlign w:val="center"/>
          </w:tcPr>
          <w:p w14:paraId="776C1E1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浓度限值（µg/</w:t>
            </w:r>
            <w:r>
              <w:rPr>
                <w:rFonts w:hint="eastAsia"/>
                <w:b/>
                <w:bCs/>
                <w:color w:val="auto"/>
                <w:sz w:val="21"/>
                <w:szCs w:val="21"/>
                <w:lang w:eastAsia="zh-CN"/>
              </w:rPr>
              <w:t>m³</w:t>
            </w:r>
            <w:r>
              <w:rPr>
                <w:b/>
                <w:bCs/>
                <w:color w:val="auto"/>
                <w:sz w:val="21"/>
                <w:szCs w:val="21"/>
              </w:rPr>
              <w:t>）</w:t>
            </w:r>
          </w:p>
        </w:tc>
        <w:tc>
          <w:tcPr>
            <w:tcW w:w="498" w:type="pct"/>
            <w:vMerge w:val="continue"/>
            <w:tcBorders>
              <w:tl2br w:val="nil"/>
              <w:tr2bl w:val="nil"/>
            </w:tcBorders>
            <w:noWrap w:val="0"/>
            <w:vAlign w:val="center"/>
          </w:tcPr>
          <w:p w14:paraId="3B73F3BB">
            <w:pPr>
              <w:pageBreakBefore w:val="0"/>
              <w:wordWrap/>
              <w:bidi w:val="0"/>
              <w:adjustRightInd/>
              <w:snapToGrid/>
              <w:spacing w:line="240" w:lineRule="auto"/>
              <w:ind w:firstLine="0" w:firstLineChars="0"/>
              <w:jc w:val="center"/>
              <w:rPr>
                <w:color w:val="auto"/>
                <w:sz w:val="21"/>
                <w:szCs w:val="21"/>
              </w:rPr>
            </w:pPr>
          </w:p>
        </w:tc>
      </w:tr>
      <w:tr w14:paraId="4FEE0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1" w:type="pct"/>
            <w:vMerge w:val="restart"/>
            <w:tcBorders>
              <w:tl2br w:val="nil"/>
              <w:tr2bl w:val="nil"/>
            </w:tcBorders>
            <w:noWrap w:val="0"/>
            <w:vAlign w:val="center"/>
          </w:tcPr>
          <w:p w14:paraId="5BC61CC4">
            <w:pPr>
              <w:pageBreakBefore w:val="0"/>
              <w:wordWrap/>
              <w:bidi w:val="0"/>
              <w:adjustRightInd/>
              <w:snapToGrid/>
              <w:spacing w:line="240" w:lineRule="auto"/>
              <w:ind w:firstLine="0" w:firstLineChars="0"/>
              <w:jc w:val="center"/>
              <w:rPr>
                <w:color w:val="auto"/>
                <w:sz w:val="21"/>
                <w:szCs w:val="21"/>
              </w:rPr>
            </w:pPr>
            <w:bookmarkStart w:id="181" w:name="OLE_LINK1" w:colFirst="7" w:colLast="7"/>
            <w:r>
              <w:rPr>
                <w:color w:val="auto"/>
                <w:sz w:val="21"/>
                <w:szCs w:val="21"/>
              </w:rPr>
              <w:t>1</w:t>
            </w:r>
          </w:p>
        </w:tc>
        <w:tc>
          <w:tcPr>
            <w:tcW w:w="467" w:type="pct"/>
            <w:vMerge w:val="restart"/>
            <w:tcBorders>
              <w:tl2br w:val="nil"/>
              <w:tr2bl w:val="nil"/>
            </w:tcBorders>
            <w:noWrap w:val="0"/>
            <w:vAlign w:val="center"/>
          </w:tcPr>
          <w:p w14:paraId="476669FE">
            <w:pPr>
              <w:pageBreakBefore w:val="0"/>
              <w:wordWrap/>
              <w:autoSpaceDE w:val="0"/>
              <w:autoSpaceDN w:val="0"/>
              <w:bidi w:val="0"/>
              <w:adjustRightInd/>
              <w:snapToGrid/>
              <w:spacing w:line="240" w:lineRule="auto"/>
              <w:ind w:firstLine="0" w:firstLineChars="0"/>
              <w:jc w:val="center"/>
              <w:rPr>
                <w:color w:val="auto"/>
                <w:kern w:val="0"/>
                <w:sz w:val="21"/>
                <w:szCs w:val="21"/>
              </w:rPr>
            </w:pPr>
            <w:r>
              <w:rPr>
                <w:rFonts w:hint="eastAsia"/>
                <w:color w:val="auto"/>
                <w:kern w:val="0"/>
                <w:sz w:val="21"/>
                <w:szCs w:val="21"/>
              </w:rPr>
              <w:t>3</w:t>
            </w:r>
            <w:r>
              <w:rPr>
                <w:color w:val="auto"/>
                <w:kern w:val="0"/>
                <w:sz w:val="21"/>
                <w:szCs w:val="21"/>
              </w:rPr>
              <w:t>#</w:t>
            </w:r>
          </w:p>
        </w:tc>
        <w:tc>
          <w:tcPr>
            <w:tcW w:w="566" w:type="pct"/>
            <w:vMerge w:val="restart"/>
            <w:tcBorders>
              <w:tl2br w:val="nil"/>
              <w:tr2bl w:val="nil"/>
            </w:tcBorders>
            <w:noWrap w:val="0"/>
            <w:vAlign w:val="center"/>
          </w:tcPr>
          <w:p w14:paraId="430AFFFF">
            <w:pPr>
              <w:pageBreakBefore w:val="0"/>
              <w:wordWrap/>
              <w:autoSpaceDE w:val="0"/>
              <w:autoSpaceDN w:val="0"/>
              <w:bidi w:val="0"/>
              <w:adjustRightInd/>
              <w:snapToGrid/>
              <w:spacing w:line="240" w:lineRule="auto"/>
              <w:ind w:firstLine="0" w:firstLineChars="0"/>
              <w:jc w:val="center"/>
              <w:rPr>
                <w:color w:val="auto"/>
                <w:kern w:val="0"/>
                <w:sz w:val="21"/>
                <w:szCs w:val="21"/>
              </w:rPr>
            </w:pPr>
            <w:r>
              <w:rPr>
                <w:color w:val="auto"/>
                <w:kern w:val="0"/>
                <w:sz w:val="21"/>
                <w:szCs w:val="21"/>
              </w:rPr>
              <w:t>预处理单元</w:t>
            </w:r>
          </w:p>
        </w:tc>
        <w:tc>
          <w:tcPr>
            <w:tcW w:w="343" w:type="pct"/>
            <w:tcBorders>
              <w:tl2br w:val="nil"/>
              <w:tr2bl w:val="nil"/>
            </w:tcBorders>
            <w:noWrap w:val="0"/>
            <w:vAlign w:val="center"/>
          </w:tcPr>
          <w:p w14:paraId="74217038">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restart"/>
            <w:tcBorders>
              <w:tl2br w:val="nil"/>
              <w:tr2bl w:val="nil"/>
            </w:tcBorders>
            <w:noWrap w:val="0"/>
            <w:vAlign w:val="center"/>
          </w:tcPr>
          <w:p w14:paraId="6E5074D6">
            <w:pPr>
              <w:pageBreakBefore w:val="0"/>
              <w:wordWrap/>
              <w:autoSpaceDE w:val="0"/>
              <w:autoSpaceDN w:val="0"/>
              <w:bidi w:val="0"/>
              <w:adjustRightInd/>
              <w:snapToGrid/>
              <w:spacing w:line="240" w:lineRule="auto"/>
              <w:ind w:firstLine="0" w:firstLineChars="0"/>
              <w:jc w:val="center"/>
              <w:rPr>
                <w:color w:val="auto"/>
                <w:kern w:val="0"/>
                <w:sz w:val="21"/>
                <w:szCs w:val="21"/>
              </w:rPr>
            </w:pPr>
            <w:r>
              <w:rPr>
                <w:color w:val="auto"/>
                <w:kern w:val="0"/>
                <w:sz w:val="21"/>
                <w:szCs w:val="21"/>
              </w:rPr>
              <w:t>通过在产生臭气的池子上加盖，臭气经过收集后，通过生物滤池除臭后，废气通过排气</w:t>
            </w:r>
          </w:p>
        </w:tc>
        <w:tc>
          <w:tcPr>
            <w:tcW w:w="1347" w:type="pct"/>
            <w:vMerge w:val="restart"/>
            <w:tcBorders>
              <w:tl2br w:val="nil"/>
              <w:tr2bl w:val="nil"/>
            </w:tcBorders>
            <w:noWrap w:val="0"/>
            <w:vAlign w:val="center"/>
          </w:tcPr>
          <w:p w14:paraId="4D2FD3C0">
            <w:pPr>
              <w:pageBreakBefore w:val="0"/>
              <w:wordWrap/>
              <w:autoSpaceDE w:val="0"/>
              <w:autoSpaceDN w:val="0"/>
              <w:bidi w:val="0"/>
              <w:adjustRightInd/>
              <w:snapToGrid/>
              <w:spacing w:line="240" w:lineRule="auto"/>
              <w:ind w:firstLine="0" w:firstLineChars="0"/>
              <w:jc w:val="center"/>
              <w:rPr>
                <w:color w:val="auto"/>
                <w:sz w:val="21"/>
                <w:szCs w:val="21"/>
              </w:rPr>
            </w:pPr>
            <w:r>
              <w:rPr>
                <w:color w:val="auto"/>
                <w:sz w:val="21"/>
                <w:szCs w:val="21"/>
              </w:rPr>
              <w:t>《城镇污水处理厂污染物排放标准》（GB18918-2002）表4厂界（防护带边缘）废气排放最高允许浓度二级标准（与《恶臭污染物排放标准》（GB14554-93）二级标准数值相同）</w:t>
            </w:r>
          </w:p>
        </w:tc>
        <w:tc>
          <w:tcPr>
            <w:tcW w:w="685" w:type="pct"/>
            <w:tcBorders>
              <w:tl2br w:val="nil"/>
              <w:tr2bl w:val="nil"/>
            </w:tcBorders>
            <w:noWrap w:val="0"/>
            <w:vAlign w:val="center"/>
          </w:tcPr>
          <w:p w14:paraId="4BE8FF7C">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498" w:type="pct"/>
            <w:tcBorders>
              <w:tl2br w:val="nil"/>
              <w:tr2bl w:val="nil"/>
            </w:tcBorders>
            <w:noWrap w:val="0"/>
            <w:vAlign w:val="center"/>
          </w:tcPr>
          <w:p w14:paraId="57D3174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0.3946</w:t>
            </w:r>
          </w:p>
        </w:tc>
      </w:tr>
      <w:tr w14:paraId="22403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1" w:type="pct"/>
            <w:vMerge w:val="continue"/>
            <w:tcBorders>
              <w:tl2br w:val="nil"/>
              <w:tr2bl w:val="nil"/>
            </w:tcBorders>
            <w:noWrap w:val="0"/>
            <w:vAlign w:val="center"/>
          </w:tcPr>
          <w:p w14:paraId="25C2D7B4">
            <w:pPr>
              <w:pageBreakBefore w:val="0"/>
              <w:wordWrap/>
              <w:bidi w:val="0"/>
              <w:adjustRightInd/>
              <w:snapToGrid/>
              <w:spacing w:line="240" w:lineRule="auto"/>
              <w:ind w:firstLine="0" w:firstLineChars="0"/>
              <w:jc w:val="center"/>
              <w:rPr>
                <w:color w:val="auto"/>
                <w:sz w:val="21"/>
                <w:szCs w:val="21"/>
              </w:rPr>
            </w:pPr>
          </w:p>
        </w:tc>
        <w:tc>
          <w:tcPr>
            <w:tcW w:w="467" w:type="pct"/>
            <w:vMerge w:val="continue"/>
            <w:tcBorders>
              <w:tl2br w:val="nil"/>
              <w:tr2bl w:val="nil"/>
            </w:tcBorders>
            <w:noWrap w:val="0"/>
            <w:vAlign w:val="center"/>
          </w:tcPr>
          <w:p w14:paraId="2D1D8AC3">
            <w:pPr>
              <w:pageBreakBefore w:val="0"/>
              <w:wordWrap/>
              <w:bidi w:val="0"/>
              <w:adjustRightInd/>
              <w:snapToGrid/>
              <w:spacing w:line="240" w:lineRule="auto"/>
              <w:ind w:firstLine="0" w:firstLineChars="0"/>
              <w:jc w:val="center"/>
              <w:rPr>
                <w:color w:val="auto"/>
                <w:sz w:val="21"/>
                <w:szCs w:val="21"/>
              </w:rPr>
            </w:pPr>
          </w:p>
        </w:tc>
        <w:tc>
          <w:tcPr>
            <w:tcW w:w="566" w:type="pct"/>
            <w:vMerge w:val="continue"/>
            <w:tcBorders>
              <w:tl2br w:val="nil"/>
              <w:tr2bl w:val="nil"/>
            </w:tcBorders>
            <w:noWrap w:val="0"/>
            <w:vAlign w:val="center"/>
          </w:tcPr>
          <w:p w14:paraId="3D4AD024">
            <w:pPr>
              <w:pageBreakBefore w:val="0"/>
              <w:wordWrap/>
              <w:bidi w:val="0"/>
              <w:adjustRightInd/>
              <w:snapToGrid/>
              <w:spacing w:line="240" w:lineRule="auto"/>
              <w:ind w:firstLine="0" w:firstLineChars="0"/>
              <w:jc w:val="center"/>
              <w:rPr>
                <w:color w:val="auto"/>
                <w:sz w:val="21"/>
                <w:szCs w:val="21"/>
              </w:rPr>
            </w:pPr>
          </w:p>
        </w:tc>
        <w:tc>
          <w:tcPr>
            <w:tcW w:w="343" w:type="pct"/>
            <w:tcBorders>
              <w:tl2br w:val="nil"/>
              <w:tr2bl w:val="nil"/>
            </w:tcBorders>
            <w:noWrap w:val="0"/>
            <w:vAlign w:val="center"/>
          </w:tcPr>
          <w:p w14:paraId="066B78CD">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7CCB1FD5">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118AC0CD">
            <w:pPr>
              <w:pageBreakBefore w:val="0"/>
              <w:wordWrap/>
              <w:bidi w:val="0"/>
              <w:adjustRightInd/>
              <w:snapToGrid/>
              <w:spacing w:line="240" w:lineRule="auto"/>
              <w:ind w:firstLine="0" w:firstLineChars="0"/>
              <w:jc w:val="center"/>
              <w:rPr>
                <w:color w:val="auto"/>
                <w:sz w:val="21"/>
                <w:szCs w:val="21"/>
              </w:rPr>
            </w:pPr>
          </w:p>
        </w:tc>
        <w:tc>
          <w:tcPr>
            <w:tcW w:w="685" w:type="pct"/>
            <w:tcBorders>
              <w:tl2br w:val="nil"/>
              <w:tr2bl w:val="nil"/>
            </w:tcBorders>
            <w:noWrap w:val="0"/>
            <w:vAlign w:val="center"/>
          </w:tcPr>
          <w:p w14:paraId="6E6693F7">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498" w:type="pct"/>
            <w:tcBorders>
              <w:tl2br w:val="nil"/>
              <w:tr2bl w:val="nil"/>
            </w:tcBorders>
            <w:noWrap w:val="0"/>
            <w:vAlign w:val="center"/>
          </w:tcPr>
          <w:p w14:paraId="42B6BB0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0.0058</w:t>
            </w:r>
          </w:p>
        </w:tc>
      </w:tr>
      <w:bookmarkEnd w:id="181"/>
      <w:tr w14:paraId="4B542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8"/>
            <w:tcBorders>
              <w:tl2br w:val="nil"/>
              <w:tr2bl w:val="nil"/>
            </w:tcBorders>
            <w:noWrap w:val="0"/>
            <w:vAlign w:val="center"/>
          </w:tcPr>
          <w:p w14:paraId="5EC27A48">
            <w:pPr>
              <w:pageBreakBefore w:val="0"/>
              <w:wordWrap/>
              <w:bidi w:val="0"/>
              <w:adjustRightInd/>
              <w:snapToGrid/>
              <w:spacing w:line="240" w:lineRule="auto"/>
              <w:ind w:firstLine="0" w:firstLineChars="0"/>
              <w:jc w:val="center"/>
              <w:rPr>
                <w:color w:val="auto"/>
                <w:sz w:val="21"/>
                <w:szCs w:val="21"/>
              </w:rPr>
            </w:pPr>
            <w:r>
              <w:rPr>
                <w:color w:val="auto"/>
                <w:sz w:val="21"/>
                <w:szCs w:val="21"/>
              </w:rPr>
              <w:t>无组织排放总计</w:t>
            </w:r>
          </w:p>
        </w:tc>
      </w:tr>
      <w:tr w14:paraId="7AFAC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90" w:type="pct"/>
            <w:gridSpan w:val="4"/>
            <w:vMerge w:val="restart"/>
            <w:tcBorders>
              <w:tl2br w:val="nil"/>
              <w:tr2bl w:val="nil"/>
            </w:tcBorders>
            <w:noWrap w:val="0"/>
            <w:vAlign w:val="center"/>
          </w:tcPr>
          <w:p w14:paraId="3EB9E417">
            <w:pPr>
              <w:pageBreakBefore w:val="0"/>
              <w:wordWrap/>
              <w:bidi w:val="0"/>
              <w:adjustRightInd/>
              <w:snapToGrid/>
              <w:spacing w:line="240" w:lineRule="auto"/>
              <w:ind w:firstLine="0" w:firstLineChars="0"/>
              <w:jc w:val="center"/>
              <w:rPr>
                <w:color w:val="auto"/>
                <w:sz w:val="21"/>
                <w:szCs w:val="21"/>
              </w:rPr>
            </w:pPr>
            <w:r>
              <w:rPr>
                <w:color w:val="auto"/>
                <w:sz w:val="21"/>
                <w:szCs w:val="21"/>
              </w:rPr>
              <w:t>无组织排放总计</w:t>
            </w:r>
          </w:p>
        </w:tc>
        <w:tc>
          <w:tcPr>
            <w:tcW w:w="2126" w:type="pct"/>
            <w:gridSpan w:val="2"/>
            <w:tcBorders>
              <w:tl2br w:val="nil"/>
              <w:tr2bl w:val="nil"/>
            </w:tcBorders>
            <w:noWrap w:val="0"/>
            <w:vAlign w:val="center"/>
          </w:tcPr>
          <w:p w14:paraId="1E29EB56">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685" w:type="pct"/>
            <w:tcBorders>
              <w:tl2br w:val="nil"/>
              <w:tr2bl w:val="nil"/>
            </w:tcBorders>
            <w:noWrap w:val="0"/>
            <w:vAlign w:val="center"/>
          </w:tcPr>
          <w:p w14:paraId="50280A0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498" w:type="pct"/>
            <w:tcBorders>
              <w:tl2br w:val="nil"/>
              <w:tr2bl w:val="nil"/>
            </w:tcBorders>
            <w:noWrap w:val="0"/>
            <w:vAlign w:val="center"/>
          </w:tcPr>
          <w:p w14:paraId="1E6AA4F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0.3946</w:t>
            </w:r>
          </w:p>
        </w:tc>
      </w:tr>
      <w:tr w14:paraId="579B5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90" w:type="pct"/>
            <w:gridSpan w:val="4"/>
            <w:vMerge w:val="continue"/>
            <w:tcBorders>
              <w:tl2br w:val="nil"/>
              <w:tr2bl w:val="nil"/>
            </w:tcBorders>
            <w:noWrap w:val="0"/>
            <w:vAlign w:val="center"/>
          </w:tcPr>
          <w:p w14:paraId="7AF5401D">
            <w:pPr>
              <w:pageBreakBefore w:val="0"/>
              <w:wordWrap/>
              <w:bidi w:val="0"/>
              <w:adjustRightInd/>
              <w:snapToGrid/>
              <w:spacing w:line="240" w:lineRule="auto"/>
              <w:ind w:firstLine="0" w:firstLineChars="0"/>
              <w:jc w:val="center"/>
              <w:rPr>
                <w:color w:val="auto"/>
                <w:sz w:val="21"/>
                <w:szCs w:val="21"/>
              </w:rPr>
            </w:pPr>
          </w:p>
        </w:tc>
        <w:tc>
          <w:tcPr>
            <w:tcW w:w="2126" w:type="pct"/>
            <w:gridSpan w:val="2"/>
            <w:tcBorders>
              <w:tl2br w:val="nil"/>
              <w:tr2bl w:val="nil"/>
            </w:tcBorders>
            <w:noWrap w:val="0"/>
            <w:vAlign w:val="center"/>
          </w:tcPr>
          <w:p w14:paraId="131A799F">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685" w:type="pct"/>
            <w:tcBorders>
              <w:tl2br w:val="nil"/>
              <w:tr2bl w:val="nil"/>
            </w:tcBorders>
            <w:noWrap w:val="0"/>
            <w:vAlign w:val="center"/>
          </w:tcPr>
          <w:p w14:paraId="59FFC0F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498" w:type="pct"/>
            <w:tcBorders>
              <w:tl2br w:val="nil"/>
              <w:tr2bl w:val="nil"/>
            </w:tcBorders>
            <w:noWrap w:val="0"/>
            <w:vAlign w:val="center"/>
          </w:tcPr>
          <w:p w14:paraId="7341CE4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0.0058</w:t>
            </w:r>
          </w:p>
        </w:tc>
      </w:tr>
    </w:tbl>
    <w:p w14:paraId="476EB422">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③大气污染物年排放量核算</w:t>
      </w:r>
    </w:p>
    <w:p w14:paraId="15CF8B6F">
      <w:pPr>
        <w:bidi w:val="0"/>
        <w:rPr>
          <w:color w:val="auto"/>
        </w:rPr>
      </w:pPr>
      <w:r>
        <w:rPr>
          <w:color w:val="auto"/>
        </w:rPr>
        <w:t>项目大气污染物年排放量核算详见</w:t>
      </w:r>
      <w:r>
        <w:rPr>
          <w:rFonts w:hint="eastAsia"/>
          <w:color w:val="auto"/>
          <w:lang w:val="en-US" w:eastAsia="zh-CN"/>
        </w:rPr>
        <w:t>下表</w:t>
      </w:r>
      <w:r>
        <w:rPr>
          <w:color w:val="auto"/>
        </w:rPr>
        <w:t>。</w:t>
      </w:r>
    </w:p>
    <w:p w14:paraId="5DC06DC7">
      <w:pPr>
        <w:pStyle w:val="15"/>
        <w:numPr>
          <w:ilvl w:val="0"/>
          <w:numId w:val="31"/>
        </w:numPr>
        <w:bidi w:val="0"/>
        <w:ind w:left="0" w:leftChars="0" w:firstLine="0" w:firstLineChars="0"/>
        <w:rPr>
          <w:color w:val="auto"/>
        </w:rPr>
      </w:pPr>
      <w:r>
        <w:rPr>
          <w:color w:val="auto"/>
        </w:rPr>
        <w:t>大气污染物年排放量核算表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65"/>
        <w:gridCol w:w="2984"/>
        <w:gridCol w:w="2993"/>
      </w:tblGrid>
      <w:tr w14:paraId="21143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436C0C4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668" w:type="pct"/>
            <w:tcBorders>
              <w:tl2br w:val="nil"/>
              <w:tr2bl w:val="nil"/>
            </w:tcBorders>
            <w:noWrap w:val="0"/>
            <w:vAlign w:val="center"/>
          </w:tcPr>
          <w:p w14:paraId="640B451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673" w:type="pct"/>
            <w:vMerge w:val="restart"/>
            <w:tcBorders>
              <w:tl2br w:val="nil"/>
              <w:tr2bl w:val="nil"/>
            </w:tcBorders>
            <w:noWrap w:val="0"/>
            <w:vAlign w:val="center"/>
          </w:tcPr>
          <w:p w14:paraId="2C90599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0761F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63F90623">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668" w:type="pct"/>
            <w:tcBorders>
              <w:tl2br w:val="nil"/>
              <w:tr2bl w:val="nil"/>
            </w:tcBorders>
            <w:noWrap w:val="0"/>
            <w:vAlign w:val="center"/>
          </w:tcPr>
          <w:p w14:paraId="629836FB">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673" w:type="pct"/>
            <w:tcBorders>
              <w:tl2br w:val="nil"/>
              <w:tr2bl w:val="nil"/>
            </w:tcBorders>
            <w:noWrap w:val="0"/>
            <w:vAlign w:val="center"/>
          </w:tcPr>
          <w:p w14:paraId="3227ED1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0.7695</w:t>
            </w:r>
          </w:p>
        </w:tc>
      </w:tr>
      <w:tr w14:paraId="5E729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2DA676B5">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668" w:type="pct"/>
            <w:tcBorders>
              <w:tl2br w:val="nil"/>
              <w:tr2bl w:val="nil"/>
            </w:tcBorders>
            <w:noWrap w:val="0"/>
            <w:vAlign w:val="center"/>
          </w:tcPr>
          <w:p w14:paraId="6A1C7D39">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673" w:type="pct"/>
            <w:tcBorders>
              <w:tl2br w:val="nil"/>
              <w:tr2bl w:val="nil"/>
            </w:tcBorders>
            <w:noWrap w:val="0"/>
            <w:vAlign w:val="center"/>
          </w:tcPr>
          <w:p w14:paraId="5FB2BC54">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113</w:t>
            </w:r>
          </w:p>
        </w:tc>
      </w:tr>
    </w:tbl>
    <w:p w14:paraId="6E73EF4C">
      <w:pPr>
        <w:pageBreakBefore w:val="0"/>
        <w:wordWrap/>
        <w:bidi w:val="0"/>
        <w:adjustRightInd/>
        <w:snapToGrid/>
        <w:spacing w:before="120" w:beforeLines="50"/>
        <w:ind w:firstLine="480"/>
        <w:rPr>
          <w:color w:val="auto"/>
        </w:rPr>
      </w:pPr>
      <w:r>
        <w:rPr>
          <w:color w:val="auto"/>
        </w:rPr>
        <w:t>④污染源非正常排放量核算</w:t>
      </w:r>
    </w:p>
    <w:p w14:paraId="35BB9167">
      <w:pPr>
        <w:pStyle w:val="15"/>
        <w:numPr>
          <w:ilvl w:val="0"/>
          <w:numId w:val="31"/>
        </w:numPr>
        <w:bidi w:val="0"/>
        <w:ind w:left="0" w:leftChars="0" w:firstLine="0" w:firstLineChars="0"/>
        <w:rPr>
          <w:color w:val="auto"/>
        </w:rPr>
      </w:pPr>
      <w:r>
        <w:rPr>
          <w:color w:val="auto"/>
        </w:rPr>
        <w:t>大气污染物有组织非正常排放量核算表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77"/>
        <w:gridCol w:w="894"/>
        <w:gridCol w:w="1103"/>
        <w:gridCol w:w="760"/>
        <w:gridCol w:w="1358"/>
        <w:gridCol w:w="992"/>
        <w:gridCol w:w="950"/>
        <w:gridCol w:w="777"/>
        <w:gridCol w:w="1275"/>
      </w:tblGrid>
      <w:tr w14:paraId="4F442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tcBorders>
              <w:tl2br w:val="nil"/>
              <w:tr2bl w:val="nil"/>
            </w:tcBorders>
            <w:noWrap w:val="0"/>
            <w:vAlign w:val="center"/>
          </w:tcPr>
          <w:p w14:paraId="1BDFF1A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508" w:type="pct"/>
            <w:tcBorders>
              <w:tl2br w:val="nil"/>
              <w:tr2bl w:val="nil"/>
            </w:tcBorders>
            <w:noWrap w:val="0"/>
            <w:vAlign w:val="center"/>
          </w:tcPr>
          <w:p w14:paraId="15A9A3F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627" w:type="pct"/>
            <w:tcBorders>
              <w:tl2br w:val="nil"/>
              <w:tr2bl w:val="nil"/>
            </w:tcBorders>
            <w:noWrap w:val="0"/>
            <w:vAlign w:val="center"/>
          </w:tcPr>
          <w:p w14:paraId="121A1C2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非正常排放原因</w:t>
            </w:r>
          </w:p>
        </w:tc>
        <w:tc>
          <w:tcPr>
            <w:tcW w:w="432" w:type="pct"/>
            <w:tcBorders>
              <w:tl2br w:val="nil"/>
              <w:tr2bl w:val="nil"/>
            </w:tcBorders>
            <w:noWrap w:val="0"/>
            <w:vAlign w:val="center"/>
          </w:tcPr>
          <w:p w14:paraId="20F024A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772" w:type="pct"/>
            <w:tcBorders>
              <w:tl2br w:val="nil"/>
              <w:tr2bl w:val="nil"/>
            </w:tcBorders>
            <w:noWrap w:val="0"/>
            <w:vAlign w:val="center"/>
          </w:tcPr>
          <w:p w14:paraId="26B2E9E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非正常排放浓度（mg/</w:t>
            </w:r>
            <w:r>
              <w:rPr>
                <w:rFonts w:hint="eastAsia"/>
                <w:b/>
                <w:bCs/>
                <w:color w:val="auto"/>
                <w:sz w:val="21"/>
                <w:szCs w:val="21"/>
                <w:lang w:eastAsia="zh-CN"/>
              </w:rPr>
              <w:t>m³</w:t>
            </w:r>
            <w:r>
              <w:rPr>
                <w:b/>
                <w:bCs/>
                <w:color w:val="auto"/>
                <w:sz w:val="21"/>
                <w:szCs w:val="21"/>
              </w:rPr>
              <w:t>）</w:t>
            </w:r>
          </w:p>
        </w:tc>
        <w:tc>
          <w:tcPr>
            <w:tcW w:w="564" w:type="pct"/>
            <w:tcBorders>
              <w:tl2br w:val="nil"/>
              <w:tr2bl w:val="nil"/>
            </w:tcBorders>
            <w:noWrap w:val="0"/>
            <w:vAlign w:val="center"/>
          </w:tcPr>
          <w:p w14:paraId="22ED9DF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非正常排放速率（kg/h）</w:t>
            </w:r>
          </w:p>
        </w:tc>
        <w:tc>
          <w:tcPr>
            <w:tcW w:w="540" w:type="pct"/>
            <w:tcBorders>
              <w:tl2br w:val="nil"/>
              <w:tr2bl w:val="nil"/>
            </w:tcBorders>
            <w:noWrap w:val="0"/>
            <w:vAlign w:val="center"/>
          </w:tcPr>
          <w:p w14:paraId="3348B37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单次持续时间/h</w:t>
            </w:r>
          </w:p>
        </w:tc>
        <w:tc>
          <w:tcPr>
            <w:tcW w:w="442" w:type="pct"/>
            <w:tcBorders>
              <w:tl2br w:val="nil"/>
              <w:tr2bl w:val="nil"/>
            </w:tcBorders>
            <w:noWrap w:val="0"/>
            <w:vAlign w:val="center"/>
          </w:tcPr>
          <w:p w14:paraId="784A1AC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年发生频次/次</w:t>
            </w:r>
          </w:p>
        </w:tc>
        <w:tc>
          <w:tcPr>
            <w:tcW w:w="725" w:type="pct"/>
            <w:tcBorders>
              <w:tl2br w:val="nil"/>
              <w:tr2bl w:val="nil"/>
            </w:tcBorders>
            <w:noWrap w:val="0"/>
            <w:vAlign w:val="center"/>
          </w:tcPr>
          <w:p w14:paraId="2BBA814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应对措施</w:t>
            </w:r>
          </w:p>
        </w:tc>
      </w:tr>
      <w:tr w14:paraId="1C742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vMerge w:val="restart"/>
            <w:tcBorders>
              <w:tl2br w:val="nil"/>
              <w:tr2bl w:val="nil"/>
            </w:tcBorders>
            <w:noWrap w:val="0"/>
            <w:vAlign w:val="center"/>
          </w:tcPr>
          <w:p w14:paraId="41B09C5A">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508" w:type="pct"/>
            <w:vMerge w:val="restart"/>
            <w:tcBorders>
              <w:tl2br w:val="nil"/>
              <w:tr2bl w:val="nil"/>
            </w:tcBorders>
            <w:noWrap w:val="0"/>
            <w:vAlign w:val="center"/>
          </w:tcPr>
          <w:p w14:paraId="3B6EF9B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DA001</w:t>
            </w:r>
          </w:p>
        </w:tc>
        <w:tc>
          <w:tcPr>
            <w:tcW w:w="627" w:type="pct"/>
            <w:vMerge w:val="restart"/>
            <w:tcBorders>
              <w:tl2br w:val="nil"/>
              <w:tr2bl w:val="nil"/>
            </w:tcBorders>
            <w:noWrap w:val="0"/>
            <w:vAlign w:val="center"/>
          </w:tcPr>
          <w:p w14:paraId="00B6D06D">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生物除臭装置出现故障，处理效率为零</w:t>
            </w:r>
          </w:p>
        </w:tc>
        <w:tc>
          <w:tcPr>
            <w:tcW w:w="432" w:type="pct"/>
            <w:tcBorders>
              <w:tl2br w:val="nil"/>
              <w:tr2bl w:val="nil"/>
            </w:tcBorders>
            <w:noWrap w:val="0"/>
            <w:vAlign w:val="center"/>
          </w:tcPr>
          <w:p w14:paraId="7E474993">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2" w:type="pct"/>
            <w:tcBorders>
              <w:tl2br w:val="nil"/>
              <w:tr2bl w:val="nil"/>
            </w:tcBorders>
            <w:noWrap w:val="0"/>
            <w:vAlign w:val="center"/>
          </w:tcPr>
          <w:p w14:paraId="0DEEF40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45.05</w:t>
            </w:r>
          </w:p>
        </w:tc>
        <w:tc>
          <w:tcPr>
            <w:tcW w:w="564" w:type="pct"/>
            <w:tcBorders>
              <w:tl2br w:val="nil"/>
              <w:tr2bl w:val="nil"/>
            </w:tcBorders>
            <w:noWrap w:val="0"/>
            <w:vAlign w:val="center"/>
          </w:tcPr>
          <w:p w14:paraId="291B73A9">
            <w:pPr>
              <w:pageBreakBefore w:val="0"/>
              <w:wordWrap/>
              <w:bidi w:val="0"/>
              <w:adjustRightInd/>
              <w:snapToGrid/>
              <w:spacing w:line="240" w:lineRule="auto"/>
              <w:ind w:firstLine="0" w:firstLineChars="0"/>
              <w:jc w:val="center"/>
              <w:rPr>
                <w:color w:val="auto"/>
                <w:sz w:val="21"/>
                <w:szCs w:val="21"/>
              </w:rPr>
            </w:pPr>
            <w:r>
              <w:rPr>
                <w:color w:val="auto"/>
                <w:sz w:val="21"/>
                <w:szCs w:val="21"/>
              </w:rPr>
              <w:t>0.9</w:t>
            </w:r>
            <w:r>
              <w:rPr>
                <w:rFonts w:hint="eastAsia"/>
                <w:color w:val="auto"/>
                <w:sz w:val="21"/>
                <w:szCs w:val="21"/>
                <w:lang w:val="en-US" w:eastAsia="zh-CN"/>
              </w:rPr>
              <w:t>01</w:t>
            </w:r>
          </w:p>
        </w:tc>
        <w:tc>
          <w:tcPr>
            <w:tcW w:w="540" w:type="pct"/>
            <w:vMerge w:val="restart"/>
            <w:tcBorders>
              <w:tl2br w:val="nil"/>
              <w:tr2bl w:val="nil"/>
            </w:tcBorders>
            <w:noWrap w:val="0"/>
            <w:vAlign w:val="center"/>
          </w:tcPr>
          <w:p w14:paraId="2A5DB53A">
            <w:pPr>
              <w:pageBreakBefore w:val="0"/>
              <w:wordWrap/>
              <w:bidi w:val="0"/>
              <w:adjustRightInd/>
              <w:snapToGrid/>
              <w:spacing w:line="240" w:lineRule="auto"/>
              <w:ind w:firstLine="0" w:firstLineChars="0"/>
              <w:jc w:val="center"/>
              <w:rPr>
                <w:color w:val="auto"/>
                <w:sz w:val="21"/>
                <w:szCs w:val="21"/>
              </w:rPr>
            </w:pPr>
            <w:r>
              <w:rPr>
                <w:color w:val="auto"/>
                <w:sz w:val="21"/>
                <w:szCs w:val="21"/>
              </w:rPr>
              <w:t>0.5</w:t>
            </w:r>
          </w:p>
        </w:tc>
        <w:tc>
          <w:tcPr>
            <w:tcW w:w="442" w:type="pct"/>
            <w:vMerge w:val="restart"/>
            <w:tcBorders>
              <w:tl2br w:val="nil"/>
              <w:tr2bl w:val="nil"/>
            </w:tcBorders>
            <w:noWrap w:val="0"/>
            <w:vAlign w:val="center"/>
          </w:tcPr>
          <w:p w14:paraId="54F10FF2">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725" w:type="pct"/>
            <w:vMerge w:val="restart"/>
            <w:tcBorders>
              <w:tl2br w:val="nil"/>
              <w:tr2bl w:val="nil"/>
            </w:tcBorders>
            <w:noWrap w:val="0"/>
            <w:vAlign w:val="center"/>
          </w:tcPr>
          <w:p w14:paraId="53EDF687">
            <w:pPr>
              <w:pageBreakBefore w:val="0"/>
              <w:widowControl/>
              <w:wordWrap/>
              <w:bidi w:val="0"/>
              <w:adjustRightInd/>
              <w:snapToGrid/>
              <w:spacing w:line="240" w:lineRule="auto"/>
              <w:ind w:firstLine="0" w:firstLineChars="0"/>
              <w:jc w:val="center"/>
              <w:rPr>
                <w:color w:val="auto"/>
                <w:sz w:val="21"/>
                <w:szCs w:val="21"/>
              </w:rPr>
            </w:pPr>
            <w:r>
              <w:rPr>
                <w:color w:val="auto"/>
                <w:kern w:val="0"/>
                <w:sz w:val="21"/>
                <w:szCs w:val="21"/>
              </w:rPr>
              <w:t>加强日常管理维护，尽量避免非正常排放</w:t>
            </w:r>
          </w:p>
        </w:tc>
      </w:tr>
      <w:tr w14:paraId="58E84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vMerge w:val="continue"/>
            <w:tcBorders>
              <w:tl2br w:val="nil"/>
              <w:tr2bl w:val="nil"/>
            </w:tcBorders>
            <w:noWrap w:val="0"/>
            <w:vAlign w:val="center"/>
          </w:tcPr>
          <w:p w14:paraId="7B9B4D5A">
            <w:pPr>
              <w:pageBreakBefore w:val="0"/>
              <w:wordWrap/>
              <w:bidi w:val="0"/>
              <w:adjustRightInd/>
              <w:snapToGrid/>
              <w:spacing w:line="240" w:lineRule="auto"/>
              <w:ind w:firstLine="0" w:firstLineChars="0"/>
              <w:jc w:val="center"/>
              <w:rPr>
                <w:color w:val="auto"/>
                <w:sz w:val="21"/>
                <w:szCs w:val="21"/>
              </w:rPr>
            </w:pPr>
          </w:p>
        </w:tc>
        <w:tc>
          <w:tcPr>
            <w:tcW w:w="508" w:type="pct"/>
            <w:vMerge w:val="continue"/>
            <w:tcBorders>
              <w:tl2br w:val="nil"/>
              <w:tr2bl w:val="nil"/>
            </w:tcBorders>
            <w:noWrap w:val="0"/>
            <w:vAlign w:val="center"/>
          </w:tcPr>
          <w:p w14:paraId="795755D5">
            <w:pPr>
              <w:pageBreakBefore w:val="0"/>
              <w:wordWrap/>
              <w:bidi w:val="0"/>
              <w:adjustRightInd/>
              <w:snapToGrid/>
              <w:spacing w:line="240" w:lineRule="auto"/>
              <w:ind w:firstLine="0" w:firstLineChars="0"/>
              <w:jc w:val="center"/>
              <w:rPr>
                <w:color w:val="auto"/>
                <w:sz w:val="21"/>
                <w:szCs w:val="21"/>
              </w:rPr>
            </w:pPr>
          </w:p>
        </w:tc>
        <w:tc>
          <w:tcPr>
            <w:tcW w:w="627" w:type="pct"/>
            <w:vMerge w:val="continue"/>
            <w:tcBorders>
              <w:tl2br w:val="nil"/>
              <w:tr2bl w:val="nil"/>
            </w:tcBorders>
            <w:noWrap w:val="0"/>
            <w:vAlign w:val="center"/>
          </w:tcPr>
          <w:p w14:paraId="71BD13A3">
            <w:pPr>
              <w:pageBreakBefore w:val="0"/>
              <w:wordWrap/>
              <w:bidi w:val="0"/>
              <w:adjustRightInd/>
              <w:snapToGrid/>
              <w:spacing w:line="240" w:lineRule="auto"/>
              <w:ind w:firstLine="0" w:firstLineChars="0"/>
              <w:jc w:val="center"/>
              <w:rPr>
                <w:color w:val="auto"/>
                <w:sz w:val="21"/>
                <w:szCs w:val="21"/>
              </w:rPr>
            </w:pPr>
          </w:p>
        </w:tc>
        <w:tc>
          <w:tcPr>
            <w:tcW w:w="432" w:type="pct"/>
            <w:tcBorders>
              <w:tl2br w:val="nil"/>
              <w:tr2bl w:val="nil"/>
            </w:tcBorders>
            <w:noWrap w:val="0"/>
            <w:vAlign w:val="center"/>
          </w:tcPr>
          <w:p w14:paraId="461F04D7">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2" w:type="pct"/>
            <w:tcBorders>
              <w:tl2br w:val="nil"/>
              <w:tr2bl w:val="nil"/>
            </w:tcBorders>
            <w:noWrap w:val="0"/>
            <w:vAlign w:val="center"/>
          </w:tcPr>
          <w:p w14:paraId="39ADFFB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0065</w:t>
            </w:r>
          </w:p>
        </w:tc>
        <w:tc>
          <w:tcPr>
            <w:tcW w:w="564" w:type="pct"/>
            <w:tcBorders>
              <w:tl2br w:val="nil"/>
              <w:tr2bl w:val="nil"/>
            </w:tcBorders>
            <w:noWrap w:val="0"/>
            <w:vAlign w:val="center"/>
          </w:tcPr>
          <w:p w14:paraId="621306DF">
            <w:pPr>
              <w:pageBreakBefore w:val="0"/>
              <w:wordWrap/>
              <w:bidi w:val="0"/>
              <w:adjustRightInd/>
              <w:snapToGrid/>
              <w:spacing w:line="240" w:lineRule="auto"/>
              <w:ind w:firstLine="0" w:firstLineChars="0"/>
              <w:jc w:val="center"/>
              <w:rPr>
                <w:color w:val="auto"/>
                <w:sz w:val="21"/>
                <w:szCs w:val="21"/>
              </w:rPr>
            </w:pPr>
            <w:r>
              <w:rPr>
                <w:color w:val="auto"/>
                <w:sz w:val="21"/>
                <w:szCs w:val="21"/>
              </w:rPr>
              <w:t>0.01</w:t>
            </w:r>
            <w:r>
              <w:rPr>
                <w:rFonts w:hint="eastAsia"/>
                <w:color w:val="auto"/>
                <w:sz w:val="21"/>
                <w:szCs w:val="21"/>
                <w:lang w:val="en-US" w:eastAsia="zh-CN"/>
              </w:rPr>
              <w:t>3</w:t>
            </w:r>
          </w:p>
        </w:tc>
        <w:tc>
          <w:tcPr>
            <w:tcW w:w="540" w:type="pct"/>
            <w:vMerge w:val="continue"/>
            <w:tcBorders>
              <w:tl2br w:val="nil"/>
              <w:tr2bl w:val="nil"/>
            </w:tcBorders>
            <w:noWrap w:val="0"/>
            <w:vAlign w:val="center"/>
          </w:tcPr>
          <w:p w14:paraId="190BD705">
            <w:pPr>
              <w:pageBreakBefore w:val="0"/>
              <w:wordWrap/>
              <w:bidi w:val="0"/>
              <w:adjustRightInd/>
              <w:snapToGrid/>
              <w:spacing w:line="240" w:lineRule="auto"/>
              <w:ind w:firstLine="0" w:firstLineChars="0"/>
              <w:jc w:val="center"/>
              <w:rPr>
                <w:color w:val="auto"/>
                <w:sz w:val="21"/>
                <w:szCs w:val="21"/>
              </w:rPr>
            </w:pPr>
          </w:p>
        </w:tc>
        <w:tc>
          <w:tcPr>
            <w:tcW w:w="442" w:type="pct"/>
            <w:vMerge w:val="continue"/>
            <w:tcBorders>
              <w:tl2br w:val="nil"/>
              <w:tr2bl w:val="nil"/>
            </w:tcBorders>
            <w:noWrap w:val="0"/>
            <w:vAlign w:val="center"/>
          </w:tcPr>
          <w:p w14:paraId="38A51F5B">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6C4D0004">
            <w:pPr>
              <w:pageBreakBefore w:val="0"/>
              <w:wordWrap/>
              <w:bidi w:val="0"/>
              <w:adjustRightInd/>
              <w:snapToGrid/>
              <w:spacing w:line="240" w:lineRule="auto"/>
              <w:ind w:firstLine="0" w:firstLineChars="0"/>
              <w:jc w:val="center"/>
              <w:rPr>
                <w:color w:val="auto"/>
                <w:sz w:val="21"/>
                <w:szCs w:val="21"/>
              </w:rPr>
            </w:pPr>
          </w:p>
        </w:tc>
      </w:tr>
    </w:tbl>
    <w:p w14:paraId="25182A20">
      <w:pPr>
        <w:pStyle w:val="6"/>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大气环境防护距离及卫生防护距离</w:t>
      </w:r>
    </w:p>
    <w:p w14:paraId="58373FA0">
      <w:pPr>
        <w:bidi w:val="0"/>
        <w:rPr>
          <w:b/>
          <w:bCs/>
          <w:color w:val="auto"/>
        </w:rPr>
      </w:pPr>
      <w:r>
        <w:rPr>
          <w:b/>
          <w:bCs/>
          <w:color w:val="auto"/>
        </w:rPr>
        <w:t>（1）大气环境防护距离</w:t>
      </w:r>
    </w:p>
    <w:p w14:paraId="375085C3">
      <w:pPr>
        <w:bidi w:val="0"/>
        <w:rPr>
          <w:color w:val="auto"/>
        </w:rPr>
      </w:pPr>
      <w:r>
        <w:rPr>
          <w:rFonts w:hint="eastAsia"/>
          <w:color w:val="auto"/>
        </w:rPr>
        <w:t>根据HJ2.2-2018：对于项目厂界浓度满足大气污染物厂界浓度限值，但厂界外大气污染物浓度短期贡献浓度超过环境质量浓度限值的，可以自厂界向外设置一定范围的大气环境防护区域。根据预测结果，本项目污染物厂界外大气污染物浓度短期贡献浓度</w:t>
      </w:r>
      <w:r>
        <w:rPr>
          <w:rFonts w:hint="eastAsia"/>
          <w:color w:val="auto"/>
          <w:lang w:val="en-US" w:eastAsia="zh-CN"/>
        </w:rPr>
        <w:t>均不超过</w:t>
      </w:r>
      <w:r>
        <w:rPr>
          <w:rFonts w:hint="eastAsia"/>
          <w:color w:val="auto"/>
        </w:rPr>
        <w:t>环境质量浓度限值。</w:t>
      </w:r>
    </w:p>
    <w:p w14:paraId="5825A6BB">
      <w:pPr>
        <w:bidi w:val="0"/>
        <w:rPr>
          <w:rFonts w:hint="eastAsia"/>
          <w:color w:val="auto"/>
        </w:rPr>
      </w:pPr>
      <w:r>
        <w:rPr>
          <w:rFonts w:hint="eastAsia"/>
          <w:color w:val="auto"/>
        </w:rPr>
        <w:t>综上所述，本次评价无需设置大气环境防护区域。</w:t>
      </w:r>
    </w:p>
    <w:p w14:paraId="0A144742">
      <w:pPr>
        <w:bidi w:val="0"/>
        <w:rPr>
          <w:b/>
          <w:bCs/>
          <w:color w:val="auto"/>
        </w:rPr>
      </w:pPr>
      <w:r>
        <w:rPr>
          <w:b/>
          <w:bCs/>
          <w:color w:val="auto"/>
        </w:rPr>
        <w:t>（2）卫生防护距离</w:t>
      </w:r>
    </w:p>
    <w:p w14:paraId="2404A48C">
      <w:pPr>
        <w:bidi w:val="0"/>
        <w:rPr>
          <w:color w:val="auto"/>
        </w:rPr>
      </w:pPr>
      <w:r>
        <w:rPr>
          <w:rFonts w:hint="eastAsia"/>
          <w:color w:val="auto"/>
        </w:rPr>
        <w:t>本次评价采用《大气有害物质无组织排放卫生防护距离推导技术导则》（GB/T39499-2020）所确定的方法进行卫生防护距离计算</w:t>
      </w:r>
      <w:r>
        <w:rPr>
          <w:color w:val="auto"/>
        </w:rPr>
        <w:t>：</w:t>
      </w:r>
    </w:p>
    <w:p w14:paraId="43F9BB54">
      <w:pPr>
        <w:bidi w:val="0"/>
        <w:rPr>
          <w:color w:val="auto"/>
        </w:rPr>
      </w:pPr>
      <w:r>
        <w:rPr>
          <w:color w:val="auto"/>
        </w:rPr>
        <w:t>卫生防护距离计算模式：</w:t>
      </w:r>
    </w:p>
    <w:p w14:paraId="266BFE22">
      <w:pPr>
        <w:pageBreakBefore w:val="0"/>
        <w:wordWrap/>
        <w:bidi w:val="0"/>
        <w:adjustRightInd/>
        <w:snapToGrid/>
        <w:spacing w:after="120"/>
        <w:ind w:left="480" w:leftChars="200" w:firstLine="0" w:firstLineChars="0"/>
        <w:jc w:val="center"/>
        <w:rPr>
          <w:color w:val="auto"/>
          <w:sz w:val="21"/>
        </w:rPr>
      </w:pPr>
      <w:r>
        <w:rPr>
          <w:color w:val="auto"/>
        </w:rPr>
        <w:drawing>
          <wp:inline distT="0" distB="0" distL="114300" distR="114300">
            <wp:extent cx="2133600" cy="514350"/>
            <wp:effectExtent l="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71"/>
                    <a:stretch>
                      <a:fillRect/>
                    </a:stretch>
                  </pic:blipFill>
                  <pic:spPr>
                    <a:xfrm>
                      <a:off x="0" y="0"/>
                      <a:ext cx="2133600" cy="514350"/>
                    </a:xfrm>
                    <a:prstGeom prst="rect">
                      <a:avLst/>
                    </a:prstGeom>
                    <a:noFill/>
                    <a:ln>
                      <a:noFill/>
                    </a:ln>
                  </pic:spPr>
                </pic:pic>
              </a:graphicData>
            </a:graphic>
          </wp:inline>
        </w:drawing>
      </w:r>
    </w:p>
    <w:p w14:paraId="37106C94">
      <w:pPr>
        <w:pageBreakBefore w:val="0"/>
        <w:wordWrap/>
        <w:bidi w:val="0"/>
        <w:adjustRightInd/>
        <w:snapToGrid/>
        <w:ind w:firstLine="480"/>
        <w:rPr>
          <w:color w:val="auto"/>
        </w:rPr>
      </w:pPr>
      <w:r>
        <w:rPr>
          <w:color w:val="auto"/>
        </w:rPr>
        <w:t>式中：C</w:t>
      </w:r>
      <w:r>
        <w:rPr>
          <w:color w:val="auto"/>
          <w:vertAlign w:val="subscript"/>
        </w:rPr>
        <w:t>m</w:t>
      </w:r>
      <w:r>
        <w:rPr>
          <w:color w:val="auto"/>
        </w:rPr>
        <w:t>——标准浓度限值，mg/</w:t>
      </w:r>
      <w:r>
        <w:rPr>
          <w:rFonts w:hint="eastAsia"/>
          <w:color w:val="auto"/>
          <w:lang w:eastAsia="zh-CN"/>
        </w:rPr>
        <w:t>m³</w:t>
      </w:r>
      <w:r>
        <w:rPr>
          <w:color w:val="auto"/>
        </w:rPr>
        <w:t>；</w:t>
      </w:r>
    </w:p>
    <w:p w14:paraId="7CB3F565">
      <w:pPr>
        <w:pageBreakBefore w:val="0"/>
        <w:wordWrap/>
        <w:bidi w:val="0"/>
        <w:adjustRightInd/>
        <w:snapToGrid/>
        <w:ind w:firstLine="1200" w:firstLineChars="500"/>
        <w:rPr>
          <w:color w:val="auto"/>
        </w:rPr>
      </w:pPr>
      <w:r>
        <w:rPr>
          <w:color w:val="auto"/>
        </w:rPr>
        <w:t>Q</w:t>
      </w:r>
      <w:r>
        <w:rPr>
          <w:color w:val="auto"/>
          <w:vertAlign w:val="subscript"/>
        </w:rPr>
        <w:t>c</w:t>
      </w:r>
      <w:r>
        <w:rPr>
          <w:color w:val="auto"/>
        </w:rPr>
        <w:t>——有害气体无组织排放量，kg/h；</w:t>
      </w:r>
    </w:p>
    <w:p w14:paraId="47D0BAEC">
      <w:pPr>
        <w:pageBreakBefore w:val="0"/>
        <w:wordWrap/>
        <w:bidi w:val="0"/>
        <w:adjustRightInd/>
        <w:snapToGrid/>
        <w:ind w:firstLine="1200" w:firstLineChars="500"/>
        <w:rPr>
          <w:color w:val="auto"/>
        </w:rPr>
      </w:pPr>
      <w:r>
        <w:rPr>
          <w:color w:val="auto"/>
        </w:rPr>
        <w:t>L——工业企业所需卫生防护距离，m；</w:t>
      </w:r>
    </w:p>
    <w:p w14:paraId="755B3D7A">
      <w:pPr>
        <w:pageBreakBefore w:val="0"/>
        <w:wordWrap/>
        <w:bidi w:val="0"/>
        <w:adjustRightInd/>
        <w:snapToGrid/>
        <w:ind w:firstLine="1200" w:firstLineChars="500"/>
        <w:rPr>
          <w:color w:val="auto"/>
        </w:rPr>
      </w:pPr>
      <w:r>
        <w:rPr>
          <w:color w:val="auto"/>
        </w:rPr>
        <w:t>r——</w:t>
      </w:r>
      <w:r>
        <w:rPr>
          <w:rFonts w:hint="eastAsia"/>
          <w:color w:val="auto"/>
        </w:rPr>
        <w:t>有害气体无组织排放源所在生产单元的等效半径，m。根据该生产单元占地面积S（</w:t>
      </w:r>
      <w:r>
        <w:rPr>
          <w:rFonts w:hint="eastAsia"/>
          <w:color w:val="auto"/>
          <w:lang w:eastAsia="zh-CN"/>
        </w:rPr>
        <w:t>m²</w:t>
      </w:r>
      <w:r>
        <w:rPr>
          <w:rFonts w:hint="eastAsia"/>
          <w:color w:val="auto"/>
        </w:rPr>
        <w:t>）计算，r=（S/п）</w:t>
      </w:r>
      <w:r>
        <w:rPr>
          <w:rFonts w:hint="eastAsia"/>
          <w:color w:val="auto"/>
          <w:vertAlign w:val="superscript"/>
        </w:rPr>
        <w:t>0.5</w:t>
      </w:r>
      <w:r>
        <w:rPr>
          <w:rFonts w:hint="eastAsia"/>
          <w:color w:val="auto"/>
        </w:rPr>
        <w:t>；</w:t>
      </w:r>
    </w:p>
    <w:p w14:paraId="00E1D433">
      <w:pPr>
        <w:pStyle w:val="503"/>
        <w:keepNext w:val="0"/>
        <w:keepLines w:val="0"/>
        <w:pageBreakBefore w:val="0"/>
        <w:widowControl/>
        <w:suppressLineNumbers w:val="0"/>
        <w:kinsoku/>
        <w:wordWrap/>
        <w:topLinePunct w:val="0"/>
        <w:bidi w:val="0"/>
        <w:adjustRightInd/>
        <w:snapToGrid/>
        <w:spacing w:before="0" w:beforeAutospacing="0" w:after="0" w:afterAutospacing="0"/>
        <w:ind w:left="0" w:right="0" w:firstLine="480"/>
        <w:rPr>
          <w:rFonts w:hint="default" w:ascii="Times New Roman" w:hAnsi="Times New Roman" w:eastAsia="宋体" w:cs="Times New Roman"/>
          <w:color w:val="auto"/>
          <w:sz w:val="24"/>
        </w:rPr>
      </w:pPr>
      <w:r>
        <w:rPr>
          <w:rFonts w:hint="eastAsia"/>
          <w:color w:val="auto"/>
        </w:rPr>
        <w:t>B</w:t>
      </w:r>
      <w:r>
        <w:rPr>
          <w:rFonts w:hint="eastAsia"/>
          <w:color w:val="auto"/>
          <w:lang w:eastAsia="zh-CN"/>
        </w:rPr>
        <w:t>.</w:t>
      </w:r>
      <w:r>
        <w:rPr>
          <w:rFonts w:hint="eastAsia"/>
          <w:color w:val="auto"/>
        </w:rPr>
        <w:t>C、D——卫生防护距离计算系数</w:t>
      </w:r>
      <w:r>
        <w:rPr>
          <w:rFonts w:hint="eastAsia"/>
          <w:color w:val="auto"/>
          <w:lang w:eastAsia="zh-CN"/>
        </w:rPr>
        <w:t>。</w:t>
      </w:r>
      <w:r>
        <w:rPr>
          <w:rFonts w:hint="default" w:ascii="Times New Roman" w:hAnsi="Times New Roman" w:eastAsia="宋体" w:cs="Times New Roman"/>
          <w:color w:val="auto"/>
          <w:szCs w:val="24"/>
        </w:rPr>
        <w:t>由《大气有害物质无组织排放卫生防护距离推导技术导则（GB/T39499-2020）》中表1查取。</w:t>
      </w:r>
    </w:p>
    <w:p w14:paraId="24F2E0E5">
      <w:pPr>
        <w:pStyle w:val="15"/>
        <w:numPr>
          <w:ilvl w:val="0"/>
          <w:numId w:val="31"/>
        </w:numPr>
        <w:bidi w:val="0"/>
        <w:ind w:left="0" w:leftChars="0" w:firstLine="0" w:firstLineChars="0"/>
        <w:rPr>
          <w:rFonts w:hint="default"/>
          <w:color w:val="auto"/>
        </w:rPr>
      </w:pPr>
      <w:r>
        <w:rPr>
          <w:rFonts w:hint="default"/>
          <w:color w:val="auto"/>
        </w:rPr>
        <w:t>卫生防护距离初值计算系数</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72"/>
        <w:gridCol w:w="1135"/>
        <w:gridCol w:w="703"/>
        <w:gridCol w:w="703"/>
        <w:gridCol w:w="713"/>
        <w:gridCol w:w="703"/>
        <w:gridCol w:w="703"/>
        <w:gridCol w:w="713"/>
        <w:gridCol w:w="703"/>
        <w:gridCol w:w="703"/>
        <w:gridCol w:w="731"/>
      </w:tblGrid>
      <w:tr w14:paraId="0161B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12" w:space="0"/>
              <w:left w:val="nil"/>
              <w:bottom w:val="single" w:color="auto" w:sz="6" w:space="0"/>
              <w:right w:val="single" w:color="auto" w:sz="6" w:space="0"/>
            </w:tcBorders>
            <w:noWrap w:val="0"/>
            <w:vAlign w:val="center"/>
          </w:tcPr>
          <w:p w14:paraId="693197DE">
            <w:pPr>
              <w:pStyle w:val="12"/>
              <w:bidi w:val="0"/>
              <w:rPr>
                <w:rFonts w:hint="default"/>
                <w:b/>
                <w:bCs/>
                <w:color w:val="auto"/>
              </w:rPr>
            </w:pPr>
            <w:r>
              <w:rPr>
                <w:rFonts w:hint="default"/>
                <w:b/>
                <w:bCs/>
                <w:color w:val="auto"/>
              </w:rPr>
              <w:t>卫生防护距离初值计算系数</w:t>
            </w:r>
          </w:p>
        </w:tc>
        <w:tc>
          <w:tcPr>
            <w:tcW w:w="647" w:type="pct"/>
            <w:vMerge w:val="restart"/>
            <w:tcBorders>
              <w:top w:val="single" w:color="auto" w:sz="12" w:space="0"/>
              <w:left w:val="single" w:color="auto" w:sz="6" w:space="0"/>
              <w:bottom w:val="single" w:color="auto" w:sz="6" w:space="0"/>
              <w:right w:val="single" w:color="auto" w:sz="6" w:space="0"/>
            </w:tcBorders>
            <w:noWrap w:val="0"/>
            <w:vAlign w:val="center"/>
          </w:tcPr>
          <w:p w14:paraId="020F37E2">
            <w:pPr>
              <w:pStyle w:val="12"/>
              <w:bidi w:val="0"/>
              <w:rPr>
                <w:rFonts w:hint="default"/>
                <w:b/>
                <w:bCs/>
                <w:color w:val="auto"/>
              </w:rPr>
            </w:pPr>
            <w:r>
              <w:rPr>
                <w:rFonts w:hint="default"/>
                <w:b/>
                <w:bCs/>
                <w:color w:val="auto"/>
              </w:rPr>
              <w:t>工业企业所在地区近5年平均风速m/s</w:t>
            </w:r>
          </w:p>
        </w:tc>
        <w:tc>
          <w:tcPr>
            <w:tcW w:w="3626" w:type="pct"/>
            <w:gridSpan w:val="9"/>
            <w:tcBorders>
              <w:top w:val="single" w:color="auto" w:sz="12" w:space="0"/>
              <w:left w:val="single" w:color="auto" w:sz="6" w:space="0"/>
              <w:bottom w:val="single" w:color="auto" w:sz="6" w:space="0"/>
              <w:right w:val="nil"/>
            </w:tcBorders>
            <w:noWrap w:val="0"/>
            <w:vAlign w:val="center"/>
          </w:tcPr>
          <w:p w14:paraId="09503393">
            <w:pPr>
              <w:pStyle w:val="12"/>
              <w:bidi w:val="0"/>
              <w:rPr>
                <w:rFonts w:hint="default"/>
                <w:b/>
                <w:bCs/>
                <w:color w:val="auto"/>
              </w:rPr>
            </w:pPr>
            <w:r>
              <w:rPr>
                <w:rFonts w:hint="default"/>
                <w:b/>
                <w:bCs/>
                <w:color w:val="auto"/>
              </w:rPr>
              <w:t>卫生防护距离L，m</w:t>
            </w:r>
          </w:p>
        </w:tc>
      </w:tr>
      <w:tr w14:paraId="6A5EB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auto" w:sz="6" w:space="0"/>
              <w:right w:val="single" w:color="auto" w:sz="6" w:space="0"/>
            </w:tcBorders>
            <w:noWrap w:val="0"/>
            <w:vAlign w:val="center"/>
          </w:tcPr>
          <w:p w14:paraId="0A3399AA">
            <w:pPr>
              <w:pStyle w:val="12"/>
              <w:bidi w:val="0"/>
              <w:rPr>
                <w:rFonts w:hint="default"/>
                <w:b/>
                <w:bCs/>
                <w:color w:val="auto"/>
              </w:rPr>
            </w:pPr>
          </w:p>
        </w:tc>
        <w:tc>
          <w:tcPr>
            <w:tcW w:w="647" w:type="pct"/>
            <w:vMerge w:val="continue"/>
            <w:tcBorders>
              <w:top w:val="single" w:color="auto" w:sz="12" w:space="0"/>
              <w:left w:val="single" w:color="auto" w:sz="6" w:space="0"/>
              <w:bottom w:val="single" w:color="auto" w:sz="6" w:space="0"/>
              <w:right w:val="single" w:color="auto" w:sz="6" w:space="0"/>
            </w:tcBorders>
            <w:noWrap w:val="0"/>
            <w:vAlign w:val="center"/>
          </w:tcPr>
          <w:p w14:paraId="1A274C17">
            <w:pPr>
              <w:pStyle w:val="12"/>
              <w:bidi w:val="0"/>
              <w:rPr>
                <w:rFonts w:hint="default"/>
                <w:b/>
                <w:bCs/>
                <w:color w:val="auto"/>
              </w:rPr>
            </w:pP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7C0720E5">
            <w:pPr>
              <w:pStyle w:val="12"/>
              <w:bidi w:val="0"/>
              <w:rPr>
                <w:rFonts w:hint="default"/>
                <w:b/>
                <w:bCs/>
                <w:color w:val="auto"/>
              </w:rPr>
            </w:pPr>
            <w:r>
              <w:rPr>
                <w:rFonts w:hint="default"/>
                <w:b/>
                <w:bCs/>
                <w:color w:val="auto"/>
              </w:rPr>
              <w:t>L≤1000</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5883B351">
            <w:pPr>
              <w:pStyle w:val="12"/>
              <w:bidi w:val="0"/>
              <w:rPr>
                <w:rFonts w:hint="default"/>
                <w:b/>
                <w:bCs/>
                <w:color w:val="auto"/>
              </w:rPr>
            </w:pPr>
            <w:r>
              <w:rPr>
                <w:rFonts w:hint="default"/>
                <w:b/>
                <w:bCs/>
                <w:color w:val="auto"/>
              </w:rPr>
              <w:t>1000＜L≤2000</w:t>
            </w:r>
          </w:p>
        </w:tc>
        <w:tc>
          <w:tcPr>
            <w:tcW w:w="1213" w:type="pct"/>
            <w:gridSpan w:val="3"/>
            <w:tcBorders>
              <w:top w:val="single" w:color="auto" w:sz="6" w:space="0"/>
              <w:left w:val="single" w:color="auto" w:sz="6" w:space="0"/>
              <w:bottom w:val="single" w:color="auto" w:sz="6" w:space="0"/>
              <w:right w:val="nil"/>
            </w:tcBorders>
            <w:noWrap w:val="0"/>
            <w:vAlign w:val="center"/>
          </w:tcPr>
          <w:p w14:paraId="28E80F34">
            <w:pPr>
              <w:pStyle w:val="12"/>
              <w:bidi w:val="0"/>
              <w:rPr>
                <w:rFonts w:hint="default"/>
                <w:b/>
                <w:bCs/>
                <w:color w:val="auto"/>
              </w:rPr>
            </w:pPr>
            <w:r>
              <w:rPr>
                <w:rFonts w:hint="default"/>
                <w:b/>
                <w:bCs/>
                <w:color w:val="auto"/>
              </w:rPr>
              <w:t>L＞2000</w:t>
            </w:r>
          </w:p>
        </w:tc>
      </w:tr>
      <w:tr w14:paraId="140F4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auto" w:sz="6" w:space="0"/>
              <w:right w:val="single" w:color="auto" w:sz="6" w:space="0"/>
            </w:tcBorders>
            <w:noWrap w:val="0"/>
            <w:vAlign w:val="center"/>
          </w:tcPr>
          <w:p w14:paraId="291A3D27">
            <w:pPr>
              <w:pStyle w:val="12"/>
              <w:bidi w:val="0"/>
              <w:rPr>
                <w:rFonts w:hint="default"/>
                <w:b/>
                <w:bCs/>
                <w:color w:val="auto"/>
              </w:rPr>
            </w:pPr>
          </w:p>
        </w:tc>
        <w:tc>
          <w:tcPr>
            <w:tcW w:w="647" w:type="pct"/>
            <w:vMerge w:val="continue"/>
            <w:tcBorders>
              <w:top w:val="single" w:color="auto" w:sz="12" w:space="0"/>
              <w:left w:val="single" w:color="auto" w:sz="6" w:space="0"/>
              <w:bottom w:val="single" w:color="auto" w:sz="6" w:space="0"/>
              <w:right w:val="single" w:color="auto" w:sz="6" w:space="0"/>
            </w:tcBorders>
            <w:noWrap w:val="0"/>
            <w:vAlign w:val="center"/>
          </w:tcPr>
          <w:p w14:paraId="79B7706A">
            <w:pPr>
              <w:pStyle w:val="12"/>
              <w:bidi w:val="0"/>
              <w:rPr>
                <w:rFonts w:hint="default"/>
                <w:b/>
                <w:bCs/>
                <w:color w:val="auto"/>
              </w:rPr>
            </w:pPr>
          </w:p>
        </w:tc>
        <w:tc>
          <w:tcPr>
            <w:tcW w:w="3626" w:type="pct"/>
            <w:gridSpan w:val="9"/>
            <w:tcBorders>
              <w:top w:val="single" w:color="auto" w:sz="6" w:space="0"/>
              <w:left w:val="single" w:color="auto" w:sz="6" w:space="0"/>
              <w:bottom w:val="single" w:color="auto" w:sz="6" w:space="0"/>
              <w:right w:val="nil"/>
            </w:tcBorders>
            <w:noWrap w:val="0"/>
            <w:vAlign w:val="center"/>
          </w:tcPr>
          <w:p w14:paraId="28EC3486">
            <w:pPr>
              <w:pStyle w:val="12"/>
              <w:bidi w:val="0"/>
              <w:rPr>
                <w:rFonts w:hint="default"/>
                <w:b/>
                <w:bCs/>
                <w:color w:val="auto"/>
              </w:rPr>
            </w:pPr>
            <w:r>
              <w:rPr>
                <w:rFonts w:hint="default"/>
                <w:b/>
                <w:bCs/>
                <w:color w:val="auto"/>
              </w:rPr>
              <w:t>工业企业大气污染源构成类别</w:t>
            </w:r>
          </w:p>
        </w:tc>
      </w:tr>
      <w:tr w14:paraId="2AF62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000000" w:sz="12" w:space="0"/>
              <w:right w:val="single" w:color="auto" w:sz="6" w:space="0"/>
            </w:tcBorders>
            <w:noWrap w:val="0"/>
            <w:vAlign w:val="center"/>
          </w:tcPr>
          <w:p w14:paraId="03849DB5">
            <w:pPr>
              <w:pStyle w:val="12"/>
              <w:bidi w:val="0"/>
              <w:rPr>
                <w:rFonts w:hint="default"/>
                <w:b/>
                <w:bCs/>
                <w:color w:val="auto"/>
              </w:rPr>
            </w:pPr>
          </w:p>
        </w:tc>
        <w:tc>
          <w:tcPr>
            <w:tcW w:w="647" w:type="pct"/>
            <w:vMerge w:val="continue"/>
            <w:tcBorders>
              <w:top w:val="single" w:color="auto" w:sz="12" w:space="0"/>
              <w:left w:val="single" w:color="auto" w:sz="6" w:space="0"/>
              <w:bottom w:val="single" w:color="000000" w:sz="12" w:space="0"/>
              <w:right w:val="single" w:color="auto" w:sz="6" w:space="0"/>
            </w:tcBorders>
            <w:noWrap w:val="0"/>
            <w:vAlign w:val="center"/>
          </w:tcPr>
          <w:p w14:paraId="7EB3B4C6">
            <w:pPr>
              <w:pStyle w:val="12"/>
              <w:bidi w:val="0"/>
              <w:rPr>
                <w:rFonts w:hint="default"/>
                <w:b/>
                <w:bCs/>
                <w:color w:val="auto"/>
              </w:rPr>
            </w:pP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794E2F8A">
            <w:pPr>
              <w:pStyle w:val="12"/>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0478C25D">
            <w:pPr>
              <w:pStyle w:val="12"/>
              <w:bidi w:val="0"/>
              <w:rPr>
                <w:rFonts w:hint="default"/>
                <w:b/>
                <w:bCs/>
                <w:color w:val="auto"/>
              </w:rPr>
            </w:pPr>
            <w:r>
              <w:rPr>
                <w:rFonts w:hint="default"/>
                <w:b/>
                <w:bCs/>
                <w:color w:val="auto"/>
              </w:rPr>
              <w:t>Ⅱ</w:t>
            </w:r>
          </w:p>
        </w:tc>
        <w:tc>
          <w:tcPr>
            <w:tcW w:w="405" w:type="pct"/>
            <w:tcBorders>
              <w:top w:val="single" w:color="auto" w:sz="6" w:space="0"/>
              <w:left w:val="single" w:color="auto" w:sz="6" w:space="0"/>
              <w:bottom w:val="single" w:color="000000" w:sz="12" w:space="0"/>
              <w:right w:val="single" w:color="auto" w:sz="6" w:space="0"/>
            </w:tcBorders>
            <w:noWrap w:val="0"/>
            <w:vAlign w:val="center"/>
          </w:tcPr>
          <w:p w14:paraId="6BF2B110">
            <w:pPr>
              <w:pStyle w:val="12"/>
              <w:bidi w:val="0"/>
              <w:rPr>
                <w:rFonts w:hint="default"/>
                <w:b/>
                <w:bCs/>
                <w:color w:val="auto"/>
              </w:rPr>
            </w:pPr>
            <w:r>
              <w:rPr>
                <w:rFonts w:hint="default"/>
                <w:b/>
                <w:bCs/>
                <w:color w:val="auto"/>
              </w:rPr>
              <w:t>Ⅲ</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3CF462EE">
            <w:pPr>
              <w:pStyle w:val="12"/>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523960B8">
            <w:pPr>
              <w:pStyle w:val="12"/>
              <w:bidi w:val="0"/>
              <w:rPr>
                <w:rFonts w:hint="default"/>
                <w:b/>
                <w:bCs/>
                <w:color w:val="auto"/>
              </w:rPr>
            </w:pPr>
            <w:r>
              <w:rPr>
                <w:rFonts w:hint="default"/>
                <w:b/>
                <w:bCs/>
                <w:color w:val="auto"/>
              </w:rPr>
              <w:t>Ⅱ</w:t>
            </w:r>
          </w:p>
        </w:tc>
        <w:tc>
          <w:tcPr>
            <w:tcW w:w="405" w:type="pct"/>
            <w:tcBorders>
              <w:top w:val="single" w:color="auto" w:sz="6" w:space="0"/>
              <w:left w:val="single" w:color="auto" w:sz="6" w:space="0"/>
              <w:bottom w:val="single" w:color="000000" w:sz="12" w:space="0"/>
              <w:right w:val="single" w:color="auto" w:sz="6" w:space="0"/>
            </w:tcBorders>
            <w:noWrap w:val="0"/>
            <w:vAlign w:val="center"/>
          </w:tcPr>
          <w:p w14:paraId="7BF22E41">
            <w:pPr>
              <w:pStyle w:val="12"/>
              <w:bidi w:val="0"/>
              <w:rPr>
                <w:rFonts w:hint="default"/>
                <w:b/>
                <w:bCs/>
                <w:color w:val="auto"/>
              </w:rPr>
            </w:pPr>
            <w:r>
              <w:rPr>
                <w:rFonts w:hint="default"/>
                <w:b/>
                <w:bCs/>
                <w:color w:val="auto"/>
              </w:rPr>
              <w:t>Ⅲ</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779BED36">
            <w:pPr>
              <w:pStyle w:val="12"/>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23132AE4">
            <w:pPr>
              <w:pStyle w:val="12"/>
              <w:bidi w:val="0"/>
              <w:rPr>
                <w:rFonts w:hint="default"/>
                <w:b/>
                <w:bCs/>
                <w:color w:val="auto"/>
              </w:rPr>
            </w:pPr>
            <w:r>
              <w:rPr>
                <w:rFonts w:hint="default"/>
                <w:b/>
                <w:bCs/>
                <w:color w:val="auto"/>
              </w:rPr>
              <w:t>Ⅱ</w:t>
            </w:r>
          </w:p>
        </w:tc>
        <w:tc>
          <w:tcPr>
            <w:tcW w:w="413" w:type="pct"/>
            <w:tcBorders>
              <w:top w:val="single" w:color="auto" w:sz="6" w:space="0"/>
              <w:left w:val="single" w:color="auto" w:sz="6" w:space="0"/>
              <w:bottom w:val="single" w:color="000000" w:sz="12" w:space="0"/>
              <w:right w:val="nil"/>
            </w:tcBorders>
            <w:noWrap w:val="0"/>
            <w:vAlign w:val="center"/>
          </w:tcPr>
          <w:p w14:paraId="6699B76C">
            <w:pPr>
              <w:pStyle w:val="12"/>
              <w:bidi w:val="0"/>
              <w:rPr>
                <w:rFonts w:hint="default"/>
                <w:b/>
                <w:bCs/>
                <w:color w:val="auto"/>
              </w:rPr>
            </w:pPr>
            <w:r>
              <w:rPr>
                <w:rFonts w:hint="default"/>
                <w:b/>
                <w:bCs/>
                <w:color w:val="auto"/>
              </w:rPr>
              <w:t>Ⅲ</w:t>
            </w:r>
          </w:p>
        </w:tc>
      </w:tr>
      <w:tr w14:paraId="0AC5F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000000" w:sz="12" w:space="0"/>
              <w:left w:val="nil"/>
              <w:bottom w:val="single" w:color="auto" w:sz="6" w:space="0"/>
              <w:right w:val="single" w:color="auto" w:sz="6" w:space="0"/>
            </w:tcBorders>
            <w:noWrap w:val="0"/>
            <w:vAlign w:val="center"/>
          </w:tcPr>
          <w:p w14:paraId="073E719B">
            <w:pPr>
              <w:pStyle w:val="12"/>
              <w:bidi w:val="0"/>
              <w:rPr>
                <w:rFonts w:hint="default"/>
                <w:color w:val="auto"/>
              </w:rPr>
            </w:pPr>
            <w:r>
              <w:rPr>
                <w:rFonts w:hint="default"/>
                <w:color w:val="auto"/>
              </w:rPr>
              <w:t>A</w:t>
            </w:r>
          </w:p>
        </w:tc>
        <w:tc>
          <w:tcPr>
            <w:tcW w:w="647" w:type="pct"/>
            <w:tcBorders>
              <w:top w:val="single" w:color="000000" w:sz="12" w:space="0"/>
              <w:left w:val="single" w:color="auto" w:sz="6" w:space="0"/>
              <w:bottom w:val="single" w:color="auto" w:sz="6" w:space="0"/>
              <w:right w:val="single" w:color="auto" w:sz="6" w:space="0"/>
            </w:tcBorders>
            <w:noWrap w:val="0"/>
            <w:vAlign w:val="center"/>
          </w:tcPr>
          <w:p w14:paraId="1811F416">
            <w:pPr>
              <w:pStyle w:val="12"/>
              <w:bidi w:val="0"/>
              <w:rPr>
                <w:rFonts w:hint="default"/>
                <w:color w:val="auto"/>
              </w:rPr>
            </w:pPr>
            <w:r>
              <w:rPr>
                <w:rFonts w:hint="default"/>
                <w:color w:val="auto"/>
              </w:rPr>
              <w:t>&lt;2</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5A23D10D">
            <w:pPr>
              <w:pStyle w:val="12"/>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7B90B6CC">
            <w:pPr>
              <w:pStyle w:val="12"/>
              <w:bidi w:val="0"/>
              <w:rPr>
                <w:rFonts w:hint="default"/>
                <w:color w:val="auto"/>
              </w:rPr>
            </w:pPr>
            <w:r>
              <w:rPr>
                <w:rFonts w:hint="default"/>
                <w:color w:val="auto"/>
              </w:rPr>
              <w:t>400</w:t>
            </w:r>
          </w:p>
        </w:tc>
        <w:tc>
          <w:tcPr>
            <w:tcW w:w="405" w:type="pct"/>
            <w:tcBorders>
              <w:top w:val="single" w:color="000000" w:sz="12" w:space="0"/>
              <w:left w:val="single" w:color="auto" w:sz="6" w:space="0"/>
              <w:bottom w:val="single" w:color="auto" w:sz="6" w:space="0"/>
              <w:right w:val="single" w:color="auto" w:sz="6" w:space="0"/>
            </w:tcBorders>
            <w:noWrap w:val="0"/>
            <w:vAlign w:val="center"/>
          </w:tcPr>
          <w:p w14:paraId="5C795051">
            <w:pPr>
              <w:pStyle w:val="12"/>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4C8D14C1">
            <w:pPr>
              <w:pStyle w:val="12"/>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6E3F0C0E">
            <w:pPr>
              <w:pStyle w:val="12"/>
              <w:bidi w:val="0"/>
              <w:rPr>
                <w:rFonts w:hint="default"/>
                <w:color w:val="auto"/>
              </w:rPr>
            </w:pPr>
            <w:r>
              <w:rPr>
                <w:rFonts w:hint="default"/>
                <w:color w:val="auto"/>
              </w:rPr>
              <w:t>400</w:t>
            </w:r>
          </w:p>
        </w:tc>
        <w:tc>
          <w:tcPr>
            <w:tcW w:w="405" w:type="pct"/>
            <w:tcBorders>
              <w:top w:val="single" w:color="000000" w:sz="12" w:space="0"/>
              <w:left w:val="single" w:color="auto" w:sz="6" w:space="0"/>
              <w:bottom w:val="single" w:color="auto" w:sz="6" w:space="0"/>
              <w:right w:val="single" w:color="auto" w:sz="6" w:space="0"/>
            </w:tcBorders>
            <w:noWrap w:val="0"/>
            <w:vAlign w:val="center"/>
          </w:tcPr>
          <w:p w14:paraId="15DE9824">
            <w:pPr>
              <w:pStyle w:val="12"/>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3BD372A6">
            <w:pPr>
              <w:pStyle w:val="12"/>
              <w:bidi w:val="0"/>
              <w:rPr>
                <w:rFonts w:hint="default"/>
                <w:color w:val="auto"/>
              </w:rPr>
            </w:pPr>
            <w:r>
              <w:rPr>
                <w:rFonts w:hint="default"/>
                <w:color w:val="auto"/>
              </w:rPr>
              <w:t>80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1FBEF862">
            <w:pPr>
              <w:pStyle w:val="12"/>
              <w:bidi w:val="0"/>
              <w:rPr>
                <w:rFonts w:hint="default"/>
                <w:color w:val="auto"/>
              </w:rPr>
            </w:pPr>
            <w:r>
              <w:rPr>
                <w:rFonts w:hint="default"/>
                <w:color w:val="auto"/>
              </w:rPr>
              <w:t>80</w:t>
            </w:r>
          </w:p>
        </w:tc>
        <w:tc>
          <w:tcPr>
            <w:tcW w:w="413" w:type="pct"/>
            <w:tcBorders>
              <w:top w:val="single" w:color="000000" w:sz="12" w:space="0"/>
              <w:left w:val="single" w:color="auto" w:sz="6" w:space="0"/>
              <w:bottom w:val="single" w:color="auto" w:sz="6" w:space="0"/>
              <w:right w:val="nil"/>
            </w:tcBorders>
            <w:noWrap w:val="0"/>
            <w:vAlign w:val="center"/>
          </w:tcPr>
          <w:p w14:paraId="5F2FB7A9">
            <w:pPr>
              <w:pStyle w:val="12"/>
              <w:bidi w:val="0"/>
              <w:rPr>
                <w:rFonts w:hint="default"/>
                <w:color w:val="auto"/>
              </w:rPr>
            </w:pPr>
            <w:r>
              <w:rPr>
                <w:rFonts w:hint="default"/>
                <w:color w:val="auto"/>
              </w:rPr>
              <w:t>80</w:t>
            </w:r>
          </w:p>
        </w:tc>
      </w:tr>
      <w:tr w14:paraId="00993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7F52895F">
            <w:pPr>
              <w:pStyle w:val="12"/>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14153273">
            <w:pPr>
              <w:pStyle w:val="12"/>
              <w:bidi w:val="0"/>
              <w:rPr>
                <w:rFonts w:hint="default"/>
                <w:color w:val="auto"/>
              </w:rPr>
            </w:pPr>
            <w:r>
              <w:rPr>
                <w:rFonts w:hint="default"/>
                <w:color w:val="auto"/>
              </w:rPr>
              <w:t>2～4</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137BC5D3">
            <w:pPr>
              <w:pStyle w:val="12"/>
              <w:bidi w:val="0"/>
              <w:rPr>
                <w:rFonts w:hint="default"/>
                <w:color w:val="auto"/>
              </w:rPr>
            </w:pPr>
            <w:r>
              <w:rPr>
                <w:rFonts w:hint="default"/>
                <w:color w:val="auto"/>
              </w:rPr>
              <w:t>700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47CB7ADA">
            <w:pPr>
              <w:pStyle w:val="12"/>
              <w:bidi w:val="0"/>
              <w:rPr>
                <w:rFonts w:hint="default"/>
                <w:color w:val="auto"/>
              </w:rPr>
            </w:pPr>
            <w:r>
              <w:rPr>
                <w:rFonts w:hint="default"/>
                <w:color w:val="auto"/>
              </w:rPr>
              <w:t>470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201F607A">
            <w:pPr>
              <w:pStyle w:val="12"/>
              <w:bidi w:val="0"/>
              <w:rPr>
                <w:rFonts w:hint="default"/>
                <w:color w:val="auto"/>
              </w:rPr>
            </w:pPr>
            <w:r>
              <w:rPr>
                <w:rFonts w:hint="default"/>
                <w:color w:val="auto"/>
              </w:rPr>
              <w:t>350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301501B7">
            <w:pPr>
              <w:pStyle w:val="12"/>
              <w:bidi w:val="0"/>
              <w:rPr>
                <w:rFonts w:hint="default"/>
                <w:color w:val="auto"/>
              </w:rPr>
            </w:pPr>
            <w:r>
              <w:rPr>
                <w:rFonts w:hint="default"/>
                <w:color w:val="auto"/>
              </w:rPr>
              <w:t>700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04731BA0">
            <w:pPr>
              <w:pStyle w:val="12"/>
              <w:bidi w:val="0"/>
              <w:rPr>
                <w:rFonts w:hint="default"/>
                <w:color w:val="auto"/>
              </w:rPr>
            </w:pPr>
            <w:r>
              <w:rPr>
                <w:rFonts w:hint="default"/>
                <w:color w:val="auto"/>
              </w:rPr>
              <w:t>470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6B1DE03E">
            <w:pPr>
              <w:pStyle w:val="12"/>
              <w:bidi w:val="0"/>
              <w:rPr>
                <w:rFonts w:hint="default"/>
                <w:color w:val="auto"/>
              </w:rPr>
            </w:pPr>
            <w:r>
              <w:rPr>
                <w:rFonts w:hint="default"/>
                <w:color w:val="auto"/>
              </w:rPr>
              <w:t>350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538E5729">
            <w:pPr>
              <w:pStyle w:val="12"/>
              <w:bidi w:val="0"/>
              <w:rPr>
                <w:rFonts w:hint="default"/>
                <w:color w:val="auto"/>
              </w:rPr>
            </w:pPr>
            <w:r>
              <w:rPr>
                <w:rFonts w:hint="default"/>
                <w:color w:val="auto"/>
              </w:rPr>
              <w:t>380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557CD61A">
            <w:pPr>
              <w:pStyle w:val="12"/>
              <w:bidi w:val="0"/>
              <w:rPr>
                <w:rFonts w:hint="default"/>
                <w:color w:val="auto"/>
              </w:rPr>
            </w:pPr>
            <w:r>
              <w:rPr>
                <w:rFonts w:hint="default"/>
                <w:color w:val="auto"/>
              </w:rPr>
              <w:t>250</w:t>
            </w:r>
          </w:p>
        </w:tc>
        <w:tc>
          <w:tcPr>
            <w:tcW w:w="413" w:type="pct"/>
            <w:tcBorders>
              <w:top w:val="single" w:color="auto" w:sz="6" w:space="0"/>
              <w:left w:val="single" w:color="auto" w:sz="6" w:space="0"/>
              <w:bottom w:val="single" w:color="auto" w:sz="6" w:space="0"/>
              <w:right w:val="nil"/>
            </w:tcBorders>
            <w:noWrap w:val="0"/>
            <w:vAlign w:val="center"/>
          </w:tcPr>
          <w:p w14:paraId="52F9F137">
            <w:pPr>
              <w:pStyle w:val="12"/>
              <w:bidi w:val="0"/>
              <w:rPr>
                <w:rFonts w:hint="default"/>
                <w:color w:val="auto"/>
              </w:rPr>
            </w:pPr>
            <w:r>
              <w:rPr>
                <w:rFonts w:hint="default"/>
                <w:color w:val="auto"/>
              </w:rPr>
              <w:t>190</w:t>
            </w:r>
          </w:p>
        </w:tc>
      </w:tr>
      <w:tr w14:paraId="79B75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1DB15282">
            <w:pPr>
              <w:pStyle w:val="12"/>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2C32F30C">
            <w:pPr>
              <w:pStyle w:val="12"/>
              <w:bidi w:val="0"/>
              <w:rPr>
                <w:rFonts w:hint="default"/>
                <w:color w:val="auto"/>
              </w:rPr>
            </w:pPr>
            <w:r>
              <w:rPr>
                <w:rFonts w:hint="default"/>
                <w:color w:val="auto"/>
              </w:rPr>
              <w:t>&gt;4</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0A85D161">
            <w:pPr>
              <w:pStyle w:val="12"/>
              <w:bidi w:val="0"/>
              <w:rPr>
                <w:rFonts w:hint="default"/>
                <w:color w:val="auto"/>
              </w:rPr>
            </w:pPr>
            <w:r>
              <w:rPr>
                <w:rFonts w:hint="default"/>
                <w:color w:val="auto"/>
              </w:rPr>
              <w:t>530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6F51E43A">
            <w:pPr>
              <w:pStyle w:val="12"/>
              <w:bidi w:val="0"/>
              <w:rPr>
                <w:rFonts w:hint="default"/>
                <w:color w:val="auto"/>
              </w:rPr>
            </w:pPr>
            <w:r>
              <w:rPr>
                <w:rFonts w:hint="default"/>
                <w:color w:val="auto"/>
              </w:rPr>
              <w:t>350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6632FC84">
            <w:pPr>
              <w:pStyle w:val="12"/>
              <w:bidi w:val="0"/>
              <w:rPr>
                <w:rFonts w:hint="default"/>
                <w:color w:val="auto"/>
              </w:rPr>
            </w:pPr>
            <w:r>
              <w:rPr>
                <w:rFonts w:hint="default"/>
                <w:color w:val="auto"/>
              </w:rPr>
              <w:t>260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49EDBED0">
            <w:pPr>
              <w:pStyle w:val="12"/>
              <w:bidi w:val="0"/>
              <w:rPr>
                <w:rFonts w:hint="default"/>
                <w:color w:val="auto"/>
              </w:rPr>
            </w:pPr>
            <w:r>
              <w:rPr>
                <w:rFonts w:hint="default"/>
                <w:color w:val="auto"/>
              </w:rPr>
              <w:t>530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232FE9C6">
            <w:pPr>
              <w:pStyle w:val="12"/>
              <w:bidi w:val="0"/>
              <w:rPr>
                <w:rFonts w:hint="default"/>
                <w:color w:val="auto"/>
              </w:rPr>
            </w:pPr>
            <w:r>
              <w:rPr>
                <w:rFonts w:hint="default"/>
                <w:color w:val="auto"/>
              </w:rPr>
              <w:t>350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67952FA4">
            <w:pPr>
              <w:pStyle w:val="12"/>
              <w:bidi w:val="0"/>
              <w:rPr>
                <w:rFonts w:hint="default"/>
                <w:color w:val="auto"/>
              </w:rPr>
            </w:pPr>
            <w:r>
              <w:rPr>
                <w:rFonts w:hint="default"/>
                <w:color w:val="auto"/>
              </w:rPr>
              <w:t>260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67B60402">
            <w:pPr>
              <w:pStyle w:val="12"/>
              <w:bidi w:val="0"/>
              <w:rPr>
                <w:rFonts w:hint="default"/>
                <w:color w:val="auto"/>
              </w:rPr>
            </w:pPr>
            <w:r>
              <w:rPr>
                <w:rFonts w:hint="default"/>
                <w:color w:val="auto"/>
              </w:rPr>
              <w:t>290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39A5F5A8">
            <w:pPr>
              <w:pStyle w:val="12"/>
              <w:bidi w:val="0"/>
              <w:rPr>
                <w:rFonts w:hint="default"/>
                <w:color w:val="auto"/>
              </w:rPr>
            </w:pPr>
            <w:r>
              <w:rPr>
                <w:rFonts w:hint="default"/>
                <w:color w:val="auto"/>
              </w:rPr>
              <w:t>190</w:t>
            </w:r>
          </w:p>
        </w:tc>
        <w:tc>
          <w:tcPr>
            <w:tcW w:w="413" w:type="pct"/>
            <w:tcBorders>
              <w:top w:val="single" w:color="auto" w:sz="6" w:space="0"/>
              <w:left w:val="single" w:color="auto" w:sz="6" w:space="0"/>
              <w:bottom w:val="single" w:color="auto" w:sz="6" w:space="0"/>
              <w:right w:val="nil"/>
            </w:tcBorders>
            <w:noWrap w:val="0"/>
            <w:vAlign w:val="center"/>
          </w:tcPr>
          <w:p w14:paraId="3E66174E">
            <w:pPr>
              <w:pStyle w:val="12"/>
              <w:bidi w:val="0"/>
              <w:rPr>
                <w:rFonts w:hint="default"/>
                <w:color w:val="auto"/>
              </w:rPr>
            </w:pPr>
            <w:r>
              <w:rPr>
                <w:rFonts w:hint="default"/>
                <w:color w:val="auto"/>
              </w:rPr>
              <w:t>110</w:t>
            </w:r>
          </w:p>
        </w:tc>
      </w:tr>
      <w:tr w14:paraId="19C44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7DE6432A">
            <w:pPr>
              <w:pStyle w:val="12"/>
              <w:bidi w:val="0"/>
              <w:rPr>
                <w:rFonts w:hint="default"/>
                <w:color w:val="auto"/>
              </w:rPr>
            </w:pPr>
            <w:r>
              <w:rPr>
                <w:rFonts w:hint="default"/>
                <w:color w:val="auto"/>
              </w:rPr>
              <w:t>B</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791E64BA">
            <w:pPr>
              <w:pStyle w:val="12"/>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6383B75C">
            <w:pPr>
              <w:pStyle w:val="12"/>
              <w:bidi w:val="0"/>
              <w:rPr>
                <w:rFonts w:hint="default"/>
                <w:color w:val="auto"/>
              </w:rPr>
            </w:pPr>
            <w:r>
              <w:rPr>
                <w:rFonts w:hint="default"/>
                <w:color w:val="auto"/>
              </w:rPr>
              <w:t>0.01</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697F089C">
            <w:pPr>
              <w:pStyle w:val="12"/>
              <w:bidi w:val="0"/>
              <w:rPr>
                <w:rFonts w:hint="default"/>
                <w:color w:val="auto"/>
              </w:rPr>
            </w:pPr>
            <w:r>
              <w:rPr>
                <w:rFonts w:hint="default"/>
                <w:color w:val="auto"/>
              </w:rPr>
              <w:t>0.015</w:t>
            </w:r>
          </w:p>
        </w:tc>
        <w:tc>
          <w:tcPr>
            <w:tcW w:w="1213" w:type="pct"/>
            <w:gridSpan w:val="3"/>
            <w:tcBorders>
              <w:top w:val="single" w:color="auto" w:sz="6" w:space="0"/>
              <w:left w:val="single" w:color="auto" w:sz="6" w:space="0"/>
              <w:bottom w:val="single" w:color="auto" w:sz="6" w:space="0"/>
              <w:right w:val="nil"/>
            </w:tcBorders>
            <w:noWrap w:val="0"/>
            <w:vAlign w:val="center"/>
          </w:tcPr>
          <w:p w14:paraId="461E110D">
            <w:pPr>
              <w:pStyle w:val="12"/>
              <w:bidi w:val="0"/>
              <w:rPr>
                <w:rFonts w:hint="default"/>
                <w:color w:val="auto"/>
              </w:rPr>
            </w:pPr>
            <w:r>
              <w:rPr>
                <w:rFonts w:hint="default"/>
                <w:color w:val="auto"/>
              </w:rPr>
              <w:t>0.015</w:t>
            </w:r>
          </w:p>
        </w:tc>
      </w:tr>
      <w:tr w14:paraId="0EFB5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2543DD76">
            <w:pPr>
              <w:pStyle w:val="12"/>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506D9B1C">
            <w:pPr>
              <w:pStyle w:val="12"/>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2B9E0B2F">
            <w:pPr>
              <w:pStyle w:val="12"/>
              <w:bidi w:val="0"/>
              <w:rPr>
                <w:rFonts w:hint="default"/>
                <w:color w:val="auto"/>
              </w:rPr>
            </w:pPr>
            <w:r>
              <w:rPr>
                <w:rFonts w:hint="default"/>
                <w:color w:val="auto"/>
              </w:rPr>
              <w:t>0.021</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708A8F5F">
            <w:pPr>
              <w:pStyle w:val="12"/>
              <w:bidi w:val="0"/>
              <w:rPr>
                <w:rFonts w:hint="default"/>
                <w:color w:val="auto"/>
              </w:rPr>
            </w:pPr>
            <w:r>
              <w:rPr>
                <w:rFonts w:hint="default"/>
                <w:color w:val="auto"/>
              </w:rPr>
              <w:t>0.036</w:t>
            </w:r>
          </w:p>
        </w:tc>
        <w:tc>
          <w:tcPr>
            <w:tcW w:w="1213" w:type="pct"/>
            <w:gridSpan w:val="3"/>
            <w:tcBorders>
              <w:top w:val="single" w:color="auto" w:sz="6" w:space="0"/>
              <w:left w:val="single" w:color="auto" w:sz="6" w:space="0"/>
              <w:bottom w:val="single" w:color="auto" w:sz="6" w:space="0"/>
              <w:right w:val="nil"/>
            </w:tcBorders>
            <w:noWrap w:val="0"/>
            <w:vAlign w:val="center"/>
          </w:tcPr>
          <w:p w14:paraId="354EA8D6">
            <w:pPr>
              <w:pStyle w:val="12"/>
              <w:bidi w:val="0"/>
              <w:rPr>
                <w:rFonts w:hint="default"/>
                <w:color w:val="auto"/>
              </w:rPr>
            </w:pPr>
            <w:r>
              <w:rPr>
                <w:rFonts w:hint="default"/>
                <w:color w:val="auto"/>
              </w:rPr>
              <w:t>0.036</w:t>
            </w:r>
          </w:p>
        </w:tc>
      </w:tr>
      <w:tr w14:paraId="2A1D0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07BE013B">
            <w:pPr>
              <w:pStyle w:val="12"/>
              <w:bidi w:val="0"/>
              <w:rPr>
                <w:rFonts w:hint="default"/>
                <w:color w:val="auto"/>
              </w:rPr>
            </w:pPr>
            <w:r>
              <w:rPr>
                <w:rFonts w:hint="default"/>
                <w:color w:val="auto"/>
              </w:rPr>
              <w:t>C</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40237CC0">
            <w:pPr>
              <w:pStyle w:val="12"/>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22A8FDA9">
            <w:pPr>
              <w:pStyle w:val="12"/>
              <w:bidi w:val="0"/>
              <w:rPr>
                <w:rFonts w:hint="default"/>
                <w:color w:val="auto"/>
              </w:rPr>
            </w:pPr>
            <w:r>
              <w:rPr>
                <w:rFonts w:hint="default"/>
                <w:color w:val="auto"/>
              </w:rPr>
              <w:t>1.85</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5705FEB7">
            <w:pPr>
              <w:pStyle w:val="12"/>
              <w:bidi w:val="0"/>
              <w:rPr>
                <w:rFonts w:hint="default"/>
                <w:color w:val="auto"/>
              </w:rPr>
            </w:pPr>
            <w:r>
              <w:rPr>
                <w:rFonts w:hint="default"/>
                <w:color w:val="auto"/>
              </w:rPr>
              <w:t>1.79</w:t>
            </w:r>
          </w:p>
        </w:tc>
        <w:tc>
          <w:tcPr>
            <w:tcW w:w="1213" w:type="pct"/>
            <w:gridSpan w:val="3"/>
            <w:tcBorders>
              <w:top w:val="single" w:color="auto" w:sz="6" w:space="0"/>
              <w:left w:val="single" w:color="auto" w:sz="6" w:space="0"/>
              <w:bottom w:val="single" w:color="auto" w:sz="6" w:space="0"/>
              <w:right w:val="nil"/>
            </w:tcBorders>
            <w:noWrap w:val="0"/>
            <w:vAlign w:val="center"/>
          </w:tcPr>
          <w:p w14:paraId="2F625C2C">
            <w:pPr>
              <w:pStyle w:val="12"/>
              <w:bidi w:val="0"/>
              <w:rPr>
                <w:rFonts w:hint="default"/>
                <w:color w:val="auto"/>
              </w:rPr>
            </w:pPr>
            <w:r>
              <w:rPr>
                <w:rFonts w:hint="default"/>
                <w:color w:val="auto"/>
              </w:rPr>
              <w:t>1.79</w:t>
            </w:r>
          </w:p>
        </w:tc>
      </w:tr>
      <w:tr w14:paraId="382B0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54F2B12D">
            <w:pPr>
              <w:pStyle w:val="12"/>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1BEDA477">
            <w:pPr>
              <w:pStyle w:val="12"/>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6C80A8EE">
            <w:pPr>
              <w:pStyle w:val="12"/>
              <w:bidi w:val="0"/>
              <w:rPr>
                <w:rFonts w:hint="default"/>
                <w:color w:val="auto"/>
              </w:rPr>
            </w:pPr>
            <w:r>
              <w:rPr>
                <w:rFonts w:hint="default"/>
                <w:color w:val="auto"/>
              </w:rPr>
              <w:t>1.85</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6F1DD798">
            <w:pPr>
              <w:pStyle w:val="12"/>
              <w:bidi w:val="0"/>
              <w:rPr>
                <w:rFonts w:hint="default"/>
                <w:color w:val="auto"/>
              </w:rPr>
            </w:pPr>
            <w:r>
              <w:rPr>
                <w:rFonts w:hint="default"/>
                <w:color w:val="auto"/>
              </w:rPr>
              <w:t>1.77</w:t>
            </w:r>
          </w:p>
        </w:tc>
        <w:tc>
          <w:tcPr>
            <w:tcW w:w="1213" w:type="pct"/>
            <w:gridSpan w:val="3"/>
            <w:tcBorders>
              <w:top w:val="single" w:color="auto" w:sz="6" w:space="0"/>
              <w:left w:val="single" w:color="auto" w:sz="6" w:space="0"/>
              <w:bottom w:val="single" w:color="auto" w:sz="6" w:space="0"/>
              <w:right w:val="nil"/>
            </w:tcBorders>
            <w:noWrap w:val="0"/>
            <w:vAlign w:val="center"/>
          </w:tcPr>
          <w:p w14:paraId="3E6931FB">
            <w:pPr>
              <w:pStyle w:val="12"/>
              <w:bidi w:val="0"/>
              <w:rPr>
                <w:rFonts w:hint="default"/>
                <w:color w:val="auto"/>
              </w:rPr>
            </w:pPr>
            <w:r>
              <w:rPr>
                <w:rFonts w:hint="default"/>
                <w:color w:val="auto"/>
              </w:rPr>
              <w:t>1.77</w:t>
            </w:r>
          </w:p>
        </w:tc>
      </w:tr>
      <w:tr w14:paraId="05F19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1DB5DA6A">
            <w:pPr>
              <w:pStyle w:val="12"/>
              <w:bidi w:val="0"/>
              <w:rPr>
                <w:rFonts w:hint="default"/>
                <w:color w:val="auto"/>
              </w:rPr>
            </w:pPr>
            <w:r>
              <w:rPr>
                <w:rFonts w:hint="default"/>
                <w:color w:val="auto"/>
              </w:rPr>
              <w:t>D</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1A47C603">
            <w:pPr>
              <w:pStyle w:val="12"/>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0BA5214B">
            <w:pPr>
              <w:pStyle w:val="12"/>
              <w:bidi w:val="0"/>
              <w:rPr>
                <w:rFonts w:hint="default"/>
                <w:color w:val="auto"/>
              </w:rPr>
            </w:pPr>
            <w:r>
              <w:rPr>
                <w:rFonts w:hint="default"/>
                <w:color w:val="auto"/>
              </w:rPr>
              <w:t>0.78</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1BF61415">
            <w:pPr>
              <w:pStyle w:val="12"/>
              <w:bidi w:val="0"/>
              <w:rPr>
                <w:rFonts w:hint="default"/>
                <w:color w:val="auto"/>
              </w:rPr>
            </w:pPr>
            <w:r>
              <w:rPr>
                <w:rFonts w:hint="default"/>
                <w:color w:val="auto"/>
              </w:rPr>
              <w:t>0.78</w:t>
            </w:r>
          </w:p>
        </w:tc>
        <w:tc>
          <w:tcPr>
            <w:tcW w:w="1213" w:type="pct"/>
            <w:gridSpan w:val="3"/>
            <w:tcBorders>
              <w:top w:val="single" w:color="auto" w:sz="6" w:space="0"/>
              <w:left w:val="single" w:color="auto" w:sz="6" w:space="0"/>
              <w:bottom w:val="single" w:color="auto" w:sz="6" w:space="0"/>
              <w:right w:val="nil"/>
            </w:tcBorders>
            <w:noWrap w:val="0"/>
            <w:vAlign w:val="center"/>
          </w:tcPr>
          <w:p w14:paraId="12290EB0">
            <w:pPr>
              <w:pStyle w:val="12"/>
              <w:bidi w:val="0"/>
              <w:rPr>
                <w:rFonts w:hint="default"/>
                <w:color w:val="auto"/>
              </w:rPr>
            </w:pPr>
            <w:r>
              <w:rPr>
                <w:rFonts w:hint="default"/>
                <w:color w:val="auto"/>
              </w:rPr>
              <w:t>0.57</w:t>
            </w:r>
          </w:p>
        </w:tc>
      </w:tr>
      <w:tr w14:paraId="2EE0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000000" w:sz="12" w:space="0"/>
              <w:right w:val="single" w:color="auto" w:sz="6" w:space="0"/>
            </w:tcBorders>
            <w:noWrap w:val="0"/>
            <w:vAlign w:val="center"/>
          </w:tcPr>
          <w:p w14:paraId="456B3741">
            <w:pPr>
              <w:pStyle w:val="12"/>
              <w:bidi w:val="0"/>
              <w:rPr>
                <w:rFonts w:hint="default"/>
                <w:color w:val="auto"/>
              </w:rPr>
            </w:pPr>
          </w:p>
        </w:tc>
        <w:tc>
          <w:tcPr>
            <w:tcW w:w="647" w:type="pct"/>
            <w:tcBorders>
              <w:top w:val="single" w:color="auto" w:sz="6" w:space="0"/>
              <w:left w:val="single" w:color="auto" w:sz="6" w:space="0"/>
              <w:bottom w:val="single" w:color="000000" w:sz="12" w:space="0"/>
              <w:right w:val="single" w:color="auto" w:sz="6" w:space="0"/>
            </w:tcBorders>
            <w:noWrap w:val="0"/>
            <w:vAlign w:val="center"/>
          </w:tcPr>
          <w:p w14:paraId="62461785">
            <w:pPr>
              <w:pStyle w:val="12"/>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000000" w:sz="12" w:space="0"/>
              <w:right w:val="single" w:color="auto" w:sz="6" w:space="0"/>
            </w:tcBorders>
            <w:noWrap w:val="0"/>
            <w:vAlign w:val="center"/>
          </w:tcPr>
          <w:p w14:paraId="59521668">
            <w:pPr>
              <w:pStyle w:val="12"/>
              <w:bidi w:val="0"/>
              <w:rPr>
                <w:rFonts w:hint="default"/>
                <w:color w:val="auto"/>
              </w:rPr>
            </w:pPr>
            <w:r>
              <w:rPr>
                <w:rFonts w:hint="default"/>
                <w:color w:val="auto"/>
              </w:rPr>
              <w:t>0.84</w:t>
            </w:r>
          </w:p>
        </w:tc>
        <w:tc>
          <w:tcPr>
            <w:tcW w:w="1206" w:type="pct"/>
            <w:gridSpan w:val="3"/>
            <w:tcBorders>
              <w:top w:val="single" w:color="auto" w:sz="6" w:space="0"/>
              <w:left w:val="single" w:color="auto" w:sz="6" w:space="0"/>
              <w:bottom w:val="single" w:color="000000" w:sz="12" w:space="0"/>
              <w:right w:val="single" w:color="auto" w:sz="6" w:space="0"/>
            </w:tcBorders>
            <w:noWrap w:val="0"/>
            <w:vAlign w:val="center"/>
          </w:tcPr>
          <w:p w14:paraId="019546A9">
            <w:pPr>
              <w:pStyle w:val="12"/>
              <w:bidi w:val="0"/>
              <w:rPr>
                <w:rFonts w:hint="default"/>
                <w:color w:val="auto"/>
              </w:rPr>
            </w:pPr>
            <w:r>
              <w:rPr>
                <w:rFonts w:hint="default"/>
                <w:color w:val="auto"/>
              </w:rPr>
              <w:t>0.84</w:t>
            </w:r>
          </w:p>
        </w:tc>
        <w:tc>
          <w:tcPr>
            <w:tcW w:w="1213" w:type="pct"/>
            <w:gridSpan w:val="3"/>
            <w:tcBorders>
              <w:top w:val="single" w:color="auto" w:sz="6" w:space="0"/>
              <w:left w:val="single" w:color="auto" w:sz="6" w:space="0"/>
              <w:bottom w:val="single" w:color="000000" w:sz="12" w:space="0"/>
              <w:right w:val="nil"/>
            </w:tcBorders>
            <w:noWrap w:val="0"/>
            <w:vAlign w:val="center"/>
          </w:tcPr>
          <w:p w14:paraId="03B08725">
            <w:pPr>
              <w:pStyle w:val="12"/>
              <w:bidi w:val="0"/>
              <w:rPr>
                <w:rFonts w:hint="default"/>
                <w:color w:val="auto"/>
              </w:rPr>
            </w:pPr>
            <w:r>
              <w:rPr>
                <w:rFonts w:hint="default"/>
                <w:color w:val="auto"/>
              </w:rPr>
              <w:t>0.76</w:t>
            </w:r>
          </w:p>
        </w:tc>
      </w:tr>
      <w:tr w14:paraId="6A635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5000" w:type="pct"/>
            <w:gridSpan w:val="11"/>
            <w:tcBorders>
              <w:top w:val="single" w:color="000000" w:sz="12" w:space="0"/>
              <w:left w:val="nil"/>
              <w:bottom w:val="single" w:color="000000" w:sz="12" w:space="0"/>
              <w:right w:val="nil"/>
            </w:tcBorders>
            <w:noWrap w:val="0"/>
            <w:vAlign w:val="center"/>
          </w:tcPr>
          <w:p w14:paraId="7137F25A">
            <w:pPr>
              <w:pStyle w:val="12"/>
              <w:bidi w:val="0"/>
              <w:jc w:val="left"/>
              <w:rPr>
                <w:rFonts w:hint="default"/>
                <w:color w:val="auto"/>
              </w:rPr>
            </w:pPr>
            <w:r>
              <w:rPr>
                <w:rFonts w:hint="default"/>
                <w:color w:val="auto"/>
              </w:rPr>
              <w:t>注：I类：与无组织排放源共存的排放同种有害气体的排气筒的排放量，大于或等于标准规定的允许排放量的三分之一者。</w:t>
            </w:r>
          </w:p>
          <w:p w14:paraId="1AF9333B">
            <w:pPr>
              <w:pStyle w:val="12"/>
              <w:bidi w:val="0"/>
              <w:jc w:val="left"/>
              <w:rPr>
                <w:rFonts w:hint="default"/>
                <w:color w:val="auto"/>
              </w:rPr>
            </w:pPr>
            <w:r>
              <w:rPr>
                <w:rFonts w:hint="default"/>
                <w:color w:val="auto"/>
              </w:rPr>
              <w:t>II类：与无组织排放源共存的排放同种有害气体的排气筒的排放量，小于标准规定的允许排放量的三分之一，或虽无排放同种大气污染物之排气筒共存，但无组织排放的有害物质的容许浓度指标是按急性反应指标确定者。</w:t>
            </w:r>
          </w:p>
          <w:p w14:paraId="3C98E961">
            <w:pPr>
              <w:pStyle w:val="12"/>
              <w:bidi w:val="0"/>
              <w:jc w:val="left"/>
              <w:rPr>
                <w:rFonts w:hint="default"/>
                <w:color w:val="auto"/>
              </w:rPr>
            </w:pPr>
            <w:r>
              <w:rPr>
                <w:rFonts w:hint="default"/>
                <w:color w:val="auto"/>
              </w:rPr>
              <w:t>Ⅲ类：无排放同种有害气体的排气筒与无组织排放源共存，但无组织排放的有害物质的容许浓度是按慢性反应指标确定者。</w:t>
            </w:r>
          </w:p>
        </w:tc>
      </w:tr>
    </w:tbl>
    <w:p w14:paraId="2F627398">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无因次，根据工业企业所在地区近五年平均风速及工业企业大气污染源构成类别。项目卫生防护距离计算参数见</w:t>
      </w:r>
      <w:r>
        <w:rPr>
          <w:rFonts w:hint="eastAsia"/>
          <w:color w:val="auto"/>
          <w:lang w:val="en-US" w:eastAsia="zh-CN"/>
        </w:rPr>
        <w:t>下表</w:t>
      </w:r>
      <w:r>
        <w:rPr>
          <w:rFonts w:hint="eastAsia"/>
          <w:color w:val="auto"/>
        </w:rPr>
        <w:t>。</w:t>
      </w:r>
    </w:p>
    <w:p w14:paraId="0BC06B91">
      <w:pPr>
        <w:pStyle w:val="15"/>
        <w:numPr>
          <w:ilvl w:val="0"/>
          <w:numId w:val="31"/>
        </w:numPr>
        <w:bidi w:val="0"/>
        <w:ind w:left="0" w:leftChars="0" w:firstLine="0" w:firstLineChars="0"/>
        <w:rPr>
          <w:rFonts w:hint="eastAsia"/>
          <w:color w:val="auto"/>
        </w:rPr>
      </w:pPr>
      <w:r>
        <w:rPr>
          <w:color w:val="auto"/>
        </w:rPr>
        <w:t>卫生防护距离计算系数</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872"/>
        <w:gridCol w:w="676"/>
        <w:gridCol w:w="711"/>
        <w:gridCol w:w="711"/>
        <w:gridCol w:w="874"/>
        <w:gridCol w:w="933"/>
        <w:gridCol w:w="1200"/>
        <w:gridCol w:w="835"/>
        <w:gridCol w:w="478"/>
        <w:gridCol w:w="586"/>
        <w:gridCol w:w="483"/>
        <w:gridCol w:w="485"/>
      </w:tblGrid>
      <w:tr w14:paraId="37247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93" w:type="pct"/>
            <w:vMerge w:val="restart"/>
            <w:tcBorders>
              <w:tl2br w:val="nil"/>
              <w:tr2bl w:val="nil"/>
            </w:tcBorders>
            <w:noWrap w:val="0"/>
            <w:vAlign w:val="center"/>
          </w:tcPr>
          <w:p w14:paraId="0AEBC8B0">
            <w:pPr>
              <w:pStyle w:val="12"/>
              <w:bidi w:val="0"/>
              <w:rPr>
                <w:b/>
                <w:bCs/>
                <w:color w:val="auto"/>
              </w:rPr>
            </w:pPr>
            <w:r>
              <w:rPr>
                <w:b/>
                <w:bCs/>
                <w:color w:val="auto"/>
              </w:rPr>
              <w:t>装置区</w:t>
            </w:r>
          </w:p>
        </w:tc>
        <w:tc>
          <w:tcPr>
            <w:tcW w:w="382" w:type="pct"/>
            <w:vMerge w:val="restart"/>
            <w:tcBorders>
              <w:tl2br w:val="nil"/>
              <w:tr2bl w:val="nil"/>
            </w:tcBorders>
            <w:noWrap w:val="0"/>
            <w:vAlign w:val="center"/>
          </w:tcPr>
          <w:p w14:paraId="56E94EFA">
            <w:pPr>
              <w:pStyle w:val="12"/>
              <w:bidi w:val="0"/>
              <w:rPr>
                <w:b/>
                <w:bCs/>
                <w:color w:val="auto"/>
              </w:rPr>
            </w:pPr>
            <w:r>
              <w:rPr>
                <w:b/>
                <w:bCs/>
                <w:color w:val="auto"/>
              </w:rPr>
              <w:t>污染物</w:t>
            </w:r>
          </w:p>
        </w:tc>
        <w:tc>
          <w:tcPr>
            <w:tcW w:w="803" w:type="pct"/>
            <w:gridSpan w:val="2"/>
            <w:tcBorders>
              <w:tl2br w:val="nil"/>
              <w:tr2bl w:val="nil"/>
            </w:tcBorders>
            <w:noWrap w:val="0"/>
            <w:vAlign w:val="center"/>
          </w:tcPr>
          <w:p w14:paraId="1378A014">
            <w:pPr>
              <w:pStyle w:val="12"/>
              <w:bidi w:val="0"/>
              <w:rPr>
                <w:b/>
                <w:bCs/>
                <w:color w:val="auto"/>
              </w:rPr>
            </w:pPr>
            <w:r>
              <w:rPr>
                <w:rFonts w:hint="eastAsia"/>
                <w:b/>
                <w:bCs/>
                <w:color w:val="auto"/>
              </w:rPr>
              <w:t>无组织排放源</w:t>
            </w:r>
          </w:p>
        </w:tc>
        <w:tc>
          <w:tcPr>
            <w:tcW w:w="494" w:type="pct"/>
            <w:vMerge w:val="restart"/>
            <w:tcBorders>
              <w:tl2br w:val="nil"/>
              <w:tr2bl w:val="nil"/>
            </w:tcBorders>
            <w:noWrap w:val="0"/>
            <w:vAlign w:val="center"/>
          </w:tcPr>
          <w:p w14:paraId="7DC8247B">
            <w:pPr>
              <w:pStyle w:val="12"/>
              <w:bidi w:val="0"/>
              <w:rPr>
                <w:b/>
                <w:bCs/>
                <w:color w:val="auto"/>
              </w:rPr>
            </w:pPr>
            <w:r>
              <w:rPr>
                <w:b/>
                <w:bCs/>
                <w:color w:val="auto"/>
              </w:rPr>
              <w:t>有效高度（m）</w:t>
            </w:r>
          </w:p>
        </w:tc>
        <w:tc>
          <w:tcPr>
            <w:tcW w:w="527" w:type="pct"/>
            <w:vMerge w:val="restart"/>
            <w:tcBorders>
              <w:tl2br w:val="nil"/>
              <w:tr2bl w:val="nil"/>
            </w:tcBorders>
            <w:noWrap w:val="0"/>
            <w:vAlign w:val="center"/>
          </w:tcPr>
          <w:p w14:paraId="19D21C3C">
            <w:pPr>
              <w:pStyle w:val="12"/>
              <w:bidi w:val="0"/>
              <w:rPr>
                <w:b/>
                <w:bCs/>
                <w:color w:val="auto"/>
              </w:rPr>
            </w:pPr>
            <w:r>
              <w:rPr>
                <w:b/>
                <w:bCs/>
                <w:color w:val="auto"/>
              </w:rPr>
              <w:t>排放强度（kg/h）</w:t>
            </w:r>
          </w:p>
        </w:tc>
        <w:tc>
          <w:tcPr>
            <w:tcW w:w="678" w:type="pct"/>
            <w:vMerge w:val="restart"/>
            <w:tcBorders>
              <w:tl2br w:val="nil"/>
              <w:tr2bl w:val="nil"/>
            </w:tcBorders>
            <w:noWrap w:val="0"/>
            <w:vAlign w:val="center"/>
          </w:tcPr>
          <w:p w14:paraId="6651CF43">
            <w:pPr>
              <w:pStyle w:val="12"/>
              <w:bidi w:val="0"/>
              <w:rPr>
                <w:rFonts w:hint="eastAsia"/>
                <w:b/>
                <w:bCs/>
                <w:color w:val="auto"/>
                <w:lang w:eastAsia="zh-CN"/>
              </w:rPr>
            </w:pPr>
            <w:r>
              <w:rPr>
                <w:rFonts w:hint="eastAsia"/>
                <w:b/>
                <w:bCs/>
                <w:color w:val="auto"/>
              </w:rPr>
              <w:t>标准浓度限值μg/</w:t>
            </w:r>
            <w:r>
              <w:rPr>
                <w:rFonts w:hint="eastAsia"/>
                <w:b/>
                <w:bCs/>
                <w:color w:val="auto"/>
                <w:lang w:eastAsia="zh-CN"/>
              </w:rPr>
              <w:t>m³</w:t>
            </w:r>
          </w:p>
        </w:tc>
        <w:tc>
          <w:tcPr>
            <w:tcW w:w="472" w:type="pct"/>
            <w:vMerge w:val="restart"/>
            <w:tcBorders>
              <w:tl2br w:val="nil"/>
              <w:tr2bl w:val="nil"/>
            </w:tcBorders>
            <w:noWrap w:val="0"/>
            <w:vAlign w:val="center"/>
          </w:tcPr>
          <w:p w14:paraId="54ED832F">
            <w:pPr>
              <w:pStyle w:val="12"/>
              <w:bidi w:val="0"/>
              <w:rPr>
                <w:b/>
                <w:bCs/>
                <w:color w:val="auto"/>
              </w:rPr>
            </w:pPr>
            <w:r>
              <w:rPr>
                <w:b/>
                <w:bCs/>
                <w:color w:val="auto"/>
              </w:rPr>
              <w:t>按级差划定</w:t>
            </w:r>
          </w:p>
        </w:tc>
        <w:tc>
          <w:tcPr>
            <w:tcW w:w="1148" w:type="pct"/>
            <w:gridSpan w:val="4"/>
            <w:tcBorders>
              <w:tl2br w:val="nil"/>
              <w:tr2bl w:val="nil"/>
            </w:tcBorders>
            <w:noWrap w:val="0"/>
            <w:vAlign w:val="center"/>
          </w:tcPr>
          <w:p w14:paraId="5333A528">
            <w:pPr>
              <w:pStyle w:val="12"/>
              <w:bidi w:val="0"/>
              <w:rPr>
                <w:b/>
                <w:bCs/>
                <w:color w:val="auto"/>
              </w:rPr>
            </w:pPr>
            <w:r>
              <w:rPr>
                <w:rFonts w:hint="eastAsia"/>
                <w:b/>
                <w:bCs/>
                <w:color w:val="auto"/>
              </w:rPr>
              <w:t>计算系数</w:t>
            </w:r>
          </w:p>
        </w:tc>
      </w:tr>
      <w:tr w14:paraId="651B6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93" w:type="pct"/>
            <w:vMerge w:val="continue"/>
            <w:tcBorders>
              <w:tl2br w:val="nil"/>
              <w:tr2bl w:val="nil"/>
            </w:tcBorders>
            <w:noWrap w:val="0"/>
            <w:vAlign w:val="center"/>
          </w:tcPr>
          <w:p w14:paraId="3C34B1DD">
            <w:pPr>
              <w:pStyle w:val="12"/>
              <w:bidi w:val="0"/>
              <w:rPr>
                <w:b/>
                <w:bCs/>
                <w:color w:val="auto"/>
              </w:rPr>
            </w:pPr>
          </w:p>
        </w:tc>
        <w:tc>
          <w:tcPr>
            <w:tcW w:w="382" w:type="pct"/>
            <w:vMerge w:val="continue"/>
            <w:tcBorders>
              <w:tl2br w:val="nil"/>
              <w:tr2bl w:val="nil"/>
            </w:tcBorders>
            <w:noWrap w:val="0"/>
            <w:vAlign w:val="center"/>
          </w:tcPr>
          <w:p w14:paraId="0D028FA3">
            <w:pPr>
              <w:pStyle w:val="12"/>
              <w:bidi w:val="0"/>
              <w:rPr>
                <w:b/>
                <w:bCs/>
                <w:color w:val="auto"/>
              </w:rPr>
            </w:pPr>
          </w:p>
        </w:tc>
        <w:tc>
          <w:tcPr>
            <w:tcW w:w="401" w:type="pct"/>
            <w:tcBorders>
              <w:tl2br w:val="nil"/>
              <w:tr2bl w:val="nil"/>
            </w:tcBorders>
            <w:noWrap w:val="0"/>
            <w:vAlign w:val="center"/>
          </w:tcPr>
          <w:p w14:paraId="54F5F65D">
            <w:pPr>
              <w:pStyle w:val="12"/>
              <w:bidi w:val="0"/>
              <w:rPr>
                <w:rFonts w:hint="eastAsia"/>
                <w:b/>
                <w:bCs/>
                <w:color w:val="auto"/>
              </w:rPr>
            </w:pPr>
            <w:r>
              <w:rPr>
                <w:b/>
                <w:bCs/>
                <w:color w:val="auto"/>
              </w:rPr>
              <w:t>长度（m）</w:t>
            </w:r>
          </w:p>
        </w:tc>
        <w:tc>
          <w:tcPr>
            <w:tcW w:w="401" w:type="pct"/>
            <w:tcBorders>
              <w:tl2br w:val="nil"/>
              <w:tr2bl w:val="nil"/>
            </w:tcBorders>
            <w:noWrap w:val="0"/>
            <w:vAlign w:val="center"/>
          </w:tcPr>
          <w:p w14:paraId="0EFD8DE5">
            <w:pPr>
              <w:pStyle w:val="12"/>
              <w:bidi w:val="0"/>
              <w:rPr>
                <w:rFonts w:hint="eastAsia"/>
                <w:b/>
                <w:bCs/>
                <w:color w:val="auto"/>
              </w:rPr>
            </w:pPr>
            <w:r>
              <w:rPr>
                <w:b/>
                <w:bCs/>
                <w:color w:val="auto"/>
              </w:rPr>
              <w:t>宽度（m）</w:t>
            </w:r>
          </w:p>
        </w:tc>
        <w:tc>
          <w:tcPr>
            <w:tcW w:w="494" w:type="pct"/>
            <w:vMerge w:val="continue"/>
            <w:tcBorders>
              <w:tl2br w:val="nil"/>
              <w:tr2bl w:val="nil"/>
            </w:tcBorders>
            <w:noWrap w:val="0"/>
            <w:vAlign w:val="center"/>
          </w:tcPr>
          <w:p w14:paraId="1571CC8C">
            <w:pPr>
              <w:pStyle w:val="12"/>
              <w:bidi w:val="0"/>
              <w:rPr>
                <w:b/>
                <w:bCs/>
                <w:color w:val="auto"/>
              </w:rPr>
            </w:pPr>
          </w:p>
        </w:tc>
        <w:tc>
          <w:tcPr>
            <w:tcW w:w="527" w:type="pct"/>
            <w:vMerge w:val="continue"/>
            <w:tcBorders>
              <w:tl2br w:val="nil"/>
              <w:tr2bl w:val="nil"/>
            </w:tcBorders>
            <w:noWrap w:val="0"/>
            <w:vAlign w:val="center"/>
          </w:tcPr>
          <w:p w14:paraId="00621DD6">
            <w:pPr>
              <w:pStyle w:val="12"/>
              <w:bidi w:val="0"/>
              <w:rPr>
                <w:b/>
                <w:bCs/>
                <w:color w:val="auto"/>
              </w:rPr>
            </w:pPr>
          </w:p>
        </w:tc>
        <w:tc>
          <w:tcPr>
            <w:tcW w:w="678" w:type="pct"/>
            <w:vMerge w:val="continue"/>
            <w:tcBorders>
              <w:tl2br w:val="nil"/>
              <w:tr2bl w:val="nil"/>
            </w:tcBorders>
            <w:noWrap w:val="0"/>
            <w:vAlign w:val="center"/>
          </w:tcPr>
          <w:p w14:paraId="64A475A4">
            <w:pPr>
              <w:pStyle w:val="12"/>
              <w:bidi w:val="0"/>
              <w:rPr>
                <w:b/>
                <w:bCs/>
                <w:color w:val="auto"/>
              </w:rPr>
            </w:pPr>
          </w:p>
        </w:tc>
        <w:tc>
          <w:tcPr>
            <w:tcW w:w="472" w:type="pct"/>
            <w:vMerge w:val="continue"/>
            <w:tcBorders>
              <w:tl2br w:val="nil"/>
              <w:tr2bl w:val="nil"/>
            </w:tcBorders>
            <w:noWrap w:val="0"/>
            <w:vAlign w:val="center"/>
          </w:tcPr>
          <w:p w14:paraId="469C19FE">
            <w:pPr>
              <w:pStyle w:val="12"/>
              <w:bidi w:val="0"/>
              <w:rPr>
                <w:b/>
                <w:bCs/>
                <w:color w:val="auto"/>
              </w:rPr>
            </w:pPr>
          </w:p>
        </w:tc>
        <w:tc>
          <w:tcPr>
            <w:tcW w:w="270" w:type="pct"/>
            <w:tcBorders>
              <w:tl2br w:val="nil"/>
              <w:tr2bl w:val="nil"/>
            </w:tcBorders>
            <w:noWrap w:val="0"/>
            <w:vAlign w:val="center"/>
          </w:tcPr>
          <w:p w14:paraId="1AE6D9A5">
            <w:pPr>
              <w:pStyle w:val="12"/>
              <w:bidi w:val="0"/>
              <w:rPr>
                <w:b/>
                <w:bCs/>
                <w:color w:val="auto"/>
              </w:rPr>
            </w:pPr>
            <w:r>
              <w:rPr>
                <w:rFonts w:hint="eastAsia"/>
                <w:b/>
                <w:bCs/>
                <w:color w:val="auto"/>
              </w:rPr>
              <w:t>A</w:t>
            </w:r>
          </w:p>
        </w:tc>
        <w:tc>
          <w:tcPr>
            <w:tcW w:w="331" w:type="pct"/>
            <w:tcBorders>
              <w:tl2br w:val="nil"/>
              <w:tr2bl w:val="nil"/>
            </w:tcBorders>
            <w:noWrap w:val="0"/>
            <w:vAlign w:val="center"/>
          </w:tcPr>
          <w:p w14:paraId="3C647032">
            <w:pPr>
              <w:pStyle w:val="12"/>
              <w:bidi w:val="0"/>
              <w:rPr>
                <w:b/>
                <w:bCs/>
                <w:color w:val="auto"/>
              </w:rPr>
            </w:pPr>
            <w:r>
              <w:rPr>
                <w:rFonts w:hint="eastAsia"/>
                <w:b/>
                <w:bCs/>
                <w:color w:val="auto"/>
              </w:rPr>
              <w:t>B</w:t>
            </w:r>
          </w:p>
        </w:tc>
        <w:tc>
          <w:tcPr>
            <w:tcW w:w="273" w:type="pct"/>
            <w:tcBorders>
              <w:tl2br w:val="nil"/>
              <w:tr2bl w:val="nil"/>
            </w:tcBorders>
            <w:noWrap w:val="0"/>
            <w:vAlign w:val="center"/>
          </w:tcPr>
          <w:p w14:paraId="15FEF773">
            <w:pPr>
              <w:pStyle w:val="12"/>
              <w:bidi w:val="0"/>
              <w:rPr>
                <w:b/>
                <w:bCs/>
                <w:color w:val="auto"/>
              </w:rPr>
            </w:pPr>
            <w:r>
              <w:rPr>
                <w:rFonts w:hint="eastAsia"/>
                <w:b/>
                <w:bCs/>
                <w:color w:val="auto"/>
              </w:rPr>
              <w:t>C</w:t>
            </w:r>
          </w:p>
        </w:tc>
        <w:tc>
          <w:tcPr>
            <w:tcW w:w="273" w:type="pct"/>
            <w:tcBorders>
              <w:tl2br w:val="nil"/>
              <w:tr2bl w:val="nil"/>
            </w:tcBorders>
            <w:noWrap w:val="0"/>
            <w:vAlign w:val="center"/>
          </w:tcPr>
          <w:p w14:paraId="28CD5C27">
            <w:pPr>
              <w:pStyle w:val="12"/>
              <w:bidi w:val="0"/>
              <w:rPr>
                <w:b/>
                <w:bCs/>
                <w:color w:val="auto"/>
              </w:rPr>
            </w:pPr>
            <w:r>
              <w:rPr>
                <w:rFonts w:hint="eastAsia"/>
                <w:b/>
                <w:bCs/>
                <w:color w:val="auto"/>
              </w:rPr>
              <w:t>D</w:t>
            </w:r>
          </w:p>
        </w:tc>
      </w:tr>
      <w:tr w14:paraId="78F8D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93" w:type="pct"/>
            <w:vMerge w:val="restart"/>
            <w:tcBorders>
              <w:tl2br w:val="nil"/>
              <w:tr2bl w:val="nil"/>
            </w:tcBorders>
            <w:noWrap w:val="0"/>
            <w:vAlign w:val="center"/>
          </w:tcPr>
          <w:p w14:paraId="7B13CB64">
            <w:pPr>
              <w:pStyle w:val="12"/>
              <w:bidi w:val="0"/>
              <w:rPr>
                <w:color w:val="auto"/>
              </w:rPr>
            </w:pPr>
            <w:r>
              <w:rPr>
                <w:color w:val="auto"/>
              </w:rPr>
              <w:t>污水处理区</w:t>
            </w:r>
          </w:p>
        </w:tc>
        <w:tc>
          <w:tcPr>
            <w:tcW w:w="382" w:type="pct"/>
            <w:tcBorders>
              <w:tl2br w:val="nil"/>
              <w:tr2bl w:val="nil"/>
            </w:tcBorders>
            <w:noWrap w:val="0"/>
            <w:vAlign w:val="center"/>
          </w:tcPr>
          <w:p w14:paraId="7CF3ABC9">
            <w:pPr>
              <w:pStyle w:val="12"/>
              <w:bidi w:val="0"/>
              <w:rPr>
                <w:color w:val="auto"/>
              </w:rPr>
            </w:pPr>
            <w:r>
              <w:rPr>
                <w:color w:val="auto"/>
              </w:rPr>
              <w:t>NH</w:t>
            </w:r>
            <w:r>
              <w:rPr>
                <w:color w:val="auto"/>
                <w:vertAlign w:val="subscript"/>
              </w:rPr>
              <w:t>3</w:t>
            </w:r>
          </w:p>
        </w:tc>
        <w:tc>
          <w:tcPr>
            <w:tcW w:w="401" w:type="pct"/>
            <w:vMerge w:val="restart"/>
            <w:tcBorders>
              <w:tl2br w:val="nil"/>
              <w:tr2bl w:val="nil"/>
            </w:tcBorders>
            <w:noWrap w:val="0"/>
            <w:vAlign w:val="center"/>
          </w:tcPr>
          <w:p w14:paraId="1221E0D2">
            <w:pPr>
              <w:pStyle w:val="12"/>
              <w:bidi w:val="0"/>
              <w:rPr>
                <w:rFonts w:hint="default"/>
                <w:color w:val="auto"/>
                <w:lang w:val="en-US" w:eastAsia="zh-CN"/>
              </w:rPr>
            </w:pPr>
            <w:r>
              <w:rPr>
                <w:rFonts w:hint="eastAsia"/>
                <w:color w:val="auto"/>
                <w:lang w:val="en-US" w:eastAsia="zh-CN"/>
              </w:rPr>
              <w:t>110</w:t>
            </w:r>
          </w:p>
        </w:tc>
        <w:tc>
          <w:tcPr>
            <w:tcW w:w="401" w:type="pct"/>
            <w:vMerge w:val="restart"/>
            <w:tcBorders>
              <w:tl2br w:val="nil"/>
              <w:tr2bl w:val="nil"/>
            </w:tcBorders>
            <w:noWrap w:val="0"/>
            <w:vAlign w:val="center"/>
          </w:tcPr>
          <w:p w14:paraId="52CE9304">
            <w:pPr>
              <w:pStyle w:val="12"/>
              <w:bidi w:val="0"/>
              <w:rPr>
                <w:rFonts w:hint="default"/>
                <w:color w:val="auto"/>
                <w:lang w:val="en-US" w:eastAsia="zh-CN"/>
              </w:rPr>
            </w:pPr>
            <w:r>
              <w:rPr>
                <w:rFonts w:hint="eastAsia"/>
                <w:color w:val="auto"/>
                <w:lang w:val="en-US" w:eastAsia="zh-CN"/>
              </w:rPr>
              <w:t>92.6</w:t>
            </w:r>
          </w:p>
        </w:tc>
        <w:tc>
          <w:tcPr>
            <w:tcW w:w="494" w:type="pct"/>
            <w:vMerge w:val="restart"/>
            <w:tcBorders>
              <w:tl2br w:val="nil"/>
              <w:tr2bl w:val="nil"/>
            </w:tcBorders>
            <w:noWrap w:val="0"/>
            <w:vAlign w:val="center"/>
          </w:tcPr>
          <w:p w14:paraId="008963D5">
            <w:pPr>
              <w:pStyle w:val="12"/>
              <w:bidi w:val="0"/>
              <w:rPr>
                <w:color w:val="auto"/>
              </w:rPr>
            </w:pPr>
            <w:r>
              <w:rPr>
                <w:rFonts w:hint="eastAsia"/>
                <w:color w:val="auto"/>
              </w:rPr>
              <w:t>10</w:t>
            </w:r>
          </w:p>
        </w:tc>
        <w:tc>
          <w:tcPr>
            <w:tcW w:w="527" w:type="pct"/>
            <w:tcBorders>
              <w:tl2br w:val="nil"/>
              <w:tr2bl w:val="nil"/>
            </w:tcBorders>
            <w:noWrap w:val="0"/>
            <w:vAlign w:val="center"/>
          </w:tcPr>
          <w:p w14:paraId="36F189B8">
            <w:pPr>
              <w:pStyle w:val="12"/>
              <w:bidi w:val="0"/>
              <w:rPr>
                <w:color w:val="auto"/>
              </w:rPr>
            </w:pPr>
            <w:r>
              <w:rPr>
                <w:rFonts w:hint="eastAsia"/>
                <w:color w:val="auto"/>
                <w:lang w:val="en-US" w:eastAsia="zh-CN"/>
              </w:rPr>
              <w:t>0.045</w:t>
            </w:r>
          </w:p>
        </w:tc>
        <w:tc>
          <w:tcPr>
            <w:tcW w:w="678" w:type="pct"/>
            <w:tcBorders>
              <w:tl2br w:val="nil"/>
              <w:tr2bl w:val="nil"/>
            </w:tcBorders>
            <w:noWrap w:val="0"/>
            <w:vAlign w:val="center"/>
          </w:tcPr>
          <w:p w14:paraId="184DA2DD">
            <w:pPr>
              <w:pStyle w:val="12"/>
              <w:bidi w:val="0"/>
              <w:rPr>
                <w:rFonts w:hint="default" w:eastAsia="宋体"/>
                <w:color w:val="auto"/>
                <w:lang w:val="en-US" w:eastAsia="zh-CN"/>
              </w:rPr>
            </w:pPr>
            <w:r>
              <w:rPr>
                <w:rFonts w:hint="eastAsia"/>
                <w:color w:val="auto"/>
                <w:lang w:val="en-US" w:eastAsia="zh-CN"/>
              </w:rPr>
              <w:t>1500</w:t>
            </w:r>
          </w:p>
        </w:tc>
        <w:tc>
          <w:tcPr>
            <w:tcW w:w="472" w:type="pct"/>
            <w:tcBorders>
              <w:tl2br w:val="nil"/>
              <w:tr2bl w:val="nil"/>
            </w:tcBorders>
            <w:noWrap w:val="0"/>
            <w:vAlign w:val="center"/>
          </w:tcPr>
          <w:p w14:paraId="2A054E59">
            <w:pPr>
              <w:pStyle w:val="12"/>
              <w:bidi w:val="0"/>
              <w:rPr>
                <w:color w:val="auto"/>
              </w:rPr>
            </w:pPr>
            <w:r>
              <w:rPr>
                <w:rFonts w:hint="eastAsia"/>
                <w:color w:val="auto"/>
              </w:rPr>
              <w:t>II类</w:t>
            </w:r>
          </w:p>
        </w:tc>
        <w:tc>
          <w:tcPr>
            <w:tcW w:w="270" w:type="pct"/>
            <w:vMerge w:val="restart"/>
            <w:tcBorders>
              <w:tl2br w:val="nil"/>
              <w:tr2bl w:val="nil"/>
            </w:tcBorders>
            <w:noWrap w:val="0"/>
            <w:vAlign w:val="center"/>
          </w:tcPr>
          <w:p w14:paraId="0DC50E8A">
            <w:pPr>
              <w:pStyle w:val="12"/>
              <w:bidi w:val="0"/>
              <w:rPr>
                <w:rFonts w:hint="default" w:eastAsia="宋体"/>
                <w:color w:val="auto"/>
                <w:lang w:val="en-US" w:eastAsia="zh-CN"/>
              </w:rPr>
            </w:pPr>
            <w:r>
              <w:rPr>
                <w:rFonts w:hint="eastAsia"/>
                <w:color w:val="auto"/>
                <w:lang w:val="en-US" w:eastAsia="zh-CN"/>
              </w:rPr>
              <w:t>400</w:t>
            </w:r>
          </w:p>
        </w:tc>
        <w:tc>
          <w:tcPr>
            <w:tcW w:w="331" w:type="pct"/>
            <w:vMerge w:val="restart"/>
            <w:tcBorders>
              <w:tl2br w:val="nil"/>
              <w:tr2bl w:val="nil"/>
            </w:tcBorders>
            <w:noWrap w:val="0"/>
            <w:vAlign w:val="center"/>
          </w:tcPr>
          <w:p w14:paraId="64C81139">
            <w:pPr>
              <w:pStyle w:val="12"/>
              <w:bidi w:val="0"/>
              <w:rPr>
                <w:color w:val="auto"/>
              </w:rPr>
            </w:pPr>
            <w:r>
              <w:rPr>
                <w:rFonts w:hint="eastAsia"/>
                <w:color w:val="auto"/>
              </w:rPr>
              <w:t>0.01</w:t>
            </w:r>
          </w:p>
        </w:tc>
        <w:tc>
          <w:tcPr>
            <w:tcW w:w="273" w:type="pct"/>
            <w:vMerge w:val="restart"/>
            <w:tcBorders>
              <w:tl2br w:val="nil"/>
              <w:tr2bl w:val="nil"/>
            </w:tcBorders>
            <w:noWrap w:val="0"/>
            <w:vAlign w:val="center"/>
          </w:tcPr>
          <w:p w14:paraId="3FFB6872">
            <w:pPr>
              <w:pStyle w:val="12"/>
              <w:bidi w:val="0"/>
              <w:rPr>
                <w:color w:val="auto"/>
              </w:rPr>
            </w:pPr>
            <w:r>
              <w:rPr>
                <w:rFonts w:hint="eastAsia"/>
                <w:color w:val="auto"/>
              </w:rPr>
              <w:t>1.85</w:t>
            </w:r>
          </w:p>
        </w:tc>
        <w:tc>
          <w:tcPr>
            <w:tcW w:w="273" w:type="pct"/>
            <w:vMerge w:val="restart"/>
            <w:tcBorders>
              <w:tl2br w:val="nil"/>
              <w:tr2bl w:val="nil"/>
            </w:tcBorders>
            <w:noWrap w:val="0"/>
            <w:vAlign w:val="center"/>
          </w:tcPr>
          <w:p w14:paraId="71AB2587">
            <w:pPr>
              <w:pStyle w:val="12"/>
              <w:bidi w:val="0"/>
              <w:rPr>
                <w:rFonts w:hint="default" w:eastAsia="宋体"/>
                <w:color w:val="auto"/>
                <w:lang w:val="en-US" w:eastAsia="zh-CN"/>
              </w:rPr>
            </w:pPr>
            <w:r>
              <w:rPr>
                <w:rFonts w:hint="eastAsia"/>
                <w:color w:val="auto"/>
              </w:rPr>
              <w:t>0.</w:t>
            </w:r>
            <w:r>
              <w:rPr>
                <w:rFonts w:hint="eastAsia"/>
                <w:color w:val="auto"/>
                <w:lang w:val="en-US" w:eastAsia="zh-CN"/>
              </w:rPr>
              <w:t>78</w:t>
            </w:r>
          </w:p>
        </w:tc>
      </w:tr>
      <w:tr w14:paraId="2F48F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493" w:type="pct"/>
            <w:vMerge w:val="continue"/>
            <w:tcBorders>
              <w:tl2br w:val="nil"/>
              <w:tr2bl w:val="nil"/>
            </w:tcBorders>
            <w:noWrap w:val="0"/>
            <w:vAlign w:val="center"/>
          </w:tcPr>
          <w:p w14:paraId="37214FF0">
            <w:pPr>
              <w:pStyle w:val="12"/>
              <w:bidi w:val="0"/>
              <w:rPr>
                <w:color w:val="auto"/>
              </w:rPr>
            </w:pPr>
          </w:p>
        </w:tc>
        <w:tc>
          <w:tcPr>
            <w:tcW w:w="382" w:type="pct"/>
            <w:tcBorders>
              <w:tl2br w:val="nil"/>
              <w:tr2bl w:val="nil"/>
            </w:tcBorders>
            <w:noWrap w:val="0"/>
            <w:vAlign w:val="center"/>
          </w:tcPr>
          <w:p w14:paraId="70B2A17B">
            <w:pPr>
              <w:pStyle w:val="12"/>
              <w:bidi w:val="0"/>
              <w:rPr>
                <w:color w:val="auto"/>
              </w:rPr>
            </w:pPr>
            <w:r>
              <w:rPr>
                <w:color w:val="auto"/>
              </w:rPr>
              <w:t>H</w:t>
            </w:r>
            <w:r>
              <w:rPr>
                <w:color w:val="auto"/>
                <w:vertAlign w:val="subscript"/>
              </w:rPr>
              <w:t>2</w:t>
            </w:r>
            <w:r>
              <w:rPr>
                <w:color w:val="auto"/>
              </w:rPr>
              <w:t>S</w:t>
            </w:r>
          </w:p>
        </w:tc>
        <w:tc>
          <w:tcPr>
            <w:tcW w:w="401" w:type="pct"/>
            <w:vMerge w:val="continue"/>
            <w:tcBorders>
              <w:tl2br w:val="nil"/>
              <w:tr2bl w:val="nil"/>
            </w:tcBorders>
            <w:noWrap w:val="0"/>
            <w:vAlign w:val="center"/>
          </w:tcPr>
          <w:p w14:paraId="292DB7E5">
            <w:pPr>
              <w:pStyle w:val="12"/>
              <w:bidi w:val="0"/>
              <w:rPr>
                <w:color w:val="auto"/>
              </w:rPr>
            </w:pPr>
          </w:p>
        </w:tc>
        <w:tc>
          <w:tcPr>
            <w:tcW w:w="401" w:type="pct"/>
            <w:vMerge w:val="continue"/>
            <w:tcBorders>
              <w:tl2br w:val="nil"/>
              <w:tr2bl w:val="nil"/>
            </w:tcBorders>
            <w:noWrap w:val="0"/>
            <w:vAlign w:val="center"/>
          </w:tcPr>
          <w:p w14:paraId="2DD95D3E">
            <w:pPr>
              <w:pStyle w:val="12"/>
              <w:bidi w:val="0"/>
              <w:rPr>
                <w:color w:val="auto"/>
              </w:rPr>
            </w:pPr>
          </w:p>
        </w:tc>
        <w:tc>
          <w:tcPr>
            <w:tcW w:w="494" w:type="pct"/>
            <w:vMerge w:val="continue"/>
            <w:tcBorders>
              <w:tl2br w:val="nil"/>
              <w:tr2bl w:val="nil"/>
            </w:tcBorders>
            <w:noWrap w:val="0"/>
            <w:vAlign w:val="center"/>
          </w:tcPr>
          <w:p w14:paraId="56444FDA">
            <w:pPr>
              <w:pStyle w:val="12"/>
              <w:bidi w:val="0"/>
              <w:rPr>
                <w:color w:val="auto"/>
              </w:rPr>
            </w:pPr>
          </w:p>
        </w:tc>
        <w:tc>
          <w:tcPr>
            <w:tcW w:w="527" w:type="pct"/>
            <w:tcBorders>
              <w:tl2br w:val="nil"/>
              <w:tr2bl w:val="nil"/>
            </w:tcBorders>
            <w:noWrap w:val="0"/>
            <w:vAlign w:val="center"/>
          </w:tcPr>
          <w:p w14:paraId="23F61FF6">
            <w:pPr>
              <w:pStyle w:val="12"/>
              <w:bidi w:val="0"/>
              <w:rPr>
                <w:color w:val="auto"/>
              </w:rPr>
            </w:pPr>
            <w:r>
              <w:rPr>
                <w:color w:val="auto"/>
              </w:rPr>
              <w:t>0.000</w:t>
            </w:r>
            <w:r>
              <w:rPr>
                <w:rFonts w:hint="eastAsia"/>
                <w:color w:val="auto"/>
                <w:lang w:val="en-US" w:eastAsia="zh-CN"/>
              </w:rPr>
              <w:t>65</w:t>
            </w:r>
          </w:p>
        </w:tc>
        <w:tc>
          <w:tcPr>
            <w:tcW w:w="678" w:type="pct"/>
            <w:tcBorders>
              <w:tl2br w:val="nil"/>
              <w:tr2bl w:val="nil"/>
            </w:tcBorders>
            <w:noWrap w:val="0"/>
            <w:vAlign w:val="center"/>
          </w:tcPr>
          <w:p w14:paraId="4364955D">
            <w:pPr>
              <w:pStyle w:val="12"/>
              <w:bidi w:val="0"/>
              <w:rPr>
                <w:rFonts w:hint="default" w:eastAsia="宋体"/>
                <w:color w:val="auto"/>
                <w:lang w:val="en-US" w:eastAsia="zh-CN"/>
              </w:rPr>
            </w:pPr>
            <w:r>
              <w:rPr>
                <w:rFonts w:hint="eastAsia"/>
                <w:color w:val="auto"/>
                <w:lang w:val="en-US" w:eastAsia="zh-CN"/>
              </w:rPr>
              <w:t>60</w:t>
            </w:r>
          </w:p>
        </w:tc>
        <w:tc>
          <w:tcPr>
            <w:tcW w:w="472" w:type="pct"/>
            <w:tcBorders>
              <w:tl2br w:val="nil"/>
              <w:tr2bl w:val="nil"/>
            </w:tcBorders>
            <w:noWrap w:val="0"/>
            <w:vAlign w:val="center"/>
          </w:tcPr>
          <w:p w14:paraId="552C68F6">
            <w:pPr>
              <w:pStyle w:val="12"/>
              <w:bidi w:val="0"/>
              <w:rPr>
                <w:color w:val="auto"/>
              </w:rPr>
            </w:pPr>
            <w:r>
              <w:rPr>
                <w:rFonts w:hint="eastAsia"/>
                <w:color w:val="auto"/>
              </w:rPr>
              <w:t>II类</w:t>
            </w:r>
          </w:p>
        </w:tc>
        <w:tc>
          <w:tcPr>
            <w:tcW w:w="270" w:type="pct"/>
            <w:vMerge w:val="continue"/>
            <w:tcBorders>
              <w:tl2br w:val="nil"/>
              <w:tr2bl w:val="nil"/>
            </w:tcBorders>
            <w:noWrap w:val="0"/>
            <w:vAlign w:val="center"/>
          </w:tcPr>
          <w:p w14:paraId="507201E6">
            <w:pPr>
              <w:pStyle w:val="12"/>
              <w:bidi w:val="0"/>
              <w:rPr>
                <w:color w:val="auto"/>
              </w:rPr>
            </w:pPr>
          </w:p>
        </w:tc>
        <w:tc>
          <w:tcPr>
            <w:tcW w:w="331" w:type="pct"/>
            <w:vMerge w:val="continue"/>
            <w:tcBorders>
              <w:tl2br w:val="nil"/>
              <w:tr2bl w:val="nil"/>
            </w:tcBorders>
            <w:noWrap w:val="0"/>
            <w:vAlign w:val="center"/>
          </w:tcPr>
          <w:p w14:paraId="2289F6E4">
            <w:pPr>
              <w:pStyle w:val="12"/>
              <w:bidi w:val="0"/>
              <w:rPr>
                <w:color w:val="auto"/>
              </w:rPr>
            </w:pPr>
          </w:p>
        </w:tc>
        <w:tc>
          <w:tcPr>
            <w:tcW w:w="273" w:type="pct"/>
            <w:vMerge w:val="continue"/>
            <w:tcBorders>
              <w:tl2br w:val="nil"/>
              <w:tr2bl w:val="nil"/>
            </w:tcBorders>
            <w:noWrap w:val="0"/>
            <w:vAlign w:val="center"/>
          </w:tcPr>
          <w:p w14:paraId="768AF4F2">
            <w:pPr>
              <w:pStyle w:val="12"/>
              <w:bidi w:val="0"/>
              <w:rPr>
                <w:color w:val="auto"/>
              </w:rPr>
            </w:pPr>
          </w:p>
        </w:tc>
        <w:tc>
          <w:tcPr>
            <w:tcW w:w="273" w:type="pct"/>
            <w:vMerge w:val="continue"/>
            <w:tcBorders>
              <w:tl2br w:val="nil"/>
              <w:tr2bl w:val="nil"/>
            </w:tcBorders>
            <w:noWrap w:val="0"/>
            <w:vAlign w:val="center"/>
          </w:tcPr>
          <w:p w14:paraId="3A1B624A">
            <w:pPr>
              <w:pStyle w:val="12"/>
              <w:bidi w:val="0"/>
              <w:rPr>
                <w:color w:val="auto"/>
              </w:rPr>
            </w:pPr>
          </w:p>
        </w:tc>
      </w:tr>
    </w:tbl>
    <w:p w14:paraId="728DDF00">
      <w:pPr>
        <w:pStyle w:val="15"/>
        <w:numPr>
          <w:ilvl w:val="0"/>
          <w:numId w:val="31"/>
        </w:numPr>
        <w:bidi w:val="0"/>
        <w:ind w:left="0" w:leftChars="0" w:firstLine="0" w:firstLineChars="0"/>
        <w:rPr>
          <w:color w:val="auto"/>
        </w:rPr>
      </w:pPr>
      <w:r>
        <w:rPr>
          <w:color w:val="auto"/>
        </w:rPr>
        <w:t>项目卫生防护距离计算结果表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57" w:type="dxa"/>
          <w:bottom w:w="0" w:type="dxa"/>
          <w:right w:w="57" w:type="dxa"/>
        </w:tblCellMar>
      </w:tblPr>
      <w:tblGrid>
        <w:gridCol w:w="2078"/>
        <w:gridCol w:w="1099"/>
        <w:gridCol w:w="2209"/>
        <w:gridCol w:w="1421"/>
        <w:gridCol w:w="2037"/>
      </w:tblGrid>
      <w:tr w14:paraId="01248B4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1174" w:type="pct"/>
            <w:tcBorders>
              <w:tl2br w:val="nil"/>
              <w:tr2bl w:val="nil"/>
            </w:tcBorders>
            <w:noWrap w:val="0"/>
            <w:vAlign w:val="center"/>
          </w:tcPr>
          <w:p w14:paraId="37A01E7B">
            <w:pPr>
              <w:pageBreakBefore w:val="0"/>
              <w:wordWrap/>
              <w:bidi w:val="0"/>
              <w:adjustRightInd/>
              <w:snapToGrid/>
              <w:spacing w:line="220" w:lineRule="exact"/>
              <w:ind w:firstLine="0" w:firstLineChars="0"/>
              <w:jc w:val="center"/>
              <w:rPr>
                <w:b/>
                <w:bCs w:val="0"/>
                <w:color w:val="auto"/>
                <w:sz w:val="21"/>
                <w:szCs w:val="21"/>
              </w:rPr>
            </w:pPr>
            <w:r>
              <w:rPr>
                <w:b/>
                <w:bCs w:val="0"/>
                <w:color w:val="auto"/>
                <w:sz w:val="21"/>
                <w:szCs w:val="21"/>
              </w:rPr>
              <w:t>装置区</w:t>
            </w:r>
          </w:p>
        </w:tc>
        <w:tc>
          <w:tcPr>
            <w:tcW w:w="621" w:type="pct"/>
            <w:tcBorders>
              <w:tl2br w:val="nil"/>
              <w:tr2bl w:val="nil"/>
            </w:tcBorders>
            <w:noWrap w:val="0"/>
            <w:vAlign w:val="center"/>
          </w:tcPr>
          <w:p w14:paraId="23E25416">
            <w:pPr>
              <w:pageBreakBefore w:val="0"/>
              <w:wordWrap/>
              <w:bidi w:val="0"/>
              <w:adjustRightInd/>
              <w:snapToGrid/>
              <w:spacing w:line="220" w:lineRule="exact"/>
              <w:ind w:firstLine="0" w:firstLineChars="0"/>
              <w:jc w:val="center"/>
              <w:rPr>
                <w:b/>
                <w:bCs w:val="0"/>
                <w:color w:val="auto"/>
                <w:sz w:val="21"/>
                <w:szCs w:val="21"/>
              </w:rPr>
            </w:pPr>
            <w:r>
              <w:rPr>
                <w:b/>
                <w:bCs w:val="0"/>
                <w:color w:val="auto"/>
                <w:sz w:val="21"/>
                <w:szCs w:val="21"/>
              </w:rPr>
              <w:t>污染物</w:t>
            </w:r>
          </w:p>
        </w:tc>
        <w:tc>
          <w:tcPr>
            <w:tcW w:w="1248" w:type="pct"/>
            <w:tcBorders>
              <w:tl2br w:val="nil"/>
              <w:tr2bl w:val="nil"/>
            </w:tcBorders>
            <w:noWrap w:val="0"/>
            <w:vAlign w:val="center"/>
          </w:tcPr>
          <w:p w14:paraId="35A63872">
            <w:pPr>
              <w:pageBreakBefore w:val="0"/>
              <w:wordWrap/>
              <w:bidi w:val="0"/>
              <w:adjustRightInd/>
              <w:snapToGrid/>
              <w:spacing w:line="220" w:lineRule="exact"/>
              <w:ind w:firstLine="0" w:firstLineChars="0"/>
              <w:jc w:val="center"/>
              <w:rPr>
                <w:rFonts w:hint="eastAsia" w:eastAsia="宋体"/>
                <w:b/>
                <w:bCs w:val="0"/>
                <w:color w:val="auto"/>
                <w:sz w:val="21"/>
                <w:szCs w:val="21"/>
                <w:lang w:eastAsia="zh-CN"/>
              </w:rPr>
            </w:pPr>
            <w:r>
              <w:rPr>
                <w:b/>
                <w:bCs w:val="0"/>
                <w:color w:val="auto"/>
                <w:sz w:val="21"/>
                <w:szCs w:val="21"/>
              </w:rPr>
              <w:t>计算卫生防护距离</w:t>
            </w:r>
            <w:r>
              <w:rPr>
                <w:rFonts w:hint="eastAsia"/>
                <w:b/>
                <w:bCs w:val="0"/>
                <w:iCs/>
                <w:color w:val="auto"/>
                <w:sz w:val="21"/>
                <w:szCs w:val="21"/>
                <w:lang w:eastAsia="zh-CN"/>
              </w:rPr>
              <w:t>（</w:t>
            </w:r>
            <w:r>
              <w:rPr>
                <w:b/>
                <w:bCs w:val="0"/>
                <w:iCs/>
                <w:color w:val="auto"/>
                <w:sz w:val="21"/>
                <w:szCs w:val="21"/>
              </w:rPr>
              <w:t>m</w:t>
            </w:r>
            <w:r>
              <w:rPr>
                <w:rFonts w:hint="eastAsia"/>
                <w:b/>
                <w:bCs w:val="0"/>
                <w:iCs/>
                <w:color w:val="auto"/>
                <w:sz w:val="21"/>
                <w:szCs w:val="21"/>
                <w:lang w:eastAsia="zh-CN"/>
              </w:rPr>
              <w:t>）</w:t>
            </w:r>
          </w:p>
        </w:tc>
        <w:tc>
          <w:tcPr>
            <w:tcW w:w="803" w:type="pct"/>
            <w:tcBorders>
              <w:tl2br w:val="nil"/>
              <w:tr2bl w:val="nil"/>
            </w:tcBorders>
            <w:noWrap w:val="0"/>
            <w:vAlign w:val="center"/>
          </w:tcPr>
          <w:p w14:paraId="0011B148">
            <w:pPr>
              <w:pageBreakBefore w:val="0"/>
              <w:widowControl/>
              <w:wordWrap/>
              <w:bidi w:val="0"/>
              <w:adjustRightInd/>
              <w:snapToGrid/>
              <w:spacing w:line="240" w:lineRule="auto"/>
              <w:ind w:firstLine="0" w:firstLineChars="0"/>
              <w:jc w:val="center"/>
              <w:rPr>
                <w:b/>
                <w:bCs w:val="0"/>
                <w:color w:val="auto"/>
                <w:sz w:val="21"/>
                <w:szCs w:val="21"/>
              </w:rPr>
            </w:pPr>
            <w:r>
              <w:rPr>
                <w:b/>
                <w:bCs w:val="0"/>
                <w:color w:val="auto"/>
                <w:sz w:val="21"/>
                <w:szCs w:val="21"/>
              </w:rPr>
              <w:t>按级差划定</w:t>
            </w:r>
          </w:p>
        </w:tc>
        <w:tc>
          <w:tcPr>
            <w:tcW w:w="1151" w:type="pct"/>
            <w:tcBorders>
              <w:tl2br w:val="nil"/>
              <w:tr2bl w:val="nil"/>
            </w:tcBorders>
            <w:noWrap w:val="0"/>
            <w:vAlign w:val="center"/>
          </w:tcPr>
          <w:p w14:paraId="23EF7A6E">
            <w:pPr>
              <w:pageBreakBefore w:val="0"/>
              <w:widowControl/>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卫生防护距离</w:t>
            </w:r>
            <w:r>
              <w:rPr>
                <w:rFonts w:hint="eastAsia"/>
                <w:b/>
                <w:bCs w:val="0"/>
                <w:iCs/>
                <w:color w:val="auto"/>
                <w:sz w:val="21"/>
                <w:szCs w:val="21"/>
                <w:lang w:eastAsia="zh-CN"/>
              </w:rPr>
              <w:t>（</w:t>
            </w:r>
            <w:r>
              <w:rPr>
                <w:b/>
                <w:bCs w:val="0"/>
                <w:iCs/>
                <w:color w:val="auto"/>
                <w:sz w:val="21"/>
                <w:szCs w:val="21"/>
              </w:rPr>
              <w:t>m</w:t>
            </w:r>
            <w:r>
              <w:rPr>
                <w:rFonts w:hint="eastAsia"/>
                <w:b/>
                <w:bCs w:val="0"/>
                <w:iCs/>
                <w:color w:val="auto"/>
                <w:sz w:val="21"/>
                <w:szCs w:val="21"/>
                <w:lang w:eastAsia="zh-CN"/>
              </w:rPr>
              <w:t>）</w:t>
            </w:r>
          </w:p>
        </w:tc>
      </w:tr>
      <w:tr w14:paraId="2C8A15D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1174" w:type="pct"/>
            <w:vMerge w:val="restart"/>
            <w:tcBorders>
              <w:tl2br w:val="nil"/>
              <w:tr2bl w:val="nil"/>
            </w:tcBorders>
            <w:noWrap w:val="0"/>
            <w:vAlign w:val="center"/>
          </w:tcPr>
          <w:p w14:paraId="12679652">
            <w:pPr>
              <w:pageBreakBefore w:val="0"/>
              <w:wordWrap/>
              <w:bidi w:val="0"/>
              <w:adjustRightInd/>
              <w:snapToGrid/>
              <w:spacing w:line="220" w:lineRule="exact"/>
              <w:ind w:firstLine="0" w:firstLineChars="0"/>
              <w:jc w:val="center"/>
              <w:rPr>
                <w:bCs/>
                <w:color w:val="auto"/>
                <w:sz w:val="21"/>
                <w:szCs w:val="21"/>
              </w:rPr>
            </w:pPr>
            <w:r>
              <w:rPr>
                <w:bCs/>
                <w:color w:val="auto"/>
                <w:sz w:val="21"/>
                <w:szCs w:val="21"/>
              </w:rPr>
              <w:t>污水预处理区</w:t>
            </w:r>
          </w:p>
        </w:tc>
        <w:tc>
          <w:tcPr>
            <w:tcW w:w="621" w:type="pct"/>
            <w:tcBorders>
              <w:tl2br w:val="nil"/>
              <w:tr2bl w:val="nil"/>
            </w:tcBorders>
            <w:noWrap w:val="0"/>
            <w:vAlign w:val="center"/>
          </w:tcPr>
          <w:p w14:paraId="00B91CA1">
            <w:pPr>
              <w:pageBreakBefore w:val="0"/>
              <w:wordWrap/>
              <w:bidi w:val="0"/>
              <w:adjustRightInd/>
              <w:snapToGrid/>
              <w:spacing w:line="220" w:lineRule="exact"/>
              <w:ind w:firstLine="0" w:firstLineChars="0"/>
              <w:jc w:val="center"/>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31191569">
            <w:pPr>
              <w:pageBreakBefore w:val="0"/>
              <w:wordWrap/>
              <w:bidi w:val="0"/>
              <w:adjustRightInd/>
              <w:snapToGrid/>
              <w:spacing w:line="2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0.34</w:t>
            </w:r>
          </w:p>
        </w:tc>
        <w:tc>
          <w:tcPr>
            <w:tcW w:w="803" w:type="pct"/>
            <w:tcBorders>
              <w:tl2br w:val="nil"/>
              <w:tr2bl w:val="nil"/>
            </w:tcBorders>
            <w:noWrap w:val="0"/>
            <w:vAlign w:val="center"/>
          </w:tcPr>
          <w:p w14:paraId="5C33BDC5">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restart"/>
            <w:tcBorders>
              <w:tl2br w:val="nil"/>
              <w:tr2bl w:val="nil"/>
            </w:tcBorders>
            <w:noWrap w:val="0"/>
            <w:vAlign w:val="center"/>
          </w:tcPr>
          <w:p w14:paraId="7011E23C">
            <w:pPr>
              <w:pageBreakBefore w:val="0"/>
              <w:wordWrap/>
              <w:bidi w:val="0"/>
              <w:adjustRightInd/>
              <w:snapToGrid/>
              <w:spacing w:line="260" w:lineRule="exact"/>
              <w:ind w:firstLine="0" w:firstLineChars="0"/>
              <w:jc w:val="center"/>
              <w:rPr>
                <w:color w:val="auto"/>
                <w:sz w:val="21"/>
                <w:szCs w:val="21"/>
              </w:rPr>
            </w:pPr>
            <w:r>
              <w:rPr>
                <w:color w:val="auto"/>
                <w:sz w:val="21"/>
                <w:szCs w:val="21"/>
              </w:rPr>
              <w:t>100</w:t>
            </w:r>
          </w:p>
        </w:tc>
      </w:tr>
      <w:tr w14:paraId="585BCC9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1174" w:type="pct"/>
            <w:vMerge w:val="continue"/>
            <w:tcBorders>
              <w:tl2br w:val="nil"/>
              <w:tr2bl w:val="nil"/>
            </w:tcBorders>
            <w:noWrap w:val="0"/>
            <w:vAlign w:val="center"/>
          </w:tcPr>
          <w:p w14:paraId="1F5ABDF0">
            <w:pPr>
              <w:pageBreakBefore w:val="0"/>
              <w:wordWrap/>
              <w:bidi w:val="0"/>
              <w:adjustRightInd/>
              <w:snapToGrid/>
              <w:spacing w:line="220" w:lineRule="exact"/>
              <w:ind w:firstLine="0" w:firstLineChars="0"/>
              <w:jc w:val="center"/>
              <w:rPr>
                <w:bCs/>
                <w:color w:val="auto"/>
                <w:sz w:val="21"/>
                <w:szCs w:val="21"/>
              </w:rPr>
            </w:pPr>
          </w:p>
        </w:tc>
        <w:tc>
          <w:tcPr>
            <w:tcW w:w="621" w:type="pct"/>
            <w:tcBorders>
              <w:tl2br w:val="nil"/>
              <w:tr2bl w:val="nil"/>
            </w:tcBorders>
            <w:noWrap w:val="0"/>
            <w:vAlign w:val="center"/>
          </w:tcPr>
          <w:p w14:paraId="0115CE02">
            <w:pPr>
              <w:pageBreakBefore w:val="0"/>
              <w:wordWrap/>
              <w:bidi w:val="0"/>
              <w:adjustRightInd/>
              <w:snapToGrid/>
              <w:spacing w:line="220" w:lineRule="exact"/>
              <w:ind w:firstLine="0" w:firstLineChars="0"/>
              <w:jc w:val="center"/>
              <w:rPr>
                <w:bCs/>
                <w:color w:val="auto"/>
                <w:sz w:val="21"/>
                <w:szCs w:val="21"/>
              </w:rPr>
            </w:pPr>
            <w:r>
              <w:rPr>
                <w:bCs/>
                <w:color w:val="auto"/>
                <w:sz w:val="21"/>
                <w:szCs w:val="21"/>
              </w:rPr>
              <w:t>H</w:t>
            </w:r>
            <w:r>
              <w:rPr>
                <w:bCs/>
                <w:color w:val="auto"/>
                <w:sz w:val="21"/>
                <w:szCs w:val="21"/>
                <w:vertAlign w:val="subscript"/>
              </w:rPr>
              <w:t>2</w:t>
            </w:r>
            <w:r>
              <w:rPr>
                <w:bCs/>
                <w:color w:val="auto"/>
                <w:sz w:val="21"/>
                <w:szCs w:val="21"/>
              </w:rPr>
              <w:t>S</w:t>
            </w:r>
          </w:p>
        </w:tc>
        <w:tc>
          <w:tcPr>
            <w:tcW w:w="1248" w:type="pct"/>
            <w:tcBorders>
              <w:tl2br w:val="nil"/>
              <w:tr2bl w:val="nil"/>
            </w:tcBorders>
            <w:noWrap w:val="0"/>
            <w:vAlign w:val="center"/>
          </w:tcPr>
          <w:p w14:paraId="7FF6A4BB">
            <w:pPr>
              <w:pageBreakBefore w:val="0"/>
              <w:wordWrap/>
              <w:bidi w:val="0"/>
              <w:adjustRightInd/>
              <w:snapToGrid/>
              <w:spacing w:line="2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0.086</w:t>
            </w:r>
          </w:p>
        </w:tc>
        <w:tc>
          <w:tcPr>
            <w:tcW w:w="803" w:type="pct"/>
            <w:tcBorders>
              <w:tl2br w:val="nil"/>
              <w:tr2bl w:val="nil"/>
            </w:tcBorders>
            <w:noWrap w:val="0"/>
            <w:vAlign w:val="center"/>
          </w:tcPr>
          <w:p w14:paraId="5F9888D3">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1FA90E83">
            <w:pPr>
              <w:pageBreakBefore w:val="0"/>
              <w:wordWrap/>
              <w:bidi w:val="0"/>
              <w:adjustRightInd/>
              <w:snapToGrid/>
              <w:spacing w:line="260" w:lineRule="exact"/>
              <w:ind w:firstLine="0" w:firstLineChars="0"/>
              <w:jc w:val="center"/>
              <w:rPr>
                <w:color w:val="auto"/>
                <w:sz w:val="21"/>
                <w:szCs w:val="21"/>
              </w:rPr>
            </w:pPr>
          </w:p>
        </w:tc>
      </w:tr>
    </w:tbl>
    <w:p w14:paraId="309091B0">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eastAsia="宋体"/>
          <w:color w:val="auto"/>
          <w:lang w:eastAsia="zh-CN"/>
        </w:rPr>
      </w:pPr>
      <w:r>
        <w:rPr>
          <w:rFonts w:hint="eastAsia"/>
          <w:color w:val="auto"/>
        </w:rPr>
        <w:t>经计算，项目污水无组织排放</w:t>
      </w:r>
      <w:r>
        <w:rPr>
          <w:color w:val="auto"/>
        </w:rPr>
        <w:t>NH</w:t>
      </w:r>
      <w:r>
        <w:rPr>
          <w:color w:val="auto"/>
          <w:vertAlign w:val="subscript"/>
        </w:rPr>
        <w:t>3</w:t>
      </w:r>
      <w:r>
        <w:rPr>
          <w:rFonts w:hint="eastAsia"/>
          <w:color w:val="auto"/>
        </w:rPr>
        <w:t>所需卫生防护距离为</w:t>
      </w:r>
      <w:r>
        <w:rPr>
          <w:rFonts w:hint="eastAsia"/>
          <w:color w:val="auto"/>
          <w:lang w:val="en-US" w:eastAsia="zh-CN"/>
        </w:rPr>
        <w:t>0.34</w:t>
      </w:r>
      <w:r>
        <w:rPr>
          <w:rFonts w:hint="eastAsia"/>
          <w:color w:val="auto"/>
        </w:rPr>
        <w:t>m，</w:t>
      </w:r>
      <w:r>
        <w:rPr>
          <w:color w:val="auto"/>
        </w:rPr>
        <w:t>H</w:t>
      </w:r>
      <w:r>
        <w:rPr>
          <w:color w:val="auto"/>
          <w:vertAlign w:val="subscript"/>
        </w:rPr>
        <w:t>2</w:t>
      </w:r>
      <w:r>
        <w:rPr>
          <w:color w:val="auto"/>
        </w:rPr>
        <w:t>S</w:t>
      </w:r>
      <w:r>
        <w:rPr>
          <w:rFonts w:hint="eastAsia"/>
          <w:color w:val="auto"/>
        </w:rPr>
        <w:t>所需卫生防护距离为</w:t>
      </w:r>
      <w:r>
        <w:rPr>
          <w:rFonts w:hint="eastAsia"/>
          <w:color w:val="auto"/>
          <w:lang w:val="en-US" w:eastAsia="zh-CN"/>
        </w:rPr>
        <w:t>0.086</w:t>
      </w:r>
      <w:r>
        <w:rPr>
          <w:rFonts w:hint="eastAsia"/>
          <w:color w:val="auto"/>
        </w:rPr>
        <w:t>m</w:t>
      </w:r>
      <w:r>
        <w:rPr>
          <w:rFonts w:hint="eastAsia"/>
          <w:color w:val="auto"/>
          <w:lang w:eastAsia="zh-CN"/>
        </w:rPr>
        <w:t>。</w:t>
      </w:r>
    </w:p>
    <w:p w14:paraId="04DBEA7C">
      <w:pPr>
        <w:bidi w:val="0"/>
        <w:rPr>
          <w:color w:val="auto"/>
          <w:szCs w:val="32"/>
        </w:rPr>
      </w:pPr>
      <w:r>
        <w:rPr>
          <w:color w:val="auto"/>
          <w:szCs w:val="32"/>
        </w:rPr>
        <w:t>根据</w:t>
      </w:r>
      <w:r>
        <w:rPr>
          <w:rFonts w:hint="eastAsia"/>
          <w:color w:val="auto"/>
          <w:szCs w:val="32"/>
        </w:rPr>
        <w:t>《大气有害物质无组织排放卫生防护距离推导技术导则（GB/T39499-2020）》</w:t>
      </w:r>
      <w:r>
        <w:rPr>
          <w:color w:val="auto"/>
          <w:szCs w:val="32"/>
        </w:rPr>
        <w:t>的有关规定</w:t>
      </w:r>
      <w:r>
        <w:rPr>
          <w:rFonts w:hint="eastAsia"/>
          <w:color w:val="auto"/>
          <w:szCs w:val="32"/>
        </w:rPr>
        <w:t>：不同行业及生产工艺产生无组织排放的特征大气有害物质差别较大。在选取特征大气有害物质时，应首先考虑其对人体健康损害毒性特点，并根据目标行业企业的产品产量及其原辅材料、工艺特征、中间产物、产排污特点等具体情况，确定单个大气有害物质的无组织排放量及等标排放量</w:t>
      </w:r>
      <w:r>
        <w:rPr>
          <w:rFonts w:hint="eastAsia"/>
          <w:color w:val="auto"/>
          <w:szCs w:val="32"/>
          <w:lang w:eastAsia="zh-CN"/>
        </w:rPr>
        <w:t>（</w:t>
      </w:r>
      <w:r>
        <w:rPr>
          <w:rFonts w:hint="eastAsia"/>
          <w:color w:val="auto"/>
          <w:szCs w:val="32"/>
        </w:rPr>
        <w:t>Q</w:t>
      </w:r>
      <w:r>
        <w:rPr>
          <w:rFonts w:hint="eastAsia"/>
          <w:color w:val="auto"/>
          <w:szCs w:val="32"/>
          <w:vertAlign w:val="subscript"/>
        </w:rPr>
        <w:t>c</w:t>
      </w:r>
      <w:r>
        <w:rPr>
          <w:rFonts w:hint="eastAsia"/>
          <w:color w:val="auto"/>
          <w:szCs w:val="32"/>
        </w:rPr>
        <w:t>/cm</w:t>
      </w:r>
      <w:r>
        <w:rPr>
          <w:rFonts w:hint="eastAsia"/>
          <w:color w:val="auto"/>
          <w:szCs w:val="32"/>
          <w:lang w:eastAsia="zh-CN"/>
        </w:rPr>
        <w:t>）</w:t>
      </w:r>
      <w:r>
        <w:rPr>
          <w:rFonts w:hint="eastAsia"/>
          <w:color w:val="auto"/>
          <w:szCs w:val="32"/>
        </w:rPr>
        <w:t>，最终确定卫生防护距离相关的主要特征大气有害物质1种</w:t>
      </w:r>
      <w:r>
        <w:rPr>
          <w:rFonts w:hint="eastAsia"/>
          <w:color w:val="auto"/>
          <w:szCs w:val="32"/>
          <w:lang w:eastAsia="zh-CN"/>
        </w:rPr>
        <w:t>～</w:t>
      </w:r>
      <w:r>
        <w:rPr>
          <w:rFonts w:hint="eastAsia"/>
          <w:color w:val="auto"/>
          <w:szCs w:val="32"/>
        </w:rPr>
        <w:t>2种。</w:t>
      </w:r>
    </w:p>
    <w:p w14:paraId="5F6F1678">
      <w:pPr>
        <w:ind w:firstLine="480"/>
        <w:rPr>
          <w:color w:val="auto"/>
          <w:szCs w:val="32"/>
        </w:rPr>
      </w:pPr>
      <w:r>
        <w:rPr>
          <w:rFonts w:hint="eastAsia"/>
          <w:color w:val="auto"/>
          <w:szCs w:val="32"/>
        </w:rPr>
        <w:t>等标排放量计算公式如下：P</w:t>
      </w:r>
      <w:r>
        <w:rPr>
          <w:rFonts w:hint="eastAsia"/>
          <w:color w:val="auto"/>
          <w:szCs w:val="32"/>
          <w:vertAlign w:val="subscript"/>
        </w:rPr>
        <w:t>i</w:t>
      </w:r>
      <w:r>
        <w:rPr>
          <w:rFonts w:hint="eastAsia"/>
          <w:color w:val="auto"/>
          <w:szCs w:val="32"/>
        </w:rPr>
        <w:t>=Q</w:t>
      </w:r>
      <w:r>
        <w:rPr>
          <w:rFonts w:hint="eastAsia"/>
          <w:color w:val="auto"/>
          <w:szCs w:val="32"/>
          <w:vertAlign w:val="subscript"/>
        </w:rPr>
        <w:t>i</w:t>
      </w:r>
      <w:r>
        <w:rPr>
          <w:rFonts w:hint="eastAsia"/>
          <w:color w:val="auto"/>
          <w:szCs w:val="32"/>
        </w:rPr>
        <w:t>/C</w:t>
      </w:r>
      <w:r>
        <w:rPr>
          <w:rFonts w:hint="eastAsia"/>
          <w:color w:val="auto"/>
          <w:szCs w:val="32"/>
          <w:vertAlign w:val="subscript"/>
        </w:rPr>
        <w:t>oi</w:t>
      </w:r>
      <w:r>
        <w:rPr>
          <w:rFonts w:hint="eastAsia"/>
          <w:color w:val="auto"/>
          <w:szCs w:val="32"/>
        </w:rPr>
        <w:t>╳10</w:t>
      </w:r>
      <w:r>
        <w:rPr>
          <w:rFonts w:hint="eastAsia"/>
          <w:color w:val="auto"/>
          <w:szCs w:val="32"/>
          <w:vertAlign w:val="superscript"/>
        </w:rPr>
        <w:t>9</w:t>
      </w:r>
    </w:p>
    <w:p w14:paraId="151DA071">
      <w:pPr>
        <w:ind w:firstLine="480"/>
        <w:rPr>
          <w:color w:val="auto"/>
          <w:szCs w:val="32"/>
        </w:rPr>
      </w:pPr>
      <w:r>
        <w:rPr>
          <w:rFonts w:hint="eastAsia"/>
          <w:color w:val="auto"/>
          <w:szCs w:val="32"/>
        </w:rPr>
        <w:t>式中，P</w:t>
      </w:r>
      <w:r>
        <w:rPr>
          <w:rFonts w:hint="eastAsia"/>
          <w:color w:val="auto"/>
          <w:szCs w:val="32"/>
          <w:vertAlign w:val="subscript"/>
        </w:rPr>
        <w:t>i</w:t>
      </w:r>
      <w:r>
        <w:rPr>
          <w:rFonts w:hint="eastAsia"/>
          <w:color w:val="auto"/>
          <w:szCs w:val="32"/>
        </w:rPr>
        <w:t>——评价等级判别参数</w:t>
      </w:r>
      <w:r>
        <w:rPr>
          <w:rFonts w:hint="eastAsia"/>
          <w:color w:val="auto"/>
          <w:szCs w:val="32"/>
          <w:lang w:eastAsia="zh-CN"/>
        </w:rPr>
        <w:t>，</w:t>
      </w:r>
      <w:r>
        <w:rPr>
          <w:rFonts w:hint="eastAsia"/>
          <w:color w:val="auto"/>
          <w:szCs w:val="32"/>
        </w:rPr>
        <w:t>即通常所谓的等标排放量，</w:t>
      </w:r>
      <w:r>
        <w:rPr>
          <w:rFonts w:hint="eastAsia"/>
          <w:color w:val="auto"/>
          <w:szCs w:val="32"/>
          <w:lang w:eastAsia="zh-CN"/>
        </w:rPr>
        <w:t>m³</w:t>
      </w:r>
      <w:r>
        <w:rPr>
          <w:rFonts w:hint="eastAsia"/>
          <w:color w:val="auto"/>
          <w:szCs w:val="32"/>
        </w:rPr>
        <w:t>/h；</w:t>
      </w:r>
    </w:p>
    <w:p w14:paraId="300E7E6D">
      <w:pPr>
        <w:ind w:firstLine="1200" w:firstLineChars="500"/>
        <w:rPr>
          <w:color w:val="auto"/>
          <w:szCs w:val="32"/>
        </w:rPr>
      </w:pPr>
      <w:r>
        <w:rPr>
          <w:rFonts w:hint="eastAsia"/>
          <w:color w:val="auto"/>
          <w:szCs w:val="32"/>
        </w:rPr>
        <w:t>Q</w:t>
      </w:r>
      <w:r>
        <w:rPr>
          <w:rFonts w:hint="eastAsia"/>
          <w:color w:val="auto"/>
          <w:szCs w:val="32"/>
          <w:vertAlign w:val="subscript"/>
        </w:rPr>
        <w:t>i</w:t>
      </w:r>
      <w:r>
        <w:rPr>
          <w:rFonts w:hint="eastAsia"/>
          <w:color w:val="auto"/>
          <w:szCs w:val="32"/>
        </w:rPr>
        <w:t>——单位时间的排放量，t/h；</w:t>
      </w:r>
    </w:p>
    <w:p w14:paraId="2D4DA2CF">
      <w:pPr>
        <w:ind w:firstLine="1200" w:firstLineChars="500"/>
        <w:rPr>
          <w:color w:val="auto"/>
          <w:szCs w:val="32"/>
        </w:rPr>
      </w:pPr>
      <w:r>
        <w:rPr>
          <w:rFonts w:hint="eastAsia"/>
          <w:color w:val="auto"/>
          <w:szCs w:val="32"/>
        </w:rPr>
        <w:t>C</w:t>
      </w:r>
      <w:r>
        <w:rPr>
          <w:rFonts w:hint="eastAsia"/>
          <w:color w:val="auto"/>
          <w:szCs w:val="32"/>
          <w:vertAlign w:val="subscript"/>
        </w:rPr>
        <w:t>oi</w:t>
      </w:r>
      <w:r>
        <w:rPr>
          <w:rFonts w:hint="eastAsia"/>
          <w:color w:val="auto"/>
          <w:szCs w:val="32"/>
        </w:rPr>
        <w:t>——环境空气质量标准，mg/</w:t>
      </w:r>
      <w:r>
        <w:rPr>
          <w:rFonts w:hint="eastAsia"/>
          <w:color w:val="auto"/>
          <w:szCs w:val="32"/>
          <w:lang w:eastAsia="zh-CN"/>
        </w:rPr>
        <w:t>m³</w:t>
      </w:r>
      <w:r>
        <w:rPr>
          <w:rFonts w:hint="eastAsia"/>
          <w:color w:val="auto"/>
          <w:szCs w:val="32"/>
        </w:rPr>
        <w:t>。</w:t>
      </w:r>
    </w:p>
    <w:p w14:paraId="5A94AE75">
      <w:pPr>
        <w:ind w:firstLine="480"/>
        <w:rPr>
          <w:color w:val="auto"/>
        </w:rPr>
      </w:pPr>
      <w:r>
        <w:rPr>
          <w:rFonts w:hint="eastAsia"/>
          <w:color w:val="auto"/>
          <w:szCs w:val="32"/>
        </w:rPr>
        <w:t>根据以上公式，本项目污染物为</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lang w:val="en-US" w:eastAsia="zh-CN"/>
        </w:rPr>
        <w:t>、H</w:t>
      </w:r>
      <w:r>
        <w:rPr>
          <w:rFonts w:hint="eastAsia"/>
          <w:color w:val="auto"/>
          <w:szCs w:val="32"/>
          <w:vertAlign w:val="subscript"/>
          <w:lang w:val="en-US" w:eastAsia="zh-CN"/>
        </w:rPr>
        <w:t>2</w:t>
      </w:r>
      <w:r>
        <w:rPr>
          <w:rFonts w:hint="eastAsia"/>
          <w:color w:val="auto"/>
          <w:szCs w:val="32"/>
          <w:lang w:val="en-US" w:eastAsia="zh-CN"/>
        </w:rPr>
        <w:t>S</w:t>
      </w:r>
      <w:r>
        <w:rPr>
          <w:rFonts w:hint="eastAsia"/>
          <w:color w:val="auto"/>
          <w:szCs w:val="32"/>
        </w:rPr>
        <w:t>，计算得出的等标排放量分别为</w:t>
      </w:r>
      <w:r>
        <w:rPr>
          <w:rFonts w:hint="eastAsia"/>
          <w:color w:val="auto"/>
          <w:szCs w:val="32"/>
          <w:lang w:val="en-US" w:eastAsia="zh-CN"/>
        </w:rPr>
        <w:t>37500</w:t>
      </w:r>
      <w:r>
        <w:rPr>
          <w:rFonts w:hint="eastAsia"/>
          <w:color w:val="auto"/>
          <w:szCs w:val="32"/>
          <w:lang w:eastAsia="zh-CN"/>
        </w:rPr>
        <w:t>m³</w:t>
      </w:r>
      <w:r>
        <w:rPr>
          <w:rFonts w:hint="eastAsia"/>
          <w:color w:val="auto"/>
          <w:szCs w:val="32"/>
        </w:rPr>
        <w:t>/h、</w:t>
      </w:r>
      <w:r>
        <w:rPr>
          <w:rFonts w:hint="eastAsia"/>
          <w:color w:val="auto"/>
          <w:szCs w:val="32"/>
          <w:lang w:val="en-US" w:eastAsia="zh-CN"/>
        </w:rPr>
        <w:t>10833</w:t>
      </w:r>
      <w:r>
        <w:rPr>
          <w:rFonts w:hint="eastAsia"/>
          <w:color w:val="auto"/>
          <w:szCs w:val="32"/>
          <w:lang w:eastAsia="zh-CN"/>
        </w:rPr>
        <w:t>m³</w:t>
      </w:r>
      <w:r>
        <w:rPr>
          <w:rFonts w:hint="eastAsia"/>
          <w:color w:val="auto"/>
          <w:szCs w:val="32"/>
        </w:rPr>
        <w:t>/h，则本项目主要污染物为</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lang w:val="en-US" w:eastAsia="zh-CN"/>
        </w:rPr>
        <w:t>、H</w:t>
      </w:r>
      <w:r>
        <w:rPr>
          <w:rFonts w:hint="eastAsia"/>
          <w:color w:val="auto"/>
          <w:szCs w:val="32"/>
          <w:vertAlign w:val="subscript"/>
          <w:lang w:val="en-US" w:eastAsia="zh-CN"/>
        </w:rPr>
        <w:t>2</w:t>
      </w:r>
      <w:r>
        <w:rPr>
          <w:rFonts w:hint="eastAsia"/>
          <w:color w:val="auto"/>
          <w:szCs w:val="32"/>
          <w:lang w:val="en-US" w:eastAsia="zh-CN"/>
        </w:rPr>
        <w:t>S</w:t>
      </w:r>
      <w:r>
        <w:rPr>
          <w:rFonts w:hint="eastAsia"/>
          <w:color w:val="auto"/>
          <w:szCs w:val="32"/>
        </w:rPr>
        <w:t>，这两种污染物的等标排放量相差大于10%，则本项目按照</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rPr>
        <w:t>来核算本项目卫生防护距离。</w:t>
      </w:r>
    </w:p>
    <w:p w14:paraId="01101527">
      <w:pPr>
        <w:pageBreakBefore w:val="0"/>
        <w:wordWrap/>
        <w:bidi w:val="0"/>
        <w:adjustRightInd/>
        <w:snapToGrid/>
        <w:ind w:firstLine="482"/>
        <w:rPr>
          <w:color w:val="auto"/>
        </w:rPr>
      </w:pPr>
      <w:r>
        <w:rPr>
          <w:b/>
          <w:color w:val="auto"/>
        </w:rPr>
        <w:t>因此，本</w:t>
      </w:r>
      <w:r>
        <w:rPr>
          <w:b/>
          <w:bCs/>
          <w:color w:val="auto"/>
        </w:rPr>
        <w:t>项目分别以污水处理</w:t>
      </w:r>
      <w:r>
        <w:rPr>
          <w:rFonts w:hint="eastAsia"/>
          <w:b/>
          <w:bCs/>
          <w:color w:val="auto"/>
        </w:rPr>
        <w:t>区</w:t>
      </w:r>
      <w:r>
        <w:rPr>
          <w:b/>
          <w:bCs/>
          <w:color w:val="auto"/>
        </w:rPr>
        <w:t>（</w:t>
      </w:r>
      <w:r>
        <w:rPr>
          <w:rFonts w:hint="eastAsia"/>
          <w:b/>
          <w:bCs/>
          <w:color w:val="auto"/>
          <w:lang w:val="en-US" w:eastAsia="zh-CN"/>
        </w:rPr>
        <w:t>超细</w:t>
      </w:r>
      <w:r>
        <w:rPr>
          <w:b/>
          <w:bCs/>
          <w:color w:val="auto"/>
        </w:rPr>
        <w:t>格栅、</w:t>
      </w:r>
      <w:r>
        <w:rPr>
          <w:rFonts w:hint="eastAsia"/>
          <w:b/>
          <w:bCs/>
          <w:color w:val="auto"/>
          <w:lang w:val="en-US" w:eastAsia="zh-CN"/>
        </w:rPr>
        <w:t>调节池和应急事故池、水解酸化池、生化池和二沉池、磁混凝沉淀池、污泥池、污泥脱水车间等</w:t>
      </w:r>
      <w:r>
        <w:rPr>
          <w:b/>
          <w:bCs/>
          <w:color w:val="auto"/>
        </w:rPr>
        <w:t>）主要构筑物边界</w:t>
      </w:r>
      <w:r>
        <w:rPr>
          <w:rFonts w:hint="eastAsia"/>
          <w:b/>
          <w:bCs/>
          <w:color w:val="auto"/>
        </w:rPr>
        <w:t>为起点</w:t>
      </w:r>
      <w:r>
        <w:rPr>
          <w:b/>
          <w:bCs/>
          <w:color w:val="auto"/>
        </w:rPr>
        <w:t>划定</w:t>
      </w:r>
      <w:r>
        <w:rPr>
          <w:rFonts w:hint="eastAsia"/>
          <w:b/>
          <w:bCs/>
          <w:color w:val="auto"/>
          <w:lang w:val="en-US" w:eastAsia="zh-CN"/>
        </w:rPr>
        <w:t>50</w:t>
      </w:r>
      <w:r>
        <w:rPr>
          <w:b/>
          <w:bCs/>
          <w:color w:val="auto"/>
        </w:rPr>
        <w:t>m</w:t>
      </w:r>
      <w:r>
        <w:rPr>
          <w:rFonts w:hint="eastAsia"/>
          <w:b/>
          <w:bCs/>
          <w:color w:val="auto"/>
        </w:rPr>
        <w:t>包络线作</w:t>
      </w:r>
      <w:r>
        <w:rPr>
          <w:b/>
          <w:bCs/>
          <w:color w:val="auto"/>
        </w:rPr>
        <w:t>卫生防护距离。</w:t>
      </w:r>
    </w:p>
    <w:p w14:paraId="72E226AF">
      <w:pPr>
        <w:pageBreakBefore w:val="0"/>
        <w:wordWrap/>
        <w:bidi w:val="0"/>
        <w:adjustRightInd/>
        <w:snapToGrid/>
        <w:ind w:firstLine="488"/>
        <w:rPr>
          <w:bCs/>
          <w:color w:val="auto"/>
        </w:rPr>
      </w:pPr>
      <w:r>
        <w:rPr>
          <w:color w:val="auto"/>
          <w:spacing w:val="2"/>
        </w:rPr>
        <w:t>同时</w:t>
      </w:r>
      <w:r>
        <w:rPr>
          <w:rFonts w:hint="eastAsia"/>
          <w:color w:val="auto"/>
          <w:spacing w:val="2"/>
          <w:lang w:eastAsia="zh-CN"/>
        </w:rPr>
        <w:t>，根</w:t>
      </w:r>
      <w:r>
        <w:rPr>
          <w:color w:val="auto"/>
          <w:spacing w:val="2"/>
        </w:rPr>
        <w:t>据现场踏勘：拟建项目</w:t>
      </w:r>
      <w:r>
        <w:rPr>
          <w:color w:val="auto"/>
        </w:rPr>
        <w:t>划定的</w:t>
      </w:r>
      <w:r>
        <w:rPr>
          <w:rFonts w:hint="eastAsia"/>
          <w:color w:val="auto"/>
          <w:lang w:val="en-US" w:eastAsia="zh-CN"/>
        </w:rPr>
        <w:t>50</w:t>
      </w:r>
      <w:r>
        <w:rPr>
          <w:color w:val="auto"/>
        </w:rPr>
        <w:t>m卫生防护距离范围内</w:t>
      </w:r>
      <w:r>
        <w:rPr>
          <w:rFonts w:hint="eastAsia"/>
          <w:color w:val="auto"/>
          <w:lang w:val="en-US" w:eastAsia="zh-CN"/>
        </w:rPr>
        <w:t>不存在散居居民</w:t>
      </w:r>
      <w:r>
        <w:rPr>
          <w:color w:val="auto"/>
        </w:rPr>
        <w:t>等敏感目标</w:t>
      </w:r>
      <w:r>
        <w:rPr>
          <w:bCs/>
          <w:color w:val="auto"/>
        </w:rPr>
        <w:t>，</w:t>
      </w:r>
      <w:r>
        <w:rPr>
          <w:rFonts w:hint="eastAsia"/>
          <w:bCs/>
          <w:color w:val="auto"/>
          <w:lang w:val="en-US" w:eastAsia="zh-CN"/>
        </w:rPr>
        <w:t>不</w:t>
      </w:r>
      <w:r>
        <w:rPr>
          <w:color w:val="auto"/>
        </w:rPr>
        <w:t>涉及环保搬迁。</w:t>
      </w:r>
    </w:p>
    <w:p w14:paraId="2AE7FB40">
      <w:pPr>
        <w:pageBreakBefore w:val="0"/>
        <w:wordWrap/>
        <w:bidi w:val="0"/>
        <w:adjustRightInd/>
        <w:snapToGrid/>
        <w:ind w:firstLine="490"/>
        <w:rPr>
          <w:color w:val="auto"/>
        </w:rPr>
      </w:pPr>
      <w:r>
        <w:rPr>
          <w:b/>
          <w:color w:val="auto"/>
          <w:spacing w:val="2"/>
        </w:rPr>
        <w:t>环评要求：</w:t>
      </w:r>
      <w:r>
        <w:rPr>
          <w:color w:val="auto"/>
          <w:spacing w:val="2"/>
        </w:rPr>
        <w:t>在项目所设定的卫生防护距离内禁止修建医院、学校、集中居住区等环境敏感设施。同时还要求：①在污泥脱水间等室内部分，考虑采用机械通风的方式，减少臭气影响；②运输车辆密闭，避开运输高峰期，尽量减少臭气对运输线路附近大气环境的影响；③</w:t>
      </w:r>
      <w:r>
        <w:rPr>
          <w:color w:val="auto"/>
        </w:rPr>
        <w:t>采取必要的减臭措施，污泥处理设施应设在非完全敞开式的建筑内；</w:t>
      </w:r>
      <w:r>
        <w:rPr>
          <w:color w:val="auto"/>
          <w:spacing w:val="2"/>
        </w:rPr>
        <w:t>④</w:t>
      </w:r>
      <w:r>
        <w:rPr>
          <w:color w:val="auto"/>
        </w:rPr>
        <w:t>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lang w:eastAsia="zh-CN"/>
        </w:rPr>
        <w:t>采取</w:t>
      </w:r>
      <w:r>
        <w:rPr>
          <w:color w:val="auto"/>
        </w:rPr>
        <w:t>及时清除积泥的措施来防止臭气的影响；⑥项目厂区需设置绿化带。以上措施属目前污水处理厂恶臭处理的主要措施，在大、中、小型污水处理厂（站）均得到广泛应用，取得良好的效果。</w:t>
      </w:r>
    </w:p>
    <w:p w14:paraId="77A1310E">
      <w:pPr>
        <w:pStyle w:val="6"/>
        <w:pageBreakBefore w:val="0"/>
        <w:wordWrap/>
        <w:bidi w:val="0"/>
        <w:adjustRightInd/>
        <w:snapToGrid/>
        <w:rPr>
          <w:color w:val="auto"/>
        </w:rPr>
      </w:pPr>
      <w:r>
        <w:rPr>
          <w:color w:val="auto"/>
        </w:rPr>
        <w:t>大气环境影响评价结论与建议</w:t>
      </w:r>
    </w:p>
    <w:p w14:paraId="79168FFE">
      <w:pPr>
        <w:pageBreakBefore w:val="0"/>
        <w:wordWrap/>
        <w:bidi w:val="0"/>
        <w:adjustRightInd/>
        <w:snapToGrid/>
        <w:ind w:firstLine="480"/>
        <w:rPr>
          <w:color w:val="auto"/>
        </w:rPr>
      </w:pPr>
      <w:r>
        <w:rPr>
          <w:color w:val="auto"/>
        </w:rPr>
        <w:t>（1）项目选址及总图布置的合理性和可行性</w:t>
      </w:r>
    </w:p>
    <w:p w14:paraId="2E5440D5">
      <w:pPr>
        <w:pageBreakBefore w:val="0"/>
        <w:wordWrap/>
        <w:bidi w:val="0"/>
        <w:adjustRightInd/>
        <w:snapToGrid/>
        <w:ind w:firstLine="480"/>
        <w:rPr>
          <w:color w:val="auto"/>
        </w:rPr>
      </w:pPr>
      <w:r>
        <w:rPr>
          <w:color w:val="auto"/>
        </w:rPr>
        <w:t>根据环境空气影响估算模式预测结果可知，本项目建成后全厂氨和硫化氢的最大占标率P</w:t>
      </w:r>
      <w:r>
        <w:rPr>
          <w:color w:val="auto"/>
          <w:vertAlign w:val="subscript"/>
        </w:rPr>
        <w:t>max</w:t>
      </w:r>
      <w:r>
        <w:rPr>
          <w:color w:val="auto"/>
        </w:rPr>
        <w:t>分别为</w:t>
      </w:r>
      <w:r>
        <w:rPr>
          <w:rFonts w:hint="eastAsia"/>
          <w:color w:val="auto"/>
          <w:kern w:val="0"/>
          <w:lang w:eastAsia="zh-CN"/>
        </w:rPr>
        <w:t>1.39%</w:t>
      </w:r>
      <w:r>
        <w:rPr>
          <w:color w:val="auto"/>
          <w:kern w:val="0"/>
        </w:rPr>
        <w:t>、</w:t>
      </w:r>
      <w:r>
        <w:rPr>
          <w:rFonts w:hint="eastAsia"/>
          <w:color w:val="auto"/>
          <w:kern w:val="0"/>
          <w:lang w:eastAsia="zh-CN"/>
        </w:rPr>
        <w:t>0.4%</w:t>
      </w:r>
      <w:r>
        <w:rPr>
          <w:color w:val="auto"/>
        </w:rPr>
        <w:t>。各污染物浓度贡献占标率&lt;100%，符合环境空气质量标准，选址合理。</w:t>
      </w:r>
    </w:p>
    <w:p w14:paraId="3A58FD48">
      <w:pPr>
        <w:bidi w:val="0"/>
        <w:rPr>
          <w:color w:val="auto"/>
        </w:rPr>
      </w:pPr>
      <w:r>
        <w:rPr>
          <w:color w:val="auto"/>
        </w:rPr>
        <w:t>本项目办公生活区布置于生产区的侧风向，对生活区的污染降到</w:t>
      </w:r>
      <w:r>
        <w:rPr>
          <w:rFonts w:hint="eastAsia"/>
          <w:color w:val="auto"/>
          <w:lang w:eastAsia="zh-CN"/>
        </w:rPr>
        <w:t>最低</w:t>
      </w:r>
      <w:r>
        <w:rPr>
          <w:color w:val="auto"/>
        </w:rPr>
        <w:t>，总图布置合理。</w:t>
      </w:r>
    </w:p>
    <w:p w14:paraId="050688DB">
      <w:pPr>
        <w:bidi w:val="0"/>
        <w:rPr>
          <w:color w:val="auto"/>
        </w:rPr>
      </w:pPr>
      <w:r>
        <w:rPr>
          <w:color w:val="auto"/>
        </w:rPr>
        <w:t>综上所述，项目选址及总图布置合理，从大气环境角度可行。</w:t>
      </w:r>
    </w:p>
    <w:p w14:paraId="397F4D25">
      <w:pPr>
        <w:bidi w:val="0"/>
        <w:rPr>
          <w:color w:val="auto"/>
        </w:rPr>
      </w:pPr>
      <w:r>
        <w:rPr>
          <w:color w:val="auto"/>
        </w:rPr>
        <w:t>（2）污染源的排放强度与排放方式</w:t>
      </w:r>
    </w:p>
    <w:p w14:paraId="6573C9C1">
      <w:pPr>
        <w:bidi w:val="0"/>
        <w:rPr>
          <w:color w:val="auto"/>
        </w:rPr>
      </w:pPr>
      <w:r>
        <w:rPr>
          <w:color w:val="auto"/>
        </w:rPr>
        <w:t>根据工程污染源调查分析，本项目污染源主要为点源、面源排放，污染源的排放强度和排放方式直接决定了对周边环境的污染程度。预测结果表明，废气污染物排放对区域的影响在可接受范围内，对各关心点影响较小，因此工程污染源的排放强度和排放方式合理。</w:t>
      </w:r>
    </w:p>
    <w:p w14:paraId="243EA48C">
      <w:pPr>
        <w:bidi w:val="0"/>
        <w:rPr>
          <w:color w:val="auto"/>
        </w:rPr>
      </w:pPr>
      <w:r>
        <w:rPr>
          <w:color w:val="auto"/>
        </w:rPr>
        <w:t>（3）大气污染控制措施</w:t>
      </w:r>
    </w:p>
    <w:p w14:paraId="3E80F848">
      <w:pPr>
        <w:bidi w:val="0"/>
        <w:rPr>
          <w:color w:val="auto"/>
        </w:rPr>
      </w:pPr>
      <w:r>
        <w:rPr>
          <w:color w:val="auto"/>
        </w:rPr>
        <w:t>根据工程分析，污染源在采取合理的污染控制措施后，预测值能做到达标排放，满足控制标准要求。预测结果显示，预测值满足环境功能区划要求，大气污染防治措施可行。同时，评价建议加强污染源的控制措施，并定期对污染源实施监测，保证正常运行。</w:t>
      </w:r>
    </w:p>
    <w:p w14:paraId="1348414D">
      <w:pPr>
        <w:bidi w:val="0"/>
        <w:rPr>
          <w:color w:val="auto"/>
        </w:rPr>
      </w:pPr>
      <w:r>
        <w:rPr>
          <w:color w:val="auto"/>
        </w:rPr>
        <w:t>（4）污染控制措施可行性</w:t>
      </w:r>
    </w:p>
    <w:p w14:paraId="5EB3EE5E">
      <w:pPr>
        <w:bidi w:val="0"/>
        <w:rPr>
          <w:color w:val="auto"/>
        </w:rPr>
      </w:pPr>
      <w:r>
        <w:rPr>
          <w:color w:val="auto"/>
        </w:rPr>
        <w:t>本工程废气处理采用了集中收集+生物滤池除臭的方法，生物除臭属于生物过滤法的一种。生物过滤法是将恶臭吹进增湿器进行润湿，去除颗粒物并增加湿度，然后进入生物滤池，在生物细胞内生理代谢分解成简单的、无害的代谢产物。</w:t>
      </w:r>
    </w:p>
    <w:p w14:paraId="32EBA68A">
      <w:pPr>
        <w:bidi w:val="0"/>
        <w:rPr>
          <w:color w:val="auto"/>
        </w:rPr>
      </w:pPr>
      <w:r>
        <w:rPr>
          <w:rFonts w:hint="eastAsia"/>
          <w:color w:val="auto"/>
        </w:rPr>
        <w:t>工程拟采取</w:t>
      </w:r>
      <w:r>
        <w:rPr>
          <w:color w:val="auto"/>
        </w:rPr>
        <w:t>的措施技术成熟、满足稳定运行，可确保大气污染物排放满足国家有关标准要求。进一步预测结果表明，通过大气输送与扩散后能够满足相应环境质量标准的要求，使本工程对周围环境的影响尽可能降低</w:t>
      </w:r>
      <w:r>
        <w:rPr>
          <w:rFonts w:hint="eastAsia"/>
          <w:color w:val="auto"/>
          <w:lang w:eastAsia="zh-CN"/>
        </w:rPr>
        <w:t>到最低程度</w:t>
      </w:r>
      <w:r>
        <w:rPr>
          <w:color w:val="auto"/>
        </w:rPr>
        <w:t>。评价认为本项目采取的大气污染防治措施及排放方案可行、有效。</w:t>
      </w:r>
    </w:p>
    <w:p w14:paraId="2D4C1243">
      <w:pPr>
        <w:bidi w:val="0"/>
        <w:rPr>
          <w:color w:val="auto"/>
        </w:rPr>
      </w:pPr>
      <w:r>
        <w:rPr>
          <w:color w:val="auto"/>
        </w:rPr>
        <w:t>（5）环境空气影响评价结论</w:t>
      </w:r>
    </w:p>
    <w:p w14:paraId="448EFC59">
      <w:pPr>
        <w:bidi w:val="0"/>
        <w:rPr>
          <w:color w:val="auto"/>
        </w:rPr>
      </w:pPr>
      <w:r>
        <w:rPr>
          <w:color w:val="auto"/>
        </w:rPr>
        <w:t>从大气环境影响的角度来说本项目选址、总平面布置均较为合理，主要的大气污染源均配置了合理的污染防治设施，经治理后，污染物有效减排，项目大气污染物能够做到达标排放。</w:t>
      </w:r>
    </w:p>
    <w:p w14:paraId="6910358A">
      <w:pPr>
        <w:bidi w:val="0"/>
        <w:rPr>
          <w:color w:val="auto"/>
        </w:rPr>
      </w:pPr>
      <w:r>
        <w:rPr>
          <w:color w:val="auto"/>
        </w:rPr>
        <w:t>经分析预测，项目实施后评价区域及各敏感点处各污染物排放造成的最大地面浓度均小于相应标准值的10%。因此预计工程投产后，在采取环评规定的污染治理措施的情况下，本项目对评价区及关心点的环境空气质量的负面影响较轻微，所以，评价认为从环境空气角度出发，本工程的建设是可行的。</w:t>
      </w:r>
    </w:p>
    <w:p w14:paraId="07A84D57">
      <w:pPr>
        <w:pStyle w:val="15"/>
        <w:numPr>
          <w:ilvl w:val="0"/>
          <w:numId w:val="31"/>
        </w:numPr>
        <w:bidi w:val="0"/>
        <w:ind w:left="0" w:leftChars="0" w:firstLine="0" w:firstLineChars="0"/>
        <w:rPr>
          <w:b/>
          <w:color w:val="auto"/>
          <w:szCs w:val="21"/>
        </w:rPr>
      </w:pPr>
      <w:r>
        <w:rPr>
          <w:b/>
          <w:color w:val="auto"/>
          <w:szCs w:val="21"/>
        </w:rPr>
        <w:t>建设项目大气环境影响评价自查表</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82"/>
        <w:gridCol w:w="1618"/>
        <w:gridCol w:w="956"/>
        <w:gridCol w:w="624"/>
        <w:gridCol w:w="111"/>
        <w:gridCol w:w="321"/>
        <w:gridCol w:w="337"/>
        <w:gridCol w:w="594"/>
        <w:gridCol w:w="608"/>
        <w:gridCol w:w="344"/>
        <w:gridCol w:w="186"/>
        <w:gridCol w:w="480"/>
        <w:gridCol w:w="121"/>
        <w:gridCol w:w="416"/>
        <w:gridCol w:w="33"/>
        <w:gridCol w:w="220"/>
        <w:gridCol w:w="571"/>
        <w:gridCol w:w="662"/>
      </w:tblGrid>
      <w:tr w14:paraId="155265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2" w:type="pct"/>
            <w:gridSpan w:val="2"/>
            <w:tcBorders>
              <w:tl2br w:val="nil"/>
              <w:tr2bl w:val="nil"/>
            </w:tcBorders>
            <w:noWrap w:val="0"/>
            <w:vAlign w:val="center"/>
          </w:tcPr>
          <w:p w14:paraId="40E930A0">
            <w:pPr>
              <w:pStyle w:val="458"/>
              <w:rPr>
                <w:color w:val="auto"/>
              </w:rPr>
            </w:pPr>
            <w:r>
              <w:rPr>
                <w:color w:val="auto"/>
              </w:rPr>
              <w:t>工作内容</w:t>
            </w:r>
          </w:p>
        </w:tc>
        <w:tc>
          <w:tcPr>
            <w:tcW w:w="3747" w:type="pct"/>
            <w:gridSpan w:val="16"/>
            <w:tcBorders>
              <w:tl2br w:val="nil"/>
              <w:tr2bl w:val="nil"/>
            </w:tcBorders>
            <w:noWrap w:val="0"/>
            <w:vAlign w:val="center"/>
          </w:tcPr>
          <w:p w14:paraId="6DAE587D">
            <w:pPr>
              <w:pStyle w:val="458"/>
              <w:rPr>
                <w:color w:val="auto"/>
              </w:rPr>
            </w:pPr>
            <w:r>
              <w:rPr>
                <w:color w:val="auto"/>
              </w:rPr>
              <w:t>自查项目</w:t>
            </w:r>
          </w:p>
        </w:tc>
      </w:tr>
      <w:tr w14:paraId="5565F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714D6D0F">
            <w:pPr>
              <w:pStyle w:val="458"/>
              <w:rPr>
                <w:color w:val="auto"/>
              </w:rPr>
            </w:pPr>
            <w:r>
              <w:rPr>
                <w:color w:val="auto"/>
              </w:rPr>
              <w:t>评价等级与范围</w:t>
            </w:r>
          </w:p>
        </w:tc>
        <w:tc>
          <w:tcPr>
            <w:tcW w:w="920" w:type="pct"/>
            <w:tcBorders>
              <w:tl2br w:val="nil"/>
              <w:tr2bl w:val="nil"/>
            </w:tcBorders>
            <w:noWrap w:val="0"/>
            <w:vAlign w:val="center"/>
          </w:tcPr>
          <w:p w14:paraId="35099EB3">
            <w:pPr>
              <w:pStyle w:val="458"/>
              <w:rPr>
                <w:color w:val="auto"/>
              </w:rPr>
            </w:pPr>
            <w:r>
              <w:rPr>
                <w:color w:val="auto"/>
              </w:rPr>
              <w:t>评价等级</w:t>
            </w:r>
          </w:p>
        </w:tc>
        <w:tc>
          <w:tcPr>
            <w:tcW w:w="1145" w:type="pct"/>
            <w:gridSpan w:val="4"/>
            <w:tcBorders>
              <w:tl2br w:val="nil"/>
              <w:tr2bl w:val="nil"/>
            </w:tcBorders>
            <w:noWrap w:val="0"/>
            <w:vAlign w:val="center"/>
          </w:tcPr>
          <w:p w14:paraId="6729BE2F">
            <w:pPr>
              <w:pStyle w:val="458"/>
              <w:rPr>
                <w:color w:val="auto"/>
              </w:rPr>
            </w:pPr>
            <w:r>
              <w:rPr>
                <w:color w:val="auto"/>
              </w:rPr>
              <w:t>一级□</w:t>
            </w:r>
          </w:p>
        </w:tc>
        <w:tc>
          <w:tcPr>
            <w:tcW w:w="1520" w:type="pct"/>
            <w:gridSpan w:val="7"/>
            <w:tcBorders>
              <w:tl2br w:val="nil"/>
              <w:tr2bl w:val="nil"/>
            </w:tcBorders>
            <w:noWrap w:val="0"/>
            <w:vAlign w:val="center"/>
          </w:tcPr>
          <w:p w14:paraId="297D0BDA">
            <w:pPr>
              <w:pStyle w:val="458"/>
              <w:rPr>
                <w:color w:val="auto"/>
              </w:rPr>
            </w:pPr>
            <w:r>
              <w:rPr>
                <w:color w:val="auto"/>
              </w:rPr>
              <w:t>二级</w:t>
            </w:r>
            <w:r>
              <w:rPr>
                <w:color w:val="auto"/>
              </w:rPr>
              <w:sym w:font="Wingdings 2" w:char="0052"/>
            </w:r>
          </w:p>
        </w:tc>
        <w:tc>
          <w:tcPr>
            <w:tcW w:w="1081" w:type="pct"/>
            <w:gridSpan w:val="5"/>
            <w:tcBorders>
              <w:tl2br w:val="nil"/>
              <w:tr2bl w:val="nil"/>
            </w:tcBorders>
            <w:noWrap w:val="0"/>
            <w:vAlign w:val="center"/>
          </w:tcPr>
          <w:p w14:paraId="14EC4A30">
            <w:pPr>
              <w:pStyle w:val="458"/>
              <w:rPr>
                <w:color w:val="auto"/>
              </w:rPr>
            </w:pPr>
            <w:r>
              <w:rPr>
                <w:color w:val="auto"/>
              </w:rPr>
              <w:t>三级</w:t>
            </w:r>
            <w:r>
              <w:rPr>
                <w:color w:val="auto"/>
              </w:rPr>
              <w:sym w:font="Wingdings 2" w:char="00A3"/>
            </w:r>
          </w:p>
        </w:tc>
      </w:tr>
      <w:tr w14:paraId="19CACB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15B5A4AE">
            <w:pPr>
              <w:pStyle w:val="458"/>
              <w:rPr>
                <w:color w:val="auto"/>
              </w:rPr>
            </w:pPr>
          </w:p>
        </w:tc>
        <w:tc>
          <w:tcPr>
            <w:tcW w:w="920" w:type="pct"/>
            <w:tcBorders>
              <w:tl2br w:val="nil"/>
              <w:tr2bl w:val="nil"/>
            </w:tcBorders>
            <w:noWrap w:val="0"/>
            <w:vAlign w:val="center"/>
          </w:tcPr>
          <w:p w14:paraId="5859945A">
            <w:pPr>
              <w:pStyle w:val="458"/>
              <w:rPr>
                <w:color w:val="auto"/>
              </w:rPr>
            </w:pPr>
            <w:r>
              <w:rPr>
                <w:color w:val="auto"/>
              </w:rPr>
              <w:t>评价范围</w:t>
            </w:r>
          </w:p>
        </w:tc>
        <w:tc>
          <w:tcPr>
            <w:tcW w:w="1145" w:type="pct"/>
            <w:gridSpan w:val="4"/>
            <w:tcBorders>
              <w:tl2br w:val="nil"/>
              <w:tr2bl w:val="nil"/>
            </w:tcBorders>
            <w:noWrap w:val="0"/>
            <w:vAlign w:val="center"/>
          </w:tcPr>
          <w:p w14:paraId="360EB1CB">
            <w:pPr>
              <w:pStyle w:val="458"/>
              <w:rPr>
                <w:color w:val="auto"/>
              </w:rPr>
            </w:pPr>
            <w:r>
              <w:rPr>
                <w:color w:val="auto"/>
              </w:rPr>
              <w:t>边长=50km□</w:t>
            </w:r>
          </w:p>
        </w:tc>
        <w:tc>
          <w:tcPr>
            <w:tcW w:w="1520" w:type="pct"/>
            <w:gridSpan w:val="7"/>
            <w:tcBorders>
              <w:tl2br w:val="nil"/>
              <w:tr2bl w:val="nil"/>
            </w:tcBorders>
            <w:noWrap w:val="0"/>
            <w:vAlign w:val="center"/>
          </w:tcPr>
          <w:p w14:paraId="07EB0E71">
            <w:pPr>
              <w:pStyle w:val="458"/>
              <w:rPr>
                <w:color w:val="auto"/>
              </w:rPr>
            </w:pPr>
            <w:r>
              <w:rPr>
                <w:color w:val="auto"/>
              </w:rPr>
              <w:t>边长5~50km□</w:t>
            </w:r>
          </w:p>
        </w:tc>
        <w:tc>
          <w:tcPr>
            <w:tcW w:w="1081" w:type="pct"/>
            <w:gridSpan w:val="5"/>
            <w:tcBorders>
              <w:tl2br w:val="nil"/>
              <w:tr2bl w:val="nil"/>
            </w:tcBorders>
            <w:noWrap w:val="0"/>
            <w:vAlign w:val="center"/>
          </w:tcPr>
          <w:p w14:paraId="475CD13A">
            <w:pPr>
              <w:pStyle w:val="458"/>
              <w:rPr>
                <w:color w:val="auto"/>
              </w:rPr>
            </w:pPr>
            <w:r>
              <w:rPr>
                <w:color w:val="auto"/>
              </w:rPr>
              <w:t>边长=5km</w:t>
            </w:r>
            <w:r>
              <w:rPr>
                <w:color w:val="auto"/>
              </w:rPr>
              <w:sym w:font="Wingdings 2" w:char="00A3"/>
            </w:r>
          </w:p>
        </w:tc>
      </w:tr>
      <w:tr w14:paraId="70E3E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70A71771">
            <w:pPr>
              <w:pStyle w:val="458"/>
              <w:rPr>
                <w:color w:val="auto"/>
              </w:rPr>
            </w:pPr>
            <w:r>
              <w:rPr>
                <w:color w:val="auto"/>
              </w:rPr>
              <w:t>评价因子</w:t>
            </w:r>
          </w:p>
        </w:tc>
        <w:tc>
          <w:tcPr>
            <w:tcW w:w="920" w:type="pct"/>
            <w:tcBorders>
              <w:tl2br w:val="nil"/>
              <w:tr2bl w:val="nil"/>
            </w:tcBorders>
            <w:noWrap w:val="0"/>
            <w:vAlign w:val="center"/>
          </w:tcPr>
          <w:p w14:paraId="28CE3ECD">
            <w:pPr>
              <w:pStyle w:val="458"/>
              <w:rPr>
                <w:color w:val="auto"/>
              </w:rPr>
            </w:pPr>
            <w:r>
              <w:rPr>
                <w:color w:val="auto"/>
              </w:rPr>
              <w:t>SO</w:t>
            </w:r>
            <w:r>
              <w:rPr>
                <w:color w:val="auto"/>
                <w:vertAlign w:val="subscript"/>
              </w:rPr>
              <w:t>2</w:t>
            </w:r>
            <w:r>
              <w:rPr>
                <w:color w:val="auto"/>
              </w:rPr>
              <w:t>+NOx排放量</w:t>
            </w:r>
          </w:p>
        </w:tc>
        <w:tc>
          <w:tcPr>
            <w:tcW w:w="1145" w:type="pct"/>
            <w:gridSpan w:val="4"/>
            <w:tcBorders>
              <w:tl2br w:val="nil"/>
              <w:tr2bl w:val="nil"/>
            </w:tcBorders>
            <w:noWrap w:val="0"/>
            <w:vAlign w:val="center"/>
          </w:tcPr>
          <w:p w14:paraId="3C23AEC7">
            <w:pPr>
              <w:pStyle w:val="458"/>
              <w:rPr>
                <w:color w:val="auto"/>
              </w:rPr>
            </w:pPr>
            <w:r>
              <w:rPr>
                <w:color w:val="auto"/>
              </w:rPr>
              <w:t>≥2000t/a□</w:t>
            </w:r>
          </w:p>
        </w:tc>
        <w:tc>
          <w:tcPr>
            <w:tcW w:w="1520" w:type="pct"/>
            <w:gridSpan w:val="7"/>
            <w:tcBorders>
              <w:tl2br w:val="nil"/>
              <w:tr2bl w:val="nil"/>
            </w:tcBorders>
            <w:noWrap w:val="0"/>
            <w:vAlign w:val="center"/>
          </w:tcPr>
          <w:p w14:paraId="6896FF38">
            <w:pPr>
              <w:pStyle w:val="458"/>
              <w:rPr>
                <w:color w:val="auto"/>
              </w:rPr>
            </w:pPr>
            <w:r>
              <w:rPr>
                <w:color w:val="auto"/>
              </w:rPr>
              <w:t>500~2000t/a□</w:t>
            </w:r>
          </w:p>
        </w:tc>
        <w:tc>
          <w:tcPr>
            <w:tcW w:w="1081" w:type="pct"/>
            <w:gridSpan w:val="5"/>
            <w:tcBorders>
              <w:tl2br w:val="nil"/>
              <w:tr2bl w:val="nil"/>
            </w:tcBorders>
            <w:noWrap w:val="0"/>
            <w:vAlign w:val="center"/>
          </w:tcPr>
          <w:p w14:paraId="618BBFBF">
            <w:pPr>
              <w:pStyle w:val="458"/>
              <w:rPr>
                <w:color w:val="auto"/>
              </w:rPr>
            </w:pPr>
            <w:r>
              <w:rPr>
                <w:color w:val="auto"/>
              </w:rPr>
              <w:t>＜500t/a</w:t>
            </w:r>
            <w:r>
              <w:rPr>
                <w:color w:val="auto"/>
              </w:rPr>
              <w:sym w:font="Wingdings 2" w:char="0052"/>
            </w:r>
          </w:p>
        </w:tc>
      </w:tr>
      <w:tr w14:paraId="1C400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2717E0DC">
            <w:pPr>
              <w:pStyle w:val="458"/>
              <w:rPr>
                <w:color w:val="auto"/>
              </w:rPr>
            </w:pPr>
          </w:p>
        </w:tc>
        <w:tc>
          <w:tcPr>
            <w:tcW w:w="920" w:type="pct"/>
            <w:tcBorders>
              <w:tl2br w:val="nil"/>
              <w:tr2bl w:val="nil"/>
            </w:tcBorders>
            <w:noWrap w:val="0"/>
            <w:vAlign w:val="center"/>
          </w:tcPr>
          <w:p w14:paraId="70C6A4AF">
            <w:pPr>
              <w:pStyle w:val="458"/>
              <w:rPr>
                <w:color w:val="auto"/>
              </w:rPr>
            </w:pPr>
            <w:r>
              <w:rPr>
                <w:color w:val="auto"/>
              </w:rPr>
              <w:t>评价因子</w:t>
            </w:r>
          </w:p>
        </w:tc>
        <w:tc>
          <w:tcPr>
            <w:tcW w:w="2021" w:type="pct"/>
            <w:gridSpan w:val="7"/>
            <w:tcBorders>
              <w:tl2br w:val="nil"/>
              <w:tr2bl w:val="nil"/>
            </w:tcBorders>
            <w:noWrap w:val="0"/>
            <w:vAlign w:val="center"/>
          </w:tcPr>
          <w:p w14:paraId="51DADA12">
            <w:pPr>
              <w:pStyle w:val="458"/>
              <w:rPr>
                <w:color w:val="auto"/>
              </w:rPr>
            </w:pPr>
            <w:r>
              <w:rPr>
                <w:color w:val="auto"/>
              </w:rPr>
              <w:t>基本污染物（         ）</w:t>
            </w:r>
          </w:p>
          <w:p w14:paraId="1855F484">
            <w:pPr>
              <w:pStyle w:val="458"/>
              <w:rPr>
                <w:color w:val="auto"/>
              </w:rPr>
            </w:pPr>
            <w:r>
              <w:rPr>
                <w:color w:val="auto"/>
              </w:rPr>
              <w:t>其他污染物（NH</w:t>
            </w:r>
            <w:r>
              <w:rPr>
                <w:color w:val="auto"/>
                <w:vertAlign w:val="subscript"/>
              </w:rPr>
              <w:t>3</w:t>
            </w:r>
            <w:r>
              <w:rPr>
                <w:color w:val="auto"/>
              </w:rPr>
              <w:t>、H</w:t>
            </w:r>
            <w:r>
              <w:rPr>
                <w:color w:val="auto"/>
                <w:vertAlign w:val="subscript"/>
              </w:rPr>
              <w:t>2</w:t>
            </w:r>
            <w:r>
              <w:rPr>
                <w:color w:val="auto"/>
              </w:rPr>
              <w:t>S）</w:t>
            </w:r>
          </w:p>
        </w:tc>
        <w:tc>
          <w:tcPr>
            <w:tcW w:w="1726" w:type="pct"/>
            <w:gridSpan w:val="9"/>
            <w:tcBorders>
              <w:tl2br w:val="nil"/>
              <w:tr2bl w:val="nil"/>
            </w:tcBorders>
            <w:noWrap w:val="0"/>
            <w:vAlign w:val="center"/>
          </w:tcPr>
          <w:p w14:paraId="3E09F328">
            <w:pPr>
              <w:pStyle w:val="458"/>
              <w:rPr>
                <w:color w:val="auto"/>
              </w:rPr>
            </w:pPr>
            <w:r>
              <w:rPr>
                <w:color w:val="auto"/>
              </w:rPr>
              <w:t>包括二次PM</w:t>
            </w:r>
            <w:r>
              <w:rPr>
                <w:color w:val="auto"/>
                <w:vertAlign w:val="subscript"/>
              </w:rPr>
              <w:t>2.5</w:t>
            </w:r>
            <w:r>
              <w:rPr>
                <w:color w:val="auto"/>
              </w:rPr>
              <w:t>□</w:t>
            </w:r>
          </w:p>
          <w:p w14:paraId="03D23EC5">
            <w:pPr>
              <w:pStyle w:val="458"/>
              <w:rPr>
                <w:color w:val="auto"/>
              </w:rPr>
            </w:pPr>
            <w:r>
              <w:rPr>
                <w:color w:val="auto"/>
              </w:rPr>
              <w:t>不包括二次PM</w:t>
            </w:r>
            <w:r>
              <w:rPr>
                <w:color w:val="auto"/>
                <w:vertAlign w:val="subscript"/>
              </w:rPr>
              <w:t>2.5</w:t>
            </w:r>
            <w:r>
              <w:rPr>
                <w:color w:val="auto"/>
              </w:rPr>
              <w:sym w:font="Wingdings 2" w:char="F052"/>
            </w:r>
          </w:p>
        </w:tc>
      </w:tr>
      <w:tr w14:paraId="57127D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tcBorders>
              <w:tl2br w:val="nil"/>
              <w:tr2bl w:val="nil"/>
            </w:tcBorders>
            <w:noWrap w:val="0"/>
            <w:vAlign w:val="center"/>
          </w:tcPr>
          <w:p w14:paraId="746F457D">
            <w:pPr>
              <w:pStyle w:val="458"/>
              <w:rPr>
                <w:color w:val="auto"/>
              </w:rPr>
            </w:pPr>
            <w:r>
              <w:rPr>
                <w:color w:val="auto"/>
              </w:rPr>
              <w:t>评价标准</w:t>
            </w:r>
          </w:p>
        </w:tc>
        <w:tc>
          <w:tcPr>
            <w:tcW w:w="920" w:type="pct"/>
            <w:tcBorders>
              <w:tl2br w:val="nil"/>
              <w:tr2bl w:val="nil"/>
            </w:tcBorders>
            <w:noWrap w:val="0"/>
            <w:vAlign w:val="center"/>
          </w:tcPr>
          <w:p w14:paraId="5636FEF6">
            <w:pPr>
              <w:pStyle w:val="458"/>
              <w:rPr>
                <w:color w:val="auto"/>
              </w:rPr>
            </w:pPr>
            <w:r>
              <w:rPr>
                <w:color w:val="auto"/>
              </w:rPr>
              <w:t>评价标准</w:t>
            </w:r>
          </w:p>
        </w:tc>
        <w:tc>
          <w:tcPr>
            <w:tcW w:w="899" w:type="pct"/>
            <w:gridSpan w:val="2"/>
            <w:tcBorders>
              <w:tl2br w:val="nil"/>
              <w:tr2bl w:val="nil"/>
            </w:tcBorders>
            <w:noWrap w:val="0"/>
            <w:vAlign w:val="center"/>
          </w:tcPr>
          <w:p w14:paraId="2FA0CC08">
            <w:pPr>
              <w:pStyle w:val="458"/>
              <w:rPr>
                <w:color w:val="auto"/>
              </w:rPr>
            </w:pPr>
            <w:r>
              <w:rPr>
                <w:color w:val="auto"/>
              </w:rPr>
              <w:t>国家标准</w:t>
            </w:r>
            <w:r>
              <w:rPr>
                <w:color w:val="auto"/>
              </w:rPr>
              <w:sym w:font="Wingdings 2" w:char="00A3"/>
            </w:r>
          </w:p>
        </w:tc>
        <w:tc>
          <w:tcPr>
            <w:tcW w:w="1121" w:type="pct"/>
            <w:gridSpan w:val="5"/>
            <w:tcBorders>
              <w:tl2br w:val="nil"/>
              <w:tr2bl w:val="nil"/>
            </w:tcBorders>
            <w:noWrap w:val="0"/>
            <w:vAlign w:val="center"/>
          </w:tcPr>
          <w:p w14:paraId="6963F0F4">
            <w:pPr>
              <w:pStyle w:val="458"/>
              <w:rPr>
                <w:color w:val="auto"/>
              </w:rPr>
            </w:pPr>
            <w:r>
              <w:rPr>
                <w:color w:val="auto"/>
              </w:rPr>
              <w:t>地方标准</w:t>
            </w:r>
            <w:r>
              <w:rPr>
                <w:color w:val="auto"/>
              </w:rPr>
              <w:sym w:font="Wingdings 2" w:char="00A3"/>
            </w:r>
          </w:p>
        </w:tc>
        <w:tc>
          <w:tcPr>
            <w:tcW w:w="900" w:type="pct"/>
            <w:gridSpan w:val="6"/>
            <w:tcBorders>
              <w:tl2br w:val="nil"/>
              <w:tr2bl w:val="nil"/>
            </w:tcBorders>
            <w:noWrap w:val="0"/>
            <w:vAlign w:val="center"/>
          </w:tcPr>
          <w:p w14:paraId="23D0CAD7">
            <w:pPr>
              <w:pStyle w:val="458"/>
              <w:rPr>
                <w:color w:val="auto"/>
              </w:rPr>
            </w:pPr>
            <w:r>
              <w:rPr>
                <w:color w:val="auto"/>
              </w:rPr>
              <w:t>附录D</w:t>
            </w:r>
            <w:r>
              <w:rPr>
                <w:color w:val="auto"/>
              </w:rPr>
              <w:sym w:font="Wingdings 2" w:char="F052"/>
            </w:r>
          </w:p>
        </w:tc>
        <w:tc>
          <w:tcPr>
            <w:tcW w:w="825" w:type="pct"/>
            <w:gridSpan w:val="3"/>
            <w:tcBorders>
              <w:tl2br w:val="nil"/>
              <w:tr2bl w:val="nil"/>
            </w:tcBorders>
            <w:noWrap w:val="0"/>
            <w:vAlign w:val="center"/>
          </w:tcPr>
          <w:p w14:paraId="32685659">
            <w:pPr>
              <w:pStyle w:val="458"/>
              <w:rPr>
                <w:color w:val="auto"/>
              </w:rPr>
            </w:pPr>
            <w:r>
              <w:rPr>
                <w:color w:val="auto"/>
              </w:rPr>
              <w:t>其他标准</w:t>
            </w:r>
            <w:r>
              <w:rPr>
                <w:color w:val="auto"/>
              </w:rPr>
              <w:sym w:font="Wingdings 2" w:char="00A3"/>
            </w:r>
          </w:p>
        </w:tc>
      </w:tr>
      <w:tr w14:paraId="6FC8F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65B5A6D1">
            <w:pPr>
              <w:pStyle w:val="458"/>
              <w:rPr>
                <w:color w:val="auto"/>
              </w:rPr>
            </w:pPr>
            <w:r>
              <w:rPr>
                <w:color w:val="auto"/>
              </w:rPr>
              <w:t>现状评价</w:t>
            </w:r>
          </w:p>
        </w:tc>
        <w:tc>
          <w:tcPr>
            <w:tcW w:w="920" w:type="pct"/>
            <w:tcBorders>
              <w:tl2br w:val="nil"/>
              <w:tr2bl w:val="nil"/>
            </w:tcBorders>
            <w:noWrap w:val="0"/>
            <w:vAlign w:val="center"/>
          </w:tcPr>
          <w:p w14:paraId="6DB92219">
            <w:pPr>
              <w:pStyle w:val="458"/>
              <w:rPr>
                <w:color w:val="auto"/>
              </w:rPr>
            </w:pPr>
            <w:r>
              <w:rPr>
                <w:color w:val="auto"/>
              </w:rPr>
              <w:t>环境功能区</w:t>
            </w:r>
          </w:p>
        </w:tc>
        <w:tc>
          <w:tcPr>
            <w:tcW w:w="1145" w:type="pct"/>
            <w:gridSpan w:val="4"/>
            <w:tcBorders>
              <w:tl2br w:val="nil"/>
              <w:tr2bl w:val="nil"/>
            </w:tcBorders>
            <w:noWrap w:val="0"/>
            <w:vAlign w:val="center"/>
          </w:tcPr>
          <w:p w14:paraId="1AFCC373">
            <w:pPr>
              <w:pStyle w:val="458"/>
              <w:rPr>
                <w:color w:val="auto"/>
              </w:rPr>
            </w:pPr>
            <w:r>
              <w:rPr>
                <w:color w:val="auto"/>
              </w:rPr>
              <w:t>一类区□</w:t>
            </w:r>
          </w:p>
        </w:tc>
        <w:tc>
          <w:tcPr>
            <w:tcW w:w="1520" w:type="pct"/>
            <w:gridSpan w:val="7"/>
            <w:tcBorders>
              <w:tl2br w:val="nil"/>
              <w:tr2bl w:val="nil"/>
            </w:tcBorders>
            <w:noWrap w:val="0"/>
            <w:vAlign w:val="center"/>
          </w:tcPr>
          <w:p w14:paraId="662A9190">
            <w:pPr>
              <w:pStyle w:val="458"/>
              <w:rPr>
                <w:color w:val="auto"/>
              </w:rPr>
            </w:pPr>
            <w:r>
              <w:rPr>
                <w:color w:val="auto"/>
              </w:rPr>
              <w:t>二类区</w:t>
            </w:r>
            <w:r>
              <w:rPr>
                <w:color w:val="auto"/>
              </w:rPr>
              <w:sym w:font="Wingdings 2" w:char="F052"/>
            </w:r>
          </w:p>
        </w:tc>
        <w:tc>
          <w:tcPr>
            <w:tcW w:w="1081" w:type="pct"/>
            <w:gridSpan w:val="5"/>
            <w:tcBorders>
              <w:tl2br w:val="nil"/>
              <w:tr2bl w:val="nil"/>
            </w:tcBorders>
            <w:noWrap w:val="0"/>
            <w:vAlign w:val="center"/>
          </w:tcPr>
          <w:p w14:paraId="39F209E2">
            <w:pPr>
              <w:pStyle w:val="458"/>
              <w:rPr>
                <w:color w:val="auto"/>
              </w:rPr>
            </w:pPr>
            <w:r>
              <w:rPr>
                <w:color w:val="auto"/>
              </w:rPr>
              <w:t>一类区和二类区□</w:t>
            </w:r>
          </w:p>
        </w:tc>
      </w:tr>
      <w:tr w14:paraId="4FB26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40634801">
            <w:pPr>
              <w:pStyle w:val="458"/>
              <w:rPr>
                <w:color w:val="auto"/>
              </w:rPr>
            </w:pPr>
          </w:p>
        </w:tc>
        <w:tc>
          <w:tcPr>
            <w:tcW w:w="920" w:type="pct"/>
            <w:tcBorders>
              <w:tl2br w:val="nil"/>
              <w:tr2bl w:val="nil"/>
            </w:tcBorders>
            <w:noWrap w:val="0"/>
            <w:vAlign w:val="center"/>
          </w:tcPr>
          <w:p w14:paraId="5A9AAD31">
            <w:pPr>
              <w:pStyle w:val="458"/>
              <w:rPr>
                <w:color w:val="auto"/>
              </w:rPr>
            </w:pPr>
            <w:r>
              <w:rPr>
                <w:color w:val="auto"/>
              </w:rPr>
              <w:t>评价基准年</w:t>
            </w:r>
          </w:p>
        </w:tc>
        <w:tc>
          <w:tcPr>
            <w:tcW w:w="3747" w:type="pct"/>
            <w:gridSpan w:val="16"/>
            <w:tcBorders>
              <w:tl2br w:val="nil"/>
              <w:tr2bl w:val="nil"/>
            </w:tcBorders>
            <w:noWrap w:val="0"/>
            <w:vAlign w:val="center"/>
          </w:tcPr>
          <w:p w14:paraId="187507F3">
            <w:pPr>
              <w:pStyle w:val="458"/>
              <w:rPr>
                <w:color w:val="auto"/>
              </w:rPr>
            </w:pPr>
            <w:r>
              <w:rPr>
                <w:color w:val="auto"/>
              </w:rPr>
              <w:t>（20</w:t>
            </w:r>
            <w:r>
              <w:rPr>
                <w:rFonts w:hint="eastAsia"/>
                <w:color w:val="auto"/>
                <w:lang w:val="en-US" w:eastAsia="zh-CN"/>
              </w:rPr>
              <w:t>23</w:t>
            </w:r>
            <w:r>
              <w:rPr>
                <w:color w:val="auto"/>
              </w:rPr>
              <w:t>）年</w:t>
            </w:r>
          </w:p>
        </w:tc>
      </w:tr>
      <w:tr w14:paraId="50110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5849CE9C">
            <w:pPr>
              <w:pStyle w:val="458"/>
              <w:rPr>
                <w:color w:val="auto"/>
              </w:rPr>
            </w:pPr>
          </w:p>
        </w:tc>
        <w:tc>
          <w:tcPr>
            <w:tcW w:w="920" w:type="pct"/>
            <w:tcBorders>
              <w:tl2br w:val="nil"/>
              <w:tr2bl w:val="nil"/>
            </w:tcBorders>
            <w:noWrap w:val="0"/>
            <w:vAlign w:val="center"/>
          </w:tcPr>
          <w:p w14:paraId="50A7023F">
            <w:pPr>
              <w:pStyle w:val="458"/>
              <w:rPr>
                <w:color w:val="auto"/>
              </w:rPr>
            </w:pPr>
            <w:r>
              <w:rPr>
                <w:color w:val="auto"/>
              </w:rPr>
              <w:t>环境空气质量现状调差数据来源</w:t>
            </w:r>
          </w:p>
        </w:tc>
        <w:tc>
          <w:tcPr>
            <w:tcW w:w="1145" w:type="pct"/>
            <w:gridSpan w:val="4"/>
            <w:tcBorders>
              <w:tl2br w:val="nil"/>
              <w:tr2bl w:val="nil"/>
            </w:tcBorders>
            <w:noWrap w:val="0"/>
            <w:vAlign w:val="center"/>
          </w:tcPr>
          <w:p w14:paraId="6F315B38">
            <w:pPr>
              <w:pStyle w:val="458"/>
              <w:rPr>
                <w:color w:val="auto"/>
              </w:rPr>
            </w:pPr>
            <w:r>
              <w:rPr>
                <w:color w:val="auto"/>
              </w:rPr>
              <w:t>长期例行监测</w:t>
            </w:r>
          </w:p>
          <w:p w14:paraId="7F006659">
            <w:pPr>
              <w:pStyle w:val="458"/>
              <w:rPr>
                <w:color w:val="auto"/>
              </w:rPr>
            </w:pPr>
            <w:r>
              <w:rPr>
                <w:color w:val="auto"/>
              </w:rPr>
              <w:t>数据□</w:t>
            </w:r>
          </w:p>
        </w:tc>
        <w:tc>
          <w:tcPr>
            <w:tcW w:w="1520" w:type="pct"/>
            <w:gridSpan w:val="7"/>
            <w:tcBorders>
              <w:tl2br w:val="nil"/>
              <w:tr2bl w:val="nil"/>
            </w:tcBorders>
            <w:noWrap w:val="0"/>
            <w:vAlign w:val="center"/>
          </w:tcPr>
          <w:p w14:paraId="5891BA82">
            <w:pPr>
              <w:pStyle w:val="458"/>
              <w:rPr>
                <w:color w:val="auto"/>
              </w:rPr>
            </w:pPr>
            <w:r>
              <w:rPr>
                <w:color w:val="auto"/>
              </w:rPr>
              <w:t>主管部门发布的</w:t>
            </w:r>
          </w:p>
          <w:p w14:paraId="0FF7D983">
            <w:pPr>
              <w:pStyle w:val="458"/>
              <w:rPr>
                <w:color w:val="auto"/>
              </w:rPr>
            </w:pPr>
            <w:r>
              <w:rPr>
                <w:color w:val="auto"/>
              </w:rPr>
              <w:t>数据</w:t>
            </w:r>
            <w:r>
              <w:rPr>
                <w:color w:val="auto"/>
              </w:rPr>
              <w:sym w:font="Wingdings 2" w:char="F052"/>
            </w:r>
          </w:p>
        </w:tc>
        <w:tc>
          <w:tcPr>
            <w:tcW w:w="1081" w:type="pct"/>
            <w:gridSpan w:val="5"/>
            <w:tcBorders>
              <w:tl2br w:val="nil"/>
              <w:tr2bl w:val="nil"/>
            </w:tcBorders>
            <w:noWrap w:val="0"/>
            <w:vAlign w:val="center"/>
          </w:tcPr>
          <w:p w14:paraId="390E1F55">
            <w:pPr>
              <w:pStyle w:val="458"/>
              <w:rPr>
                <w:color w:val="auto"/>
              </w:rPr>
            </w:pPr>
            <w:r>
              <w:rPr>
                <w:color w:val="auto"/>
              </w:rPr>
              <w:t>现状补充监测</w:t>
            </w:r>
            <w:r>
              <w:rPr>
                <w:color w:val="auto"/>
              </w:rPr>
              <w:sym w:font="Wingdings 2" w:char="0052"/>
            </w:r>
          </w:p>
        </w:tc>
      </w:tr>
      <w:tr w14:paraId="7BC4E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6E8E854C">
            <w:pPr>
              <w:pStyle w:val="458"/>
              <w:rPr>
                <w:color w:val="auto"/>
              </w:rPr>
            </w:pPr>
          </w:p>
        </w:tc>
        <w:tc>
          <w:tcPr>
            <w:tcW w:w="920" w:type="pct"/>
            <w:tcBorders>
              <w:tl2br w:val="nil"/>
              <w:tr2bl w:val="nil"/>
            </w:tcBorders>
            <w:noWrap w:val="0"/>
            <w:vAlign w:val="center"/>
          </w:tcPr>
          <w:p w14:paraId="33974340">
            <w:pPr>
              <w:pStyle w:val="458"/>
              <w:rPr>
                <w:color w:val="auto"/>
              </w:rPr>
            </w:pPr>
            <w:r>
              <w:rPr>
                <w:color w:val="auto"/>
              </w:rPr>
              <w:t>现状评价</w:t>
            </w:r>
          </w:p>
        </w:tc>
        <w:tc>
          <w:tcPr>
            <w:tcW w:w="2021" w:type="pct"/>
            <w:gridSpan w:val="7"/>
            <w:tcBorders>
              <w:tl2br w:val="nil"/>
              <w:tr2bl w:val="nil"/>
            </w:tcBorders>
            <w:noWrap w:val="0"/>
            <w:vAlign w:val="center"/>
          </w:tcPr>
          <w:p w14:paraId="626AFB31">
            <w:pPr>
              <w:pStyle w:val="458"/>
              <w:rPr>
                <w:rFonts w:hint="eastAsia" w:eastAsia="宋体"/>
                <w:color w:val="auto"/>
                <w:lang w:eastAsia="zh-CN"/>
              </w:rPr>
            </w:pPr>
            <w:r>
              <w:rPr>
                <w:color w:val="auto"/>
              </w:rPr>
              <w:t>达标区</w:t>
            </w:r>
            <w:r>
              <w:rPr>
                <w:rFonts w:hint="eastAsia"/>
                <w:color w:val="auto"/>
                <w:lang w:eastAsia="zh-CN"/>
              </w:rPr>
              <w:t>☑</w:t>
            </w:r>
          </w:p>
        </w:tc>
        <w:tc>
          <w:tcPr>
            <w:tcW w:w="1726" w:type="pct"/>
            <w:gridSpan w:val="9"/>
            <w:tcBorders>
              <w:tl2br w:val="nil"/>
              <w:tr2bl w:val="nil"/>
            </w:tcBorders>
            <w:noWrap w:val="0"/>
            <w:vAlign w:val="center"/>
          </w:tcPr>
          <w:p w14:paraId="74BE4D8B">
            <w:pPr>
              <w:pStyle w:val="458"/>
              <w:rPr>
                <w:color w:val="auto"/>
              </w:rPr>
            </w:pPr>
            <w:r>
              <w:rPr>
                <w:color w:val="auto"/>
              </w:rPr>
              <w:t>不达标区</w:t>
            </w:r>
            <w:r>
              <w:rPr>
                <w:color w:val="auto"/>
              </w:rPr>
              <w:sym w:font="Wingdings 2" w:char="00A3"/>
            </w:r>
          </w:p>
        </w:tc>
      </w:tr>
      <w:tr w14:paraId="556EB8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tcBorders>
              <w:tl2br w:val="nil"/>
              <w:tr2bl w:val="nil"/>
            </w:tcBorders>
            <w:noWrap w:val="0"/>
            <w:vAlign w:val="center"/>
          </w:tcPr>
          <w:p w14:paraId="4BAA5F0D">
            <w:pPr>
              <w:pStyle w:val="458"/>
              <w:rPr>
                <w:color w:val="auto"/>
              </w:rPr>
            </w:pPr>
            <w:r>
              <w:rPr>
                <w:color w:val="auto"/>
              </w:rPr>
              <w:t>污染源调查</w:t>
            </w:r>
          </w:p>
        </w:tc>
        <w:tc>
          <w:tcPr>
            <w:tcW w:w="920" w:type="pct"/>
            <w:tcBorders>
              <w:tl2br w:val="nil"/>
              <w:tr2bl w:val="nil"/>
            </w:tcBorders>
            <w:noWrap w:val="0"/>
            <w:vAlign w:val="center"/>
          </w:tcPr>
          <w:p w14:paraId="1E46E4FB">
            <w:pPr>
              <w:pStyle w:val="458"/>
              <w:rPr>
                <w:color w:val="auto"/>
              </w:rPr>
            </w:pPr>
            <w:r>
              <w:rPr>
                <w:color w:val="auto"/>
              </w:rPr>
              <w:t>调查内容</w:t>
            </w:r>
          </w:p>
        </w:tc>
        <w:tc>
          <w:tcPr>
            <w:tcW w:w="1337" w:type="pct"/>
            <w:gridSpan w:val="5"/>
            <w:tcBorders>
              <w:tl2br w:val="nil"/>
              <w:tr2bl w:val="nil"/>
            </w:tcBorders>
            <w:noWrap w:val="0"/>
            <w:vAlign w:val="center"/>
          </w:tcPr>
          <w:p w14:paraId="65ADCD43">
            <w:pPr>
              <w:pStyle w:val="458"/>
              <w:rPr>
                <w:color w:val="auto"/>
              </w:rPr>
            </w:pPr>
            <w:r>
              <w:rPr>
                <w:color w:val="auto"/>
              </w:rPr>
              <w:t>本项目正常排放源</w:t>
            </w:r>
            <w:r>
              <w:rPr>
                <w:color w:val="auto"/>
              </w:rPr>
              <w:sym w:font="Wingdings 2" w:char="F052"/>
            </w:r>
          </w:p>
          <w:p w14:paraId="11A76979">
            <w:pPr>
              <w:pStyle w:val="458"/>
              <w:rPr>
                <w:color w:val="auto"/>
              </w:rPr>
            </w:pPr>
            <w:r>
              <w:rPr>
                <w:color w:val="auto"/>
              </w:rPr>
              <w:t>本项目非正常排放源□</w:t>
            </w:r>
          </w:p>
          <w:p w14:paraId="0A04DE9F">
            <w:pPr>
              <w:pStyle w:val="458"/>
              <w:rPr>
                <w:color w:val="auto"/>
              </w:rPr>
            </w:pPr>
            <w:r>
              <w:rPr>
                <w:color w:val="auto"/>
              </w:rPr>
              <w:t>现有污染源□</w:t>
            </w:r>
          </w:p>
        </w:tc>
        <w:tc>
          <w:tcPr>
            <w:tcW w:w="880" w:type="pct"/>
            <w:gridSpan w:val="3"/>
            <w:tcBorders>
              <w:tl2br w:val="nil"/>
              <w:tr2bl w:val="nil"/>
            </w:tcBorders>
            <w:noWrap w:val="0"/>
            <w:vAlign w:val="center"/>
          </w:tcPr>
          <w:p w14:paraId="599FE082">
            <w:pPr>
              <w:pStyle w:val="458"/>
              <w:rPr>
                <w:color w:val="auto"/>
              </w:rPr>
            </w:pPr>
            <w:r>
              <w:rPr>
                <w:color w:val="auto"/>
              </w:rPr>
              <w:t>拟替代的污染源□</w:t>
            </w:r>
          </w:p>
        </w:tc>
        <w:tc>
          <w:tcPr>
            <w:tcW w:w="829" w:type="pct"/>
            <w:gridSpan w:val="6"/>
            <w:tcBorders>
              <w:tl2br w:val="nil"/>
              <w:tr2bl w:val="nil"/>
            </w:tcBorders>
            <w:noWrap w:val="0"/>
            <w:vAlign w:val="center"/>
          </w:tcPr>
          <w:p w14:paraId="72124C39">
            <w:pPr>
              <w:pStyle w:val="458"/>
              <w:rPr>
                <w:color w:val="auto"/>
              </w:rPr>
            </w:pPr>
            <w:r>
              <w:rPr>
                <w:color w:val="auto"/>
              </w:rPr>
              <w:t>其他在建、拟建项目污染源□</w:t>
            </w:r>
          </w:p>
        </w:tc>
        <w:tc>
          <w:tcPr>
            <w:tcW w:w="699" w:type="pct"/>
            <w:gridSpan w:val="2"/>
            <w:tcBorders>
              <w:tl2br w:val="nil"/>
              <w:tr2bl w:val="nil"/>
            </w:tcBorders>
            <w:noWrap w:val="0"/>
            <w:vAlign w:val="center"/>
          </w:tcPr>
          <w:p w14:paraId="65459028">
            <w:pPr>
              <w:pStyle w:val="458"/>
              <w:rPr>
                <w:color w:val="auto"/>
              </w:rPr>
            </w:pPr>
            <w:r>
              <w:rPr>
                <w:color w:val="auto"/>
              </w:rPr>
              <w:t>区域污染源□</w:t>
            </w:r>
          </w:p>
        </w:tc>
      </w:tr>
      <w:tr w14:paraId="55A38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07834413">
            <w:pPr>
              <w:pStyle w:val="458"/>
              <w:rPr>
                <w:color w:val="auto"/>
              </w:rPr>
            </w:pPr>
            <w:r>
              <w:rPr>
                <w:color w:val="auto"/>
              </w:rPr>
              <w:t>大气环境影响预测与评价*</w:t>
            </w:r>
          </w:p>
        </w:tc>
        <w:tc>
          <w:tcPr>
            <w:tcW w:w="920" w:type="pct"/>
            <w:tcBorders>
              <w:tl2br w:val="nil"/>
              <w:tr2bl w:val="nil"/>
            </w:tcBorders>
            <w:noWrap w:val="0"/>
            <w:vAlign w:val="center"/>
          </w:tcPr>
          <w:p w14:paraId="27F67482">
            <w:pPr>
              <w:pStyle w:val="458"/>
              <w:rPr>
                <w:color w:val="auto"/>
              </w:rPr>
            </w:pPr>
            <w:r>
              <w:rPr>
                <w:color w:val="auto"/>
              </w:rPr>
              <w:t>预测模型</w:t>
            </w:r>
          </w:p>
        </w:tc>
        <w:tc>
          <w:tcPr>
            <w:tcW w:w="544" w:type="pct"/>
            <w:tcBorders>
              <w:tl2br w:val="nil"/>
              <w:tr2bl w:val="nil"/>
            </w:tcBorders>
            <w:noWrap w:val="0"/>
            <w:vAlign w:val="center"/>
          </w:tcPr>
          <w:p w14:paraId="631E355A">
            <w:pPr>
              <w:pStyle w:val="458"/>
              <w:rPr>
                <w:color w:val="auto"/>
                <w:sz w:val="18"/>
                <w:szCs w:val="18"/>
              </w:rPr>
            </w:pPr>
            <w:r>
              <w:rPr>
                <w:color w:val="auto"/>
                <w:sz w:val="18"/>
                <w:szCs w:val="18"/>
              </w:rPr>
              <w:t>AERMOD</w:t>
            </w:r>
          </w:p>
          <w:p w14:paraId="124E5258">
            <w:pPr>
              <w:pStyle w:val="458"/>
              <w:rPr>
                <w:color w:val="auto"/>
                <w:sz w:val="18"/>
                <w:szCs w:val="18"/>
              </w:rPr>
            </w:pPr>
            <w:r>
              <w:rPr>
                <w:color w:val="auto"/>
                <w:sz w:val="18"/>
                <w:szCs w:val="18"/>
              </w:rPr>
              <w:t>□</w:t>
            </w:r>
          </w:p>
        </w:tc>
        <w:tc>
          <w:tcPr>
            <w:tcW w:w="418" w:type="pct"/>
            <w:gridSpan w:val="2"/>
            <w:tcBorders>
              <w:tl2br w:val="nil"/>
              <w:tr2bl w:val="nil"/>
            </w:tcBorders>
            <w:noWrap w:val="0"/>
            <w:vAlign w:val="center"/>
          </w:tcPr>
          <w:p w14:paraId="568E9B2B">
            <w:pPr>
              <w:pStyle w:val="458"/>
              <w:rPr>
                <w:color w:val="auto"/>
                <w:sz w:val="18"/>
                <w:szCs w:val="18"/>
              </w:rPr>
            </w:pPr>
            <w:r>
              <w:rPr>
                <w:color w:val="auto"/>
                <w:sz w:val="18"/>
                <w:szCs w:val="18"/>
              </w:rPr>
              <w:t>ADMS</w:t>
            </w:r>
          </w:p>
          <w:p w14:paraId="4BC81EF1">
            <w:pPr>
              <w:pStyle w:val="458"/>
              <w:rPr>
                <w:color w:val="auto"/>
                <w:sz w:val="18"/>
                <w:szCs w:val="18"/>
              </w:rPr>
            </w:pPr>
            <w:r>
              <w:rPr>
                <w:color w:val="auto"/>
                <w:sz w:val="18"/>
                <w:szCs w:val="18"/>
              </w:rPr>
              <w:t>□</w:t>
            </w:r>
          </w:p>
        </w:tc>
        <w:tc>
          <w:tcPr>
            <w:tcW w:w="713" w:type="pct"/>
            <w:gridSpan w:val="3"/>
            <w:tcBorders>
              <w:tl2br w:val="nil"/>
              <w:tr2bl w:val="nil"/>
            </w:tcBorders>
            <w:noWrap w:val="0"/>
            <w:vAlign w:val="center"/>
          </w:tcPr>
          <w:p w14:paraId="3A34326F">
            <w:pPr>
              <w:pStyle w:val="458"/>
              <w:rPr>
                <w:color w:val="auto"/>
                <w:sz w:val="18"/>
                <w:szCs w:val="18"/>
              </w:rPr>
            </w:pPr>
            <w:r>
              <w:rPr>
                <w:color w:val="auto"/>
                <w:sz w:val="18"/>
                <w:szCs w:val="18"/>
              </w:rPr>
              <w:t>AUSTAL2000</w:t>
            </w:r>
          </w:p>
          <w:p w14:paraId="7D97D8E1">
            <w:pPr>
              <w:pStyle w:val="458"/>
              <w:rPr>
                <w:color w:val="auto"/>
                <w:sz w:val="18"/>
                <w:szCs w:val="18"/>
              </w:rPr>
            </w:pPr>
            <w:r>
              <w:rPr>
                <w:color w:val="auto"/>
                <w:sz w:val="18"/>
                <w:szCs w:val="18"/>
              </w:rPr>
              <w:t>□</w:t>
            </w:r>
          </w:p>
        </w:tc>
        <w:tc>
          <w:tcPr>
            <w:tcW w:w="648" w:type="pct"/>
            <w:gridSpan w:val="3"/>
            <w:tcBorders>
              <w:tl2br w:val="nil"/>
              <w:tr2bl w:val="nil"/>
            </w:tcBorders>
            <w:noWrap w:val="0"/>
            <w:vAlign w:val="center"/>
          </w:tcPr>
          <w:p w14:paraId="4D166E43">
            <w:pPr>
              <w:pStyle w:val="458"/>
              <w:rPr>
                <w:color w:val="auto"/>
                <w:sz w:val="18"/>
                <w:szCs w:val="18"/>
              </w:rPr>
            </w:pPr>
            <w:r>
              <w:rPr>
                <w:color w:val="auto"/>
                <w:sz w:val="18"/>
                <w:szCs w:val="18"/>
              </w:rPr>
              <w:t>EDMS/AEDT</w:t>
            </w:r>
          </w:p>
          <w:p w14:paraId="01463AEE">
            <w:pPr>
              <w:pStyle w:val="458"/>
              <w:rPr>
                <w:color w:val="auto"/>
                <w:sz w:val="18"/>
                <w:szCs w:val="18"/>
              </w:rPr>
            </w:pPr>
            <w:r>
              <w:rPr>
                <w:color w:val="auto"/>
                <w:sz w:val="18"/>
                <w:szCs w:val="18"/>
              </w:rPr>
              <w:t>□</w:t>
            </w:r>
          </w:p>
        </w:tc>
        <w:tc>
          <w:tcPr>
            <w:tcW w:w="595" w:type="pct"/>
            <w:gridSpan w:val="4"/>
            <w:tcBorders>
              <w:tl2br w:val="nil"/>
              <w:tr2bl w:val="nil"/>
            </w:tcBorders>
            <w:noWrap w:val="0"/>
            <w:vAlign w:val="center"/>
          </w:tcPr>
          <w:p w14:paraId="429057E1">
            <w:pPr>
              <w:pStyle w:val="458"/>
              <w:rPr>
                <w:color w:val="auto"/>
                <w:sz w:val="18"/>
                <w:szCs w:val="18"/>
              </w:rPr>
            </w:pPr>
            <w:r>
              <w:rPr>
                <w:color w:val="auto"/>
                <w:sz w:val="18"/>
                <w:szCs w:val="18"/>
              </w:rPr>
              <w:t>CALPUFF</w:t>
            </w:r>
          </w:p>
          <w:p w14:paraId="6581486E">
            <w:pPr>
              <w:pStyle w:val="458"/>
              <w:rPr>
                <w:color w:val="auto"/>
                <w:sz w:val="18"/>
                <w:szCs w:val="18"/>
              </w:rPr>
            </w:pPr>
            <w:r>
              <w:rPr>
                <w:color w:val="auto"/>
                <w:sz w:val="18"/>
                <w:szCs w:val="18"/>
              </w:rPr>
              <w:t>□</w:t>
            </w:r>
          </w:p>
        </w:tc>
        <w:tc>
          <w:tcPr>
            <w:tcW w:w="450" w:type="pct"/>
            <w:gridSpan w:val="2"/>
            <w:tcBorders>
              <w:tl2br w:val="nil"/>
              <w:tr2bl w:val="nil"/>
            </w:tcBorders>
            <w:noWrap w:val="0"/>
            <w:vAlign w:val="center"/>
          </w:tcPr>
          <w:p w14:paraId="247ECE1C">
            <w:pPr>
              <w:pStyle w:val="458"/>
              <w:rPr>
                <w:color w:val="auto"/>
                <w:sz w:val="18"/>
                <w:szCs w:val="18"/>
              </w:rPr>
            </w:pPr>
            <w:r>
              <w:rPr>
                <w:color w:val="auto"/>
                <w:sz w:val="18"/>
                <w:szCs w:val="18"/>
              </w:rPr>
              <w:t>网格模型</w:t>
            </w:r>
          </w:p>
          <w:p w14:paraId="1E5E13DC">
            <w:pPr>
              <w:pStyle w:val="458"/>
              <w:rPr>
                <w:color w:val="auto"/>
                <w:sz w:val="18"/>
                <w:szCs w:val="18"/>
              </w:rPr>
            </w:pPr>
            <w:r>
              <w:rPr>
                <w:color w:val="auto"/>
                <w:sz w:val="18"/>
                <w:szCs w:val="18"/>
              </w:rPr>
              <w:t>□</w:t>
            </w:r>
          </w:p>
        </w:tc>
        <w:tc>
          <w:tcPr>
            <w:tcW w:w="375" w:type="pct"/>
            <w:tcBorders>
              <w:tl2br w:val="nil"/>
              <w:tr2bl w:val="nil"/>
            </w:tcBorders>
            <w:noWrap w:val="0"/>
            <w:vAlign w:val="center"/>
          </w:tcPr>
          <w:p w14:paraId="48ED96E2">
            <w:pPr>
              <w:pStyle w:val="458"/>
              <w:rPr>
                <w:color w:val="auto"/>
                <w:sz w:val="18"/>
                <w:szCs w:val="18"/>
              </w:rPr>
            </w:pPr>
            <w:r>
              <w:rPr>
                <w:color w:val="auto"/>
                <w:sz w:val="18"/>
                <w:szCs w:val="18"/>
              </w:rPr>
              <w:t>其他</w:t>
            </w:r>
          </w:p>
          <w:p w14:paraId="68A4542D">
            <w:pPr>
              <w:pStyle w:val="458"/>
              <w:rPr>
                <w:color w:val="auto"/>
                <w:sz w:val="18"/>
                <w:szCs w:val="18"/>
              </w:rPr>
            </w:pPr>
            <w:r>
              <w:rPr>
                <w:color w:val="auto"/>
                <w:sz w:val="18"/>
                <w:szCs w:val="18"/>
              </w:rPr>
              <w:t>□</w:t>
            </w:r>
          </w:p>
        </w:tc>
      </w:tr>
      <w:tr w14:paraId="08C61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2E8BEEF1">
            <w:pPr>
              <w:pStyle w:val="458"/>
              <w:rPr>
                <w:color w:val="auto"/>
              </w:rPr>
            </w:pPr>
          </w:p>
        </w:tc>
        <w:tc>
          <w:tcPr>
            <w:tcW w:w="920" w:type="pct"/>
            <w:tcBorders>
              <w:tl2br w:val="nil"/>
              <w:tr2bl w:val="nil"/>
            </w:tcBorders>
            <w:noWrap w:val="0"/>
            <w:vAlign w:val="center"/>
          </w:tcPr>
          <w:p w14:paraId="68897BBD">
            <w:pPr>
              <w:pStyle w:val="458"/>
              <w:rPr>
                <w:color w:val="auto"/>
              </w:rPr>
            </w:pPr>
            <w:r>
              <w:rPr>
                <w:color w:val="auto"/>
              </w:rPr>
              <w:t>预测范围</w:t>
            </w:r>
          </w:p>
        </w:tc>
        <w:tc>
          <w:tcPr>
            <w:tcW w:w="1145" w:type="pct"/>
            <w:gridSpan w:val="4"/>
            <w:tcBorders>
              <w:tl2br w:val="nil"/>
              <w:tr2bl w:val="nil"/>
            </w:tcBorders>
            <w:noWrap w:val="0"/>
            <w:vAlign w:val="center"/>
          </w:tcPr>
          <w:p w14:paraId="03B48DB1">
            <w:pPr>
              <w:pStyle w:val="458"/>
              <w:rPr>
                <w:color w:val="auto"/>
              </w:rPr>
            </w:pPr>
            <w:r>
              <w:rPr>
                <w:color w:val="auto"/>
              </w:rPr>
              <w:t>边长≥50km□</w:t>
            </w:r>
          </w:p>
        </w:tc>
        <w:tc>
          <w:tcPr>
            <w:tcW w:w="1520" w:type="pct"/>
            <w:gridSpan w:val="7"/>
            <w:tcBorders>
              <w:tl2br w:val="nil"/>
              <w:tr2bl w:val="nil"/>
            </w:tcBorders>
            <w:noWrap w:val="0"/>
            <w:vAlign w:val="center"/>
          </w:tcPr>
          <w:p w14:paraId="74280403">
            <w:pPr>
              <w:pStyle w:val="458"/>
              <w:rPr>
                <w:color w:val="auto"/>
              </w:rPr>
            </w:pPr>
            <w:r>
              <w:rPr>
                <w:color w:val="auto"/>
              </w:rPr>
              <w:t>边长5~50km□</w:t>
            </w:r>
          </w:p>
        </w:tc>
        <w:tc>
          <w:tcPr>
            <w:tcW w:w="1081" w:type="pct"/>
            <w:gridSpan w:val="5"/>
            <w:tcBorders>
              <w:tl2br w:val="nil"/>
              <w:tr2bl w:val="nil"/>
            </w:tcBorders>
            <w:noWrap w:val="0"/>
            <w:vAlign w:val="center"/>
          </w:tcPr>
          <w:p w14:paraId="17B9D7B6">
            <w:pPr>
              <w:pStyle w:val="458"/>
              <w:rPr>
                <w:color w:val="auto"/>
              </w:rPr>
            </w:pPr>
            <w:r>
              <w:rPr>
                <w:color w:val="auto"/>
              </w:rPr>
              <w:t>边长=5km□</w:t>
            </w:r>
          </w:p>
        </w:tc>
      </w:tr>
      <w:tr w14:paraId="1BF64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708DEF10">
            <w:pPr>
              <w:pStyle w:val="458"/>
              <w:rPr>
                <w:color w:val="auto"/>
              </w:rPr>
            </w:pPr>
          </w:p>
        </w:tc>
        <w:tc>
          <w:tcPr>
            <w:tcW w:w="920" w:type="pct"/>
            <w:tcBorders>
              <w:tl2br w:val="nil"/>
              <w:tr2bl w:val="nil"/>
            </w:tcBorders>
            <w:noWrap w:val="0"/>
            <w:vAlign w:val="center"/>
          </w:tcPr>
          <w:p w14:paraId="78049DF3">
            <w:pPr>
              <w:pStyle w:val="458"/>
              <w:rPr>
                <w:color w:val="auto"/>
              </w:rPr>
            </w:pPr>
            <w:r>
              <w:rPr>
                <w:color w:val="auto"/>
              </w:rPr>
              <w:t>预测因子</w:t>
            </w:r>
          </w:p>
        </w:tc>
        <w:tc>
          <w:tcPr>
            <w:tcW w:w="2021" w:type="pct"/>
            <w:gridSpan w:val="7"/>
            <w:tcBorders>
              <w:tl2br w:val="nil"/>
              <w:tr2bl w:val="nil"/>
            </w:tcBorders>
            <w:noWrap w:val="0"/>
            <w:vAlign w:val="center"/>
          </w:tcPr>
          <w:p w14:paraId="0244DFC2">
            <w:pPr>
              <w:pStyle w:val="458"/>
              <w:rPr>
                <w:color w:val="auto"/>
              </w:rPr>
            </w:pPr>
            <w:r>
              <w:rPr>
                <w:color w:val="auto"/>
              </w:rPr>
              <w:t>预测因子（        ）</w:t>
            </w:r>
          </w:p>
        </w:tc>
        <w:tc>
          <w:tcPr>
            <w:tcW w:w="1726" w:type="pct"/>
            <w:gridSpan w:val="9"/>
            <w:tcBorders>
              <w:tl2br w:val="nil"/>
              <w:tr2bl w:val="nil"/>
            </w:tcBorders>
            <w:noWrap w:val="0"/>
            <w:vAlign w:val="center"/>
          </w:tcPr>
          <w:p w14:paraId="4CDCE33A">
            <w:pPr>
              <w:pStyle w:val="458"/>
              <w:rPr>
                <w:color w:val="auto"/>
              </w:rPr>
            </w:pPr>
            <w:r>
              <w:rPr>
                <w:color w:val="auto"/>
              </w:rPr>
              <w:t>包括二次PM</w:t>
            </w:r>
            <w:r>
              <w:rPr>
                <w:color w:val="auto"/>
                <w:vertAlign w:val="subscript"/>
              </w:rPr>
              <w:t>2.5</w:t>
            </w:r>
            <w:r>
              <w:rPr>
                <w:color w:val="auto"/>
              </w:rPr>
              <w:t>□</w:t>
            </w:r>
          </w:p>
          <w:p w14:paraId="28C0AA54">
            <w:pPr>
              <w:pStyle w:val="458"/>
              <w:rPr>
                <w:color w:val="auto"/>
              </w:rPr>
            </w:pPr>
            <w:r>
              <w:rPr>
                <w:color w:val="auto"/>
              </w:rPr>
              <w:t>不包括二次PM</w:t>
            </w:r>
            <w:r>
              <w:rPr>
                <w:color w:val="auto"/>
                <w:vertAlign w:val="subscript"/>
              </w:rPr>
              <w:t>2.5</w:t>
            </w:r>
            <w:r>
              <w:rPr>
                <w:color w:val="auto"/>
              </w:rPr>
              <w:t>□</w:t>
            </w:r>
          </w:p>
        </w:tc>
      </w:tr>
      <w:tr w14:paraId="332C4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424B13D9">
            <w:pPr>
              <w:pStyle w:val="458"/>
              <w:rPr>
                <w:color w:val="auto"/>
              </w:rPr>
            </w:pPr>
          </w:p>
        </w:tc>
        <w:tc>
          <w:tcPr>
            <w:tcW w:w="920" w:type="pct"/>
            <w:tcBorders>
              <w:tl2br w:val="nil"/>
              <w:tr2bl w:val="nil"/>
            </w:tcBorders>
            <w:noWrap w:val="0"/>
            <w:vAlign w:val="center"/>
          </w:tcPr>
          <w:p w14:paraId="579E3283">
            <w:pPr>
              <w:pStyle w:val="458"/>
              <w:rPr>
                <w:color w:val="auto"/>
              </w:rPr>
            </w:pPr>
            <w:r>
              <w:rPr>
                <w:color w:val="auto"/>
              </w:rPr>
              <w:t>正常排放短期浓度贡献值</w:t>
            </w:r>
          </w:p>
        </w:tc>
        <w:tc>
          <w:tcPr>
            <w:tcW w:w="2021" w:type="pct"/>
            <w:gridSpan w:val="7"/>
            <w:tcBorders>
              <w:tl2br w:val="nil"/>
              <w:tr2bl w:val="nil"/>
            </w:tcBorders>
            <w:noWrap w:val="0"/>
            <w:vAlign w:val="center"/>
          </w:tcPr>
          <w:p w14:paraId="456EC6EB">
            <w:pPr>
              <w:pStyle w:val="458"/>
              <w:rPr>
                <w:color w:val="auto"/>
              </w:rPr>
            </w:pPr>
            <w:r>
              <w:rPr>
                <w:color w:val="auto"/>
              </w:rPr>
              <w:t>C本项目最大占标率≤100%□</w:t>
            </w:r>
          </w:p>
        </w:tc>
        <w:tc>
          <w:tcPr>
            <w:tcW w:w="1726" w:type="pct"/>
            <w:gridSpan w:val="9"/>
            <w:tcBorders>
              <w:tl2br w:val="nil"/>
              <w:tr2bl w:val="nil"/>
            </w:tcBorders>
            <w:noWrap w:val="0"/>
            <w:vAlign w:val="center"/>
          </w:tcPr>
          <w:p w14:paraId="352DE5CB">
            <w:pPr>
              <w:pStyle w:val="458"/>
              <w:rPr>
                <w:color w:val="auto"/>
              </w:rPr>
            </w:pPr>
            <w:r>
              <w:rPr>
                <w:color w:val="auto"/>
              </w:rPr>
              <w:t>C本项目最大占标率＞100%□</w:t>
            </w:r>
          </w:p>
        </w:tc>
      </w:tr>
      <w:tr w14:paraId="25EC4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1894B852">
            <w:pPr>
              <w:pStyle w:val="458"/>
              <w:rPr>
                <w:color w:val="auto"/>
              </w:rPr>
            </w:pPr>
          </w:p>
        </w:tc>
        <w:tc>
          <w:tcPr>
            <w:tcW w:w="920" w:type="pct"/>
            <w:vMerge w:val="restart"/>
            <w:tcBorders>
              <w:tl2br w:val="nil"/>
              <w:tr2bl w:val="nil"/>
            </w:tcBorders>
            <w:noWrap w:val="0"/>
            <w:vAlign w:val="center"/>
          </w:tcPr>
          <w:p w14:paraId="366AEE38">
            <w:pPr>
              <w:pStyle w:val="458"/>
              <w:rPr>
                <w:color w:val="auto"/>
              </w:rPr>
            </w:pPr>
            <w:r>
              <w:rPr>
                <w:color w:val="auto"/>
              </w:rPr>
              <w:t>正常排放年均浓度贡献值</w:t>
            </w:r>
          </w:p>
        </w:tc>
        <w:tc>
          <w:tcPr>
            <w:tcW w:w="544" w:type="pct"/>
            <w:tcBorders>
              <w:tl2br w:val="nil"/>
              <w:tr2bl w:val="nil"/>
            </w:tcBorders>
            <w:noWrap w:val="0"/>
            <w:vAlign w:val="center"/>
          </w:tcPr>
          <w:p w14:paraId="059B17A9">
            <w:pPr>
              <w:pStyle w:val="458"/>
              <w:rPr>
                <w:color w:val="auto"/>
              </w:rPr>
            </w:pPr>
            <w:r>
              <w:rPr>
                <w:color w:val="auto"/>
              </w:rPr>
              <w:t>一类区</w:t>
            </w:r>
          </w:p>
        </w:tc>
        <w:tc>
          <w:tcPr>
            <w:tcW w:w="1476" w:type="pct"/>
            <w:gridSpan w:val="6"/>
            <w:tcBorders>
              <w:tl2br w:val="nil"/>
              <w:tr2bl w:val="nil"/>
            </w:tcBorders>
            <w:noWrap w:val="0"/>
            <w:vAlign w:val="center"/>
          </w:tcPr>
          <w:p w14:paraId="59364071">
            <w:pPr>
              <w:pStyle w:val="458"/>
              <w:rPr>
                <w:color w:val="auto"/>
              </w:rPr>
            </w:pPr>
            <w:r>
              <w:rPr>
                <w:color w:val="auto"/>
              </w:rPr>
              <w:t>C本项目最大占标率≤10%□</w:t>
            </w:r>
          </w:p>
        </w:tc>
        <w:tc>
          <w:tcPr>
            <w:tcW w:w="1726" w:type="pct"/>
            <w:gridSpan w:val="9"/>
            <w:tcBorders>
              <w:tl2br w:val="nil"/>
              <w:tr2bl w:val="nil"/>
            </w:tcBorders>
            <w:noWrap w:val="0"/>
            <w:vAlign w:val="center"/>
          </w:tcPr>
          <w:p w14:paraId="3FA05AE5">
            <w:pPr>
              <w:pStyle w:val="458"/>
              <w:rPr>
                <w:color w:val="auto"/>
              </w:rPr>
            </w:pPr>
            <w:r>
              <w:rPr>
                <w:color w:val="auto"/>
              </w:rPr>
              <w:t>C本项目最大占标率＞10%□</w:t>
            </w:r>
          </w:p>
        </w:tc>
      </w:tr>
      <w:tr w14:paraId="61DAA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2D98495F">
            <w:pPr>
              <w:pStyle w:val="458"/>
              <w:rPr>
                <w:color w:val="auto"/>
              </w:rPr>
            </w:pPr>
          </w:p>
        </w:tc>
        <w:tc>
          <w:tcPr>
            <w:tcW w:w="920" w:type="pct"/>
            <w:vMerge w:val="continue"/>
            <w:tcBorders>
              <w:tl2br w:val="nil"/>
              <w:tr2bl w:val="nil"/>
            </w:tcBorders>
            <w:noWrap w:val="0"/>
            <w:vAlign w:val="center"/>
          </w:tcPr>
          <w:p w14:paraId="5E5D4CAF">
            <w:pPr>
              <w:pStyle w:val="458"/>
              <w:rPr>
                <w:color w:val="auto"/>
              </w:rPr>
            </w:pPr>
          </w:p>
        </w:tc>
        <w:tc>
          <w:tcPr>
            <w:tcW w:w="544" w:type="pct"/>
            <w:tcBorders>
              <w:tl2br w:val="nil"/>
              <w:tr2bl w:val="nil"/>
            </w:tcBorders>
            <w:noWrap w:val="0"/>
            <w:vAlign w:val="center"/>
          </w:tcPr>
          <w:p w14:paraId="79EABEC2">
            <w:pPr>
              <w:pStyle w:val="458"/>
              <w:rPr>
                <w:color w:val="auto"/>
              </w:rPr>
            </w:pPr>
            <w:r>
              <w:rPr>
                <w:color w:val="auto"/>
              </w:rPr>
              <w:t>二类区</w:t>
            </w:r>
          </w:p>
        </w:tc>
        <w:tc>
          <w:tcPr>
            <w:tcW w:w="1476" w:type="pct"/>
            <w:gridSpan w:val="6"/>
            <w:tcBorders>
              <w:tl2br w:val="nil"/>
              <w:tr2bl w:val="nil"/>
            </w:tcBorders>
            <w:noWrap w:val="0"/>
            <w:vAlign w:val="center"/>
          </w:tcPr>
          <w:p w14:paraId="447D2D9D">
            <w:pPr>
              <w:pStyle w:val="458"/>
              <w:rPr>
                <w:rFonts w:hint="eastAsia" w:eastAsia="宋体"/>
                <w:color w:val="auto"/>
                <w:lang w:eastAsia="zh-CN"/>
              </w:rPr>
            </w:pPr>
            <w:r>
              <w:rPr>
                <w:color w:val="auto"/>
              </w:rPr>
              <w:t>C本项目最大占标率≤30%</w:t>
            </w:r>
            <w:r>
              <w:rPr>
                <w:rFonts w:hint="eastAsia"/>
                <w:color w:val="auto"/>
                <w:lang w:eastAsia="zh-CN"/>
              </w:rPr>
              <w:t>☑</w:t>
            </w:r>
          </w:p>
        </w:tc>
        <w:tc>
          <w:tcPr>
            <w:tcW w:w="1726" w:type="pct"/>
            <w:gridSpan w:val="9"/>
            <w:tcBorders>
              <w:tl2br w:val="nil"/>
              <w:tr2bl w:val="nil"/>
            </w:tcBorders>
            <w:noWrap w:val="0"/>
            <w:vAlign w:val="center"/>
          </w:tcPr>
          <w:p w14:paraId="1F86A608">
            <w:pPr>
              <w:pStyle w:val="458"/>
              <w:rPr>
                <w:color w:val="auto"/>
              </w:rPr>
            </w:pPr>
            <w:r>
              <w:rPr>
                <w:color w:val="auto"/>
              </w:rPr>
              <w:t>C本项目最大占标率＞30%□</w:t>
            </w:r>
          </w:p>
        </w:tc>
      </w:tr>
      <w:tr w14:paraId="3205E5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6769CB30">
            <w:pPr>
              <w:pStyle w:val="458"/>
              <w:rPr>
                <w:color w:val="auto"/>
              </w:rPr>
            </w:pPr>
          </w:p>
        </w:tc>
        <w:tc>
          <w:tcPr>
            <w:tcW w:w="920" w:type="pct"/>
            <w:tcBorders>
              <w:tl2br w:val="nil"/>
              <w:tr2bl w:val="nil"/>
            </w:tcBorders>
            <w:noWrap w:val="0"/>
            <w:vAlign w:val="center"/>
          </w:tcPr>
          <w:p w14:paraId="125B6FD4">
            <w:pPr>
              <w:pStyle w:val="458"/>
              <w:rPr>
                <w:color w:val="auto"/>
              </w:rPr>
            </w:pPr>
            <w:r>
              <w:rPr>
                <w:color w:val="auto"/>
              </w:rPr>
              <w:t>非正常排放1h浓度贡献值</w:t>
            </w:r>
          </w:p>
        </w:tc>
        <w:tc>
          <w:tcPr>
            <w:tcW w:w="899" w:type="pct"/>
            <w:gridSpan w:val="2"/>
            <w:tcBorders>
              <w:tl2br w:val="nil"/>
              <w:tr2bl w:val="nil"/>
            </w:tcBorders>
            <w:noWrap w:val="0"/>
            <w:vAlign w:val="center"/>
          </w:tcPr>
          <w:p w14:paraId="1D911AAA">
            <w:pPr>
              <w:pStyle w:val="458"/>
              <w:rPr>
                <w:color w:val="auto"/>
              </w:rPr>
            </w:pPr>
            <w:r>
              <w:rPr>
                <w:color w:val="auto"/>
              </w:rPr>
              <w:t>非正常持续时长（ ）h</w:t>
            </w:r>
          </w:p>
        </w:tc>
        <w:tc>
          <w:tcPr>
            <w:tcW w:w="1697" w:type="pct"/>
            <w:gridSpan w:val="8"/>
            <w:tcBorders>
              <w:tl2br w:val="nil"/>
              <w:tr2bl w:val="nil"/>
            </w:tcBorders>
            <w:noWrap w:val="0"/>
            <w:vAlign w:val="center"/>
          </w:tcPr>
          <w:p w14:paraId="4C1F58C5">
            <w:pPr>
              <w:pStyle w:val="458"/>
              <w:rPr>
                <w:color w:val="auto"/>
              </w:rPr>
            </w:pPr>
            <w:r>
              <w:rPr>
                <w:color w:val="auto"/>
              </w:rPr>
              <w:t>C非正常占标率≤100%□</w:t>
            </w:r>
          </w:p>
        </w:tc>
        <w:tc>
          <w:tcPr>
            <w:tcW w:w="1150" w:type="pct"/>
            <w:gridSpan w:val="6"/>
            <w:tcBorders>
              <w:tl2br w:val="nil"/>
              <w:tr2bl w:val="nil"/>
            </w:tcBorders>
            <w:noWrap w:val="0"/>
            <w:vAlign w:val="center"/>
          </w:tcPr>
          <w:p w14:paraId="39FE54A9">
            <w:pPr>
              <w:pStyle w:val="458"/>
              <w:rPr>
                <w:color w:val="auto"/>
              </w:rPr>
            </w:pPr>
            <w:r>
              <w:rPr>
                <w:color w:val="auto"/>
              </w:rPr>
              <w:t>C非正常占标率＞100%□</w:t>
            </w:r>
          </w:p>
        </w:tc>
      </w:tr>
      <w:tr w14:paraId="0F388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3A0916B9">
            <w:pPr>
              <w:pStyle w:val="458"/>
              <w:rPr>
                <w:color w:val="auto"/>
              </w:rPr>
            </w:pPr>
          </w:p>
        </w:tc>
        <w:tc>
          <w:tcPr>
            <w:tcW w:w="920" w:type="pct"/>
            <w:tcBorders>
              <w:tl2br w:val="nil"/>
              <w:tr2bl w:val="nil"/>
            </w:tcBorders>
            <w:noWrap w:val="0"/>
            <w:vAlign w:val="center"/>
          </w:tcPr>
          <w:p w14:paraId="5174EADA">
            <w:pPr>
              <w:pStyle w:val="458"/>
              <w:rPr>
                <w:color w:val="auto"/>
              </w:rPr>
            </w:pPr>
            <w:r>
              <w:rPr>
                <w:color w:val="auto"/>
              </w:rPr>
              <w:t>保证率日平均浓度和年平均浓度叠加值</w:t>
            </w:r>
          </w:p>
        </w:tc>
        <w:tc>
          <w:tcPr>
            <w:tcW w:w="2021" w:type="pct"/>
            <w:gridSpan w:val="7"/>
            <w:tcBorders>
              <w:tl2br w:val="nil"/>
              <w:tr2bl w:val="nil"/>
            </w:tcBorders>
            <w:noWrap w:val="0"/>
            <w:vAlign w:val="center"/>
          </w:tcPr>
          <w:p w14:paraId="058869E5">
            <w:pPr>
              <w:pStyle w:val="458"/>
              <w:rPr>
                <w:color w:val="auto"/>
              </w:rPr>
            </w:pPr>
            <w:r>
              <w:rPr>
                <w:color w:val="auto"/>
              </w:rPr>
              <w:t>C叠加达标□</w:t>
            </w:r>
          </w:p>
        </w:tc>
        <w:tc>
          <w:tcPr>
            <w:tcW w:w="1726" w:type="pct"/>
            <w:gridSpan w:val="9"/>
            <w:tcBorders>
              <w:tl2br w:val="nil"/>
              <w:tr2bl w:val="nil"/>
            </w:tcBorders>
            <w:noWrap w:val="0"/>
            <w:vAlign w:val="center"/>
          </w:tcPr>
          <w:p w14:paraId="22358F27">
            <w:pPr>
              <w:pStyle w:val="458"/>
              <w:rPr>
                <w:color w:val="auto"/>
              </w:rPr>
            </w:pPr>
            <w:r>
              <w:rPr>
                <w:color w:val="auto"/>
              </w:rPr>
              <w:t>C叠加不达标□</w:t>
            </w:r>
          </w:p>
        </w:tc>
      </w:tr>
      <w:tr w14:paraId="3065D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118E1BD2">
            <w:pPr>
              <w:pStyle w:val="458"/>
              <w:rPr>
                <w:color w:val="auto"/>
              </w:rPr>
            </w:pPr>
          </w:p>
        </w:tc>
        <w:tc>
          <w:tcPr>
            <w:tcW w:w="920" w:type="pct"/>
            <w:tcBorders>
              <w:tl2br w:val="nil"/>
              <w:tr2bl w:val="nil"/>
            </w:tcBorders>
            <w:noWrap w:val="0"/>
            <w:vAlign w:val="center"/>
          </w:tcPr>
          <w:p w14:paraId="64F7B587">
            <w:pPr>
              <w:pStyle w:val="458"/>
              <w:rPr>
                <w:color w:val="auto"/>
              </w:rPr>
            </w:pPr>
            <w:r>
              <w:rPr>
                <w:color w:val="auto"/>
              </w:rPr>
              <w:t>区域环境质量的整体变化情况</w:t>
            </w:r>
          </w:p>
        </w:tc>
        <w:tc>
          <w:tcPr>
            <w:tcW w:w="2021" w:type="pct"/>
            <w:gridSpan w:val="7"/>
            <w:tcBorders>
              <w:tl2br w:val="nil"/>
              <w:tr2bl w:val="nil"/>
            </w:tcBorders>
            <w:noWrap w:val="0"/>
            <w:vAlign w:val="center"/>
          </w:tcPr>
          <w:p w14:paraId="4C00E0B2">
            <w:pPr>
              <w:pStyle w:val="458"/>
              <w:rPr>
                <w:color w:val="auto"/>
              </w:rPr>
            </w:pPr>
            <w:r>
              <w:rPr>
                <w:color w:val="auto"/>
              </w:rPr>
              <w:t>k ≤ -20%□</w:t>
            </w:r>
          </w:p>
        </w:tc>
        <w:tc>
          <w:tcPr>
            <w:tcW w:w="1726" w:type="pct"/>
            <w:gridSpan w:val="9"/>
            <w:tcBorders>
              <w:tl2br w:val="nil"/>
              <w:tr2bl w:val="nil"/>
            </w:tcBorders>
            <w:noWrap w:val="0"/>
            <w:vAlign w:val="center"/>
          </w:tcPr>
          <w:p w14:paraId="3B726776">
            <w:pPr>
              <w:pStyle w:val="458"/>
              <w:rPr>
                <w:color w:val="auto"/>
              </w:rPr>
            </w:pPr>
            <w:r>
              <w:rPr>
                <w:color w:val="auto"/>
              </w:rPr>
              <w:t>k ＞ -20%□</w:t>
            </w:r>
          </w:p>
        </w:tc>
      </w:tr>
      <w:tr w14:paraId="54143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3BA49424">
            <w:pPr>
              <w:pStyle w:val="458"/>
              <w:rPr>
                <w:color w:val="auto"/>
              </w:rPr>
            </w:pPr>
            <w:r>
              <w:rPr>
                <w:color w:val="auto"/>
              </w:rPr>
              <w:t>环境监测计划</w:t>
            </w:r>
          </w:p>
        </w:tc>
        <w:tc>
          <w:tcPr>
            <w:tcW w:w="920" w:type="pct"/>
            <w:tcBorders>
              <w:tl2br w:val="nil"/>
              <w:tr2bl w:val="nil"/>
            </w:tcBorders>
            <w:noWrap w:val="0"/>
            <w:vAlign w:val="center"/>
          </w:tcPr>
          <w:p w14:paraId="3C7BAFFC">
            <w:pPr>
              <w:pStyle w:val="458"/>
              <w:rPr>
                <w:color w:val="auto"/>
              </w:rPr>
            </w:pPr>
            <w:r>
              <w:rPr>
                <w:color w:val="auto"/>
              </w:rPr>
              <w:t>污染源监测</w:t>
            </w:r>
          </w:p>
        </w:tc>
        <w:tc>
          <w:tcPr>
            <w:tcW w:w="1145" w:type="pct"/>
            <w:gridSpan w:val="4"/>
            <w:tcBorders>
              <w:tl2br w:val="nil"/>
              <w:tr2bl w:val="nil"/>
            </w:tcBorders>
            <w:noWrap w:val="0"/>
            <w:vAlign w:val="center"/>
          </w:tcPr>
          <w:p w14:paraId="41FE5952">
            <w:pPr>
              <w:pStyle w:val="458"/>
              <w:rPr>
                <w:color w:val="auto"/>
              </w:rPr>
            </w:pPr>
            <w:r>
              <w:rPr>
                <w:color w:val="auto"/>
              </w:rPr>
              <w:t>监测因子：（NH</w:t>
            </w:r>
            <w:r>
              <w:rPr>
                <w:color w:val="auto"/>
                <w:vertAlign w:val="subscript"/>
              </w:rPr>
              <w:t>3</w:t>
            </w:r>
            <w:r>
              <w:rPr>
                <w:color w:val="auto"/>
              </w:rPr>
              <w:t>、H</w:t>
            </w:r>
            <w:r>
              <w:rPr>
                <w:color w:val="auto"/>
                <w:vertAlign w:val="subscript"/>
              </w:rPr>
              <w:t>2</w:t>
            </w:r>
            <w:r>
              <w:rPr>
                <w:color w:val="auto"/>
              </w:rPr>
              <w:t>S）</w:t>
            </w:r>
          </w:p>
        </w:tc>
        <w:tc>
          <w:tcPr>
            <w:tcW w:w="1520" w:type="pct"/>
            <w:gridSpan w:val="7"/>
            <w:tcBorders>
              <w:tl2br w:val="nil"/>
              <w:tr2bl w:val="nil"/>
            </w:tcBorders>
            <w:noWrap w:val="0"/>
            <w:vAlign w:val="center"/>
          </w:tcPr>
          <w:p w14:paraId="246FEDDE">
            <w:pPr>
              <w:pStyle w:val="458"/>
              <w:rPr>
                <w:color w:val="auto"/>
              </w:rPr>
            </w:pPr>
            <w:r>
              <w:rPr>
                <w:color w:val="auto"/>
              </w:rPr>
              <w:t>无组织废气监测</w:t>
            </w:r>
            <w:r>
              <w:rPr>
                <w:color w:val="auto"/>
              </w:rPr>
              <w:sym w:font="Wingdings 2" w:char="00A3"/>
            </w:r>
          </w:p>
          <w:p w14:paraId="165BBED8">
            <w:pPr>
              <w:pStyle w:val="458"/>
              <w:rPr>
                <w:color w:val="auto"/>
              </w:rPr>
            </w:pPr>
            <w:r>
              <w:rPr>
                <w:color w:val="auto"/>
              </w:rPr>
              <w:t>有组织废气监测</w:t>
            </w:r>
            <w:r>
              <w:rPr>
                <w:color w:val="auto"/>
              </w:rPr>
              <w:sym w:font="Wingdings 2" w:char="0052"/>
            </w:r>
          </w:p>
        </w:tc>
        <w:tc>
          <w:tcPr>
            <w:tcW w:w="1081" w:type="pct"/>
            <w:gridSpan w:val="5"/>
            <w:tcBorders>
              <w:tl2br w:val="nil"/>
              <w:tr2bl w:val="nil"/>
            </w:tcBorders>
            <w:noWrap w:val="0"/>
            <w:vAlign w:val="center"/>
          </w:tcPr>
          <w:p w14:paraId="10A3E987">
            <w:pPr>
              <w:pStyle w:val="458"/>
              <w:rPr>
                <w:color w:val="auto"/>
              </w:rPr>
            </w:pPr>
            <w:r>
              <w:rPr>
                <w:color w:val="auto"/>
              </w:rPr>
              <w:t>无监测□</w:t>
            </w:r>
          </w:p>
        </w:tc>
      </w:tr>
      <w:tr w14:paraId="2D211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6C099100">
            <w:pPr>
              <w:pStyle w:val="458"/>
              <w:rPr>
                <w:color w:val="auto"/>
              </w:rPr>
            </w:pPr>
          </w:p>
        </w:tc>
        <w:tc>
          <w:tcPr>
            <w:tcW w:w="920" w:type="pct"/>
            <w:tcBorders>
              <w:tl2br w:val="nil"/>
              <w:tr2bl w:val="nil"/>
            </w:tcBorders>
            <w:noWrap w:val="0"/>
            <w:vAlign w:val="center"/>
          </w:tcPr>
          <w:p w14:paraId="5D33D828">
            <w:pPr>
              <w:pStyle w:val="458"/>
              <w:rPr>
                <w:color w:val="auto"/>
              </w:rPr>
            </w:pPr>
            <w:r>
              <w:rPr>
                <w:color w:val="auto"/>
              </w:rPr>
              <w:t>环境质量监测</w:t>
            </w:r>
          </w:p>
        </w:tc>
        <w:tc>
          <w:tcPr>
            <w:tcW w:w="1145" w:type="pct"/>
            <w:gridSpan w:val="4"/>
            <w:tcBorders>
              <w:tl2br w:val="nil"/>
              <w:tr2bl w:val="nil"/>
            </w:tcBorders>
            <w:noWrap w:val="0"/>
            <w:vAlign w:val="center"/>
          </w:tcPr>
          <w:p w14:paraId="497F385E">
            <w:pPr>
              <w:pStyle w:val="458"/>
              <w:rPr>
                <w:color w:val="auto"/>
              </w:rPr>
            </w:pPr>
            <w:r>
              <w:rPr>
                <w:color w:val="auto"/>
              </w:rPr>
              <w:t>监测因子：（   ）</w:t>
            </w:r>
          </w:p>
        </w:tc>
        <w:tc>
          <w:tcPr>
            <w:tcW w:w="1520" w:type="pct"/>
            <w:gridSpan w:val="7"/>
            <w:tcBorders>
              <w:tl2br w:val="nil"/>
              <w:tr2bl w:val="nil"/>
            </w:tcBorders>
            <w:noWrap w:val="0"/>
            <w:vAlign w:val="center"/>
          </w:tcPr>
          <w:p w14:paraId="02585E10">
            <w:pPr>
              <w:pStyle w:val="458"/>
              <w:rPr>
                <w:color w:val="auto"/>
              </w:rPr>
            </w:pPr>
            <w:r>
              <w:rPr>
                <w:color w:val="auto"/>
              </w:rPr>
              <w:t>监测点位数（  ）</w:t>
            </w:r>
          </w:p>
        </w:tc>
        <w:tc>
          <w:tcPr>
            <w:tcW w:w="1081" w:type="pct"/>
            <w:gridSpan w:val="5"/>
            <w:tcBorders>
              <w:tl2br w:val="nil"/>
              <w:tr2bl w:val="nil"/>
            </w:tcBorders>
            <w:noWrap w:val="0"/>
            <w:vAlign w:val="center"/>
          </w:tcPr>
          <w:p w14:paraId="07E0CE62">
            <w:pPr>
              <w:pStyle w:val="458"/>
              <w:rPr>
                <w:color w:val="auto"/>
              </w:rPr>
            </w:pPr>
            <w:r>
              <w:rPr>
                <w:color w:val="auto"/>
              </w:rPr>
              <w:t>无监测</w:t>
            </w:r>
            <w:r>
              <w:rPr>
                <w:color w:val="auto"/>
              </w:rPr>
              <w:sym w:font="Wingdings 2" w:char="0052"/>
            </w:r>
          </w:p>
        </w:tc>
      </w:tr>
      <w:tr w14:paraId="32B6C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restart"/>
            <w:tcBorders>
              <w:tl2br w:val="nil"/>
              <w:tr2bl w:val="nil"/>
            </w:tcBorders>
            <w:noWrap w:val="0"/>
            <w:vAlign w:val="center"/>
          </w:tcPr>
          <w:p w14:paraId="233E57B4">
            <w:pPr>
              <w:pStyle w:val="458"/>
              <w:rPr>
                <w:color w:val="auto"/>
              </w:rPr>
            </w:pPr>
            <w:r>
              <w:rPr>
                <w:color w:val="auto"/>
              </w:rPr>
              <w:t>评价结论</w:t>
            </w:r>
          </w:p>
        </w:tc>
        <w:tc>
          <w:tcPr>
            <w:tcW w:w="920" w:type="pct"/>
            <w:tcBorders>
              <w:tl2br w:val="nil"/>
              <w:tr2bl w:val="nil"/>
            </w:tcBorders>
            <w:noWrap w:val="0"/>
            <w:vAlign w:val="center"/>
          </w:tcPr>
          <w:p w14:paraId="0B4023D1">
            <w:pPr>
              <w:pStyle w:val="458"/>
              <w:rPr>
                <w:color w:val="auto"/>
              </w:rPr>
            </w:pPr>
            <w:r>
              <w:rPr>
                <w:color w:val="auto"/>
              </w:rPr>
              <w:t>环境影响</w:t>
            </w:r>
          </w:p>
        </w:tc>
        <w:tc>
          <w:tcPr>
            <w:tcW w:w="3747" w:type="pct"/>
            <w:gridSpan w:val="16"/>
            <w:tcBorders>
              <w:tl2br w:val="nil"/>
              <w:tr2bl w:val="nil"/>
            </w:tcBorders>
            <w:noWrap w:val="0"/>
            <w:vAlign w:val="center"/>
          </w:tcPr>
          <w:p w14:paraId="39103FDC">
            <w:pPr>
              <w:pStyle w:val="458"/>
              <w:rPr>
                <w:color w:val="auto"/>
              </w:rPr>
            </w:pPr>
            <w:r>
              <w:rPr>
                <w:color w:val="auto"/>
              </w:rPr>
              <w:t>可以接受</w:t>
            </w:r>
            <w:r>
              <w:rPr>
                <w:color w:val="auto"/>
              </w:rPr>
              <w:sym w:font="Wingdings 2" w:char="F052"/>
            </w:r>
            <w:r>
              <w:rPr>
                <w:color w:val="auto"/>
              </w:rPr>
              <w:t xml:space="preserve">     不可以接受□</w:t>
            </w:r>
          </w:p>
        </w:tc>
      </w:tr>
      <w:tr w14:paraId="238AA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43EB7D11">
            <w:pPr>
              <w:pStyle w:val="458"/>
              <w:rPr>
                <w:color w:val="auto"/>
              </w:rPr>
            </w:pPr>
          </w:p>
        </w:tc>
        <w:tc>
          <w:tcPr>
            <w:tcW w:w="920" w:type="pct"/>
            <w:tcBorders>
              <w:tl2br w:val="nil"/>
              <w:tr2bl w:val="nil"/>
            </w:tcBorders>
            <w:noWrap w:val="0"/>
            <w:vAlign w:val="center"/>
          </w:tcPr>
          <w:p w14:paraId="72AED081">
            <w:pPr>
              <w:pStyle w:val="458"/>
              <w:rPr>
                <w:color w:val="auto"/>
              </w:rPr>
            </w:pPr>
            <w:r>
              <w:rPr>
                <w:color w:val="auto"/>
              </w:rPr>
              <w:t>大气环境防护距离</w:t>
            </w:r>
          </w:p>
        </w:tc>
        <w:tc>
          <w:tcPr>
            <w:tcW w:w="3747" w:type="pct"/>
            <w:gridSpan w:val="16"/>
            <w:tcBorders>
              <w:tl2br w:val="nil"/>
              <w:tr2bl w:val="nil"/>
            </w:tcBorders>
            <w:noWrap w:val="0"/>
            <w:vAlign w:val="center"/>
          </w:tcPr>
          <w:p w14:paraId="6E7BF32D">
            <w:pPr>
              <w:pStyle w:val="458"/>
              <w:rPr>
                <w:color w:val="auto"/>
              </w:rPr>
            </w:pPr>
            <w:r>
              <w:rPr>
                <w:color w:val="auto"/>
              </w:rPr>
              <w:t>距（     ）厂界最远（     ）m</w:t>
            </w:r>
          </w:p>
        </w:tc>
      </w:tr>
      <w:tr w14:paraId="5B095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1" w:type="pct"/>
            <w:vMerge w:val="continue"/>
            <w:tcBorders>
              <w:tl2br w:val="nil"/>
              <w:tr2bl w:val="nil"/>
            </w:tcBorders>
            <w:noWrap w:val="0"/>
            <w:vAlign w:val="center"/>
          </w:tcPr>
          <w:p w14:paraId="6279EF77">
            <w:pPr>
              <w:pStyle w:val="458"/>
              <w:rPr>
                <w:color w:val="auto"/>
              </w:rPr>
            </w:pPr>
          </w:p>
        </w:tc>
        <w:tc>
          <w:tcPr>
            <w:tcW w:w="920" w:type="pct"/>
            <w:tcBorders>
              <w:tl2br w:val="nil"/>
              <w:tr2bl w:val="nil"/>
            </w:tcBorders>
            <w:noWrap w:val="0"/>
            <w:vAlign w:val="center"/>
          </w:tcPr>
          <w:p w14:paraId="2477E3B0">
            <w:pPr>
              <w:pStyle w:val="458"/>
              <w:rPr>
                <w:color w:val="auto"/>
              </w:rPr>
            </w:pPr>
            <w:r>
              <w:rPr>
                <w:color w:val="auto"/>
              </w:rPr>
              <w:t>污染源年排放量</w:t>
            </w:r>
          </w:p>
        </w:tc>
        <w:tc>
          <w:tcPr>
            <w:tcW w:w="899" w:type="pct"/>
            <w:gridSpan w:val="2"/>
            <w:tcBorders>
              <w:tl2br w:val="nil"/>
              <w:tr2bl w:val="nil"/>
            </w:tcBorders>
            <w:noWrap w:val="0"/>
            <w:vAlign w:val="center"/>
          </w:tcPr>
          <w:p w14:paraId="12441321">
            <w:pPr>
              <w:pStyle w:val="458"/>
              <w:rPr>
                <w:color w:val="auto"/>
              </w:rPr>
            </w:pPr>
            <w:r>
              <w:rPr>
                <w:color w:val="auto"/>
              </w:rPr>
              <w:t>SO</w:t>
            </w:r>
            <w:r>
              <w:rPr>
                <w:color w:val="auto"/>
                <w:vertAlign w:val="subscript"/>
              </w:rPr>
              <w:t>2</w:t>
            </w:r>
            <w:r>
              <w:rPr>
                <w:color w:val="auto"/>
              </w:rPr>
              <w:t>：（   ）t/a</w:t>
            </w:r>
          </w:p>
        </w:tc>
        <w:tc>
          <w:tcPr>
            <w:tcW w:w="1121" w:type="pct"/>
            <w:gridSpan w:val="5"/>
            <w:tcBorders>
              <w:tl2br w:val="nil"/>
              <w:tr2bl w:val="nil"/>
            </w:tcBorders>
            <w:noWrap w:val="0"/>
            <w:vAlign w:val="center"/>
          </w:tcPr>
          <w:p w14:paraId="6DD135C4">
            <w:pPr>
              <w:pStyle w:val="458"/>
              <w:rPr>
                <w:color w:val="auto"/>
              </w:rPr>
            </w:pPr>
            <w:r>
              <w:rPr>
                <w:color w:val="auto"/>
              </w:rPr>
              <w:t>NOx：（   ）t/a</w:t>
            </w:r>
          </w:p>
        </w:tc>
        <w:tc>
          <w:tcPr>
            <w:tcW w:w="881" w:type="pct"/>
            <w:gridSpan w:val="5"/>
            <w:tcBorders>
              <w:tl2br w:val="nil"/>
              <w:tr2bl w:val="nil"/>
            </w:tcBorders>
            <w:noWrap w:val="0"/>
            <w:vAlign w:val="center"/>
          </w:tcPr>
          <w:p w14:paraId="76E845EB">
            <w:pPr>
              <w:pStyle w:val="458"/>
              <w:rPr>
                <w:color w:val="auto"/>
              </w:rPr>
            </w:pPr>
            <w:r>
              <w:rPr>
                <w:color w:val="auto"/>
              </w:rPr>
              <w:t>NH</w:t>
            </w:r>
            <w:r>
              <w:rPr>
                <w:color w:val="auto"/>
                <w:vertAlign w:val="subscript"/>
              </w:rPr>
              <w:t>3</w:t>
            </w:r>
            <w:r>
              <w:rPr>
                <w:color w:val="auto"/>
              </w:rPr>
              <w:t>：（</w:t>
            </w:r>
            <w:r>
              <w:rPr>
                <w:rFonts w:hint="eastAsia"/>
                <w:color w:val="auto"/>
                <w:lang w:val="en-US" w:eastAsia="zh-CN"/>
              </w:rPr>
              <w:t>0.3946</w:t>
            </w:r>
            <w:r>
              <w:rPr>
                <w:color w:val="auto"/>
              </w:rPr>
              <w:t>）t/a</w:t>
            </w:r>
          </w:p>
        </w:tc>
        <w:tc>
          <w:tcPr>
            <w:tcW w:w="845" w:type="pct"/>
            <w:gridSpan w:val="4"/>
            <w:tcBorders>
              <w:tl2br w:val="nil"/>
              <w:tr2bl w:val="nil"/>
            </w:tcBorders>
            <w:noWrap w:val="0"/>
            <w:vAlign w:val="center"/>
          </w:tcPr>
          <w:p w14:paraId="26622270">
            <w:pPr>
              <w:pStyle w:val="458"/>
              <w:rPr>
                <w:color w:val="auto"/>
              </w:rPr>
            </w:pPr>
            <w:r>
              <w:rPr>
                <w:color w:val="auto"/>
              </w:rPr>
              <w:t>H</w:t>
            </w:r>
            <w:r>
              <w:rPr>
                <w:color w:val="auto"/>
                <w:vertAlign w:val="subscript"/>
              </w:rPr>
              <w:t>2</w:t>
            </w:r>
            <w:r>
              <w:rPr>
                <w:color w:val="auto"/>
              </w:rPr>
              <w:t>S：（</w:t>
            </w:r>
            <w:r>
              <w:rPr>
                <w:rFonts w:hint="eastAsia"/>
                <w:color w:val="auto"/>
                <w:lang w:val="en-US" w:eastAsia="zh-CN"/>
              </w:rPr>
              <w:t>0.0058</w:t>
            </w:r>
            <w:r>
              <w:rPr>
                <w:color w:val="auto"/>
              </w:rPr>
              <w:t>）t/a</w:t>
            </w:r>
          </w:p>
        </w:tc>
      </w:tr>
      <w:tr w14:paraId="7B79C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18"/>
            <w:tcBorders>
              <w:tl2br w:val="nil"/>
              <w:tr2bl w:val="nil"/>
            </w:tcBorders>
            <w:noWrap w:val="0"/>
            <w:vAlign w:val="center"/>
          </w:tcPr>
          <w:p w14:paraId="7FCBCF58">
            <w:pPr>
              <w:pStyle w:val="458"/>
              <w:jc w:val="both"/>
              <w:rPr>
                <w:color w:val="auto"/>
              </w:rPr>
            </w:pPr>
            <w:r>
              <w:rPr>
                <w:color w:val="auto"/>
              </w:rPr>
              <w:t>注：“□”为勾选项，填“√”；“（  ）”为内容填写项。*本项目不需要进一步预测。</w:t>
            </w:r>
          </w:p>
        </w:tc>
      </w:tr>
    </w:tbl>
    <w:p w14:paraId="0E5CA9B9">
      <w:pPr>
        <w:pStyle w:val="5"/>
        <w:pageBreakBefore w:val="0"/>
        <w:wordWrap/>
        <w:bidi w:val="0"/>
        <w:adjustRightInd/>
        <w:snapToGrid/>
        <w:spacing w:before="48" w:after="48"/>
        <w:ind w:left="0"/>
        <w:rPr>
          <w:rFonts w:eastAsia="宋体"/>
          <w:color w:val="auto"/>
        </w:rPr>
      </w:pPr>
      <w:bookmarkStart w:id="182" w:name="_Toc374627796"/>
      <w:bookmarkStart w:id="183" w:name="_Toc7411"/>
      <w:r>
        <w:rPr>
          <w:rFonts w:hint="eastAsia" w:eastAsia="宋体"/>
          <w:color w:val="auto"/>
        </w:rPr>
        <w:t xml:space="preserve"> </w:t>
      </w:r>
      <w:r>
        <w:rPr>
          <w:rFonts w:eastAsia="宋体"/>
          <w:color w:val="auto"/>
        </w:rPr>
        <w:t>营运期地表水</w:t>
      </w:r>
      <w:bookmarkEnd w:id="182"/>
      <w:bookmarkEnd w:id="183"/>
      <w:r>
        <w:rPr>
          <w:rFonts w:eastAsia="宋体"/>
          <w:color w:val="auto"/>
        </w:rPr>
        <w:t>环境影响预测与评价</w:t>
      </w:r>
    </w:p>
    <w:p w14:paraId="3DDF946D">
      <w:pPr>
        <w:pageBreakBefore w:val="0"/>
        <w:wordWrap/>
        <w:bidi w:val="0"/>
        <w:adjustRightInd/>
        <w:snapToGrid/>
        <w:ind w:firstLine="480"/>
        <w:jc w:val="left"/>
        <w:rPr>
          <w:bCs/>
          <w:color w:val="auto"/>
        </w:rPr>
      </w:pPr>
      <w:r>
        <w:rPr>
          <w:bCs/>
          <w:color w:val="auto"/>
        </w:rPr>
        <w:t>根据《环境影响评价技术导则 地表水环境》（HJ2.3-2018）要求，本次环评对项目废水进行环境影响分析。</w:t>
      </w:r>
    </w:p>
    <w:p w14:paraId="60B90823">
      <w:pPr>
        <w:pStyle w:val="6"/>
        <w:bidi w:val="0"/>
        <w:rPr>
          <w:rFonts w:hint="default"/>
          <w:color w:val="auto"/>
          <w:lang w:val="en-US" w:eastAsia="zh-CN"/>
        </w:rPr>
      </w:pPr>
      <w:r>
        <w:rPr>
          <w:rFonts w:hint="eastAsia"/>
          <w:color w:val="auto"/>
          <w:lang w:val="en-US" w:eastAsia="zh-CN"/>
        </w:rPr>
        <w:t>评价等级判定</w:t>
      </w:r>
    </w:p>
    <w:p w14:paraId="6EB46FEB">
      <w:pPr>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rPr>
      </w:pPr>
      <w:r>
        <w:rPr>
          <w:color w:val="auto"/>
          <w:sz w:val="24"/>
        </w:rPr>
        <w:t>根据《环境影响评价技术导则 地表水环境》（HJ2.3-2018），水污染影响型建设项目评价等级判定如</w:t>
      </w:r>
      <w:r>
        <w:rPr>
          <w:rFonts w:hint="eastAsia"/>
          <w:color w:val="auto"/>
          <w:sz w:val="24"/>
          <w:lang w:val="en-US" w:eastAsia="zh-CN"/>
        </w:rPr>
        <w:t>下表</w:t>
      </w:r>
      <w:r>
        <w:rPr>
          <w:color w:val="auto"/>
          <w:sz w:val="24"/>
        </w:rPr>
        <w:t>所示。</w:t>
      </w:r>
    </w:p>
    <w:p w14:paraId="6E58B3B7">
      <w:pPr>
        <w:pStyle w:val="15"/>
        <w:numPr>
          <w:ilvl w:val="0"/>
          <w:numId w:val="31"/>
        </w:numPr>
        <w:bidi w:val="0"/>
        <w:ind w:left="0" w:leftChars="0" w:firstLine="0" w:firstLineChars="0"/>
        <w:rPr>
          <w:color w:val="auto"/>
        </w:rPr>
      </w:pPr>
      <w:r>
        <w:rPr>
          <w:color w:val="auto"/>
        </w:rPr>
        <w:t>水污染影响型建设项目评价等级判定</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270"/>
        <w:gridCol w:w="6406"/>
      </w:tblGrid>
      <w:tr w14:paraId="67E48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vMerge w:val="restart"/>
            <w:tcBorders>
              <w:tl2br w:val="nil"/>
              <w:tr2bl w:val="nil"/>
            </w:tcBorders>
            <w:noWrap w:val="0"/>
            <w:vAlign w:val="center"/>
          </w:tcPr>
          <w:p w14:paraId="3BAF122A">
            <w:pPr>
              <w:pStyle w:val="12"/>
              <w:bidi w:val="0"/>
              <w:rPr>
                <w:b/>
                <w:bCs/>
                <w:color w:val="auto"/>
              </w:rPr>
            </w:pPr>
            <w:r>
              <w:rPr>
                <w:b/>
                <w:bCs/>
                <w:color w:val="auto"/>
              </w:rPr>
              <w:t>评价等级</w:t>
            </w:r>
          </w:p>
        </w:tc>
        <w:tc>
          <w:tcPr>
            <w:tcW w:w="4290" w:type="pct"/>
            <w:gridSpan w:val="2"/>
            <w:tcBorders>
              <w:tl2br w:val="nil"/>
              <w:tr2bl w:val="nil"/>
            </w:tcBorders>
            <w:noWrap w:val="0"/>
            <w:vAlign w:val="center"/>
          </w:tcPr>
          <w:p w14:paraId="5F690B01">
            <w:pPr>
              <w:pStyle w:val="12"/>
              <w:bidi w:val="0"/>
              <w:rPr>
                <w:b/>
                <w:bCs/>
                <w:color w:val="auto"/>
              </w:rPr>
            </w:pPr>
            <w:r>
              <w:rPr>
                <w:b/>
                <w:bCs/>
                <w:color w:val="auto"/>
              </w:rPr>
              <w:t>判定依据</w:t>
            </w:r>
          </w:p>
        </w:tc>
      </w:tr>
      <w:tr w14:paraId="10EB9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vMerge w:val="continue"/>
            <w:tcBorders>
              <w:tl2br w:val="nil"/>
              <w:tr2bl w:val="nil"/>
            </w:tcBorders>
            <w:noWrap w:val="0"/>
            <w:vAlign w:val="center"/>
          </w:tcPr>
          <w:p w14:paraId="1F7A9592">
            <w:pPr>
              <w:pStyle w:val="12"/>
              <w:bidi w:val="0"/>
              <w:rPr>
                <w:b/>
                <w:bCs/>
                <w:color w:val="auto"/>
              </w:rPr>
            </w:pPr>
          </w:p>
        </w:tc>
        <w:tc>
          <w:tcPr>
            <w:tcW w:w="710" w:type="pct"/>
            <w:tcBorders>
              <w:tl2br w:val="nil"/>
              <w:tr2bl w:val="nil"/>
            </w:tcBorders>
            <w:noWrap w:val="0"/>
            <w:vAlign w:val="center"/>
          </w:tcPr>
          <w:p w14:paraId="7FD2B35E">
            <w:pPr>
              <w:pStyle w:val="12"/>
              <w:bidi w:val="0"/>
              <w:rPr>
                <w:b/>
                <w:bCs/>
                <w:color w:val="auto"/>
              </w:rPr>
            </w:pPr>
            <w:r>
              <w:rPr>
                <w:b/>
                <w:bCs/>
                <w:color w:val="auto"/>
              </w:rPr>
              <w:t>排放方式</w:t>
            </w:r>
          </w:p>
        </w:tc>
        <w:tc>
          <w:tcPr>
            <w:tcW w:w="3580" w:type="pct"/>
            <w:tcBorders>
              <w:tl2br w:val="nil"/>
              <w:tr2bl w:val="nil"/>
            </w:tcBorders>
            <w:noWrap w:val="0"/>
            <w:vAlign w:val="center"/>
          </w:tcPr>
          <w:p w14:paraId="3ADE8424">
            <w:pPr>
              <w:pStyle w:val="12"/>
              <w:bidi w:val="0"/>
              <w:rPr>
                <w:b/>
                <w:bCs/>
                <w:color w:val="auto"/>
              </w:rPr>
            </w:pPr>
            <w:r>
              <w:rPr>
                <w:b/>
                <w:bCs/>
                <w:color w:val="auto"/>
              </w:rPr>
              <w:t>废水排放量Q/（</w:t>
            </w:r>
            <w:r>
              <w:rPr>
                <w:rFonts w:hint="eastAsia"/>
                <w:b/>
                <w:bCs/>
                <w:color w:val="auto"/>
                <w:lang w:val="en-US" w:eastAsia="zh-CN"/>
              </w:rPr>
              <w:t>m³</w:t>
            </w:r>
            <w:r>
              <w:rPr>
                <w:b/>
                <w:bCs/>
                <w:color w:val="auto"/>
              </w:rPr>
              <w:t>/d）；水污染物当量数W/（无量纲）</w:t>
            </w:r>
          </w:p>
        </w:tc>
      </w:tr>
      <w:tr w14:paraId="443F8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0FF256D8">
            <w:pPr>
              <w:pStyle w:val="12"/>
              <w:bidi w:val="0"/>
              <w:rPr>
                <w:color w:val="auto"/>
              </w:rPr>
            </w:pPr>
            <w:r>
              <w:rPr>
                <w:color w:val="auto"/>
              </w:rPr>
              <w:t>一级</w:t>
            </w:r>
          </w:p>
        </w:tc>
        <w:tc>
          <w:tcPr>
            <w:tcW w:w="710" w:type="pct"/>
            <w:tcBorders>
              <w:tl2br w:val="nil"/>
              <w:tr2bl w:val="nil"/>
            </w:tcBorders>
            <w:noWrap w:val="0"/>
            <w:vAlign w:val="center"/>
          </w:tcPr>
          <w:p w14:paraId="745B7F3E">
            <w:pPr>
              <w:pStyle w:val="12"/>
              <w:bidi w:val="0"/>
              <w:rPr>
                <w:color w:val="auto"/>
              </w:rPr>
            </w:pPr>
            <w:r>
              <w:rPr>
                <w:color w:val="auto"/>
              </w:rPr>
              <w:t>直接排放</w:t>
            </w:r>
          </w:p>
        </w:tc>
        <w:tc>
          <w:tcPr>
            <w:tcW w:w="3580" w:type="pct"/>
            <w:tcBorders>
              <w:tl2br w:val="nil"/>
              <w:tr2bl w:val="nil"/>
            </w:tcBorders>
            <w:noWrap w:val="0"/>
            <w:vAlign w:val="center"/>
          </w:tcPr>
          <w:p w14:paraId="05400C00">
            <w:pPr>
              <w:pStyle w:val="12"/>
              <w:bidi w:val="0"/>
              <w:rPr>
                <w:color w:val="auto"/>
              </w:rPr>
            </w:pPr>
            <w:r>
              <w:rPr>
                <w:color w:val="auto"/>
              </w:rPr>
              <w:t>Q≥20000或W≥600000</w:t>
            </w:r>
          </w:p>
        </w:tc>
      </w:tr>
      <w:tr w14:paraId="33CA9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6D2CC423">
            <w:pPr>
              <w:pStyle w:val="12"/>
              <w:bidi w:val="0"/>
              <w:rPr>
                <w:color w:val="auto"/>
              </w:rPr>
            </w:pPr>
            <w:r>
              <w:rPr>
                <w:color w:val="auto"/>
              </w:rPr>
              <w:t>二级</w:t>
            </w:r>
          </w:p>
        </w:tc>
        <w:tc>
          <w:tcPr>
            <w:tcW w:w="710" w:type="pct"/>
            <w:tcBorders>
              <w:tl2br w:val="nil"/>
              <w:tr2bl w:val="nil"/>
            </w:tcBorders>
            <w:noWrap w:val="0"/>
            <w:vAlign w:val="center"/>
          </w:tcPr>
          <w:p w14:paraId="0971CD3D">
            <w:pPr>
              <w:pStyle w:val="12"/>
              <w:bidi w:val="0"/>
              <w:rPr>
                <w:color w:val="auto"/>
              </w:rPr>
            </w:pPr>
            <w:r>
              <w:rPr>
                <w:color w:val="auto"/>
              </w:rPr>
              <w:t>直接排放</w:t>
            </w:r>
          </w:p>
        </w:tc>
        <w:tc>
          <w:tcPr>
            <w:tcW w:w="3580" w:type="pct"/>
            <w:tcBorders>
              <w:tl2br w:val="nil"/>
              <w:tr2bl w:val="nil"/>
            </w:tcBorders>
            <w:noWrap w:val="0"/>
            <w:vAlign w:val="center"/>
          </w:tcPr>
          <w:p w14:paraId="23B7ED10">
            <w:pPr>
              <w:pStyle w:val="12"/>
              <w:bidi w:val="0"/>
              <w:rPr>
                <w:color w:val="auto"/>
              </w:rPr>
            </w:pPr>
            <w:r>
              <w:rPr>
                <w:color w:val="auto"/>
              </w:rPr>
              <w:t>其他</w:t>
            </w:r>
          </w:p>
        </w:tc>
      </w:tr>
      <w:tr w14:paraId="0698AA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140D2907">
            <w:pPr>
              <w:pStyle w:val="12"/>
              <w:bidi w:val="0"/>
              <w:rPr>
                <w:color w:val="auto"/>
              </w:rPr>
            </w:pPr>
            <w:r>
              <w:rPr>
                <w:color w:val="auto"/>
              </w:rPr>
              <w:t>三级A</w:t>
            </w:r>
          </w:p>
        </w:tc>
        <w:tc>
          <w:tcPr>
            <w:tcW w:w="710" w:type="pct"/>
            <w:tcBorders>
              <w:tl2br w:val="nil"/>
              <w:tr2bl w:val="nil"/>
            </w:tcBorders>
            <w:noWrap w:val="0"/>
            <w:vAlign w:val="center"/>
          </w:tcPr>
          <w:p w14:paraId="585D39AD">
            <w:pPr>
              <w:pStyle w:val="12"/>
              <w:bidi w:val="0"/>
              <w:rPr>
                <w:color w:val="auto"/>
              </w:rPr>
            </w:pPr>
            <w:r>
              <w:rPr>
                <w:color w:val="auto"/>
              </w:rPr>
              <w:t>直接排放</w:t>
            </w:r>
          </w:p>
        </w:tc>
        <w:tc>
          <w:tcPr>
            <w:tcW w:w="3580" w:type="pct"/>
            <w:tcBorders>
              <w:tl2br w:val="nil"/>
              <w:tr2bl w:val="nil"/>
            </w:tcBorders>
            <w:noWrap w:val="0"/>
            <w:vAlign w:val="center"/>
          </w:tcPr>
          <w:p w14:paraId="2314F6EB">
            <w:pPr>
              <w:pStyle w:val="12"/>
              <w:bidi w:val="0"/>
              <w:rPr>
                <w:color w:val="auto"/>
              </w:rPr>
            </w:pPr>
            <w:r>
              <w:rPr>
                <w:color w:val="auto"/>
              </w:rPr>
              <w:t>Q＜200且W＜6000</w:t>
            </w:r>
          </w:p>
        </w:tc>
      </w:tr>
      <w:tr w14:paraId="01068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17597B3A">
            <w:pPr>
              <w:pStyle w:val="12"/>
              <w:bidi w:val="0"/>
              <w:rPr>
                <w:color w:val="auto"/>
              </w:rPr>
            </w:pPr>
            <w:r>
              <w:rPr>
                <w:color w:val="auto"/>
              </w:rPr>
              <w:t>三级B</w:t>
            </w:r>
          </w:p>
        </w:tc>
        <w:tc>
          <w:tcPr>
            <w:tcW w:w="710" w:type="pct"/>
            <w:tcBorders>
              <w:tl2br w:val="nil"/>
              <w:tr2bl w:val="nil"/>
            </w:tcBorders>
            <w:noWrap w:val="0"/>
            <w:vAlign w:val="center"/>
          </w:tcPr>
          <w:p w14:paraId="705EAFC4">
            <w:pPr>
              <w:pStyle w:val="12"/>
              <w:bidi w:val="0"/>
              <w:rPr>
                <w:color w:val="auto"/>
              </w:rPr>
            </w:pPr>
            <w:r>
              <w:rPr>
                <w:color w:val="auto"/>
              </w:rPr>
              <w:t>间接排放</w:t>
            </w:r>
          </w:p>
        </w:tc>
        <w:tc>
          <w:tcPr>
            <w:tcW w:w="3580" w:type="pct"/>
            <w:tcBorders>
              <w:tl2br w:val="nil"/>
              <w:tr2bl w:val="nil"/>
            </w:tcBorders>
            <w:noWrap w:val="0"/>
            <w:vAlign w:val="center"/>
          </w:tcPr>
          <w:p w14:paraId="0D591038">
            <w:pPr>
              <w:pStyle w:val="12"/>
              <w:bidi w:val="0"/>
              <w:rPr>
                <w:color w:val="auto"/>
              </w:rPr>
            </w:pPr>
            <w:r>
              <w:rPr>
                <w:color w:val="auto"/>
              </w:rPr>
              <w:t>—</w:t>
            </w:r>
          </w:p>
        </w:tc>
      </w:tr>
    </w:tbl>
    <w:p w14:paraId="3FC9A078">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eastAsia"/>
          <w:color w:val="auto"/>
          <w:lang w:val="en-US" w:eastAsia="zh-CN"/>
        </w:rPr>
      </w:pPr>
      <w:r>
        <w:rPr>
          <w:color w:val="auto"/>
          <w:sz w:val="24"/>
          <w:highlight w:val="none"/>
        </w:rPr>
        <w:t>根据工程分析可知，本项目废水排放方式为“直接排放”，且废水排放量Q=</w:t>
      </w:r>
      <w:r>
        <w:rPr>
          <w:rFonts w:hint="eastAsia"/>
          <w:color w:val="auto"/>
          <w:sz w:val="24"/>
          <w:highlight w:val="none"/>
          <w:lang w:val="en-US" w:eastAsia="zh-CN"/>
        </w:rPr>
        <w:t>0.3</w:t>
      </w:r>
      <w:r>
        <w:rPr>
          <w:color w:val="auto"/>
          <w:sz w:val="24"/>
          <w:highlight w:val="none"/>
        </w:rPr>
        <w:t>万</w:t>
      </w:r>
      <w:r>
        <w:rPr>
          <w:rFonts w:hint="eastAsia"/>
          <w:color w:val="auto"/>
          <w:sz w:val="24"/>
          <w:highlight w:val="none"/>
          <w:lang w:eastAsia="zh-CN"/>
        </w:rPr>
        <w:t>m³</w:t>
      </w:r>
      <w:r>
        <w:rPr>
          <w:color w:val="auto"/>
          <w:sz w:val="24"/>
          <w:highlight w:val="none"/>
        </w:rPr>
        <w:t>/d，根据《环境影响评价技术导则 地表水环境》（HJ2.3-2018），本项目属于水污染影响型建设项目，本项目污水处理厂的污水经过处理后达标排放至外环境，</w:t>
      </w:r>
      <w:r>
        <w:rPr>
          <w:b/>
          <w:color w:val="auto"/>
          <w:sz w:val="24"/>
          <w:highlight w:val="none"/>
        </w:rPr>
        <w:t>因此本项目地表水环境影响评价工作等级为：</w:t>
      </w:r>
      <w:r>
        <w:rPr>
          <w:rFonts w:hint="eastAsia"/>
          <w:b/>
          <w:color w:val="auto"/>
          <w:sz w:val="24"/>
          <w:highlight w:val="none"/>
          <w:lang w:val="en-US" w:eastAsia="zh-CN"/>
        </w:rPr>
        <w:t>二</w:t>
      </w:r>
      <w:r>
        <w:rPr>
          <w:b/>
          <w:color w:val="auto"/>
          <w:sz w:val="24"/>
          <w:highlight w:val="none"/>
        </w:rPr>
        <w:t>级。</w:t>
      </w:r>
    </w:p>
    <w:p w14:paraId="1B03B190">
      <w:pPr>
        <w:pStyle w:val="6"/>
        <w:bidi w:val="0"/>
        <w:rPr>
          <w:rFonts w:hint="eastAsia"/>
          <w:color w:val="auto"/>
          <w:lang w:val="en-US" w:eastAsia="zh-CN"/>
        </w:rPr>
      </w:pPr>
      <w:r>
        <w:rPr>
          <w:color w:val="auto"/>
        </w:rPr>
        <w:t>评价因子、评价范围、评价时期、预测内容及评价标准</w:t>
      </w:r>
    </w:p>
    <w:p w14:paraId="023FF7FA">
      <w:pPr>
        <w:bidi w:val="0"/>
        <w:rPr>
          <w:rFonts w:hint="default"/>
          <w:b/>
          <w:bCs/>
          <w:color w:val="auto"/>
          <w:lang w:val="en-US" w:eastAsia="zh-CN"/>
        </w:rPr>
      </w:pPr>
      <w:r>
        <w:rPr>
          <w:rFonts w:hint="eastAsia"/>
          <w:b/>
          <w:bCs/>
          <w:color w:val="auto"/>
          <w:lang w:val="en-US" w:eastAsia="zh-CN"/>
        </w:rPr>
        <w:t>1、预测因子</w:t>
      </w:r>
    </w:p>
    <w:p w14:paraId="6BF3B959">
      <w:pPr>
        <w:bidi w:val="0"/>
        <w:rPr>
          <w:rFonts w:hint="default"/>
          <w:color w:val="auto"/>
          <w:lang w:val="en-US" w:eastAsia="zh-CN"/>
        </w:rPr>
      </w:pPr>
      <w:r>
        <w:rPr>
          <w:color w:val="auto"/>
          <w:sz w:val="24"/>
        </w:rPr>
        <w:t>根据污水处理工艺及污水排放情况、排放特征等因素确定预测因子为</w:t>
      </w:r>
      <w:r>
        <w:rPr>
          <w:rFonts w:hint="eastAsia"/>
          <w:color w:val="auto"/>
          <w:lang w:val="en-US" w:eastAsia="zh-CN"/>
        </w:rPr>
        <w:t>：</w:t>
      </w:r>
      <w:r>
        <w:rPr>
          <w:rFonts w:hint="eastAsia"/>
          <w:color w:val="auto"/>
          <w:lang w:eastAsia="zh-CN"/>
        </w:rPr>
        <w:t>CODCr、NH</w:t>
      </w:r>
      <w:r>
        <w:rPr>
          <w:rFonts w:hint="eastAsia"/>
          <w:color w:val="auto"/>
          <w:vertAlign w:val="subscript"/>
          <w:lang w:eastAsia="zh-CN"/>
        </w:rPr>
        <w:t>3</w:t>
      </w:r>
      <w:r>
        <w:rPr>
          <w:rFonts w:hint="eastAsia"/>
          <w:color w:val="auto"/>
          <w:lang w:eastAsia="zh-CN"/>
        </w:rPr>
        <w:t>-N、TP、石油类、甲醛。</w:t>
      </w:r>
    </w:p>
    <w:p w14:paraId="668DC565">
      <w:pPr>
        <w:bidi w:val="0"/>
        <w:rPr>
          <w:rFonts w:hint="default"/>
          <w:b/>
          <w:bCs/>
          <w:color w:val="auto"/>
          <w:lang w:val="en-US" w:eastAsia="zh-CN"/>
        </w:rPr>
      </w:pPr>
      <w:r>
        <w:rPr>
          <w:rFonts w:hint="eastAsia"/>
          <w:b/>
          <w:bCs/>
          <w:color w:val="auto"/>
          <w:lang w:val="en-US" w:eastAsia="zh-CN"/>
        </w:rPr>
        <w:t>2、评价范围</w:t>
      </w:r>
    </w:p>
    <w:p w14:paraId="52134FBA">
      <w:pPr>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highlight w:val="none"/>
        </w:rPr>
      </w:pPr>
      <w:r>
        <w:rPr>
          <w:color w:val="auto"/>
          <w:sz w:val="24"/>
          <w:highlight w:val="none"/>
        </w:rPr>
        <w:t>根据调查，本项目排污口下游10km范围内不涉及城市（镇）集中式地表水饮用水水源取水口分布</w:t>
      </w:r>
      <w:r>
        <w:rPr>
          <w:rFonts w:hint="eastAsia"/>
          <w:color w:val="auto"/>
          <w:sz w:val="24"/>
          <w:highlight w:val="none"/>
          <w:lang w:eastAsia="zh-CN"/>
        </w:rPr>
        <w:t>，</w:t>
      </w:r>
      <w:r>
        <w:rPr>
          <w:rFonts w:hint="eastAsia"/>
          <w:color w:val="auto"/>
          <w:sz w:val="24"/>
          <w:highlight w:val="none"/>
          <w:lang w:val="en-US" w:eastAsia="zh-CN"/>
        </w:rPr>
        <w:t>排污口下游约8.7km为国控断面-金碑断面，同时在排污口下游约7.7km处存在1排污口（复兴社区污水站排口，巴河右岸，处理规模0.03万m³/d，出水标准执行一级A标）</w:t>
      </w:r>
      <w:r>
        <w:rPr>
          <w:color w:val="auto"/>
          <w:sz w:val="24"/>
          <w:highlight w:val="none"/>
        </w:rPr>
        <w:t>。</w:t>
      </w:r>
    </w:p>
    <w:p w14:paraId="4F1A9D79">
      <w:pPr>
        <w:pageBreakBefore w:val="0"/>
        <w:widowControl w:val="0"/>
        <w:kinsoku/>
        <w:wordWrap/>
        <w:overflowPunct/>
        <w:topLinePunct w:val="0"/>
        <w:autoSpaceDE/>
        <w:autoSpaceDN/>
        <w:bidi w:val="0"/>
        <w:adjustRightInd/>
        <w:snapToGrid w:val="0"/>
        <w:spacing w:line="360" w:lineRule="auto"/>
        <w:ind w:firstLine="480" w:firstLineChars="200"/>
        <w:textAlignment w:val="auto"/>
        <w:rPr>
          <w:b/>
          <w:color w:val="auto"/>
          <w:sz w:val="24"/>
          <w:highlight w:val="none"/>
        </w:rPr>
      </w:pPr>
      <w:r>
        <w:rPr>
          <w:color w:val="auto"/>
          <w:sz w:val="24"/>
          <w:highlight w:val="none"/>
        </w:rPr>
        <w:t>根据《环境影响评价技术导则 地表水环境》（HJ2.3-2018），建设项目地表水环境影响评价范围指整体实施后，可能对地表水环境造成的影响范围；根据评价等级、工程特点、影响方式及程度、地表水环境质量管理要求等确定；受纳水体为河流时，应满足覆盖对照断面、控制断面与消减断面等关心断面的要求。</w:t>
      </w:r>
      <w:r>
        <w:rPr>
          <w:b/>
          <w:color w:val="auto"/>
          <w:sz w:val="24"/>
          <w:highlight w:val="none"/>
        </w:rPr>
        <w:t>因此本项目地表水环评影响评价范围为：排污口上游0.5km至下游</w:t>
      </w:r>
      <w:r>
        <w:rPr>
          <w:rFonts w:hint="eastAsia"/>
          <w:b/>
          <w:color w:val="auto"/>
          <w:sz w:val="24"/>
          <w:highlight w:val="none"/>
          <w:lang w:val="en-US" w:eastAsia="zh-CN"/>
        </w:rPr>
        <w:t>8.7</w:t>
      </w:r>
      <w:r>
        <w:rPr>
          <w:b/>
          <w:color w:val="auto"/>
          <w:sz w:val="24"/>
          <w:highlight w:val="none"/>
        </w:rPr>
        <w:t>km</w:t>
      </w:r>
      <w:r>
        <w:rPr>
          <w:rFonts w:hint="eastAsia"/>
          <w:b/>
          <w:color w:val="auto"/>
          <w:sz w:val="24"/>
          <w:highlight w:val="none"/>
          <w:lang w:eastAsia="zh-CN"/>
        </w:rPr>
        <w:t>（此处为</w:t>
      </w:r>
      <w:r>
        <w:rPr>
          <w:rFonts w:hint="eastAsia"/>
          <w:b/>
          <w:color w:val="auto"/>
          <w:sz w:val="24"/>
          <w:highlight w:val="none"/>
          <w:lang w:val="en-US" w:eastAsia="zh-CN"/>
        </w:rPr>
        <w:t>巴河国控断面-金碑断面</w:t>
      </w:r>
      <w:r>
        <w:rPr>
          <w:rFonts w:hint="eastAsia"/>
          <w:b/>
          <w:color w:val="auto"/>
          <w:sz w:val="24"/>
          <w:highlight w:val="none"/>
          <w:lang w:eastAsia="zh-CN"/>
        </w:rPr>
        <w:t>）</w:t>
      </w:r>
      <w:r>
        <w:rPr>
          <w:b/>
          <w:color w:val="auto"/>
          <w:sz w:val="24"/>
          <w:highlight w:val="none"/>
        </w:rPr>
        <w:t>。</w:t>
      </w:r>
    </w:p>
    <w:p w14:paraId="754CE191">
      <w:pPr>
        <w:bidi w:val="0"/>
        <w:rPr>
          <w:rFonts w:hint="default"/>
          <w:b/>
          <w:bCs/>
          <w:color w:val="auto"/>
          <w:lang w:val="en-US" w:eastAsia="zh-CN"/>
        </w:rPr>
      </w:pPr>
      <w:r>
        <w:rPr>
          <w:rFonts w:hint="eastAsia"/>
          <w:b/>
          <w:bCs/>
          <w:color w:val="auto"/>
          <w:lang w:val="en-US" w:eastAsia="zh-CN"/>
        </w:rPr>
        <w:t>3、关心断面</w:t>
      </w:r>
    </w:p>
    <w:p w14:paraId="12D2B7BE">
      <w:pPr>
        <w:pStyle w:val="62"/>
        <w:pageBreakBefore w:val="0"/>
        <w:widowControl w:val="0"/>
        <w:kinsoku/>
        <w:wordWrap/>
        <w:overflowPunct/>
        <w:topLinePunct w:val="0"/>
        <w:bidi w:val="0"/>
        <w:snapToGrid w:val="0"/>
        <w:spacing w:line="360" w:lineRule="auto"/>
        <w:textAlignment w:val="auto"/>
        <w:rPr>
          <w:rFonts w:hint="default" w:eastAsia="宋体"/>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本项目关心断面包含下游：2km处核算断面、</w:t>
      </w:r>
      <w:r>
        <w:rPr>
          <w:rFonts w:hint="eastAsia" w:ascii="Times New Roman" w:hAnsi="Times New Roman" w:cs="Times New Roman"/>
          <w:b w:val="0"/>
          <w:bCs/>
          <w:color w:val="auto"/>
          <w:sz w:val="24"/>
          <w:highlight w:val="none"/>
          <w:lang w:val="en-US" w:eastAsia="zh-CN"/>
        </w:rPr>
        <w:t>8.7</w:t>
      </w:r>
      <w:r>
        <w:rPr>
          <w:rFonts w:hint="default" w:ascii="Times New Roman" w:hAnsi="Times New Roman" w:cs="Times New Roman"/>
          <w:b w:val="0"/>
          <w:bCs/>
          <w:color w:val="auto"/>
          <w:sz w:val="24"/>
          <w:highlight w:val="none"/>
          <w:lang w:val="en-US" w:eastAsia="zh-CN"/>
        </w:rPr>
        <w:t>km</w:t>
      </w:r>
      <w:r>
        <w:rPr>
          <w:rFonts w:hint="eastAsia" w:ascii="Times New Roman" w:hAnsi="Times New Roman" w:cs="Times New Roman"/>
          <w:b w:val="0"/>
          <w:bCs/>
          <w:color w:val="auto"/>
          <w:sz w:val="24"/>
          <w:highlight w:val="none"/>
          <w:lang w:val="en-US" w:eastAsia="zh-CN"/>
        </w:rPr>
        <w:t>国控断面-金碑断面</w:t>
      </w:r>
      <w:r>
        <w:rPr>
          <w:rFonts w:hint="default" w:ascii="Times New Roman" w:hAnsi="Times New Roman" w:cs="Times New Roman"/>
          <w:b w:val="0"/>
          <w:bCs/>
          <w:color w:val="auto"/>
          <w:sz w:val="24"/>
          <w:highlight w:val="none"/>
          <w:lang w:val="en-US" w:eastAsia="zh-CN"/>
        </w:rPr>
        <w:t>。</w:t>
      </w:r>
    </w:p>
    <w:p w14:paraId="2051AB93">
      <w:pPr>
        <w:pStyle w:val="15"/>
        <w:numPr>
          <w:ilvl w:val="0"/>
          <w:numId w:val="31"/>
        </w:numPr>
        <w:bidi w:val="0"/>
        <w:ind w:left="0" w:leftChars="0" w:firstLine="0" w:firstLineChars="0"/>
        <w:rPr>
          <w:rFonts w:hint="eastAsia"/>
          <w:color w:val="auto"/>
          <w:lang w:eastAsia="zh-CN"/>
        </w:rPr>
      </w:pPr>
      <w:r>
        <w:rPr>
          <w:rFonts w:hint="eastAsia"/>
          <w:color w:val="auto"/>
          <w:lang w:eastAsia="zh-CN"/>
        </w:rPr>
        <w:t>排污口下游关心断面分布情况</w:t>
      </w:r>
      <w:r>
        <w:rPr>
          <w:rFonts w:hint="eastAsia"/>
          <w:color w:val="auto"/>
          <w:lang w:eastAsia="zh-CN"/>
        </w:rPr>
        <w:tab/>
      </w:r>
    </w:p>
    <w:tbl>
      <w:tblPr>
        <w:tblStyle w:val="4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3324"/>
        <w:gridCol w:w="3485"/>
      </w:tblGrid>
      <w:tr w14:paraId="7FEAF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557E7396">
            <w:pPr>
              <w:pStyle w:val="62"/>
              <w:jc w:val="center"/>
              <w:rPr>
                <w:rFonts w:hint="default" w:ascii="Times New Roman" w:hAnsi="Times New Roman" w:eastAsia="宋体" w:cs="Times New Roman"/>
                <w:b/>
                <w:bCs w:val="0"/>
                <w:color w:val="auto"/>
                <w:kern w:val="0"/>
                <w:sz w:val="21"/>
                <w:szCs w:val="21"/>
                <w:highlight w:val="none"/>
                <w:vertAlign w:val="baseline"/>
                <w:lang w:eastAsia="zh-CN"/>
              </w:rPr>
            </w:pPr>
            <w:r>
              <w:rPr>
                <w:rFonts w:hint="default" w:ascii="Times New Roman" w:hAnsi="Times New Roman" w:cs="Times New Roman"/>
                <w:b/>
                <w:bCs w:val="0"/>
                <w:color w:val="auto"/>
                <w:kern w:val="0"/>
                <w:sz w:val="21"/>
                <w:szCs w:val="21"/>
                <w:highlight w:val="none"/>
                <w:vertAlign w:val="baseline"/>
                <w:lang w:eastAsia="zh-CN"/>
              </w:rPr>
              <w:t>关心断面名称</w:t>
            </w:r>
          </w:p>
        </w:tc>
        <w:tc>
          <w:tcPr>
            <w:tcW w:w="1858" w:type="pct"/>
            <w:tcBorders>
              <w:tl2br w:val="nil"/>
              <w:tr2bl w:val="nil"/>
            </w:tcBorders>
            <w:noWrap w:val="0"/>
            <w:vAlign w:val="center"/>
          </w:tcPr>
          <w:p w14:paraId="73C36556">
            <w:pPr>
              <w:pStyle w:val="62"/>
              <w:jc w:val="center"/>
              <w:rPr>
                <w:rFonts w:hint="default" w:ascii="Times New Roman" w:hAnsi="Times New Roman" w:eastAsia="宋体" w:cs="Times New Roman"/>
                <w:b/>
                <w:bCs w:val="0"/>
                <w:color w:val="auto"/>
                <w:kern w:val="0"/>
                <w:sz w:val="21"/>
                <w:szCs w:val="21"/>
                <w:highlight w:val="none"/>
                <w:vertAlign w:val="baseline"/>
                <w:lang w:eastAsia="zh-CN"/>
              </w:rPr>
            </w:pPr>
            <w:r>
              <w:rPr>
                <w:rFonts w:hint="default" w:ascii="Times New Roman" w:hAnsi="Times New Roman" w:cs="Times New Roman"/>
                <w:b/>
                <w:bCs w:val="0"/>
                <w:color w:val="auto"/>
                <w:kern w:val="0"/>
                <w:sz w:val="21"/>
                <w:szCs w:val="21"/>
                <w:highlight w:val="none"/>
                <w:vertAlign w:val="baseline"/>
                <w:lang w:eastAsia="zh-CN"/>
              </w:rPr>
              <w:t>距离本项目排污口下游距离（</w:t>
            </w:r>
            <w:r>
              <w:rPr>
                <w:rFonts w:hint="default" w:ascii="Times New Roman" w:hAnsi="Times New Roman" w:cs="Times New Roman"/>
                <w:b/>
                <w:bCs w:val="0"/>
                <w:color w:val="auto"/>
                <w:kern w:val="0"/>
                <w:sz w:val="21"/>
                <w:szCs w:val="21"/>
                <w:highlight w:val="none"/>
                <w:vertAlign w:val="baseline"/>
                <w:lang w:val="en-US" w:eastAsia="zh-CN"/>
              </w:rPr>
              <w:t>km</w:t>
            </w:r>
            <w:r>
              <w:rPr>
                <w:rFonts w:hint="default" w:ascii="Times New Roman" w:hAnsi="Times New Roman" w:cs="Times New Roman"/>
                <w:b/>
                <w:bCs w:val="0"/>
                <w:color w:val="auto"/>
                <w:kern w:val="0"/>
                <w:sz w:val="21"/>
                <w:szCs w:val="21"/>
                <w:highlight w:val="none"/>
                <w:vertAlign w:val="baseline"/>
                <w:lang w:eastAsia="zh-CN"/>
              </w:rPr>
              <w:t>）</w:t>
            </w:r>
          </w:p>
        </w:tc>
        <w:tc>
          <w:tcPr>
            <w:tcW w:w="1948" w:type="pct"/>
            <w:tcBorders>
              <w:tl2br w:val="nil"/>
              <w:tr2bl w:val="nil"/>
            </w:tcBorders>
            <w:noWrap w:val="0"/>
            <w:vAlign w:val="center"/>
          </w:tcPr>
          <w:p w14:paraId="79651768">
            <w:pPr>
              <w:pStyle w:val="62"/>
              <w:jc w:val="center"/>
              <w:rPr>
                <w:rFonts w:hint="default" w:ascii="Times New Roman" w:hAnsi="Times New Roman" w:eastAsia="宋体" w:cs="Times New Roman"/>
                <w:b/>
                <w:bCs w:val="0"/>
                <w:color w:val="auto"/>
                <w:kern w:val="0"/>
                <w:sz w:val="21"/>
                <w:szCs w:val="21"/>
                <w:highlight w:val="none"/>
                <w:vertAlign w:val="baseline"/>
                <w:lang w:val="en-US" w:eastAsia="zh-CN"/>
              </w:rPr>
            </w:pPr>
            <w:r>
              <w:rPr>
                <w:rFonts w:hint="default" w:ascii="Times New Roman" w:hAnsi="Times New Roman" w:cs="Times New Roman"/>
                <w:b/>
                <w:bCs w:val="0"/>
                <w:color w:val="auto"/>
                <w:kern w:val="0"/>
                <w:sz w:val="21"/>
                <w:szCs w:val="21"/>
                <w:highlight w:val="none"/>
                <w:vertAlign w:val="baseline"/>
                <w:lang w:val="en-US" w:eastAsia="zh-CN"/>
              </w:rPr>
              <w:t>备注</w:t>
            </w:r>
          </w:p>
        </w:tc>
      </w:tr>
      <w:tr w14:paraId="7EF76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1B4CFDE0">
            <w:pPr>
              <w:pStyle w:val="62"/>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eastAsia="zh-CN"/>
              </w:rPr>
              <w:t>核算断面</w:t>
            </w:r>
          </w:p>
        </w:tc>
        <w:tc>
          <w:tcPr>
            <w:tcW w:w="1858" w:type="pct"/>
            <w:tcBorders>
              <w:tl2br w:val="nil"/>
              <w:tr2bl w:val="nil"/>
            </w:tcBorders>
            <w:noWrap w:val="0"/>
            <w:vAlign w:val="center"/>
          </w:tcPr>
          <w:p w14:paraId="001EA1BC">
            <w:pPr>
              <w:pStyle w:val="62"/>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cs="Times New Roman"/>
                <w:b w:val="0"/>
                <w:bCs/>
                <w:color w:val="auto"/>
                <w:kern w:val="0"/>
                <w:sz w:val="21"/>
                <w:szCs w:val="21"/>
                <w:highlight w:val="none"/>
                <w:vertAlign w:val="baseline"/>
                <w:lang w:val="en-US" w:eastAsia="zh-CN"/>
              </w:rPr>
              <w:t>2.0</w:t>
            </w:r>
          </w:p>
        </w:tc>
        <w:tc>
          <w:tcPr>
            <w:tcW w:w="1948" w:type="pct"/>
            <w:tcBorders>
              <w:tl2br w:val="nil"/>
              <w:tr2bl w:val="nil"/>
            </w:tcBorders>
            <w:noWrap w:val="0"/>
            <w:vAlign w:val="center"/>
          </w:tcPr>
          <w:p w14:paraId="1748A834">
            <w:pPr>
              <w:pStyle w:val="62"/>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eastAsia="zh-CN"/>
              </w:rPr>
              <w:t>污染物核算断面</w:t>
            </w:r>
          </w:p>
        </w:tc>
      </w:tr>
      <w:tr w14:paraId="10929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5C19C137">
            <w:pPr>
              <w:pStyle w:val="62"/>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val="en-US" w:eastAsia="zh-CN"/>
              </w:rPr>
              <w:t>金碑断面</w:t>
            </w:r>
          </w:p>
        </w:tc>
        <w:tc>
          <w:tcPr>
            <w:tcW w:w="1858" w:type="pct"/>
            <w:tcBorders>
              <w:tl2br w:val="nil"/>
              <w:tr2bl w:val="nil"/>
            </w:tcBorders>
            <w:noWrap w:val="0"/>
            <w:vAlign w:val="center"/>
          </w:tcPr>
          <w:p w14:paraId="451E6472">
            <w:pPr>
              <w:pStyle w:val="62"/>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eastAsia" w:ascii="Times New Roman" w:hAnsi="Times New Roman" w:cs="Times New Roman"/>
                <w:b w:val="0"/>
                <w:bCs/>
                <w:color w:val="auto"/>
                <w:kern w:val="0"/>
                <w:sz w:val="21"/>
                <w:szCs w:val="21"/>
                <w:highlight w:val="none"/>
                <w:vertAlign w:val="baseline"/>
                <w:lang w:val="en-US" w:eastAsia="zh-CN"/>
              </w:rPr>
              <w:t>8.7</w:t>
            </w:r>
          </w:p>
        </w:tc>
        <w:tc>
          <w:tcPr>
            <w:tcW w:w="1948" w:type="pct"/>
            <w:tcBorders>
              <w:tl2br w:val="nil"/>
              <w:tr2bl w:val="nil"/>
            </w:tcBorders>
            <w:noWrap w:val="0"/>
            <w:vAlign w:val="center"/>
          </w:tcPr>
          <w:p w14:paraId="5B1757B5">
            <w:pPr>
              <w:pStyle w:val="62"/>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eastAsia" w:ascii="Times New Roman" w:hAnsi="Times New Roman" w:cs="Times New Roman"/>
                <w:b w:val="0"/>
                <w:bCs/>
                <w:color w:val="auto"/>
                <w:kern w:val="0"/>
                <w:sz w:val="21"/>
                <w:szCs w:val="21"/>
                <w:highlight w:val="none"/>
                <w:vertAlign w:val="baseline"/>
                <w:lang w:val="en-US" w:eastAsia="zh-CN"/>
              </w:rPr>
              <w:t>巴河国控断面</w:t>
            </w:r>
          </w:p>
        </w:tc>
      </w:tr>
    </w:tbl>
    <w:p w14:paraId="03489B4A">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b/>
          <w:bCs/>
          <w:color w:val="auto"/>
          <w:lang w:val="en-US" w:eastAsia="zh-CN"/>
        </w:rPr>
      </w:pPr>
      <w:r>
        <w:rPr>
          <w:rFonts w:hint="eastAsia"/>
          <w:b/>
          <w:bCs/>
          <w:color w:val="auto"/>
          <w:lang w:val="en-US" w:eastAsia="zh-CN"/>
        </w:rPr>
        <w:t>4、评价时期</w:t>
      </w:r>
    </w:p>
    <w:p w14:paraId="7627E069">
      <w:pPr>
        <w:bidi w:val="0"/>
        <w:rPr>
          <w:color w:val="auto"/>
        </w:rPr>
      </w:pPr>
      <w:r>
        <w:rPr>
          <w:color w:val="auto"/>
        </w:rPr>
        <w:t>本项目为地表水</w:t>
      </w:r>
      <w:r>
        <w:rPr>
          <w:rFonts w:hint="eastAsia"/>
          <w:color w:val="auto"/>
          <w:lang w:val="en-US" w:eastAsia="zh-CN"/>
        </w:rPr>
        <w:t>二</w:t>
      </w:r>
      <w:r>
        <w:rPr>
          <w:color w:val="auto"/>
        </w:rPr>
        <w:t>级评价，根据导则要求应至少评价枯水期，本次评价时期为</w:t>
      </w:r>
      <w:r>
        <w:rPr>
          <w:rFonts w:hint="eastAsia"/>
          <w:color w:val="auto"/>
          <w:lang w:val="en-US" w:eastAsia="zh-CN"/>
        </w:rPr>
        <w:t>枯水期</w:t>
      </w:r>
      <w:r>
        <w:rPr>
          <w:color w:val="auto"/>
        </w:rPr>
        <w:t>。</w:t>
      </w:r>
    </w:p>
    <w:p w14:paraId="1EDCD6F9">
      <w:pPr>
        <w:bidi w:val="0"/>
        <w:rPr>
          <w:b/>
          <w:bCs/>
          <w:color w:val="auto"/>
        </w:rPr>
      </w:pPr>
      <w:r>
        <w:rPr>
          <w:rFonts w:hint="eastAsia"/>
          <w:b/>
          <w:bCs/>
          <w:color w:val="auto"/>
          <w:lang w:val="en-US" w:eastAsia="zh-CN"/>
        </w:rPr>
        <w:t>5</w:t>
      </w:r>
      <w:r>
        <w:rPr>
          <w:b/>
          <w:bCs/>
          <w:color w:val="auto"/>
        </w:rPr>
        <w:t>、预测内容</w:t>
      </w:r>
    </w:p>
    <w:p w14:paraId="2B9C959D">
      <w:pPr>
        <w:bidi w:val="0"/>
        <w:rPr>
          <w:color w:val="auto"/>
        </w:rPr>
      </w:pPr>
      <w:r>
        <w:rPr>
          <w:color w:val="auto"/>
        </w:rPr>
        <w:t>预测内容为尾水正常及事故排放对受纳水体</w:t>
      </w:r>
      <w:r>
        <w:rPr>
          <w:rFonts w:hint="eastAsia"/>
          <w:color w:val="auto"/>
          <w:lang w:eastAsia="zh-CN"/>
        </w:rPr>
        <w:t>巴河</w:t>
      </w:r>
      <w:r>
        <w:rPr>
          <w:color w:val="auto"/>
        </w:rPr>
        <w:t>中主要水质指标的影响程度。</w:t>
      </w:r>
    </w:p>
    <w:p w14:paraId="09DBCCBD">
      <w:pPr>
        <w:bidi w:val="0"/>
        <w:rPr>
          <w:b/>
          <w:bCs/>
          <w:color w:val="auto"/>
        </w:rPr>
      </w:pPr>
      <w:r>
        <w:rPr>
          <w:rFonts w:hint="eastAsia"/>
          <w:b/>
          <w:bCs/>
          <w:color w:val="auto"/>
          <w:lang w:val="en-US" w:eastAsia="zh-CN"/>
        </w:rPr>
        <w:t>6</w:t>
      </w:r>
      <w:r>
        <w:rPr>
          <w:b/>
          <w:bCs/>
          <w:color w:val="auto"/>
        </w:rPr>
        <w:t>、评价标准</w:t>
      </w:r>
    </w:p>
    <w:p w14:paraId="78A13BE3">
      <w:pPr>
        <w:bidi w:val="0"/>
        <w:rPr>
          <w:color w:val="auto"/>
        </w:rPr>
      </w:pPr>
      <w:r>
        <w:rPr>
          <w:color w:val="auto"/>
        </w:rPr>
        <w:t>执行《地表水环境质量标准》（GB3838-2002）中Ⅲ类标准。</w:t>
      </w:r>
    </w:p>
    <w:p w14:paraId="30A19769">
      <w:pPr>
        <w:pStyle w:val="6"/>
        <w:bidi w:val="0"/>
        <w:rPr>
          <w:color w:val="auto"/>
        </w:rPr>
      </w:pPr>
      <w:r>
        <w:rPr>
          <w:color w:val="auto"/>
        </w:rPr>
        <w:t>预测模型</w:t>
      </w:r>
    </w:p>
    <w:p w14:paraId="4A448F98">
      <w:pPr>
        <w:pageBreakBefore w:val="0"/>
        <w:widowControl/>
        <w:wordWrap/>
        <w:bidi w:val="0"/>
        <w:adjustRightInd/>
        <w:snapToGrid/>
        <w:spacing w:before="120" w:beforeLines="50"/>
        <w:ind w:firstLine="480"/>
        <w:rPr>
          <w:color w:val="auto"/>
        </w:rPr>
      </w:pPr>
      <w:r>
        <w:rPr>
          <w:color w:val="auto"/>
        </w:rPr>
        <w:t>根据以上预测结果：枯水期正常情况下，本项目污水处理厂排放口COD、氨氮、总磷</w:t>
      </w:r>
      <w:r>
        <w:rPr>
          <w:rFonts w:hint="eastAsia"/>
          <w:color w:val="auto"/>
          <w:lang w:eastAsia="zh-CN"/>
        </w:rPr>
        <w:t>、</w:t>
      </w:r>
      <w:r>
        <w:rPr>
          <w:rFonts w:hint="eastAsia"/>
          <w:color w:val="auto"/>
          <w:lang w:val="en-US" w:eastAsia="zh-CN"/>
        </w:rPr>
        <w:t>石油类、甲醛</w:t>
      </w:r>
      <w:r>
        <w:rPr>
          <w:color w:val="auto"/>
        </w:rPr>
        <w:t>的排放标准值参照执行《地表水环境质量标准》（GB3838-2002）Ⅲ类标准要求，</w:t>
      </w:r>
      <w:r>
        <w:rPr>
          <w:rFonts w:hint="eastAsia"/>
          <w:color w:val="auto"/>
          <w:lang w:val="en-US" w:eastAsia="zh-CN"/>
        </w:rPr>
        <w:t>均能满足要求；非</w:t>
      </w:r>
      <w:r>
        <w:rPr>
          <w:color w:val="auto"/>
        </w:rPr>
        <w:t>正常情况下，本项目污水处理厂排放口COD、氨氮、总磷</w:t>
      </w:r>
      <w:r>
        <w:rPr>
          <w:rFonts w:hint="eastAsia"/>
          <w:color w:val="auto"/>
          <w:lang w:eastAsia="zh-CN"/>
        </w:rPr>
        <w:t>、</w:t>
      </w:r>
      <w:r>
        <w:rPr>
          <w:rFonts w:hint="eastAsia"/>
          <w:color w:val="auto"/>
          <w:lang w:val="en-US" w:eastAsia="zh-CN"/>
        </w:rPr>
        <w:t>石油类、甲醛</w:t>
      </w:r>
      <w:r>
        <w:rPr>
          <w:color w:val="auto"/>
        </w:rPr>
        <w:t>的排放标准值参照执行《地表水环境质量标准》（GB3838-2002）Ⅲ类标准要求，</w:t>
      </w:r>
      <w:r>
        <w:rPr>
          <w:rFonts w:hint="eastAsia"/>
          <w:color w:val="auto"/>
          <w:lang w:val="en-US" w:eastAsia="zh-CN"/>
        </w:rPr>
        <w:t>均能满足要求，但会有一定影响</w:t>
      </w:r>
      <w:r>
        <w:rPr>
          <w:color w:val="auto"/>
        </w:rPr>
        <w:t>。</w:t>
      </w:r>
    </w:p>
    <w:p w14:paraId="1EA8C9C3">
      <w:pPr>
        <w:pageBreakBefore w:val="0"/>
        <w:widowControl/>
        <w:wordWrap/>
        <w:bidi w:val="0"/>
        <w:adjustRightInd/>
        <w:snapToGrid/>
        <w:ind w:firstLine="480"/>
        <w:rPr>
          <w:color w:val="auto"/>
        </w:rPr>
      </w:pPr>
      <w:r>
        <w:rPr>
          <w:color w:val="auto"/>
        </w:rPr>
        <w:t>故正常排放情况下，项目尾水对</w:t>
      </w:r>
      <w:r>
        <w:rPr>
          <w:rFonts w:hint="eastAsia"/>
          <w:color w:val="auto"/>
          <w:lang w:eastAsia="zh-CN"/>
        </w:rPr>
        <w:t>巴河</w:t>
      </w:r>
      <w:r>
        <w:rPr>
          <w:color w:val="auto"/>
        </w:rPr>
        <w:t>水质影响较小，非正常排放（污水处理设施完全故障）下对</w:t>
      </w:r>
      <w:r>
        <w:rPr>
          <w:rFonts w:hint="eastAsia"/>
          <w:color w:val="auto"/>
          <w:lang w:eastAsia="zh-CN"/>
        </w:rPr>
        <w:t>巴河</w:t>
      </w:r>
      <w:r>
        <w:rPr>
          <w:color w:val="auto"/>
        </w:rPr>
        <w:t>水质有着明显的不利影响。</w:t>
      </w:r>
    </w:p>
    <w:p w14:paraId="49F748A1">
      <w:pPr>
        <w:pageBreakBefore w:val="0"/>
        <w:widowControl/>
        <w:wordWrap/>
        <w:bidi w:val="0"/>
        <w:adjustRightInd/>
        <w:snapToGrid/>
        <w:ind w:firstLine="480"/>
        <w:rPr>
          <w:color w:val="auto"/>
        </w:rPr>
      </w:pPr>
      <w:r>
        <w:rPr>
          <w:color w:val="auto"/>
        </w:rPr>
        <w:t>鉴于上述废水非正常排放预测，污水处理厂需加强日常的运行管理，尽量避免事故的发生。污水处理厂应设置专门的事故应急部门，当事故发生时，迅速启动事故应急预案，统一由事故应急部门指挥。污水处理厂排口设置自动截止阀，一旦废水处理设施发生故障，必须迅速关闭排污口。污水处理厂进出水口应安装主要污染指标在线监测仪，便于及时发现并处理异常情况。</w:t>
      </w:r>
    </w:p>
    <w:p w14:paraId="39BD2431">
      <w:pPr>
        <w:spacing w:line="360" w:lineRule="auto"/>
        <w:ind w:firstLine="482" w:firstLineChars="200"/>
        <w:rPr>
          <w:b/>
          <w:color w:val="auto"/>
          <w:sz w:val="24"/>
        </w:rPr>
      </w:pPr>
      <w:r>
        <w:rPr>
          <w:rFonts w:hint="eastAsia"/>
          <w:b/>
          <w:color w:val="auto"/>
          <w:sz w:val="24"/>
          <w:lang w:val="en-US" w:eastAsia="zh-CN"/>
        </w:rPr>
        <w:t>2、</w:t>
      </w:r>
      <w:r>
        <w:rPr>
          <w:b/>
          <w:color w:val="auto"/>
          <w:sz w:val="24"/>
        </w:rPr>
        <w:t>核算断面和完全混合断面预测结果</w:t>
      </w:r>
    </w:p>
    <w:p w14:paraId="7CF10EA4">
      <w:pPr>
        <w:spacing w:line="360" w:lineRule="auto"/>
        <w:ind w:firstLine="480" w:firstLineChars="200"/>
        <w:rPr>
          <w:color w:val="auto"/>
          <w:sz w:val="24"/>
        </w:rPr>
      </w:pPr>
      <w:r>
        <w:rPr>
          <w:color w:val="auto"/>
          <w:sz w:val="24"/>
        </w:rPr>
        <w:t>本项目正常排放</w:t>
      </w:r>
      <w:r>
        <w:rPr>
          <w:rFonts w:hint="eastAsia"/>
          <w:color w:val="auto"/>
          <w:sz w:val="24"/>
          <w:lang w:val="en-US" w:eastAsia="zh-CN"/>
        </w:rPr>
        <w:t>和非正常排放</w:t>
      </w:r>
      <w:r>
        <w:rPr>
          <w:color w:val="auto"/>
          <w:sz w:val="24"/>
        </w:rPr>
        <w:t>污染物完全混合断面和核算断面预测结果见</w:t>
      </w:r>
      <w:r>
        <w:rPr>
          <w:rFonts w:hint="eastAsia"/>
          <w:color w:val="auto"/>
          <w:sz w:val="24"/>
          <w:lang w:val="en-US" w:eastAsia="zh-CN"/>
        </w:rPr>
        <w:t>下表</w:t>
      </w:r>
      <w:r>
        <w:rPr>
          <w:color w:val="auto"/>
          <w:sz w:val="24"/>
        </w:rPr>
        <w:t>所示。</w:t>
      </w:r>
    </w:p>
    <w:p w14:paraId="44CECA40">
      <w:pPr>
        <w:pStyle w:val="15"/>
        <w:numPr>
          <w:ilvl w:val="0"/>
          <w:numId w:val="31"/>
        </w:numPr>
        <w:bidi w:val="0"/>
        <w:ind w:left="0" w:leftChars="0" w:firstLine="0" w:firstLineChars="0"/>
        <w:rPr>
          <w:color w:val="auto"/>
        </w:rPr>
      </w:pPr>
      <w:r>
        <w:rPr>
          <w:rFonts w:hint="eastAsia"/>
          <w:color w:val="auto"/>
          <w:lang w:val="en-US" w:eastAsia="zh-CN"/>
        </w:rPr>
        <w:t>本项目正常排放</w:t>
      </w:r>
      <w:r>
        <w:rPr>
          <w:color w:val="auto"/>
        </w:rPr>
        <w:t>污染物核算断面和完全混合断面预测结果</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1809"/>
        <w:gridCol w:w="1328"/>
        <w:gridCol w:w="1199"/>
        <w:gridCol w:w="1199"/>
        <w:gridCol w:w="2287"/>
      </w:tblGrid>
      <w:tr w14:paraId="3E128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l2br w:val="nil"/>
              <w:tr2bl w:val="nil"/>
            </w:tcBorders>
            <w:noWrap w:val="0"/>
            <w:vAlign w:val="center"/>
          </w:tcPr>
          <w:p w14:paraId="53406424">
            <w:pPr>
              <w:pStyle w:val="12"/>
              <w:bidi w:val="0"/>
              <w:rPr>
                <w:b/>
                <w:bCs/>
                <w:color w:val="auto"/>
              </w:rPr>
            </w:pPr>
            <w:r>
              <w:rPr>
                <w:b/>
                <w:bCs/>
                <w:color w:val="auto"/>
              </w:rPr>
              <w:t>预测因子</w:t>
            </w:r>
          </w:p>
        </w:tc>
        <w:tc>
          <w:tcPr>
            <w:tcW w:w="1011" w:type="pct"/>
            <w:tcBorders>
              <w:tl2br w:val="nil"/>
              <w:tr2bl w:val="nil"/>
            </w:tcBorders>
            <w:noWrap w:val="0"/>
            <w:vAlign w:val="center"/>
          </w:tcPr>
          <w:p w14:paraId="31E02AAC">
            <w:pPr>
              <w:pStyle w:val="12"/>
              <w:bidi w:val="0"/>
              <w:rPr>
                <w:b/>
                <w:bCs/>
                <w:color w:val="auto"/>
              </w:rPr>
            </w:pPr>
            <w:r>
              <w:rPr>
                <w:b/>
                <w:bCs/>
                <w:color w:val="auto"/>
              </w:rPr>
              <w:t>断面名称</w:t>
            </w:r>
          </w:p>
        </w:tc>
        <w:tc>
          <w:tcPr>
            <w:tcW w:w="742" w:type="pct"/>
            <w:tcBorders>
              <w:tl2br w:val="nil"/>
              <w:tr2bl w:val="nil"/>
            </w:tcBorders>
            <w:noWrap w:val="0"/>
            <w:vAlign w:val="center"/>
          </w:tcPr>
          <w:p w14:paraId="25070561">
            <w:pPr>
              <w:pStyle w:val="12"/>
              <w:bidi w:val="0"/>
              <w:rPr>
                <w:b/>
                <w:bCs/>
                <w:color w:val="auto"/>
              </w:rPr>
            </w:pPr>
            <w:r>
              <w:rPr>
                <w:b/>
                <w:bCs/>
                <w:color w:val="auto"/>
              </w:rPr>
              <w:t>排口下游距离（m）</w:t>
            </w:r>
          </w:p>
        </w:tc>
        <w:tc>
          <w:tcPr>
            <w:tcW w:w="670" w:type="pct"/>
            <w:tcBorders>
              <w:tl2br w:val="nil"/>
              <w:tr2bl w:val="nil"/>
            </w:tcBorders>
            <w:noWrap w:val="0"/>
            <w:vAlign w:val="center"/>
          </w:tcPr>
          <w:p w14:paraId="08C70027">
            <w:pPr>
              <w:pStyle w:val="12"/>
              <w:bidi w:val="0"/>
              <w:rPr>
                <w:b/>
                <w:bCs/>
                <w:color w:val="auto"/>
              </w:rPr>
            </w:pPr>
            <w:r>
              <w:rPr>
                <w:b/>
                <w:bCs/>
                <w:color w:val="auto"/>
              </w:rPr>
              <w:t>预测值（mg/L）</w:t>
            </w:r>
          </w:p>
        </w:tc>
        <w:tc>
          <w:tcPr>
            <w:tcW w:w="670" w:type="pct"/>
            <w:tcBorders>
              <w:tl2br w:val="nil"/>
              <w:tr2bl w:val="nil"/>
            </w:tcBorders>
            <w:noWrap w:val="0"/>
            <w:vAlign w:val="center"/>
          </w:tcPr>
          <w:p w14:paraId="69103E3F">
            <w:pPr>
              <w:pStyle w:val="12"/>
              <w:bidi w:val="0"/>
              <w:rPr>
                <w:b/>
                <w:bCs/>
                <w:color w:val="auto"/>
              </w:rPr>
            </w:pPr>
            <w:r>
              <w:rPr>
                <w:b/>
                <w:bCs/>
                <w:color w:val="auto"/>
              </w:rPr>
              <w:t>标准限值（mg/L）</w:t>
            </w:r>
          </w:p>
        </w:tc>
        <w:tc>
          <w:tcPr>
            <w:tcW w:w="1277" w:type="pct"/>
            <w:tcBorders>
              <w:tl2br w:val="nil"/>
              <w:tr2bl w:val="nil"/>
            </w:tcBorders>
            <w:noWrap w:val="0"/>
            <w:vAlign w:val="center"/>
          </w:tcPr>
          <w:p w14:paraId="65551DAF">
            <w:pPr>
              <w:pStyle w:val="12"/>
              <w:bidi w:val="0"/>
              <w:rPr>
                <w:b/>
                <w:bCs/>
                <w:color w:val="auto"/>
              </w:rPr>
            </w:pPr>
            <w:r>
              <w:rPr>
                <w:b/>
                <w:bCs/>
                <w:color w:val="auto"/>
              </w:rPr>
              <w:t>污染物核算断面要求的10%安全容量</w:t>
            </w:r>
          </w:p>
        </w:tc>
      </w:tr>
      <w:tr w14:paraId="76344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tcBorders>
              <w:tl2br w:val="nil"/>
              <w:tr2bl w:val="nil"/>
            </w:tcBorders>
            <w:noWrap w:val="0"/>
            <w:vAlign w:val="center"/>
          </w:tcPr>
          <w:p w14:paraId="36D7C212">
            <w:pPr>
              <w:pStyle w:val="12"/>
              <w:bidi w:val="0"/>
              <w:rPr>
                <w:color w:val="auto"/>
              </w:rPr>
            </w:pPr>
            <w:r>
              <w:rPr>
                <w:color w:val="auto"/>
              </w:rPr>
              <w:t>枯水期</w:t>
            </w:r>
          </w:p>
        </w:tc>
      </w:tr>
      <w:tr w14:paraId="3102A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24142D17">
            <w:pPr>
              <w:pStyle w:val="12"/>
              <w:bidi w:val="0"/>
              <w:rPr>
                <w:color w:val="auto"/>
              </w:rPr>
            </w:pPr>
            <w:r>
              <w:rPr>
                <w:color w:val="auto"/>
              </w:rPr>
              <w:t>COD</w:t>
            </w:r>
            <w:r>
              <w:rPr>
                <w:color w:val="auto"/>
                <w:vertAlign w:val="subscript"/>
              </w:rPr>
              <w:t>Cr</w:t>
            </w:r>
          </w:p>
        </w:tc>
        <w:tc>
          <w:tcPr>
            <w:tcW w:w="1011" w:type="pct"/>
            <w:tcBorders>
              <w:tl2br w:val="nil"/>
              <w:tr2bl w:val="nil"/>
            </w:tcBorders>
            <w:noWrap w:val="0"/>
            <w:vAlign w:val="center"/>
          </w:tcPr>
          <w:p w14:paraId="33BF6294">
            <w:pPr>
              <w:pStyle w:val="12"/>
              <w:bidi w:val="0"/>
              <w:rPr>
                <w:color w:val="auto"/>
              </w:rPr>
            </w:pPr>
            <w:r>
              <w:rPr>
                <w:color w:val="auto"/>
              </w:rPr>
              <w:t>完全混合断面</w:t>
            </w:r>
          </w:p>
        </w:tc>
        <w:tc>
          <w:tcPr>
            <w:tcW w:w="742" w:type="pct"/>
            <w:tcBorders>
              <w:tl2br w:val="nil"/>
              <w:tr2bl w:val="nil"/>
            </w:tcBorders>
            <w:noWrap w:val="0"/>
            <w:vAlign w:val="center"/>
          </w:tcPr>
          <w:p w14:paraId="40EEA71F">
            <w:pPr>
              <w:pStyle w:val="12"/>
              <w:bidi w:val="0"/>
              <w:rPr>
                <w:rFonts w:hint="default" w:eastAsia="宋体"/>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75BF4950">
            <w:pPr>
              <w:pStyle w:val="12"/>
              <w:bidi w:val="0"/>
              <w:rPr>
                <w:rFonts w:hint="default"/>
                <w:color w:val="auto"/>
                <w:lang w:val="en-US" w:eastAsia="zh-CN"/>
              </w:rPr>
            </w:pPr>
            <w:r>
              <w:rPr>
                <w:rFonts w:hint="eastAsia"/>
                <w:color w:val="auto"/>
                <w:lang w:val="en-US" w:eastAsia="zh-CN"/>
              </w:rPr>
              <w:t>12.9319</w:t>
            </w:r>
          </w:p>
        </w:tc>
        <w:tc>
          <w:tcPr>
            <w:tcW w:w="670" w:type="pct"/>
            <w:vMerge w:val="restart"/>
            <w:tcBorders>
              <w:tl2br w:val="nil"/>
              <w:tr2bl w:val="nil"/>
            </w:tcBorders>
            <w:noWrap w:val="0"/>
            <w:vAlign w:val="center"/>
          </w:tcPr>
          <w:p w14:paraId="0AFDDC2F">
            <w:pPr>
              <w:pStyle w:val="12"/>
              <w:bidi w:val="0"/>
              <w:rPr>
                <w:color w:val="auto"/>
              </w:rPr>
            </w:pPr>
            <w:r>
              <w:rPr>
                <w:color w:val="auto"/>
              </w:rPr>
              <w:t>20</w:t>
            </w:r>
          </w:p>
        </w:tc>
        <w:tc>
          <w:tcPr>
            <w:tcW w:w="1277" w:type="pct"/>
            <w:tcBorders>
              <w:tl2br w:val="nil"/>
              <w:tr2bl w:val="nil"/>
            </w:tcBorders>
            <w:noWrap w:val="0"/>
            <w:vAlign w:val="center"/>
          </w:tcPr>
          <w:p w14:paraId="3C2BEF05">
            <w:pPr>
              <w:pStyle w:val="12"/>
              <w:bidi w:val="0"/>
              <w:rPr>
                <w:rFonts w:hint="eastAsia" w:eastAsia="宋体"/>
                <w:color w:val="auto"/>
                <w:lang w:val="en-US" w:eastAsia="zh-CN"/>
              </w:rPr>
            </w:pPr>
            <w:r>
              <w:rPr>
                <w:rFonts w:hint="eastAsia"/>
                <w:color w:val="auto"/>
                <w:lang w:val="en-US" w:eastAsia="zh-CN"/>
              </w:rPr>
              <w:t>/</w:t>
            </w:r>
          </w:p>
        </w:tc>
      </w:tr>
      <w:tr w14:paraId="39F6F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13818C5E">
            <w:pPr>
              <w:pStyle w:val="12"/>
              <w:bidi w:val="0"/>
              <w:rPr>
                <w:color w:val="auto"/>
              </w:rPr>
            </w:pPr>
          </w:p>
        </w:tc>
        <w:tc>
          <w:tcPr>
            <w:tcW w:w="1011" w:type="pct"/>
            <w:tcBorders>
              <w:tl2br w:val="nil"/>
              <w:tr2bl w:val="nil"/>
            </w:tcBorders>
            <w:noWrap w:val="0"/>
            <w:vAlign w:val="center"/>
          </w:tcPr>
          <w:p w14:paraId="174E4876">
            <w:pPr>
              <w:pStyle w:val="12"/>
              <w:bidi w:val="0"/>
              <w:rPr>
                <w:color w:val="auto"/>
              </w:rPr>
            </w:pPr>
            <w:r>
              <w:rPr>
                <w:color w:val="auto"/>
              </w:rPr>
              <w:t>污染物核算断面</w:t>
            </w:r>
          </w:p>
        </w:tc>
        <w:tc>
          <w:tcPr>
            <w:tcW w:w="742" w:type="pct"/>
            <w:tcBorders>
              <w:tl2br w:val="nil"/>
              <w:tr2bl w:val="nil"/>
            </w:tcBorders>
            <w:noWrap w:val="0"/>
            <w:vAlign w:val="center"/>
          </w:tcPr>
          <w:p w14:paraId="5C1FE6FF">
            <w:pPr>
              <w:pStyle w:val="12"/>
              <w:bidi w:val="0"/>
              <w:rPr>
                <w:rFonts w:hint="default"/>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6423ADCF">
            <w:pPr>
              <w:pStyle w:val="12"/>
              <w:bidi w:val="0"/>
              <w:rPr>
                <w:rFonts w:hint="default"/>
                <w:color w:val="auto"/>
                <w:lang w:val="en-US" w:eastAsia="zh-CN"/>
              </w:rPr>
            </w:pPr>
            <w:r>
              <w:rPr>
                <w:rFonts w:hint="eastAsia"/>
                <w:color w:val="auto"/>
                <w:lang w:val="en-US" w:eastAsia="zh-CN"/>
              </w:rPr>
              <w:t>12.7284</w:t>
            </w:r>
          </w:p>
        </w:tc>
        <w:tc>
          <w:tcPr>
            <w:tcW w:w="670" w:type="pct"/>
            <w:vMerge w:val="continue"/>
            <w:tcBorders>
              <w:tl2br w:val="nil"/>
              <w:tr2bl w:val="nil"/>
            </w:tcBorders>
            <w:noWrap w:val="0"/>
            <w:vAlign w:val="center"/>
          </w:tcPr>
          <w:p w14:paraId="5A7A0E46">
            <w:pPr>
              <w:pStyle w:val="12"/>
              <w:bidi w:val="0"/>
              <w:rPr>
                <w:color w:val="auto"/>
              </w:rPr>
            </w:pPr>
          </w:p>
        </w:tc>
        <w:tc>
          <w:tcPr>
            <w:tcW w:w="1277" w:type="pct"/>
            <w:tcBorders>
              <w:tl2br w:val="nil"/>
              <w:tr2bl w:val="nil"/>
            </w:tcBorders>
            <w:noWrap w:val="0"/>
            <w:vAlign w:val="center"/>
          </w:tcPr>
          <w:p w14:paraId="159AB2C4">
            <w:pPr>
              <w:pStyle w:val="12"/>
              <w:bidi w:val="0"/>
              <w:rPr>
                <w:color w:val="auto"/>
              </w:rPr>
            </w:pPr>
            <w:r>
              <w:rPr>
                <w:color w:val="auto"/>
              </w:rPr>
              <w:t>2mg/L</w:t>
            </w:r>
          </w:p>
        </w:tc>
      </w:tr>
      <w:tr w14:paraId="232A0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18D03621">
            <w:pPr>
              <w:pStyle w:val="12"/>
              <w:bidi w:val="0"/>
              <w:rPr>
                <w:color w:val="auto"/>
              </w:rPr>
            </w:pPr>
            <w:r>
              <w:rPr>
                <w:color w:val="auto"/>
              </w:rPr>
              <w:t>氨氮</w:t>
            </w:r>
          </w:p>
        </w:tc>
        <w:tc>
          <w:tcPr>
            <w:tcW w:w="1011" w:type="pct"/>
            <w:tcBorders>
              <w:tl2br w:val="nil"/>
              <w:tr2bl w:val="nil"/>
            </w:tcBorders>
            <w:noWrap w:val="0"/>
            <w:vAlign w:val="center"/>
          </w:tcPr>
          <w:p w14:paraId="492656B0">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2C1E97A0">
            <w:pPr>
              <w:pStyle w:val="12"/>
              <w:bidi w:val="0"/>
              <w:ind w:left="0" w:leftChars="0" w:firstLine="0" w:firstLineChars="0"/>
              <w:rPr>
                <w:color w:val="auto"/>
              </w:rPr>
            </w:pPr>
            <w:r>
              <w:rPr>
                <w:rFonts w:hint="eastAsia"/>
                <w:color w:val="auto"/>
                <w:lang w:val="en-US" w:eastAsia="zh-CN"/>
              </w:rPr>
              <w:t>73</w:t>
            </w:r>
          </w:p>
        </w:tc>
        <w:tc>
          <w:tcPr>
            <w:tcW w:w="670" w:type="pct"/>
            <w:tcBorders>
              <w:tl2br w:val="nil"/>
              <w:tr2bl w:val="nil"/>
            </w:tcBorders>
            <w:noWrap w:val="0"/>
            <w:vAlign w:val="center"/>
          </w:tcPr>
          <w:p w14:paraId="53F80E4D">
            <w:pPr>
              <w:pStyle w:val="12"/>
              <w:bidi w:val="0"/>
              <w:rPr>
                <w:rFonts w:hint="default"/>
                <w:color w:val="auto"/>
                <w:lang w:val="en-US" w:eastAsia="zh-CN"/>
              </w:rPr>
            </w:pPr>
            <w:r>
              <w:rPr>
                <w:rFonts w:hint="eastAsia"/>
                <w:color w:val="auto"/>
                <w:lang w:val="en-US" w:eastAsia="zh-CN"/>
              </w:rPr>
              <w:t>0.2402</w:t>
            </w:r>
          </w:p>
        </w:tc>
        <w:tc>
          <w:tcPr>
            <w:tcW w:w="670" w:type="pct"/>
            <w:vMerge w:val="restart"/>
            <w:tcBorders>
              <w:tl2br w:val="nil"/>
              <w:tr2bl w:val="nil"/>
            </w:tcBorders>
            <w:noWrap w:val="0"/>
            <w:vAlign w:val="center"/>
          </w:tcPr>
          <w:p w14:paraId="74089654">
            <w:pPr>
              <w:pStyle w:val="12"/>
              <w:bidi w:val="0"/>
              <w:rPr>
                <w:color w:val="auto"/>
              </w:rPr>
            </w:pPr>
            <w:r>
              <w:rPr>
                <w:color w:val="auto"/>
              </w:rPr>
              <w:t>1.0</w:t>
            </w:r>
          </w:p>
        </w:tc>
        <w:tc>
          <w:tcPr>
            <w:tcW w:w="1277" w:type="pct"/>
            <w:tcBorders>
              <w:tl2br w:val="nil"/>
              <w:tr2bl w:val="nil"/>
            </w:tcBorders>
            <w:noWrap w:val="0"/>
            <w:vAlign w:val="center"/>
          </w:tcPr>
          <w:p w14:paraId="4B84605B">
            <w:pPr>
              <w:pStyle w:val="12"/>
              <w:bidi w:val="0"/>
              <w:rPr>
                <w:rFonts w:hint="eastAsia" w:eastAsia="宋体"/>
                <w:color w:val="auto"/>
                <w:lang w:val="en-US" w:eastAsia="zh-CN"/>
              </w:rPr>
            </w:pPr>
            <w:r>
              <w:rPr>
                <w:rFonts w:hint="eastAsia"/>
                <w:color w:val="auto"/>
                <w:lang w:val="en-US" w:eastAsia="zh-CN"/>
              </w:rPr>
              <w:t>/</w:t>
            </w:r>
          </w:p>
        </w:tc>
      </w:tr>
      <w:tr w14:paraId="6412C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780E90B2">
            <w:pPr>
              <w:pStyle w:val="12"/>
              <w:bidi w:val="0"/>
              <w:rPr>
                <w:color w:val="auto"/>
              </w:rPr>
            </w:pPr>
          </w:p>
        </w:tc>
        <w:tc>
          <w:tcPr>
            <w:tcW w:w="1011" w:type="pct"/>
            <w:tcBorders>
              <w:tl2br w:val="nil"/>
              <w:tr2bl w:val="nil"/>
            </w:tcBorders>
            <w:noWrap w:val="0"/>
            <w:vAlign w:val="center"/>
          </w:tcPr>
          <w:p w14:paraId="0D5F5DB2">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0BE2FA27">
            <w:pPr>
              <w:pStyle w:val="12"/>
              <w:bidi w:val="0"/>
              <w:ind w:left="0" w:leftChars="0" w:firstLine="0" w:firstLineChars="0"/>
              <w:rPr>
                <w:color w:val="auto"/>
              </w:rPr>
            </w:pPr>
            <w:r>
              <w:rPr>
                <w:rFonts w:hint="eastAsia"/>
                <w:color w:val="auto"/>
                <w:lang w:val="en-US" w:eastAsia="zh-CN"/>
              </w:rPr>
              <w:t>2000</w:t>
            </w:r>
          </w:p>
        </w:tc>
        <w:tc>
          <w:tcPr>
            <w:tcW w:w="670" w:type="pct"/>
            <w:tcBorders>
              <w:tl2br w:val="nil"/>
              <w:tr2bl w:val="nil"/>
            </w:tcBorders>
            <w:noWrap w:val="0"/>
            <w:vAlign w:val="center"/>
          </w:tcPr>
          <w:p w14:paraId="63AE396F">
            <w:pPr>
              <w:pStyle w:val="12"/>
              <w:bidi w:val="0"/>
              <w:rPr>
                <w:rFonts w:hint="default"/>
                <w:color w:val="auto"/>
                <w:lang w:val="en-US" w:eastAsia="zh-CN"/>
              </w:rPr>
            </w:pPr>
            <w:r>
              <w:rPr>
                <w:rFonts w:hint="eastAsia"/>
                <w:color w:val="auto"/>
                <w:lang w:val="en-US" w:eastAsia="zh-CN"/>
              </w:rPr>
              <w:t>0.2198</w:t>
            </w:r>
          </w:p>
        </w:tc>
        <w:tc>
          <w:tcPr>
            <w:tcW w:w="670" w:type="pct"/>
            <w:vMerge w:val="continue"/>
            <w:tcBorders>
              <w:tl2br w:val="nil"/>
              <w:tr2bl w:val="nil"/>
            </w:tcBorders>
            <w:noWrap w:val="0"/>
            <w:vAlign w:val="center"/>
          </w:tcPr>
          <w:p w14:paraId="4B1C870E">
            <w:pPr>
              <w:pStyle w:val="12"/>
              <w:bidi w:val="0"/>
              <w:rPr>
                <w:color w:val="auto"/>
              </w:rPr>
            </w:pPr>
          </w:p>
        </w:tc>
        <w:tc>
          <w:tcPr>
            <w:tcW w:w="1277" w:type="pct"/>
            <w:tcBorders>
              <w:tl2br w:val="nil"/>
              <w:tr2bl w:val="nil"/>
            </w:tcBorders>
            <w:noWrap w:val="0"/>
            <w:vAlign w:val="center"/>
          </w:tcPr>
          <w:p w14:paraId="2CF8149C">
            <w:pPr>
              <w:pStyle w:val="12"/>
              <w:bidi w:val="0"/>
              <w:rPr>
                <w:color w:val="auto"/>
              </w:rPr>
            </w:pPr>
            <w:r>
              <w:rPr>
                <w:color w:val="auto"/>
              </w:rPr>
              <w:t>0.1mg/L</w:t>
            </w:r>
          </w:p>
        </w:tc>
      </w:tr>
      <w:tr w14:paraId="54340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5959D2D0">
            <w:pPr>
              <w:pStyle w:val="12"/>
              <w:bidi w:val="0"/>
              <w:rPr>
                <w:color w:val="auto"/>
              </w:rPr>
            </w:pPr>
            <w:r>
              <w:rPr>
                <w:color w:val="auto"/>
              </w:rPr>
              <w:t>TP</w:t>
            </w:r>
          </w:p>
        </w:tc>
        <w:tc>
          <w:tcPr>
            <w:tcW w:w="1011" w:type="pct"/>
            <w:tcBorders>
              <w:tl2br w:val="nil"/>
              <w:tr2bl w:val="nil"/>
            </w:tcBorders>
            <w:noWrap w:val="0"/>
            <w:vAlign w:val="center"/>
          </w:tcPr>
          <w:p w14:paraId="2BB5B00A">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36501655">
            <w:pPr>
              <w:pStyle w:val="12"/>
              <w:bidi w:val="0"/>
              <w:ind w:left="0" w:leftChars="0" w:firstLine="0" w:firstLineChars="0"/>
              <w:rPr>
                <w:color w:val="auto"/>
              </w:rPr>
            </w:pPr>
            <w:r>
              <w:rPr>
                <w:rFonts w:hint="eastAsia"/>
                <w:color w:val="auto"/>
                <w:lang w:val="en-US" w:eastAsia="zh-CN"/>
              </w:rPr>
              <w:t>73</w:t>
            </w:r>
          </w:p>
        </w:tc>
        <w:tc>
          <w:tcPr>
            <w:tcW w:w="670" w:type="pct"/>
            <w:tcBorders>
              <w:tl2br w:val="nil"/>
              <w:tr2bl w:val="nil"/>
            </w:tcBorders>
            <w:noWrap w:val="0"/>
            <w:vAlign w:val="center"/>
          </w:tcPr>
          <w:p w14:paraId="78505D63">
            <w:pPr>
              <w:pStyle w:val="12"/>
              <w:bidi w:val="0"/>
              <w:rPr>
                <w:rFonts w:hint="default"/>
                <w:color w:val="auto"/>
                <w:lang w:val="en-US" w:eastAsia="zh-CN"/>
              </w:rPr>
            </w:pPr>
            <w:r>
              <w:rPr>
                <w:rFonts w:hint="eastAsia"/>
                <w:color w:val="auto"/>
                <w:lang w:val="en-US" w:eastAsia="zh-CN"/>
              </w:rPr>
              <w:t>0.0393</w:t>
            </w:r>
          </w:p>
        </w:tc>
        <w:tc>
          <w:tcPr>
            <w:tcW w:w="670" w:type="pct"/>
            <w:vMerge w:val="restart"/>
            <w:tcBorders>
              <w:tl2br w:val="nil"/>
              <w:tr2bl w:val="nil"/>
            </w:tcBorders>
            <w:noWrap w:val="0"/>
            <w:vAlign w:val="center"/>
          </w:tcPr>
          <w:p w14:paraId="0F282C9A">
            <w:pPr>
              <w:pStyle w:val="12"/>
              <w:bidi w:val="0"/>
              <w:rPr>
                <w:color w:val="auto"/>
              </w:rPr>
            </w:pPr>
            <w:r>
              <w:rPr>
                <w:color w:val="auto"/>
              </w:rPr>
              <w:t>0.2</w:t>
            </w:r>
          </w:p>
        </w:tc>
        <w:tc>
          <w:tcPr>
            <w:tcW w:w="1277" w:type="pct"/>
            <w:tcBorders>
              <w:tl2br w:val="nil"/>
              <w:tr2bl w:val="nil"/>
            </w:tcBorders>
            <w:noWrap w:val="0"/>
            <w:vAlign w:val="center"/>
          </w:tcPr>
          <w:p w14:paraId="45CA3910">
            <w:pPr>
              <w:pStyle w:val="12"/>
              <w:bidi w:val="0"/>
              <w:rPr>
                <w:rFonts w:hint="default" w:eastAsia="宋体"/>
                <w:color w:val="auto"/>
                <w:lang w:val="en-US" w:eastAsia="zh-CN"/>
              </w:rPr>
            </w:pPr>
            <w:r>
              <w:rPr>
                <w:rFonts w:hint="eastAsia"/>
                <w:color w:val="auto"/>
                <w:lang w:val="en-US" w:eastAsia="zh-CN"/>
              </w:rPr>
              <w:t>/</w:t>
            </w:r>
          </w:p>
        </w:tc>
      </w:tr>
      <w:tr w14:paraId="50891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21BAE697">
            <w:pPr>
              <w:pStyle w:val="12"/>
              <w:bidi w:val="0"/>
              <w:rPr>
                <w:color w:val="auto"/>
              </w:rPr>
            </w:pPr>
          </w:p>
        </w:tc>
        <w:tc>
          <w:tcPr>
            <w:tcW w:w="1011" w:type="pct"/>
            <w:tcBorders>
              <w:tl2br w:val="nil"/>
              <w:tr2bl w:val="nil"/>
            </w:tcBorders>
            <w:noWrap w:val="0"/>
            <w:vAlign w:val="center"/>
          </w:tcPr>
          <w:p w14:paraId="66116FA6">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40EA11CB">
            <w:pPr>
              <w:pStyle w:val="12"/>
              <w:bidi w:val="0"/>
              <w:ind w:left="0" w:leftChars="0" w:firstLine="0" w:firstLineChars="0"/>
              <w:rPr>
                <w:color w:val="auto"/>
              </w:rPr>
            </w:pPr>
            <w:r>
              <w:rPr>
                <w:rFonts w:hint="eastAsia"/>
                <w:color w:val="auto"/>
                <w:lang w:val="en-US" w:eastAsia="zh-CN"/>
              </w:rPr>
              <w:t>2000</w:t>
            </w:r>
          </w:p>
        </w:tc>
        <w:tc>
          <w:tcPr>
            <w:tcW w:w="670" w:type="pct"/>
            <w:tcBorders>
              <w:tl2br w:val="nil"/>
              <w:tr2bl w:val="nil"/>
            </w:tcBorders>
            <w:noWrap w:val="0"/>
            <w:vAlign w:val="center"/>
          </w:tcPr>
          <w:p w14:paraId="0EE3E04F">
            <w:pPr>
              <w:pStyle w:val="12"/>
              <w:bidi w:val="0"/>
              <w:rPr>
                <w:rFonts w:hint="default"/>
                <w:color w:val="auto"/>
                <w:lang w:val="en-US" w:eastAsia="zh-CN"/>
              </w:rPr>
            </w:pPr>
            <w:r>
              <w:rPr>
                <w:rFonts w:hint="eastAsia"/>
                <w:color w:val="auto"/>
                <w:lang w:val="en-US" w:eastAsia="zh-CN"/>
              </w:rPr>
              <w:t>0.0373</w:t>
            </w:r>
          </w:p>
        </w:tc>
        <w:tc>
          <w:tcPr>
            <w:tcW w:w="670" w:type="pct"/>
            <w:vMerge w:val="continue"/>
            <w:tcBorders>
              <w:tl2br w:val="nil"/>
              <w:tr2bl w:val="nil"/>
            </w:tcBorders>
            <w:noWrap w:val="0"/>
            <w:vAlign w:val="center"/>
          </w:tcPr>
          <w:p w14:paraId="7243EA4F">
            <w:pPr>
              <w:pStyle w:val="12"/>
              <w:bidi w:val="0"/>
              <w:rPr>
                <w:color w:val="auto"/>
              </w:rPr>
            </w:pPr>
          </w:p>
        </w:tc>
        <w:tc>
          <w:tcPr>
            <w:tcW w:w="1277" w:type="pct"/>
            <w:tcBorders>
              <w:tl2br w:val="nil"/>
              <w:tr2bl w:val="nil"/>
            </w:tcBorders>
            <w:noWrap w:val="0"/>
            <w:vAlign w:val="center"/>
          </w:tcPr>
          <w:p w14:paraId="412EFD3B">
            <w:pPr>
              <w:pStyle w:val="12"/>
              <w:bidi w:val="0"/>
              <w:rPr>
                <w:color w:val="auto"/>
              </w:rPr>
            </w:pPr>
            <w:r>
              <w:rPr>
                <w:color w:val="auto"/>
              </w:rPr>
              <w:t>0.02mg/L</w:t>
            </w:r>
          </w:p>
        </w:tc>
      </w:tr>
      <w:tr w14:paraId="33294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1D01466D">
            <w:pPr>
              <w:pStyle w:val="12"/>
              <w:bidi w:val="0"/>
              <w:rPr>
                <w:rFonts w:hint="default" w:eastAsia="宋体"/>
                <w:color w:val="auto"/>
                <w:lang w:val="en-US" w:eastAsia="zh-CN"/>
              </w:rPr>
            </w:pPr>
            <w:r>
              <w:rPr>
                <w:rFonts w:hint="eastAsia"/>
                <w:color w:val="auto"/>
                <w:lang w:val="en-US" w:eastAsia="zh-CN"/>
              </w:rPr>
              <w:t>石油类</w:t>
            </w:r>
          </w:p>
        </w:tc>
        <w:tc>
          <w:tcPr>
            <w:tcW w:w="1011" w:type="pct"/>
            <w:tcBorders>
              <w:tl2br w:val="nil"/>
              <w:tr2bl w:val="nil"/>
            </w:tcBorders>
            <w:noWrap w:val="0"/>
            <w:vAlign w:val="center"/>
          </w:tcPr>
          <w:p w14:paraId="0356AA30">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05013AFC">
            <w:pPr>
              <w:pStyle w:val="12"/>
              <w:bidi w:val="0"/>
              <w:ind w:left="0" w:leftChars="0" w:firstLine="0" w:firstLineChars="0"/>
              <w:rPr>
                <w:rFonts w:hint="eastAsia"/>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762450CE">
            <w:pPr>
              <w:pStyle w:val="12"/>
              <w:bidi w:val="0"/>
              <w:rPr>
                <w:rFonts w:hint="default"/>
                <w:color w:val="auto"/>
                <w:lang w:val="en-US" w:eastAsia="zh-CN"/>
              </w:rPr>
            </w:pPr>
            <w:r>
              <w:rPr>
                <w:rFonts w:hint="eastAsia"/>
                <w:color w:val="auto"/>
                <w:lang w:val="en-US" w:eastAsia="zh-CN"/>
              </w:rPr>
              <w:t>0.0147</w:t>
            </w:r>
          </w:p>
        </w:tc>
        <w:tc>
          <w:tcPr>
            <w:tcW w:w="670" w:type="pct"/>
            <w:vMerge w:val="restart"/>
            <w:tcBorders>
              <w:tl2br w:val="nil"/>
              <w:tr2bl w:val="nil"/>
            </w:tcBorders>
            <w:noWrap w:val="0"/>
            <w:vAlign w:val="center"/>
          </w:tcPr>
          <w:p w14:paraId="613FD4E8">
            <w:pPr>
              <w:pStyle w:val="12"/>
              <w:bidi w:val="0"/>
              <w:rPr>
                <w:rFonts w:hint="default" w:eastAsia="宋体"/>
                <w:color w:val="auto"/>
                <w:lang w:val="en-US" w:eastAsia="zh-CN"/>
              </w:rPr>
            </w:pPr>
            <w:r>
              <w:rPr>
                <w:rFonts w:hint="eastAsia"/>
                <w:color w:val="auto"/>
                <w:lang w:val="en-US" w:eastAsia="zh-CN"/>
              </w:rPr>
              <w:t>0.05</w:t>
            </w:r>
          </w:p>
        </w:tc>
        <w:tc>
          <w:tcPr>
            <w:tcW w:w="1277" w:type="pct"/>
            <w:tcBorders>
              <w:tl2br w:val="nil"/>
              <w:tr2bl w:val="nil"/>
            </w:tcBorders>
            <w:noWrap w:val="0"/>
            <w:vAlign w:val="center"/>
          </w:tcPr>
          <w:p w14:paraId="4EE9CCE0">
            <w:pPr>
              <w:pStyle w:val="12"/>
              <w:bidi w:val="0"/>
              <w:rPr>
                <w:rFonts w:hint="eastAsia" w:eastAsia="宋体"/>
                <w:color w:val="auto"/>
                <w:lang w:val="en-US" w:eastAsia="zh-CN"/>
              </w:rPr>
            </w:pPr>
            <w:r>
              <w:rPr>
                <w:rFonts w:hint="eastAsia"/>
                <w:color w:val="auto"/>
                <w:lang w:val="en-US" w:eastAsia="zh-CN"/>
              </w:rPr>
              <w:t>/</w:t>
            </w:r>
          </w:p>
        </w:tc>
      </w:tr>
      <w:tr w14:paraId="73C2E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0A185418">
            <w:pPr>
              <w:pStyle w:val="12"/>
              <w:bidi w:val="0"/>
              <w:rPr>
                <w:color w:val="auto"/>
              </w:rPr>
            </w:pPr>
          </w:p>
        </w:tc>
        <w:tc>
          <w:tcPr>
            <w:tcW w:w="1011" w:type="pct"/>
            <w:tcBorders>
              <w:tl2br w:val="nil"/>
              <w:tr2bl w:val="nil"/>
            </w:tcBorders>
            <w:noWrap w:val="0"/>
            <w:vAlign w:val="center"/>
          </w:tcPr>
          <w:p w14:paraId="75040EA4">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7D4E551B">
            <w:pPr>
              <w:pStyle w:val="12"/>
              <w:bidi w:val="0"/>
              <w:ind w:left="0" w:leftChars="0" w:firstLine="0" w:firstLineChars="0"/>
              <w:rPr>
                <w:rFonts w:hint="eastAsia"/>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58365798">
            <w:pPr>
              <w:pStyle w:val="12"/>
              <w:bidi w:val="0"/>
              <w:rPr>
                <w:rFonts w:hint="default"/>
                <w:color w:val="auto"/>
                <w:lang w:val="en-US" w:eastAsia="zh-CN"/>
              </w:rPr>
            </w:pPr>
            <w:r>
              <w:rPr>
                <w:rFonts w:hint="eastAsia"/>
                <w:color w:val="auto"/>
                <w:lang w:val="en-US" w:eastAsia="zh-CN"/>
              </w:rPr>
              <w:t>0.0109</w:t>
            </w:r>
          </w:p>
        </w:tc>
        <w:tc>
          <w:tcPr>
            <w:tcW w:w="670" w:type="pct"/>
            <w:vMerge w:val="continue"/>
            <w:tcBorders>
              <w:tl2br w:val="nil"/>
              <w:tr2bl w:val="nil"/>
            </w:tcBorders>
            <w:noWrap w:val="0"/>
            <w:vAlign w:val="center"/>
          </w:tcPr>
          <w:p w14:paraId="54DEBF33">
            <w:pPr>
              <w:pStyle w:val="12"/>
              <w:bidi w:val="0"/>
              <w:rPr>
                <w:color w:val="auto"/>
              </w:rPr>
            </w:pPr>
          </w:p>
        </w:tc>
        <w:tc>
          <w:tcPr>
            <w:tcW w:w="1277" w:type="pct"/>
            <w:tcBorders>
              <w:tl2br w:val="nil"/>
              <w:tr2bl w:val="nil"/>
            </w:tcBorders>
            <w:noWrap w:val="0"/>
            <w:vAlign w:val="center"/>
          </w:tcPr>
          <w:p w14:paraId="0CBDF1D8">
            <w:pPr>
              <w:pStyle w:val="12"/>
              <w:bidi w:val="0"/>
              <w:rPr>
                <w:rFonts w:hint="default" w:eastAsia="宋体"/>
                <w:color w:val="auto"/>
                <w:lang w:val="en-US" w:eastAsia="zh-CN"/>
              </w:rPr>
            </w:pPr>
            <w:r>
              <w:rPr>
                <w:rFonts w:hint="eastAsia"/>
                <w:color w:val="auto"/>
                <w:lang w:val="en-US" w:eastAsia="zh-CN"/>
              </w:rPr>
              <w:t>0.005</w:t>
            </w:r>
            <w:r>
              <w:rPr>
                <w:color w:val="auto"/>
              </w:rPr>
              <w:t>mg/L</w:t>
            </w:r>
          </w:p>
        </w:tc>
      </w:tr>
      <w:tr w14:paraId="77D64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2FC15E67">
            <w:pPr>
              <w:pStyle w:val="12"/>
              <w:bidi w:val="0"/>
              <w:rPr>
                <w:rFonts w:hint="eastAsia" w:eastAsia="宋体"/>
                <w:color w:val="auto"/>
                <w:lang w:val="en-US" w:eastAsia="zh-CN"/>
              </w:rPr>
            </w:pPr>
            <w:r>
              <w:rPr>
                <w:rFonts w:hint="eastAsia"/>
                <w:color w:val="auto"/>
                <w:lang w:val="en-US" w:eastAsia="zh-CN"/>
              </w:rPr>
              <w:t>甲醛</w:t>
            </w:r>
          </w:p>
        </w:tc>
        <w:tc>
          <w:tcPr>
            <w:tcW w:w="1011" w:type="pct"/>
            <w:tcBorders>
              <w:tl2br w:val="nil"/>
              <w:tr2bl w:val="nil"/>
            </w:tcBorders>
            <w:noWrap w:val="0"/>
            <w:vAlign w:val="center"/>
          </w:tcPr>
          <w:p w14:paraId="35E58DA1">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16F3D4F6">
            <w:pPr>
              <w:pStyle w:val="12"/>
              <w:bidi w:val="0"/>
              <w:ind w:left="0" w:leftChars="0" w:firstLine="0" w:firstLineChars="0"/>
              <w:rPr>
                <w:rFonts w:hint="eastAsia"/>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068977A6">
            <w:pPr>
              <w:pStyle w:val="12"/>
              <w:bidi w:val="0"/>
              <w:rPr>
                <w:rFonts w:hint="default"/>
                <w:color w:val="auto"/>
                <w:lang w:val="en-US" w:eastAsia="zh-CN"/>
              </w:rPr>
            </w:pPr>
            <w:r>
              <w:rPr>
                <w:rFonts w:hint="eastAsia"/>
                <w:color w:val="auto"/>
                <w:lang w:val="en-US" w:eastAsia="zh-CN"/>
              </w:rPr>
              <w:t>0.0547</w:t>
            </w:r>
          </w:p>
        </w:tc>
        <w:tc>
          <w:tcPr>
            <w:tcW w:w="670" w:type="pct"/>
            <w:vMerge w:val="restart"/>
            <w:tcBorders>
              <w:tl2br w:val="nil"/>
              <w:tr2bl w:val="nil"/>
            </w:tcBorders>
            <w:noWrap w:val="0"/>
            <w:vAlign w:val="center"/>
          </w:tcPr>
          <w:p w14:paraId="1A1F571A">
            <w:pPr>
              <w:pStyle w:val="12"/>
              <w:bidi w:val="0"/>
              <w:rPr>
                <w:rFonts w:hint="default" w:eastAsia="宋体"/>
                <w:color w:val="auto"/>
                <w:lang w:val="en-US" w:eastAsia="zh-CN"/>
              </w:rPr>
            </w:pPr>
            <w:r>
              <w:rPr>
                <w:rFonts w:hint="eastAsia"/>
                <w:color w:val="auto"/>
                <w:lang w:val="en-US" w:eastAsia="zh-CN"/>
              </w:rPr>
              <w:t>0.9</w:t>
            </w:r>
          </w:p>
        </w:tc>
        <w:tc>
          <w:tcPr>
            <w:tcW w:w="1277" w:type="pct"/>
            <w:tcBorders>
              <w:tl2br w:val="nil"/>
              <w:tr2bl w:val="nil"/>
            </w:tcBorders>
            <w:noWrap w:val="0"/>
            <w:vAlign w:val="center"/>
          </w:tcPr>
          <w:p w14:paraId="568F0725">
            <w:pPr>
              <w:pStyle w:val="12"/>
              <w:bidi w:val="0"/>
              <w:rPr>
                <w:rFonts w:hint="eastAsia" w:eastAsia="宋体"/>
                <w:color w:val="auto"/>
                <w:lang w:val="en-US" w:eastAsia="zh-CN"/>
              </w:rPr>
            </w:pPr>
            <w:r>
              <w:rPr>
                <w:rFonts w:hint="eastAsia"/>
                <w:color w:val="auto"/>
                <w:lang w:val="en-US" w:eastAsia="zh-CN"/>
              </w:rPr>
              <w:t>/</w:t>
            </w:r>
          </w:p>
        </w:tc>
      </w:tr>
      <w:tr w14:paraId="1DF34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06E224A5">
            <w:pPr>
              <w:pStyle w:val="12"/>
              <w:bidi w:val="0"/>
              <w:rPr>
                <w:color w:val="auto"/>
              </w:rPr>
            </w:pPr>
          </w:p>
        </w:tc>
        <w:tc>
          <w:tcPr>
            <w:tcW w:w="1011" w:type="pct"/>
            <w:tcBorders>
              <w:tl2br w:val="nil"/>
              <w:tr2bl w:val="nil"/>
            </w:tcBorders>
            <w:noWrap w:val="0"/>
            <w:vAlign w:val="center"/>
          </w:tcPr>
          <w:p w14:paraId="23A70484">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230BC663">
            <w:pPr>
              <w:pStyle w:val="12"/>
              <w:bidi w:val="0"/>
              <w:ind w:left="0" w:leftChars="0" w:firstLine="0" w:firstLineChars="0"/>
              <w:rPr>
                <w:rFonts w:hint="eastAsia"/>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0FC0F310">
            <w:pPr>
              <w:pStyle w:val="12"/>
              <w:bidi w:val="0"/>
              <w:rPr>
                <w:rFonts w:hint="default"/>
                <w:color w:val="auto"/>
                <w:lang w:val="en-US" w:eastAsia="zh-CN"/>
              </w:rPr>
            </w:pPr>
            <w:r>
              <w:rPr>
                <w:rFonts w:hint="eastAsia"/>
                <w:color w:val="auto"/>
                <w:lang w:val="en-US" w:eastAsia="zh-CN"/>
              </w:rPr>
              <w:t>0.0509</w:t>
            </w:r>
          </w:p>
        </w:tc>
        <w:tc>
          <w:tcPr>
            <w:tcW w:w="670" w:type="pct"/>
            <w:vMerge w:val="continue"/>
            <w:tcBorders>
              <w:tl2br w:val="nil"/>
              <w:tr2bl w:val="nil"/>
            </w:tcBorders>
            <w:noWrap w:val="0"/>
            <w:vAlign w:val="center"/>
          </w:tcPr>
          <w:p w14:paraId="0B0D4D90">
            <w:pPr>
              <w:pStyle w:val="12"/>
              <w:bidi w:val="0"/>
              <w:rPr>
                <w:color w:val="auto"/>
              </w:rPr>
            </w:pPr>
          </w:p>
        </w:tc>
        <w:tc>
          <w:tcPr>
            <w:tcW w:w="1277" w:type="pct"/>
            <w:tcBorders>
              <w:tl2br w:val="nil"/>
              <w:tr2bl w:val="nil"/>
            </w:tcBorders>
            <w:noWrap w:val="0"/>
            <w:vAlign w:val="center"/>
          </w:tcPr>
          <w:p w14:paraId="04C3C144">
            <w:pPr>
              <w:pStyle w:val="12"/>
              <w:bidi w:val="0"/>
              <w:rPr>
                <w:rFonts w:hint="default" w:eastAsia="宋体"/>
                <w:color w:val="auto"/>
                <w:lang w:val="en-US" w:eastAsia="zh-CN"/>
              </w:rPr>
            </w:pPr>
            <w:r>
              <w:rPr>
                <w:rFonts w:hint="eastAsia"/>
                <w:color w:val="auto"/>
                <w:lang w:val="en-US" w:eastAsia="zh-CN"/>
              </w:rPr>
              <w:t>0.09</w:t>
            </w:r>
            <w:r>
              <w:rPr>
                <w:color w:val="auto"/>
              </w:rPr>
              <w:t>mg/L</w:t>
            </w:r>
          </w:p>
        </w:tc>
      </w:tr>
    </w:tbl>
    <w:p w14:paraId="3DD20286">
      <w:pPr>
        <w:pStyle w:val="15"/>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0" w:leftChars="0" w:firstLine="0" w:firstLineChars="0"/>
        <w:textAlignment w:val="auto"/>
        <w:rPr>
          <w:color w:val="auto"/>
        </w:rPr>
      </w:pPr>
      <w:r>
        <w:rPr>
          <w:rFonts w:hint="eastAsia"/>
          <w:color w:val="auto"/>
          <w:lang w:val="en-US" w:eastAsia="zh-CN"/>
        </w:rPr>
        <w:t>本项目非正常排放</w:t>
      </w:r>
      <w:r>
        <w:rPr>
          <w:color w:val="auto"/>
        </w:rPr>
        <w:t>污染物核算断面和完全混合断面预测结果</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1809"/>
        <w:gridCol w:w="1328"/>
        <w:gridCol w:w="1199"/>
        <w:gridCol w:w="1199"/>
        <w:gridCol w:w="2287"/>
      </w:tblGrid>
      <w:tr w14:paraId="12BC1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l2br w:val="nil"/>
              <w:tr2bl w:val="nil"/>
            </w:tcBorders>
            <w:noWrap w:val="0"/>
            <w:vAlign w:val="center"/>
          </w:tcPr>
          <w:p w14:paraId="158827D6">
            <w:pPr>
              <w:pStyle w:val="12"/>
              <w:bidi w:val="0"/>
              <w:rPr>
                <w:b/>
                <w:bCs/>
                <w:color w:val="auto"/>
              </w:rPr>
            </w:pPr>
            <w:r>
              <w:rPr>
                <w:b/>
                <w:bCs/>
                <w:color w:val="auto"/>
              </w:rPr>
              <w:t>预测因子</w:t>
            </w:r>
          </w:p>
        </w:tc>
        <w:tc>
          <w:tcPr>
            <w:tcW w:w="1011" w:type="pct"/>
            <w:tcBorders>
              <w:tl2br w:val="nil"/>
              <w:tr2bl w:val="nil"/>
            </w:tcBorders>
            <w:noWrap w:val="0"/>
            <w:vAlign w:val="center"/>
          </w:tcPr>
          <w:p w14:paraId="74268E4B">
            <w:pPr>
              <w:pStyle w:val="12"/>
              <w:bidi w:val="0"/>
              <w:rPr>
                <w:b/>
                <w:bCs/>
                <w:color w:val="auto"/>
              </w:rPr>
            </w:pPr>
            <w:r>
              <w:rPr>
                <w:b/>
                <w:bCs/>
                <w:color w:val="auto"/>
              </w:rPr>
              <w:t>断面名称</w:t>
            </w:r>
          </w:p>
        </w:tc>
        <w:tc>
          <w:tcPr>
            <w:tcW w:w="742" w:type="pct"/>
            <w:tcBorders>
              <w:tl2br w:val="nil"/>
              <w:tr2bl w:val="nil"/>
            </w:tcBorders>
            <w:noWrap w:val="0"/>
            <w:vAlign w:val="center"/>
          </w:tcPr>
          <w:p w14:paraId="381561BD">
            <w:pPr>
              <w:pStyle w:val="12"/>
              <w:bidi w:val="0"/>
              <w:rPr>
                <w:b/>
                <w:bCs/>
                <w:color w:val="auto"/>
              </w:rPr>
            </w:pPr>
            <w:r>
              <w:rPr>
                <w:b/>
                <w:bCs/>
                <w:color w:val="auto"/>
              </w:rPr>
              <w:t>排口下游距离（m）</w:t>
            </w:r>
          </w:p>
        </w:tc>
        <w:tc>
          <w:tcPr>
            <w:tcW w:w="670" w:type="pct"/>
            <w:tcBorders>
              <w:tl2br w:val="nil"/>
              <w:tr2bl w:val="nil"/>
            </w:tcBorders>
            <w:noWrap w:val="0"/>
            <w:vAlign w:val="center"/>
          </w:tcPr>
          <w:p w14:paraId="3B3D7602">
            <w:pPr>
              <w:pStyle w:val="12"/>
              <w:bidi w:val="0"/>
              <w:rPr>
                <w:b/>
                <w:bCs/>
                <w:color w:val="auto"/>
              </w:rPr>
            </w:pPr>
            <w:r>
              <w:rPr>
                <w:b/>
                <w:bCs/>
                <w:color w:val="auto"/>
              </w:rPr>
              <w:t>预测值（mg/L）</w:t>
            </w:r>
          </w:p>
        </w:tc>
        <w:tc>
          <w:tcPr>
            <w:tcW w:w="670" w:type="pct"/>
            <w:tcBorders>
              <w:tl2br w:val="nil"/>
              <w:tr2bl w:val="nil"/>
            </w:tcBorders>
            <w:noWrap w:val="0"/>
            <w:vAlign w:val="center"/>
          </w:tcPr>
          <w:p w14:paraId="67AA4CA6">
            <w:pPr>
              <w:pStyle w:val="12"/>
              <w:bidi w:val="0"/>
              <w:rPr>
                <w:b/>
                <w:bCs/>
                <w:color w:val="auto"/>
              </w:rPr>
            </w:pPr>
            <w:r>
              <w:rPr>
                <w:b/>
                <w:bCs/>
                <w:color w:val="auto"/>
              </w:rPr>
              <w:t>标准限值（mg/L）</w:t>
            </w:r>
          </w:p>
        </w:tc>
        <w:tc>
          <w:tcPr>
            <w:tcW w:w="1277" w:type="pct"/>
            <w:tcBorders>
              <w:tl2br w:val="nil"/>
              <w:tr2bl w:val="nil"/>
            </w:tcBorders>
            <w:noWrap w:val="0"/>
            <w:vAlign w:val="center"/>
          </w:tcPr>
          <w:p w14:paraId="4E4F8675">
            <w:pPr>
              <w:pStyle w:val="12"/>
              <w:bidi w:val="0"/>
              <w:rPr>
                <w:b/>
                <w:bCs/>
                <w:color w:val="auto"/>
              </w:rPr>
            </w:pPr>
            <w:r>
              <w:rPr>
                <w:b/>
                <w:bCs/>
                <w:color w:val="auto"/>
              </w:rPr>
              <w:t>污染物核算断面要求的10%安全容量</w:t>
            </w:r>
          </w:p>
        </w:tc>
      </w:tr>
      <w:tr w14:paraId="733F9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tcBorders>
              <w:tl2br w:val="nil"/>
              <w:tr2bl w:val="nil"/>
            </w:tcBorders>
            <w:noWrap w:val="0"/>
            <w:vAlign w:val="center"/>
          </w:tcPr>
          <w:p w14:paraId="70407331">
            <w:pPr>
              <w:pStyle w:val="12"/>
              <w:bidi w:val="0"/>
              <w:rPr>
                <w:color w:val="auto"/>
              </w:rPr>
            </w:pPr>
            <w:r>
              <w:rPr>
                <w:color w:val="auto"/>
              </w:rPr>
              <w:t>枯水期</w:t>
            </w:r>
          </w:p>
        </w:tc>
      </w:tr>
      <w:tr w14:paraId="18BF7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78F1AF5A">
            <w:pPr>
              <w:pStyle w:val="12"/>
              <w:bidi w:val="0"/>
              <w:rPr>
                <w:color w:val="auto"/>
              </w:rPr>
            </w:pPr>
            <w:r>
              <w:rPr>
                <w:color w:val="auto"/>
              </w:rPr>
              <w:t>COD</w:t>
            </w:r>
            <w:r>
              <w:rPr>
                <w:color w:val="auto"/>
                <w:vertAlign w:val="subscript"/>
              </w:rPr>
              <w:t>Cr</w:t>
            </w:r>
          </w:p>
        </w:tc>
        <w:tc>
          <w:tcPr>
            <w:tcW w:w="1011" w:type="pct"/>
            <w:tcBorders>
              <w:tl2br w:val="nil"/>
              <w:tr2bl w:val="nil"/>
            </w:tcBorders>
            <w:noWrap w:val="0"/>
            <w:vAlign w:val="center"/>
          </w:tcPr>
          <w:p w14:paraId="0663684E">
            <w:pPr>
              <w:pStyle w:val="12"/>
              <w:bidi w:val="0"/>
              <w:rPr>
                <w:color w:val="auto"/>
              </w:rPr>
            </w:pPr>
            <w:r>
              <w:rPr>
                <w:color w:val="auto"/>
              </w:rPr>
              <w:t>完全混合断面</w:t>
            </w:r>
          </w:p>
        </w:tc>
        <w:tc>
          <w:tcPr>
            <w:tcW w:w="742" w:type="pct"/>
            <w:tcBorders>
              <w:tl2br w:val="nil"/>
              <w:tr2bl w:val="nil"/>
            </w:tcBorders>
            <w:noWrap w:val="0"/>
            <w:vAlign w:val="center"/>
          </w:tcPr>
          <w:p w14:paraId="42B94F08">
            <w:pPr>
              <w:pStyle w:val="12"/>
              <w:bidi w:val="0"/>
              <w:rPr>
                <w:rFonts w:hint="default" w:eastAsia="宋体"/>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62AFC8FD">
            <w:pPr>
              <w:pStyle w:val="12"/>
              <w:bidi w:val="0"/>
              <w:rPr>
                <w:rFonts w:hint="default"/>
                <w:color w:val="auto"/>
                <w:lang w:val="en-US" w:eastAsia="zh-CN"/>
              </w:rPr>
            </w:pPr>
            <w:r>
              <w:rPr>
                <w:rFonts w:hint="eastAsia"/>
                <w:color w:val="auto"/>
                <w:lang w:val="en-US" w:eastAsia="zh-CN"/>
              </w:rPr>
              <w:t>14.3236</w:t>
            </w:r>
          </w:p>
        </w:tc>
        <w:tc>
          <w:tcPr>
            <w:tcW w:w="670" w:type="pct"/>
            <w:vMerge w:val="restart"/>
            <w:tcBorders>
              <w:tl2br w:val="nil"/>
              <w:tr2bl w:val="nil"/>
            </w:tcBorders>
            <w:noWrap w:val="0"/>
            <w:vAlign w:val="center"/>
          </w:tcPr>
          <w:p w14:paraId="275F5AAD">
            <w:pPr>
              <w:pStyle w:val="12"/>
              <w:bidi w:val="0"/>
              <w:rPr>
                <w:color w:val="auto"/>
              </w:rPr>
            </w:pPr>
            <w:r>
              <w:rPr>
                <w:color w:val="auto"/>
              </w:rPr>
              <w:t>20</w:t>
            </w:r>
          </w:p>
        </w:tc>
        <w:tc>
          <w:tcPr>
            <w:tcW w:w="1277" w:type="pct"/>
            <w:tcBorders>
              <w:tl2br w:val="nil"/>
              <w:tr2bl w:val="nil"/>
            </w:tcBorders>
            <w:noWrap w:val="0"/>
            <w:vAlign w:val="center"/>
          </w:tcPr>
          <w:p w14:paraId="6906DDFC">
            <w:pPr>
              <w:pStyle w:val="12"/>
              <w:bidi w:val="0"/>
              <w:rPr>
                <w:rFonts w:hint="eastAsia" w:eastAsia="宋体"/>
                <w:color w:val="auto"/>
                <w:lang w:val="en-US" w:eastAsia="zh-CN"/>
              </w:rPr>
            </w:pPr>
            <w:r>
              <w:rPr>
                <w:rFonts w:hint="eastAsia"/>
                <w:color w:val="auto"/>
                <w:lang w:val="en-US" w:eastAsia="zh-CN"/>
              </w:rPr>
              <w:t>/</w:t>
            </w:r>
          </w:p>
        </w:tc>
      </w:tr>
      <w:tr w14:paraId="7AA47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7EFC10B6">
            <w:pPr>
              <w:pStyle w:val="12"/>
              <w:bidi w:val="0"/>
              <w:rPr>
                <w:color w:val="auto"/>
              </w:rPr>
            </w:pPr>
          </w:p>
        </w:tc>
        <w:tc>
          <w:tcPr>
            <w:tcW w:w="1011" w:type="pct"/>
            <w:tcBorders>
              <w:tl2br w:val="nil"/>
              <w:tr2bl w:val="nil"/>
            </w:tcBorders>
            <w:noWrap w:val="0"/>
            <w:vAlign w:val="center"/>
          </w:tcPr>
          <w:p w14:paraId="6DD8DB6C">
            <w:pPr>
              <w:pStyle w:val="12"/>
              <w:bidi w:val="0"/>
              <w:rPr>
                <w:color w:val="auto"/>
              </w:rPr>
            </w:pPr>
            <w:r>
              <w:rPr>
                <w:color w:val="auto"/>
              </w:rPr>
              <w:t>污染物核算断面</w:t>
            </w:r>
          </w:p>
        </w:tc>
        <w:tc>
          <w:tcPr>
            <w:tcW w:w="742" w:type="pct"/>
            <w:tcBorders>
              <w:tl2br w:val="nil"/>
              <w:tr2bl w:val="nil"/>
            </w:tcBorders>
            <w:noWrap w:val="0"/>
            <w:vAlign w:val="center"/>
          </w:tcPr>
          <w:p w14:paraId="6EB1068F">
            <w:pPr>
              <w:pStyle w:val="12"/>
              <w:bidi w:val="0"/>
              <w:rPr>
                <w:rFonts w:hint="default"/>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255E17C6">
            <w:pPr>
              <w:pStyle w:val="12"/>
              <w:bidi w:val="0"/>
              <w:rPr>
                <w:rFonts w:hint="default"/>
                <w:color w:val="auto"/>
                <w:lang w:val="en-US" w:eastAsia="zh-CN"/>
              </w:rPr>
            </w:pPr>
            <w:r>
              <w:rPr>
                <w:rFonts w:hint="eastAsia"/>
                <w:color w:val="auto"/>
                <w:lang w:val="en-US" w:eastAsia="zh-CN"/>
              </w:rPr>
              <w:t>12.8986</w:t>
            </w:r>
          </w:p>
        </w:tc>
        <w:tc>
          <w:tcPr>
            <w:tcW w:w="670" w:type="pct"/>
            <w:vMerge w:val="continue"/>
            <w:tcBorders>
              <w:tl2br w:val="nil"/>
              <w:tr2bl w:val="nil"/>
            </w:tcBorders>
            <w:noWrap w:val="0"/>
            <w:vAlign w:val="center"/>
          </w:tcPr>
          <w:p w14:paraId="1AAA126D">
            <w:pPr>
              <w:pStyle w:val="12"/>
              <w:bidi w:val="0"/>
              <w:rPr>
                <w:color w:val="auto"/>
              </w:rPr>
            </w:pPr>
          </w:p>
        </w:tc>
        <w:tc>
          <w:tcPr>
            <w:tcW w:w="1277" w:type="pct"/>
            <w:tcBorders>
              <w:tl2br w:val="nil"/>
              <w:tr2bl w:val="nil"/>
            </w:tcBorders>
            <w:noWrap w:val="0"/>
            <w:vAlign w:val="center"/>
          </w:tcPr>
          <w:p w14:paraId="766E87ED">
            <w:pPr>
              <w:pStyle w:val="12"/>
              <w:bidi w:val="0"/>
              <w:rPr>
                <w:color w:val="auto"/>
              </w:rPr>
            </w:pPr>
            <w:r>
              <w:rPr>
                <w:color w:val="auto"/>
              </w:rPr>
              <w:t>2mg/L</w:t>
            </w:r>
          </w:p>
        </w:tc>
      </w:tr>
      <w:tr w14:paraId="7AE78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35650FE1">
            <w:pPr>
              <w:pStyle w:val="12"/>
              <w:bidi w:val="0"/>
              <w:rPr>
                <w:color w:val="auto"/>
              </w:rPr>
            </w:pPr>
            <w:r>
              <w:rPr>
                <w:color w:val="auto"/>
              </w:rPr>
              <w:t>氨氮</w:t>
            </w:r>
          </w:p>
        </w:tc>
        <w:tc>
          <w:tcPr>
            <w:tcW w:w="1011" w:type="pct"/>
            <w:tcBorders>
              <w:tl2br w:val="nil"/>
              <w:tr2bl w:val="nil"/>
            </w:tcBorders>
            <w:noWrap w:val="0"/>
            <w:vAlign w:val="center"/>
          </w:tcPr>
          <w:p w14:paraId="7293FDC9">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689F9455">
            <w:pPr>
              <w:pStyle w:val="12"/>
              <w:bidi w:val="0"/>
              <w:ind w:left="0" w:leftChars="0" w:firstLine="0" w:firstLineChars="0"/>
              <w:rPr>
                <w:color w:val="auto"/>
              </w:rPr>
            </w:pPr>
            <w:r>
              <w:rPr>
                <w:rFonts w:hint="eastAsia"/>
                <w:color w:val="auto"/>
                <w:lang w:val="en-US" w:eastAsia="zh-CN"/>
              </w:rPr>
              <w:t>73</w:t>
            </w:r>
          </w:p>
        </w:tc>
        <w:tc>
          <w:tcPr>
            <w:tcW w:w="670" w:type="pct"/>
            <w:tcBorders>
              <w:tl2br w:val="nil"/>
              <w:tr2bl w:val="nil"/>
            </w:tcBorders>
            <w:noWrap w:val="0"/>
            <w:vAlign w:val="center"/>
          </w:tcPr>
          <w:p w14:paraId="44485111">
            <w:pPr>
              <w:pStyle w:val="12"/>
              <w:bidi w:val="0"/>
              <w:rPr>
                <w:rFonts w:hint="default"/>
                <w:color w:val="auto"/>
                <w:lang w:val="en-US" w:eastAsia="zh-CN"/>
              </w:rPr>
            </w:pPr>
            <w:r>
              <w:rPr>
                <w:rFonts w:hint="eastAsia"/>
                <w:color w:val="auto"/>
                <w:lang w:val="en-US" w:eastAsia="zh-CN"/>
              </w:rPr>
              <w:t>0.4489</w:t>
            </w:r>
          </w:p>
        </w:tc>
        <w:tc>
          <w:tcPr>
            <w:tcW w:w="670" w:type="pct"/>
            <w:vMerge w:val="restart"/>
            <w:tcBorders>
              <w:tl2br w:val="nil"/>
              <w:tr2bl w:val="nil"/>
            </w:tcBorders>
            <w:noWrap w:val="0"/>
            <w:vAlign w:val="center"/>
          </w:tcPr>
          <w:p w14:paraId="08BA603B">
            <w:pPr>
              <w:pStyle w:val="12"/>
              <w:bidi w:val="0"/>
              <w:rPr>
                <w:color w:val="auto"/>
              </w:rPr>
            </w:pPr>
            <w:r>
              <w:rPr>
                <w:color w:val="auto"/>
              </w:rPr>
              <w:t>1.0</w:t>
            </w:r>
          </w:p>
        </w:tc>
        <w:tc>
          <w:tcPr>
            <w:tcW w:w="1277" w:type="pct"/>
            <w:tcBorders>
              <w:tl2br w:val="nil"/>
              <w:tr2bl w:val="nil"/>
            </w:tcBorders>
            <w:noWrap w:val="0"/>
            <w:vAlign w:val="center"/>
          </w:tcPr>
          <w:p w14:paraId="57401AF7">
            <w:pPr>
              <w:pStyle w:val="12"/>
              <w:bidi w:val="0"/>
              <w:rPr>
                <w:rFonts w:hint="eastAsia" w:eastAsia="宋体"/>
                <w:color w:val="auto"/>
                <w:lang w:val="en-US" w:eastAsia="zh-CN"/>
              </w:rPr>
            </w:pPr>
            <w:r>
              <w:rPr>
                <w:rFonts w:hint="eastAsia"/>
                <w:color w:val="auto"/>
                <w:lang w:val="en-US" w:eastAsia="zh-CN"/>
              </w:rPr>
              <w:t>/</w:t>
            </w:r>
          </w:p>
        </w:tc>
      </w:tr>
      <w:tr w14:paraId="29C06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10BA3354">
            <w:pPr>
              <w:pStyle w:val="12"/>
              <w:bidi w:val="0"/>
              <w:rPr>
                <w:color w:val="auto"/>
              </w:rPr>
            </w:pPr>
          </w:p>
        </w:tc>
        <w:tc>
          <w:tcPr>
            <w:tcW w:w="1011" w:type="pct"/>
            <w:tcBorders>
              <w:tl2br w:val="nil"/>
              <w:tr2bl w:val="nil"/>
            </w:tcBorders>
            <w:noWrap w:val="0"/>
            <w:vAlign w:val="center"/>
          </w:tcPr>
          <w:p w14:paraId="6566FC6A">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6196F23F">
            <w:pPr>
              <w:pStyle w:val="12"/>
              <w:bidi w:val="0"/>
              <w:ind w:left="0" w:leftChars="0" w:firstLine="0" w:firstLineChars="0"/>
              <w:rPr>
                <w:color w:val="auto"/>
              </w:rPr>
            </w:pPr>
            <w:r>
              <w:rPr>
                <w:rFonts w:hint="eastAsia"/>
                <w:color w:val="auto"/>
                <w:lang w:val="en-US" w:eastAsia="zh-CN"/>
              </w:rPr>
              <w:t>2000</w:t>
            </w:r>
          </w:p>
        </w:tc>
        <w:tc>
          <w:tcPr>
            <w:tcW w:w="670" w:type="pct"/>
            <w:tcBorders>
              <w:tl2br w:val="nil"/>
              <w:tr2bl w:val="nil"/>
            </w:tcBorders>
            <w:noWrap w:val="0"/>
            <w:vAlign w:val="center"/>
          </w:tcPr>
          <w:p w14:paraId="3D2C1D3C">
            <w:pPr>
              <w:pStyle w:val="12"/>
              <w:bidi w:val="0"/>
              <w:rPr>
                <w:rFonts w:hint="default"/>
                <w:color w:val="auto"/>
                <w:lang w:val="en-US" w:eastAsia="zh-CN"/>
              </w:rPr>
            </w:pPr>
            <w:r>
              <w:rPr>
                <w:rFonts w:hint="eastAsia"/>
                <w:color w:val="auto"/>
                <w:lang w:val="en-US" w:eastAsia="zh-CN"/>
              </w:rPr>
              <w:t>0.2454</w:t>
            </w:r>
          </w:p>
        </w:tc>
        <w:tc>
          <w:tcPr>
            <w:tcW w:w="670" w:type="pct"/>
            <w:vMerge w:val="continue"/>
            <w:tcBorders>
              <w:tl2br w:val="nil"/>
              <w:tr2bl w:val="nil"/>
            </w:tcBorders>
            <w:noWrap w:val="0"/>
            <w:vAlign w:val="center"/>
          </w:tcPr>
          <w:p w14:paraId="2B0CD124">
            <w:pPr>
              <w:pStyle w:val="12"/>
              <w:bidi w:val="0"/>
              <w:rPr>
                <w:color w:val="auto"/>
              </w:rPr>
            </w:pPr>
          </w:p>
        </w:tc>
        <w:tc>
          <w:tcPr>
            <w:tcW w:w="1277" w:type="pct"/>
            <w:tcBorders>
              <w:tl2br w:val="nil"/>
              <w:tr2bl w:val="nil"/>
            </w:tcBorders>
            <w:noWrap w:val="0"/>
            <w:vAlign w:val="center"/>
          </w:tcPr>
          <w:p w14:paraId="34F55F3F">
            <w:pPr>
              <w:pStyle w:val="12"/>
              <w:bidi w:val="0"/>
              <w:rPr>
                <w:color w:val="auto"/>
              </w:rPr>
            </w:pPr>
            <w:r>
              <w:rPr>
                <w:color w:val="auto"/>
              </w:rPr>
              <w:t>0.1mg/L</w:t>
            </w:r>
          </w:p>
        </w:tc>
      </w:tr>
      <w:tr w14:paraId="188A5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7AE1A1D1">
            <w:pPr>
              <w:pStyle w:val="12"/>
              <w:bidi w:val="0"/>
              <w:rPr>
                <w:color w:val="auto"/>
              </w:rPr>
            </w:pPr>
            <w:r>
              <w:rPr>
                <w:color w:val="auto"/>
              </w:rPr>
              <w:t>TP</w:t>
            </w:r>
          </w:p>
        </w:tc>
        <w:tc>
          <w:tcPr>
            <w:tcW w:w="1011" w:type="pct"/>
            <w:tcBorders>
              <w:tl2br w:val="nil"/>
              <w:tr2bl w:val="nil"/>
            </w:tcBorders>
            <w:noWrap w:val="0"/>
            <w:vAlign w:val="center"/>
          </w:tcPr>
          <w:p w14:paraId="72B2A0F6">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6BFA00EB">
            <w:pPr>
              <w:pStyle w:val="12"/>
              <w:bidi w:val="0"/>
              <w:ind w:left="0" w:leftChars="0" w:firstLine="0" w:firstLineChars="0"/>
              <w:rPr>
                <w:color w:val="auto"/>
              </w:rPr>
            </w:pPr>
            <w:r>
              <w:rPr>
                <w:rFonts w:hint="eastAsia"/>
                <w:color w:val="auto"/>
                <w:lang w:val="en-US" w:eastAsia="zh-CN"/>
              </w:rPr>
              <w:t>73</w:t>
            </w:r>
          </w:p>
        </w:tc>
        <w:tc>
          <w:tcPr>
            <w:tcW w:w="670" w:type="pct"/>
            <w:tcBorders>
              <w:tl2br w:val="nil"/>
              <w:tr2bl w:val="nil"/>
            </w:tcBorders>
            <w:noWrap w:val="0"/>
            <w:vAlign w:val="center"/>
          </w:tcPr>
          <w:p w14:paraId="7F55A041">
            <w:pPr>
              <w:pStyle w:val="12"/>
              <w:bidi w:val="0"/>
              <w:rPr>
                <w:rFonts w:hint="default"/>
                <w:color w:val="auto"/>
                <w:lang w:val="en-US" w:eastAsia="zh-CN"/>
              </w:rPr>
            </w:pPr>
            <w:r>
              <w:rPr>
                <w:rFonts w:hint="eastAsia"/>
                <w:color w:val="auto"/>
                <w:lang w:val="en-US" w:eastAsia="zh-CN"/>
              </w:rPr>
              <w:t>0.0556</w:t>
            </w:r>
          </w:p>
        </w:tc>
        <w:tc>
          <w:tcPr>
            <w:tcW w:w="670" w:type="pct"/>
            <w:vMerge w:val="restart"/>
            <w:tcBorders>
              <w:tl2br w:val="nil"/>
              <w:tr2bl w:val="nil"/>
            </w:tcBorders>
            <w:noWrap w:val="0"/>
            <w:vAlign w:val="center"/>
          </w:tcPr>
          <w:p w14:paraId="4120CBF8">
            <w:pPr>
              <w:pStyle w:val="12"/>
              <w:bidi w:val="0"/>
              <w:rPr>
                <w:color w:val="auto"/>
              </w:rPr>
            </w:pPr>
            <w:r>
              <w:rPr>
                <w:color w:val="auto"/>
              </w:rPr>
              <w:t>0.2</w:t>
            </w:r>
          </w:p>
        </w:tc>
        <w:tc>
          <w:tcPr>
            <w:tcW w:w="1277" w:type="pct"/>
            <w:tcBorders>
              <w:tl2br w:val="nil"/>
              <w:tr2bl w:val="nil"/>
            </w:tcBorders>
            <w:noWrap w:val="0"/>
            <w:vAlign w:val="center"/>
          </w:tcPr>
          <w:p w14:paraId="3340A30B">
            <w:pPr>
              <w:pStyle w:val="12"/>
              <w:bidi w:val="0"/>
              <w:rPr>
                <w:rFonts w:hint="default" w:eastAsia="宋体"/>
                <w:color w:val="auto"/>
                <w:lang w:val="en-US" w:eastAsia="zh-CN"/>
              </w:rPr>
            </w:pPr>
            <w:r>
              <w:rPr>
                <w:rFonts w:hint="eastAsia"/>
                <w:color w:val="auto"/>
                <w:lang w:val="en-US" w:eastAsia="zh-CN"/>
              </w:rPr>
              <w:t>/</w:t>
            </w:r>
          </w:p>
        </w:tc>
      </w:tr>
      <w:tr w14:paraId="38D3F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06876F43">
            <w:pPr>
              <w:pStyle w:val="12"/>
              <w:bidi w:val="0"/>
              <w:rPr>
                <w:color w:val="auto"/>
              </w:rPr>
            </w:pPr>
          </w:p>
        </w:tc>
        <w:tc>
          <w:tcPr>
            <w:tcW w:w="1011" w:type="pct"/>
            <w:tcBorders>
              <w:tl2br w:val="nil"/>
              <w:tr2bl w:val="nil"/>
            </w:tcBorders>
            <w:noWrap w:val="0"/>
            <w:vAlign w:val="center"/>
          </w:tcPr>
          <w:p w14:paraId="22141E74">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2437C6FF">
            <w:pPr>
              <w:pStyle w:val="12"/>
              <w:bidi w:val="0"/>
              <w:ind w:left="0" w:leftChars="0" w:firstLine="0" w:firstLineChars="0"/>
              <w:rPr>
                <w:color w:val="auto"/>
              </w:rPr>
            </w:pPr>
            <w:r>
              <w:rPr>
                <w:rFonts w:hint="eastAsia"/>
                <w:color w:val="auto"/>
                <w:lang w:val="en-US" w:eastAsia="zh-CN"/>
              </w:rPr>
              <w:t>2000</w:t>
            </w:r>
          </w:p>
        </w:tc>
        <w:tc>
          <w:tcPr>
            <w:tcW w:w="670" w:type="pct"/>
            <w:tcBorders>
              <w:tl2br w:val="nil"/>
              <w:tr2bl w:val="nil"/>
            </w:tcBorders>
            <w:noWrap w:val="0"/>
            <w:vAlign w:val="center"/>
          </w:tcPr>
          <w:p w14:paraId="1410BD04">
            <w:pPr>
              <w:pStyle w:val="12"/>
              <w:bidi w:val="0"/>
              <w:rPr>
                <w:rFonts w:hint="default"/>
                <w:color w:val="auto"/>
                <w:lang w:val="en-US" w:eastAsia="zh-CN"/>
              </w:rPr>
            </w:pPr>
            <w:r>
              <w:rPr>
                <w:rFonts w:hint="eastAsia"/>
                <w:color w:val="auto"/>
                <w:lang w:val="en-US" w:eastAsia="zh-CN"/>
              </w:rPr>
              <w:t>0.0393</w:t>
            </w:r>
          </w:p>
        </w:tc>
        <w:tc>
          <w:tcPr>
            <w:tcW w:w="670" w:type="pct"/>
            <w:vMerge w:val="continue"/>
            <w:tcBorders>
              <w:tl2br w:val="nil"/>
              <w:tr2bl w:val="nil"/>
            </w:tcBorders>
            <w:noWrap w:val="0"/>
            <w:vAlign w:val="center"/>
          </w:tcPr>
          <w:p w14:paraId="603E36C4">
            <w:pPr>
              <w:pStyle w:val="12"/>
              <w:bidi w:val="0"/>
              <w:rPr>
                <w:color w:val="auto"/>
              </w:rPr>
            </w:pPr>
          </w:p>
        </w:tc>
        <w:tc>
          <w:tcPr>
            <w:tcW w:w="1277" w:type="pct"/>
            <w:tcBorders>
              <w:tl2br w:val="nil"/>
              <w:tr2bl w:val="nil"/>
            </w:tcBorders>
            <w:noWrap w:val="0"/>
            <w:vAlign w:val="center"/>
          </w:tcPr>
          <w:p w14:paraId="546C7D6A">
            <w:pPr>
              <w:pStyle w:val="12"/>
              <w:bidi w:val="0"/>
              <w:rPr>
                <w:color w:val="auto"/>
              </w:rPr>
            </w:pPr>
            <w:r>
              <w:rPr>
                <w:color w:val="auto"/>
              </w:rPr>
              <w:t>0.02mg/L</w:t>
            </w:r>
          </w:p>
        </w:tc>
      </w:tr>
      <w:tr w14:paraId="5036A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396018DD">
            <w:pPr>
              <w:pStyle w:val="12"/>
              <w:bidi w:val="0"/>
              <w:rPr>
                <w:rFonts w:hint="default" w:eastAsia="宋体"/>
                <w:color w:val="auto"/>
                <w:lang w:val="en-US" w:eastAsia="zh-CN"/>
              </w:rPr>
            </w:pPr>
            <w:r>
              <w:rPr>
                <w:rFonts w:hint="eastAsia"/>
                <w:color w:val="auto"/>
                <w:lang w:val="en-US" w:eastAsia="zh-CN"/>
              </w:rPr>
              <w:t>石油类</w:t>
            </w:r>
          </w:p>
        </w:tc>
        <w:tc>
          <w:tcPr>
            <w:tcW w:w="1011" w:type="pct"/>
            <w:tcBorders>
              <w:tl2br w:val="nil"/>
              <w:tr2bl w:val="nil"/>
            </w:tcBorders>
            <w:noWrap w:val="0"/>
            <w:vAlign w:val="center"/>
          </w:tcPr>
          <w:p w14:paraId="6492239C">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729AD137">
            <w:pPr>
              <w:pStyle w:val="12"/>
              <w:bidi w:val="0"/>
              <w:ind w:left="0" w:leftChars="0" w:firstLine="0" w:firstLineChars="0"/>
              <w:rPr>
                <w:rFonts w:hint="eastAsia"/>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799F2885">
            <w:pPr>
              <w:pStyle w:val="12"/>
              <w:bidi w:val="0"/>
              <w:rPr>
                <w:rFonts w:hint="default"/>
                <w:color w:val="auto"/>
                <w:lang w:val="en-US" w:eastAsia="zh-CN"/>
              </w:rPr>
            </w:pPr>
            <w:r>
              <w:rPr>
                <w:rFonts w:hint="eastAsia"/>
                <w:color w:val="auto"/>
                <w:lang w:val="en-US" w:eastAsia="zh-CN"/>
              </w:rPr>
              <w:t>0.0147</w:t>
            </w:r>
          </w:p>
        </w:tc>
        <w:tc>
          <w:tcPr>
            <w:tcW w:w="670" w:type="pct"/>
            <w:vMerge w:val="restart"/>
            <w:tcBorders>
              <w:tl2br w:val="nil"/>
              <w:tr2bl w:val="nil"/>
            </w:tcBorders>
            <w:noWrap w:val="0"/>
            <w:vAlign w:val="center"/>
          </w:tcPr>
          <w:p w14:paraId="4A68D903">
            <w:pPr>
              <w:pStyle w:val="12"/>
              <w:bidi w:val="0"/>
              <w:rPr>
                <w:rFonts w:hint="default" w:eastAsia="宋体"/>
                <w:color w:val="auto"/>
                <w:lang w:val="en-US" w:eastAsia="zh-CN"/>
              </w:rPr>
            </w:pPr>
            <w:r>
              <w:rPr>
                <w:rFonts w:hint="eastAsia"/>
                <w:color w:val="auto"/>
                <w:lang w:val="en-US" w:eastAsia="zh-CN"/>
              </w:rPr>
              <w:t>0.05</w:t>
            </w:r>
          </w:p>
        </w:tc>
        <w:tc>
          <w:tcPr>
            <w:tcW w:w="1277" w:type="pct"/>
            <w:tcBorders>
              <w:tl2br w:val="nil"/>
              <w:tr2bl w:val="nil"/>
            </w:tcBorders>
            <w:noWrap w:val="0"/>
            <w:vAlign w:val="center"/>
          </w:tcPr>
          <w:p w14:paraId="0920372E">
            <w:pPr>
              <w:pStyle w:val="12"/>
              <w:bidi w:val="0"/>
              <w:rPr>
                <w:rFonts w:hint="eastAsia" w:eastAsia="宋体"/>
                <w:color w:val="auto"/>
                <w:lang w:val="en-US" w:eastAsia="zh-CN"/>
              </w:rPr>
            </w:pPr>
            <w:r>
              <w:rPr>
                <w:rFonts w:hint="eastAsia"/>
                <w:color w:val="auto"/>
                <w:lang w:val="en-US" w:eastAsia="zh-CN"/>
              </w:rPr>
              <w:t>/</w:t>
            </w:r>
          </w:p>
        </w:tc>
      </w:tr>
      <w:tr w14:paraId="3C9FE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1EEC33FE">
            <w:pPr>
              <w:pStyle w:val="12"/>
              <w:bidi w:val="0"/>
              <w:rPr>
                <w:color w:val="auto"/>
              </w:rPr>
            </w:pPr>
          </w:p>
        </w:tc>
        <w:tc>
          <w:tcPr>
            <w:tcW w:w="1011" w:type="pct"/>
            <w:tcBorders>
              <w:tl2br w:val="nil"/>
              <w:tr2bl w:val="nil"/>
            </w:tcBorders>
            <w:noWrap w:val="0"/>
            <w:vAlign w:val="center"/>
          </w:tcPr>
          <w:p w14:paraId="5AFA9C94">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38B0EC46">
            <w:pPr>
              <w:pStyle w:val="12"/>
              <w:bidi w:val="0"/>
              <w:ind w:left="0" w:leftChars="0" w:firstLine="0" w:firstLineChars="0"/>
              <w:rPr>
                <w:rFonts w:hint="eastAsia"/>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5E511571">
            <w:pPr>
              <w:pStyle w:val="12"/>
              <w:bidi w:val="0"/>
              <w:rPr>
                <w:rFonts w:hint="default"/>
                <w:color w:val="auto"/>
                <w:lang w:val="en-US" w:eastAsia="zh-CN"/>
              </w:rPr>
            </w:pPr>
            <w:r>
              <w:rPr>
                <w:rFonts w:hint="eastAsia"/>
                <w:color w:val="auto"/>
                <w:lang w:val="en-US" w:eastAsia="zh-CN"/>
              </w:rPr>
              <w:t>0.0109</w:t>
            </w:r>
          </w:p>
        </w:tc>
        <w:tc>
          <w:tcPr>
            <w:tcW w:w="670" w:type="pct"/>
            <w:vMerge w:val="continue"/>
            <w:tcBorders>
              <w:tl2br w:val="nil"/>
              <w:tr2bl w:val="nil"/>
            </w:tcBorders>
            <w:noWrap w:val="0"/>
            <w:vAlign w:val="center"/>
          </w:tcPr>
          <w:p w14:paraId="14E8B1C5">
            <w:pPr>
              <w:pStyle w:val="12"/>
              <w:bidi w:val="0"/>
              <w:rPr>
                <w:color w:val="auto"/>
              </w:rPr>
            </w:pPr>
          </w:p>
        </w:tc>
        <w:tc>
          <w:tcPr>
            <w:tcW w:w="1277" w:type="pct"/>
            <w:tcBorders>
              <w:tl2br w:val="nil"/>
              <w:tr2bl w:val="nil"/>
            </w:tcBorders>
            <w:noWrap w:val="0"/>
            <w:vAlign w:val="center"/>
          </w:tcPr>
          <w:p w14:paraId="6D880A03">
            <w:pPr>
              <w:pStyle w:val="12"/>
              <w:bidi w:val="0"/>
              <w:rPr>
                <w:rFonts w:hint="default" w:eastAsia="宋体"/>
                <w:color w:val="auto"/>
                <w:lang w:val="en-US" w:eastAsia="zh-CN"/>
              </w:rPr>
            </w:pPr>
            <w:r>
              <w:rPr>
                <w:rFonts w:hint="eastAsia"/>
                <w:color w:val="auto"/>
                <w:lang w:val="en-US" w:eastAsia="zh-CN"/>
              </w:rPr>
              <w:t>0.005</w:t>
            </w:r>
            <w:r>
              <w:rPr>
                <w:color w:val="auto"/>
              </w:rPr>
              <w:t>mg/L</w:t>
            </w:r>
          </w:p>
        </w:tc>
      </w:tr>
      <w:tr w14:paraId="2940B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restart"/>
            <w:tcBorders>
              <w:tl2br w:val="nil"/>
              <w:tr2bl w:val="nil"/>
            </w:tcBorders>
            <w:noWrap w:val="0"/>
            <w:vAlign w:val="center"/>
          </w:tcPr>
          <w:p w14:paraId="4B83FA29">
            <w:pPr>
              <w:pStyle w:val="12"/>
              <w:bidi w:val="0"/>
              <w:rPr>
                <w:rFonts w:hint="eastAsia" w:eastAsia="宋体"/>
                <w:color w:val="auto"/>
                <w:lang w:val="en-US" w:eastAsia="zh-CN"/>
              </w:rPr>
            </w:pPr>
            <w:r>
              <w:rPr>
                <w:rFonts w:hint="eastAsia"/>
                <w:color w:val="auto"/>
                <w:lang w:val="en-US" w:eastAsia="zh-CN"/>
              </w:rPr>
              <w:t>甲醛</w:t>
            </w:r>
          </w:p>
        </w:tc>
        <w:tc>
          <w:tcPr>
            <w:tcW w:w="1011" w:type="pct"/>
            <w:tcBorders>
              <w:tl2br w:val="nil"/>
              <w:tr2bl w:val="nil"/>
            </w:tcBorders>
            <w:noWrap w:val="0"/>
            <w:vAlign w:val="center"/>
          </w:tcPr>
          <w:p w14:paraId="3A82C28E">
            <w:pPr>
              <w:pStyle w:val="12"/>
              <w:bidi w:val="0"/>
              <w:ind w:left="0" w:leftChars="0" w:firstLine="0" w:firstLineChars="0"/>
              <w:rPr>
                <w:color w:val="auto"/>
              </w:rPr>
            </w:pPr>
            <w:r>
              <w:rPr>
                <w:color w:val="auto"/>
              </w:rPr>
              <w:t>完全混合断面</w:t>
            </w:r>
          </w:p>
        </w:tc>
        <w:tc>
          <w:tcPr>
            <w:tcW w:w="742" w:type="pct"/>
            <w:tcBorders>
              <w:tl2br w:val="nil"/>
              <w:tr2bl w:val="nil"/>
            </w:tcBorders>
            <w:noWrap w:val="0"/>
            <w:vAlign w:val="center"/>
          </w:tcPr>
          <w:p w14:paraId="4FA4C9BD">
            <w:pPr>
              <w:pStyle w:val="12"/>
              <w:bidi w:val="0"/>
              <w:ind w:left="0" w:leftChars="0" w:firstLine="0" w:firstLineChars="0"/>
              <w:rPr>
                <w:rFonts w:hint="eastAsia"/>
                <w:color w:val="auto"/>
                <w:lang w:val="en-US" w:eastAsia="zh-CN"/>
              </w:rPr>
            </w:pPr>
            <w:r>
              <w:rPr>
                <w:rFonts w:hint="eastAsia"/>
                <w:color w:val="auto"/>
                <w:lang w:val="en-US" w:eastAsia="zh-CN"/>
              </w:rPr>
              <w:t>73</w:t>
            </w:r>
          </w:p>
        </w:tc>
        <w:tc>
          <w:tcPr>
            <w:tcW w:w="670" w:type="pct"/>
            <w:tcBorders>
              <w:tl2br w:val="nil"/>
              <w:tr2bl w:val="nil"/>
            </w:tcBorders>
            <w:noWrap w:val="0"/>
            <w:vAlign w:val="center"/>
          </w:tcPr>
          <w:p w14:paraId="55A052CE">
            <w:pPr>
              <w:pStyle w:val="12"/>
              <w:bidi w:val="0"/>
              <w:rPr>
                <w:rFonts w:hint="default"/>
                <w:color w:val="auto"/>
                <w:lang w:val="en-US" w:eastAsia="zh-CN"/>
              </w:rPr>
            </w:pPr>
            <w:r>
              <w:rPr>
                <w:rFonts w:hint="eastAsia"/>
                <w:color w:val="auto"/>
                <w:lang w:val="en-US" w:eastAsia="zh-CN"/>
              </w:rPr>
              <w:t>0.0547</w:t>
            </w:r>
          </w:p>
        </w:tc>
        <w:tc>
          <w:tcPr>
            <w:tcW w:w="670" w:type="pct"/>
            <w:vMerge w:val="restart"/>
            <w:tcBorders>
              <w:tl2br w:val="nil"/>
              <w:tr2bl w:val="nil"/>
            </w:tcBorders>
            <w:noWrap w:val="0"/>
            <w:vAlign w:val="center"/>
          </w:tcPr>
          <w:p w14:paraId="00638AB1">
            <w:pPr>
              <w:pStyle w:val="12"/>
              <w:bidi w:val="0"/>
              <w:rPr>
                <w:rFonts w:hint="default" w:eastAsia="宋体"/>
                <w:color w:val="auto"/>
                <w:lang w:val="en-US" w:eastAsia="zh-CN"/>
              </w:rPr>
            </w:pPr>
            <w:r>
              <w:rPr>
                <w:rFonts w:hint="eastAsia"/>
                <w:color w:val="auto"/>
                <w:lang w:val="en-US" w:eastAsia="zh-CN"/>
              </w:rPr>
              <w:t>0.9</w:t>
            </w:r>
          </w:p>
        </w:tc>
        <w:tc>
          <w:tcPr>
            <w:tcW w:w="1277" w:type="pct"/>
            <w:tcBorders>
              <w:tl2br w:val="nil"/>
              <w:tr2bl w:val="nil"/>
            </w:tcBorders>
            <w:noWrap w:val="0"/>
            <w:vAlign w:val="center"/>
          </w:tcPr>
          <w:p w14:paraId="1B68377B">
            <w:pPr>
              <w:pStyle w:val="12"/>
              <w:bidi w:val="0"/>
              <w:rPr>
                <w:rFonts w:hint="eastAsia" w:eastAsia="宋体"/>
                <w:color w:val="auto"/>
                <w:lang w:val="en-US" w:eastAsia="zh-CN"/>
              </w:rPr>
            </w:pPr>
            <w:r>
              <w:rPr>
                <w:rFonts w:hint="eastAsia"/>
                <w:color w:val="auto"/>
                <w:lang w:val="en-US" w:eastAsia="zh-CN"/>
              </w:rPr>
              <w:t>/</w:t>
            </w:r>
          </w:p>
        </w:tc>
      </w:tr>
      <w:tr w14:paraId="26B2D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Merge w:val="continue"/>
            <w:tcBorders>
              <w:tl2br w:val="nil"/>
              <w:tr2bl w:val="nil"/>
            </w:tcBorders>
            <w:noWrap w:val="0"/>
            <w:vAlign w:val="center"/>
          </w:tcPr>
          <w:p w14:paraId="46F21D1F">
            <w:pPr>
              <w:pStyle w:val="12"/>
              <w:bidi w:val="0"/>
              <w:rPr>
                <w:color w:val="auto"/>
              </w:rPr>
            </w:pPr>
          </w:p>
        </w:tc>
        <w:tc>
          <w:tcPr>
            <w:tcW w:w="1011" w:type="pct"/>
            <w:tcBorders>
              <w:tl2br w:val="nil"/>
              <w:tr2bl w:val="nil"/>
            </w:tcBorders>
            <w:noWrap w:val="0"/>
            <w:vAlign w:val="center"/>
          </w:tcPr>
          <w:p w14:paraId="05601888">
            <w:pPr>
              <w:pStyle w:val="12"/>
              <w:bidi w:val="0"/>
              <w:ind w:left="0" w:leftChars="0" w:firstLine="0" w:firstLineChars="0"/>
              <w:rPr>
                <w:color w:val="auto"/>
              </w:rPr>
            </w:pPr>
            <w:r>
              <w:rPr>
                <w:color w:val="auto"/>
              </w:rPr>
              <w:t>污染物核算断面</w:t>
            </w:r>
          </w:p>
        </w:tc>
        <w:tc>
          <w:tcPr>
            <w:tcW w:w="742" w:type="pct"/>
            <w:tcBorders>
              <w:tl2br w:val="nil"/>
              <w:tr2bl w:val="nil"/>
            </w:tcBorders>
            <w:noWrap w:val="0"/>
            <w:vAlign w:val="center"/>
          </w:tcPr>
          <w:p w14:paraId="2D79F3B4">
            <w:pPr>
              <w:pStyle w:val="12"/>
              <w:bidi w:val="0"/>
              <w:ind w:left="0" w:leftChars="0" w:firstLine="0" w:firstLineChars="0"/>
              <w:rPr>
                <w:rFonts w:hint="eastAsia"/>
                <w:color w:val="auto"/>
                <w:lang w:val="en-US" w:eastAsia="zh-CN"/>
              </w:rPr>
            </w:pPr>
            <w:r>
              <w:rPr>
                <w:rFonts w:hint="eastAsia"/>
                <w:color w:val="auto"/>
                <w:lang w:val="en-US" w:eastAsia="zh-CN"/>
              </w:rPr>
              <w:t>2000</w:t>
            </w:r>
          </w:p>
        </w:tc>
        <w:tc>
          <w:tcPr>
            <w:tcW w:w="670" w:type="pct"/>
            <w:tcBorders>
              <w:tl2br w:val="nil"/>
              <w:tr2bl w:val="nil"/>
            </w:tcBorders>
            <w:noWrap w:val="0"/>
            <w:vAlign w:val="center"/>
          </w:tcPr>
          <w:p w14:paraId="1F93B9E4">
            <w:pPr>
              <w:pStyle w:val="12"/>
              <w:bidi w:val="0"/>
              <w:rPr>
                <w:rFonts w:hint="default"/>
                <w:color w:val="auto"/>
                <w:lang w:val="en-US" w:eastAsia="zh-CN"/>
              </w:rPr>
            </w:pPr>
            <w:r>
              <w:rPr>
                <w:rFonts w:hint="eastAsia"/>
                <w:color w:val="auto"/>
                <w:lang w:val="en-US" w:eastAsia="zh-CN"/>
              </w:rPr>
              <w:t>0.0509</w:t>
            </w:r>
          </w:p>
        </w:tc>
        <w:tc>
          <w:tcPr>
            <w:tcW w:w="670" w:type="pct"/>
            <w:vMerge w:val="continue"/>
            <w:tcBorders>
              <w:tl2br w:val="nil"/>
              <w:tr2bl w:val="nil"/>
            </w:tcBorders>
            <w:noWrap w:val="0"/>
            <w:vAlign w:val="center"/>
          </w:tcPr>
          <w:p w14:paraId="0FABA06E">
            <w:pPr>
              <w:pStyle w:val="12"/>
              <w:bidi w:val="0"/>
              <w:rPr>
                <w:color w:val="auto"/>
              </w:rPr>
            </w:pPr>
          </w:p>
        </w:tc>
        <w:tc>
          <w:tcPr>
            <w:tcW w:w="1277" w:type="pct"/>
            <w:tcBorders>
              <w:tl2br w:val="nil"/>
              <w:tr2bl w:val="nil"/>
            </w:tcBorders>
            <w:noWrap w:val="0"/>
            <w:vAlign w:val="center"/>
          </w:tcPr>
          <w:p w14:paraId="4C48F37A">
            <w:pPr>
              <w:pStyle w:val="12"/>
              <w:bidi w:val="0"/>
              <w:rPr>
                <w:rFonts w:hint="default" w:eastAsia="宋体"/>
                <w:color w:val="auto"/>
                <w:lang w:val="en-US" w:eastAsia="zh-CN"/>
              </w:rPr>
            </w:pPr>
            <w:r>
              <w:rPr>
                <w:rFonts w:hint="eastAsia"/>
                <w:color w:val="auto"/>
                <w:lang w:val="en-US" w:eastAsia="zh-CN"/>
              </w:rPr>
              <w:t>0.09</w:t>
            </w:r>
            <w:r>
              <w:rPr>
                <w:color w:val="auto"/>
              </w:rPr>
              <w:t>mg/L</w:t>
            </w:r>
          </w:p>
        </w:tc>
      </w:tr>
    </w:tbl>
    <w:p w14:paraId="4A159D7A">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目前，</w:t>
      </w:r>
      <w:r>
        <w:rPr>
          <w:rFonts w:hint="eastAsia"/>
          <w:color w:val="auto"/>
          <w:lang w:eastAsia="zh-CN"/>
        </w:rPr>
        <w:t>巴河</w:t>
      </w:r>
      <w:r>
        <w:rPr>
          <w:rFonts w:hint="eastAsia"/>
          <w:color w:val="auto"/>
        </w:rPr>
        <w:t>水质良好，</w:t>
      </w:r>
      <w:r>
        <w:rPr>
          <w:rFonts w:hint="eastAsia"/>
          <w:color w:val="auto"/>
          <w:lang w:eastAsia="zh-CN"/>
        </w:rPr>
        <w:t>水流量较大，</w:t>
      </w:r>
      <w:r>
        <w:rPr>
          <w:color w:val="auto"/>
        </w:rPr>
        <w:t>COD</w:t>
      </w:r>
      <w:r>
        <w:rPr>
          <w:color w:val="auto"/>
          <w:vertAlign w:val="subscript"/>
        </w:rPr>
        <w:t>Cr</w:t>
      </w:r>
      <w:r>
        <w:rPr>
          <w:rFonts w:hint="eastAsia"/>
          <w:color w:val="auto"/>
        </w:rPr>
        <w:t>、</w:t>
      </w:r>
      <w:r>
        <w:rPr>
          <w:color w:val="auto"/>
        </w:rPr>
        <w:t>NH</w:t>
      </w:r>
      <w:r>
        <w:rPr>
          <w:color w:val="auto"/>
          <w:vertAlign w:val="subscript"/>
        </w:rPr>
        <w:t>3</w:t>
      </w:r>
      <w:r>
        <w:rPr>
          <w:color w:val="auto"/>
        </w:rPr>
        <w:t>-N</w:t>
      </w:r>
      <w:r>
        <w:rPr>
          <w:rFonts w:hint="eastAsia"/>
          <w:color w:val="auto"/>
        </w:rPr>
        <w:t>、</w:t>
      </w:r>
      <w:r>
        <w:rPr>
          <w:color w:val="auto"/>
        </w:rPr>
        <w:t>TP</w:t>
      </w:r>
      <w:r>
        <w:rPr>
          <w:rFonts w:hint="eastAsia"/>
          <w:color w:val="auto"/>
          <w:lang w:eastAsia="zh-CN"/>
        </w:rPr>
        <w:t>、</w:t>
      </w:r>
      <w:r>
        <w:rPr>
          <w:rFonts w:hint="eastAsia"/>
          <w:color w:val="auto"/>
          <w:lang w:val="en-US" w:eastAsia="zh-CN"/>
        </w:rPr>
        <w:t>石油类、甲醛</w:t>
      </w:r>
      <w:r>
        <w:rPr>
          <w:rFonts w:hint="eastAsia"/>
          <w:color w:val="auto"/>
        </w:rPr>
        <w:t>均可达到《地表水环境质量标准》（</w:t>
      </w:r>
      <w:r>
        <w:rPr>
          <w:color w:val="auto"/>
        </w:rPr>
        <w:t>GB3838-2002</w:t>
      </w:r>
      <w:r>
        <w:rPr>
          <w:rFonts w:hint="eastAsia"/>
          <w:color w:val="auto"/>
        </w:rPr>
        <w:t>）Ⅲ类水域标准</w:t>
      </w:r>
      <w:r>
        <w:rPr>
          <w:rFonts w:hint="eastAsia"/>
          <w:color w:val="auto"/>
          <w:lang w:eastAsia="zh-CN"/>
        </w:rPr>
        <w:t>。</w:t>
      </w:r>
      <w:r>
        <w:rPr>
          <w:color w:val="auto"/>
        </w:rPr>
        <w:t>由上表的计算结果可知：①枯水期预测因子CODCr、氨氮</w:t>
      </w:r>
      <w:r>
        <w:rPr>
          <w:rFonts w:hint="eastAsia"/>
          <w:color w:val="auto"/>
          <w:lang w:eastAsia="zh-CN"/>
        </w:rPr>
        <w:t>、</w:t>
      </w:r>
      <w:r>
        <w:rPr>
          <w:color w:val="auto"/>
        </w:rPr>
        <w:t>TP</w:t>
      </w:r>
      <w:r>
        <w:rPr>
          <w:rFonts w:hint="eastAsia"/>
          <w:color w:val="auto"/>
          <w:lang w:eastAsia="zh-CN"/>
        </w:rPr>
        <w:t>、</w:t>
      </w:r>
      <w:r>
        <w:rPr>
          <w:rFonts w:hint="eastAsia"/>
          <w:color w:val="auto"/>
          <w:lang w:val="en-US" w:eastAsia="zh-CN"/>
        </w:rPr>
        <w:t>石油类和甲醛</w:t>
      </w:r>
      <w:r>
        <w:rPr>
          <w:color w:val="auto"/>
        </w:rPr>
        <w:t>经混合、衰减后到距离排放口下游</w:t>
      </w:r>
      <w:r>
        <w:rPr>
          <w:rFonts w:hint="eastAsia"/>
          <w:color w:val="auto"/>
          <w:lang w:val="en-US" w:eastAsia="zh-CN"/>
        </w:rPr>
        <w:t>73</w:t>
      </w:r>
      <w:r>
        <w:rPr>
          <w:color w:val="auto"/>
        </w:rPr>
        <w:t>m处完全混合段断面处的浓度均</w:t>
      </w:r>
      <w:r>
        <w:rPr>
          <w:rFonts w:hint="eastAsia"/>
          <w:color w:val="auto"/>
          <w:lang w:eastAsia="zh-CN"/>
        </w:rPr>
        <w:t>未</w:t>
      </w:r>
      <w:r>
        <w:rPr>
          <w:color w:val="auto"/>
        </w:rPr>
        <w:t>超过《地表水环境质量标准》（GB3838-2002）中的Ⅲ类水域标准限值。</w:t>
      </w:r>
    </w:p>
    <w:p w14:paraId="472F1414">
      <w:pPr>
        <w:pageBreakBefore w:val="0"/>
        <w:wordWrap/>
        <w:bidi w:val="0"/>
        <w:adjustRightInd/>
        <w:snapToGrid/>
        <w:ind w:firstLine="482"/>
        <w:rPr>
          <w:b/>
          <w:bCs/>
          <w:color w:val="auto"/>
        </w:rPr>
      </w:pPr>
      <w:r>
        <w:rPr>
          <w:rFonts w:hint="eastAsia"/>
          <w:b/>
          <w:bCs/>
          <w:color w:val="auto"/>
          <w:lang w:val="en-US" w:eastAsia="zh-CN"/>
        </w:rPr>
        <w:t>3、</w:t>
      </w:r>
      <w:r>
        <w:rPr>
          <w:b/>
          <w:bCs/>
          <w:color w:val="auto"/>
        </w:rPr>
        <w:t>对</w:t>
      </w:r>
      <w:r>
        <w:rPr>
          <w:rFonts w:hint="eastAsia"/>
          <w:b/>
          <w:bCs/>
          <w:color w:val="auto"/>
          <w:lang w:eastAsia="zh-CN"/>
        </w:rPr>
        <w:t>金碑断面</w:t>
      </w:r>
      <w:r>
        <w:rPr>
          <w:b/>
          <w:bCs/>
          <w:color w:val="auto"/>
        </w:rPr>
        <w:t>的影响预测分析</w:t>
      </w:r>
    </w:p>
    <w:p w14:paraId="0A256A8A">
      <w:pPr>
        <w:pageBreakBefore w:val="0"/>
        <w:wordWrap/>
        <w:bidi w:val="0"/>
        <w:adjustRightInd/>
        <w:snapToGrid/>
        <w:ind w:firstLine="480"/>
        <w:rPr>
          <w:color w:val="auto"/>
        </w:rPr>
      </w:pPr>
      <w:r>
        <w:rPr>
          <w:rFonts w:hint="eastAsia"/>
          <w:color w:val="auto"/>
          <w:lang w:eastAsia="zh-CN"/>
        </w:rPr>
        <w:t>金碑断面</w:t>
      </w:r>
      <w:r>
        <w:rPr>
          <w:color w:val="auto"/>
        </w:rPr>
        <w:t>位于本项目拟建排口下游约</w:t>
      </w:r>
      <w:r>
        <w:rPr>
          <w:rFonts w:hint="eastAsia"/>
          <w:color w:val="auto"/>
          <w:lang w:val="en-US" w:eastAsia="zh-CN"/>
        </w:rPr>
        <w:t>8.7km</w:t>
      </w:r>
      <w:r>
        <w:rPr>
          <w:color w:val="auto"/>
        </w:rPr>
        <w:t>处，现为</w:t>
      </w:r>
      <w:r>
        <w:rPr>
          <w:rFonts w:hint="eastAsia"/>
          <w:color w:val="auto"/>
          <w:lang w:val="en-US" w:eastAsia="zh-CN"/>
        </w:rPr>
        <w:t>四川省控</w:t>
      </w:r>
      <w:r>
        <w:rPr>
          <w:color w:val="auto"/>
        </w:rPr>
        <w:t>考核监测断面，已被生态环境部列入</w:t>
      </w:r>
      <w:r>
        <w:rPr>
          <w:rFonts w:hint="eastAsia"/>
          <w:color w:val="auto"/>
          <w:lang w:eastAsia="zh-CN"/>
        </w:rPr>
        <w:t>“</w:t>
      </w:r>
      <w:r>
        <w:rPr>
          <w:color w:val="auto"/>
        </w:rPr>
        <w:t>十四五</w:t>
      </w:r>
      <w:r>
        <w:rPr>
          <w:rFonts w:hint="eastAsia"/>
          <w:color w:val="auto"/>
          <w:lang w:eastAsia="zh-CN"/>
        </w:rPr>
        <w:t>”</w:t>
      </w:r>
      <w:r>
        <w:rPr>
          <w:color w:val="auto"/>
        </w:rPr>
        <w:t>地表水国控考核监测断面。本项目排水对</w:t>
      </w:r>
      <w:r>
        <w:rPr>
          <w:rFonts w:hint="eastAsia"/>
          <w:color w:val="auto"/>
          <w:lang w:eastAsia="zh-CN"/>
        </w:rPr>
        <w:t>金碑断面</w:t>
      </w:r>
      <w:r>
        <w:rPr>
          <w:color w:val="auto"/>
        </w:rPr>
        <w:t>的影响</w:t>
      </w:r>
      <w:r>
        <w:rPr>
          <w:rFonts w:hint="eastAsia"/>
          <w:color w:val="auto"/>
          <w:lang w:eastAsia="zh-CN"/>
        </w:rPr>
        <w:t>如</w:t>
      </w:r>
      <w:r>
        <w:rPr>
          <w:color w:val="auto"/>
        </w:rPr>
        <w:t>下表所示：</w:t>
      </w:r>
    </w:p>
    <w:p w14:paraId="27264098">
      <w:pPr>
        <w:pStyle w:val="15"/>
        <w:numPr>
          <w:ilvl w:val="0"/>
          <w:numId w:val="31"/>
        </w:numPr>
        <w:bidi w:val="0"/>
        <w:ind w:left="0" w:leftChars="0" w:firstLine="0" w:firstLineChars="0"/>
        <w:rPr>
          <w:color w:val="auto"/>
        </w:rPr>
      </w:pPr>
      <w:r>
        <w:rPr>
          <w:color w:val="auto"/>
        </w:rPr>
        <w:t>各预测情景下项目排口下游</w:t>
      </w:r>
      <w:r>
        <w:rPr>
          <w:rFonts w:hint="eastAsia"/>
          <w:color w:val="auto"/>
          <w:lang w:val="en-US" w:eastAsia="zh-CN"/>
        </w:rPr>
        <w:t>8700</w:t>
      </w:r>
      <w:r>
        <w:rPr>
          <w:color w:val="auto"/>
        </w:rPr>
        <w:t>m处</w:t>
      </w:r>
      <w:r>
        <w:rPr>
          <w:rFonts w:hint="eastAsia"/>
          <w:color w:val="auto"/>
          <w:lang w:eastAsia="zh-CN"/>
        </w:rPr>
        <w:t>金碑断面</w:t>
      </w:r>
      <w:r>
        <w:rPr>
          <w:color w:val="auto"/>
        </w:rPr>
        <w:t>处水质情况（单位：mg/L）</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78"/>
        <w:gridCol w:w="2235"/>
        <w:gridCol w:w="739"/>
        <w:gridCol w:w="600"/>
        <w:gridCol w:w="634"/>
        <w:gridCol w:w="600"/>
        <w:gridCol w:w="634"/>
        <w:gridCol w:w="600"/>
        <w:gridCol w:w="634"/>
        <w:gridCol w:w="600"/>
        <w:gridCol w:w="634"/>
        <w:gridCol w:w="498"/>
      </w:tblGrid>
      <w:tr w14:paraId="023CDC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vMerge w:val="restart"/>
            <w:tcBorders>
              <w:tl2br w:val="nil"/>
              <w:tr2bl w:val="nil"/>
            </w:tcBorders>
            <w:noWrap w:val="0"/>
            <w:vAlign w:val="center"/>
          </w:tcPr>
          <w:p w14:paraId="61C3B80D">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0" w:type="auto"/>
            <w:vMerge w:val="restart"/>
            <w:tcBorders>
              <w:tl2br w:val="nil"/>
              <w:tr2bl w:val="nil"/>
            </w:tcBorders>
            <w:noWrap w:val="0"/>
            <w:vAlign w:val="center"/>
          </w:tcPr>
          <w:p w14:paraId="209766E5">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预测情景</w:t>
            </w:r>
          </w:p>
        </w:tc>
        <w:tc>
          <w:tcPr>
            <w:tcW w:w="0" w:type="auto"/>
            <w:gridSpan w:val="2"/>
            <w:tcBorders>
              <w:tl2br w:val="nil"/>
              <w:tr2bl w:val="nil"/>
            </w:tcBorders>
            <w:noWrap w:val="0"/>
            <w:vAlign w:val="center"/>
          </w:tcPr>
          <w:p w14:paraId="36B543B8">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COD</w:t>
            </w:r>
          </w:p>
        </w:tc>
        <w:tc>
          <w:tcPr>
            <w:tcW w:w="0" w:type="auto"/>
            <w:gridSpan w:val="2"/>
            <w:tcBorders>
              <w:tl2br w:val="nil"/>
              <w:tr2bl w:val="nil"/>
            </w:tcBorders>
            <w:noWrap w:val="0"/>
            <w:vAlign w:val="center"/>
          </w:tcPr>
          <w:p w14:paraId="1CF6E0D0">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0" w:type="auto"/>
            <w:gridSpan w:val="2"/>
            <w:tcBorders>
              <w:tl2br w:val="nil"/>
              <w:tr2bl w:val="nil"/>
            </w:tcBorders>
            <w:noWrap w:val="0"/>
            <w:vAlign w:val="center"/>
          </w:tcPr>
          <w:p w14:paraId="24940324">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TP</w:t>
            </w:r>
          </w:p>
        </w:tc>
        <w:tc>
          <w:tcPr>
            <w:tcW w:w="0" w:type="auto"/>
            <w:gridSpan w:val="2"/>
            <w:tcBorders>
              <w:tl2br w:val="nil"/>
              <w:tr2bl w:val="nil"/>
            </w:tcBorders>
            <w:noWrap w:val="0"/>
            <w:vAlign w:val="center"/>
          </w:tcPr>
          <w:p w14:paraId="72DB63D0">
            <w:pPr>
              <w:pageBreakBefore w:val="0"/>
              <w:widowControl/>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石油类</w:t>
            </w:r>
          </w:p>
        </w:tc>
        <w:tc>
          <w:tcPr>
            <w:tcW w:w="0" w:type="auto"/>
            <w:gridSpan w:val="2"/>
            <w:tcBorders>
              <w:tl2br w:val="nil"/>
              <w:tr2bl w:val="nil"/>
            </w:tcBorders>
            <w:noWrap w:val="0"/>
            <w:vAlign w:val="center"/>
          </w:tcPr>
          <w:p w14:paraId="291D35E7">
            <w:pPr>
              <w:pageBreakBefore w:val="0"/>
              <w:widowControl/>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0ADD3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vMerge w:val="continue"/>
            <w:tcBorders>
              <w:tl2br w:val="nil"/>
              <w:tr2bl w:val="nil"/>
            </w:tcBorders>
            <w:noWrap w:val="0"/>
            <w:vAlign w:val="center"/>
          </w:tcPr>
          <w:p w14:paraId="6BEAB849">
            <w:pPr>
              <w:pageBreakBefore w:val="0"/>
              <w:widowControl/>
              <w:wordWrap/>
              <w:bidi w:val="0"/>
              <w:adjustRightInd/>
              <w:snapToGrid/>
              <w:spacing w:line="240" w:lineRule="auto"/>
              <w:ind w:firstLine="0" w:firstLineChars="0"/>
              <w:jc w:val="center"/>
              <w:rPr>
                <w:b/>
                <w:bCs/>
                <w:color w:val="auto"/>
                <w:sz w:val="21"/>
                <w:szCs w:val="21"/>
              </w:rPr>
            </w:pPr>
          </w:p>
        </w:tc>
        <w:tc>
          <w:tcPr>
            <w:tcW w:w="0" w:type="auto"/>
            <w:vMerge w:val="continue"/>
            <w:tcBorders>
              <w:tl2br w:val="nil"/>
              <w:tr2bl w:val="nil"/>
            </w:tcBorders>
            <w:noWrap w:val="0"/>
            <w:vAlign w:val="center"/>
          </w:tcPr>
          <w:p w14:paraId="67A39C87">
            <w:pPr>
              <w:pageBreakBefore w:val="0"/>
              <w:widowControl/>
              <w:wordWrap/>
              <w:bidi w:val="0"/>
              <w:adjustRightInd/>
              <w:snapToGrid/>
              <w:spacing w:line="240" w:lineRule="auto"/>
              <w:ind w:firstLine="0" w:firstLineChars="0"/>
              <w:jc w:val="center"/>
              <w:rPr>
                <w:b/>
                <w:bCs/>
                <w:color w:val="auto"/>
                <w:sz w:val="21"/>
                <w:szCs w:val="21"/>
              </w:rPr>
            </w:pPr>
          </w:p>
        </w:tc>
        <w:tc>
          <w:tcPr>
            <w:tcW w:w="0" w:type="auto"/>
            <w:tcBorders>
              <w:tl2br w:val="nil"/>
              <w:tr2bl w:val="nil"/>
            </w:tcBorders>
            <w:noWrap w:val="0"/>
            <w:vAlign w:val="center"/>
          </w:tcPr>
          <w:p w14:paraId="6647951E">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浓度</w:t>
            </w:r>
          </w:p>
        </w:tc>
        <w:tc>
          <w:tcPr>
            <w:tcW w:w="0" w:type="auto"/>
            <w:tcBorders>
              <w:tl2br w:val="nil"/>
              <w:tr2bl w:val="nil"/>
            </w:tcBorders>
            <w:noWrap w:val="0"/>
            <w:vAlign w:val="center"/>
          </w:tcPr>
          <w:p w14:paraId="5B907A94">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评价</w:t>
            </w:r>
          </w:p>
        </w:tc>
        <w:tc>
          <w:tcPr>
            <w:tcW w:w="0" w:type="auto"/>
            <w:tcBorders>
              <w:tl2br w:val="nil"/>
              <w:tr2bl w:val="nil"/>
            </w:tcBorders>
            <w:noWrap w:val="0"/>
            <w:vAlign w:val="center"/>
          </w:tcPr>
          <w:p w14:paraId="379D415E">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浓度</w:t>
            </w:r>
          </w:p>
        </w:tc>
        <w:tc>
          <w:tcPr>
            <w:tcW w:w="0" w:type="auto"/>
            <w:tcBorders>
              <w:tl2br w:val="nil"/>
              <w:tr2bl w:val="nil"/>
            </w:tcBorders>
            <w:noWrap w:val="0"/>
            <w:vAlign w:val="center"/>
          </w:tcPr>
          <w:p w14:paraId="24667741">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评价</w:t>
            </w:r>
          </w:p>
        </w:tc>
        <w:tc>
          <w:tcPr>
            <w:tcW w:w="0" w:type="auto"/>
            <w:tcBorders>
              <w:tl2br w:val="nil"/>
              <w:tr2bl w:val="nil"/>
            </w:tcBorders>
            <w:noWrap w:val="0"/>
            <w:vAlign w:val="center"/>
          </w:tcPr>
          <w:p w14:paraId="17781FF5">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浓度</w:t>
            </w:r>
          </w:p>
        </w:tc>
        <w:tc>
          <w:tcPr>
            <w:tcW w:w="0" w:type="auto"/>
            <w:tcBorders>
              <w:tl2br w:val="nil"/>
              <w:tr2bl w:val="nil"/>
            </w:tcBorders>
            <w:noWrap w:val="0"/>
            <w:vAlign w:val="center"/>
          </w:tcPr>
          <w:p w14:paraId="0CC3248D">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评价</w:t>
            </w:r>
          </w:p>
        </w:tc>
        <w:tc>
          <w:tcPr>
            <w:tcW w:w="0" w:type="auto"/>
            <w:tcBorders>
              <w:tl2br w:val="nil"/>
              <w:tr2bl w:val="nil"/>
            </w:tcBorders>
            <w:noWrap w:val="0"/>
            <w:vAlign w:val="center"/>
          </w:tcPr>
          <w:p w14:paraId="0EC1827F">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浓度</w:t>
            </w:r>
          </w:p>
        </w:tc>
        <w:tc>
          <w:tcPr>
            <w:tcW w:w="0" w:type="auto"/>
            <w:tcBorders>
              <w:tl2br w:val="nil"/>
              <w:tr2bl w:val="nil"/>
            </w:tcBorders>
            <w:noWrap w:val="0"/>
            <w:vAlign w:val="center"/>
          </w:tcPr>
          <w:p w14:paraId="390BE92E">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评价</w:t>
            </w:r>
          </w:p>
        </w:tc>
        <w:tc>
          <w:tcPr>
            <w:tcW w:w="360" w:type="pct"/>
            <w:tcBorders>
              <w:tl2br w:val="nil"/>
              <w:tr2bl w:val="nil"/>
            </w:tcBorders>
            <w:noWrap w:val="0"/>
            <w:vAlign w:val="center"/>
          </w:tcPr>
          <w:p w14:paraId="44029920">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浓度</w:t>
            </w:r>
          </w:p>
        </w:tc>
        <w:tc>
          <w:tcPr>
            <w:tcW w:w="283" w:type="pct"/>
            <w:tcBorders>
              <w:tl2br w:val="nil"/>
              <w:tr2bl w:val="nil"/>
            </w:tcBorders>
            <w:noWrap w:val="0"/>
            <w:vAlign w:val="center"/>
          </w:tcPr>
          <w:p w14:paraId="023E74A4">
            <w:pPr>
              <w:pageBreakBefore w:val="0"/>
              <w:widowControl/>
              <w:wordWrap/>
              <w:bidi w:val="0"/>
              <w:adjustRightInd/>
              <w:snapToGrid/>
              <w:spacing w:line="240" w:lineRule="auto"/>
              <w:ind w:firstLine="0" w:firstLineChars="0"/>
              <w:jc w:val="center"/>
              <w:rPr>
                <w:b/>
                <w:bCs/>
                <w:color w:val="auto"/>
              </w:rPr>
            </w:pPr>
            <w:r>
              <w:rPr>
                <w:b/>
                <w:bCs/>
                <w:color w:val="auto"/>
                <w:sz w:val="21"/>
                <w:szCs w:val="21"/>
              </w:rPr>
              <w:t>评价</w:t>
            </w:r>
          </w:p>
        </w:tc>
      </w:tr>
      <w:tr w14:paraId="0CB03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tcBorders>
              <w:tl2br w:val="nil"/>
              <w:tr2bl w:val="nil"/>
            </w:tcBorders>
            <w:noWrap w:val="0"/>
            <w:vAlign w:val="center"/>
          </w:tcPr>
          <w:p w14:paraId="7B9F9128">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1</w:t>
            </w:r>
          </w:p>
        </w:tc>
        <w:tc>
          <w:tcPr>
            <w:tcW w:w="0" w:type="auto"/>
            <w:tcBorders>
              <w:tl2br w:val="nil"/>
              <w:tr2bl w:val="nil"/>
            </w:tcBorders>
            <w:noWrap w:val="0"/>
            <w:vAlign w:val="center"/>
          </w:tcPr>
          <w:p w14:paraId="0C5039CA">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枯水期正常运行</w:t>
            </w:r>
          </w:p>
        </w:tc>
        <w:tc>
          <w:tcPr>
            <w:tcW w:w="0" w:type="auto"/>
            <w:tcBorders>
              <w:tl2br w:val="nil"/>
              <w:tr2bl w:val="nil"/>
            </w:tcBorders>
            <w:noWrap w:val="0"/>
            <w:vAlign w:val="center"/>
          </w:tcPr>
          <w:p w14:paraId="63E52289">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12.7029</w:t>
            </w:r>
          </w:p>
        </w:tc>
        <w:tc>
          <w:tcPr>
            <w:tcW w:w="0" w:type="auto"/>
            <w:tcBorders>
              <w:tl2br w:val="nil"/>
              <w:tr2bl w:val="nil"/>
            </w:tcBorders>
            <w:noWrap w:val="0"/>
            <w:vAlign w:val="center"/>
          </w:tcPr>
          <w:p w14:paraId="41E35654">
            <w:pPr>
              <w:pageBreakBefore w:val="0"/>
              <w:widowControl/>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036840C4">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0.2173</w:t>
            </w:r>
          </w:p>
        </w:tc>
        <w:tc>
          <w:tcPr>
            <w:tcW w:w="0" w:type="auto"/>
            <w:tcBorders>
              <w:tl2br w:val="nil"/>
              <w:tr2bl w:val="nil"/>
            </w:tcBorders>
            <w:noWrap w:val="0"/>
            <w:vAlign w:val="center"/>
          </w:tcPr>
          <w:p w14:paraId="5961EA87">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5DEED571">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0.0</w:t>
            </w:r>
            <w:r>
              <w:rPr>
                <w:rFonts w:hint="eastAsia"/>
                <w:color w:val="auto"/>
                <w:sz w:val="21"/>
                <w:szCs w:val="21"/>
                <w:lang w:val="en-US" w:eastAsia="zh-CN"/>
              </w:rPr>
              <w:t>37</w:t>
            </w:r>
          </w:p>
        </w:tc>
        <w:tc>
          <w:tcPr>
            <w:tcW w:w="0" w:type="auto"/>
            <w:tcBorders>
              <w:tl2br w:val="nil"/>
              <w:tr2bl w:val="nil"/>
            </w:tcBorders>
            <w:noWrap w:val="0"/>
            <w:vAlign w:val="center"/>
          </w:tcPr>
          <w:p w14:paraId="6D9E5C02">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28BE0FF0">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0.0104</w:t>
            </w:r>
          </w:p>
        </w:tc>
        <w:tc>
          <w:tcPr>
            <w:tcW w:w="0" w:type="auto"/>
            <w:tcBorders>
              <w:tl2br w:val="nil"/>
              <w:tr2bl w:val="nil"/>
            </w:tcBorders>
            <w:noWrap w:val="0"/>
            <w:vAlign w:val="center"/>
          </w:tcPr>
          <w:p w14:paraId="7702D691">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360" w:type="pct"/>
            <w:tcBorders>
              <w:tl2br w:val="nil"/>
              <w:tr2bl w:val="nil"/>
            </w:tcBorders>
            <w:noWrap w:val="0"/>
            <w:vAlign w:val="center"/>
          </w:tcPr>
          <w:p w14:paraId="3D2DD45D">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0504</w:t>
            </w:r>
          </w:p>
        </w:tc>
        <w:tc>
          <w:tcPr>
            <w:tcW w:w="283" w:type="pct"/>
            <w:tcBorders>
              <w:tl2br w:val="nil"/>
              <w:tr2bl w:val="nil"/>
            </w:tcBorders>
            <w:noWrap w:val="0"/>
            <w:vAlign w:val="center"/>
          </w:tcPr>
          <w:p w14:paraId="195A676B">
            <w:pPr>
              <w:pageBreakBefore w:val="0"/>
              <w:widowControl/>
              <w:wordWrap/>
              <w:bidi w:val="0"/>
              <w:adjustRightInd/>
              <w:snapToGrid/>
              <w:spacing w:line="240" w:lineRule="auto"/>
              <w:ind w:firstLine="0" w:firstLineChars="0"/>
              <w:jc w:val="center"/>
              <w:rPr>
                <w:color w:val="auto"/>
              </w:rPr>
            </w:pPr>
            <w:r>
              <w:rPr>
                <w:color w:val="auto"/>
                <w:sz w:val="21"/>
                <w:szCs w:val="21"/>
              </w:rPr>
              <w:t>满足</w:t>
            </w:r>
            <w:r>
              <w:rPr>
                <w:rFonts w:hint="eastAsia"/>
                <w:color w:val="auto"/>
                <w:sz w:val="21"/>
                <w:szCs w:val="21"/>
                <w:lang w:val="en-US" w:eastAsia="zh-CN"/>
              </w:rPr>
              <w:t>要求</w:t>
            </w:r>
          </w:p>
        </w:tc>
      </w:tr>
      <w:tr w14:paraId="3F239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tcBorders>
              <w:tl2br w:val="nil"/>
              <w:tr2bl w:val="nil"/>
            </w:tcBorders>
            <w:noWrap w:val="0"/>
            <w:vAlign w:val="center"/>
          </w:tcPr>
          <w:p w14:paraId="51E789C0">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2</w:t>
            </w:r>
          </w:p>
        </w:tc>
        <w:tc>
          <w:tcPr>
            <w:tcW w:w="0" w:type="auto"/>
            <w:tcBorders>
              <w:tl2br w:val="nil"/>
              <w:tr2bl w:val="nil"/>
            </w:tcBorders>
            <w:noWrap w:val="0"/>
            <w:vAlign w:val="center"/>
          </w:tcPr>
          <w:p w14:paraId="36995E3B">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枯水期非正常运行</w:t>
            </w:r>
          </w:p>
        </w:tc>
        <w:tc>
          <w:tcPr>
            <w:tcW w:w="0" w:type="auto"/>
            <w:tcBorders>
              <w:tl2br w:val="nil"/>
              <w:tr2bl w:val="nil"/>
            </w:tcBorders>
            <w:noWrap w:val="0"/>
            <w:vAlign w:val="center"/>
          </w:tcPr>
          <w:p w14:paraId="683B7B55">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12.7202</w:t>
            </w:r>
          </w:p>
        </w:tc>
        <w:tc>
          <w:tcPr>
            <w:tcW w:w="0" w:type="auto"/>
            <w:tcBorders>
              <w:tl2br w:val="nil"/>
              <w:tr2bl w:val="nil"/>
            </w:tcBorders>
            <w:noWrap w:val="0"/>
            <w:vAlign w:val="center"/>
          </w:tcPr>
          <w:p w14:paraId="5798C1A9">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49EAB920">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0.2199</w:t>
            </w:r>
          </w:p>
        </w:tc>
        <w:tc>
          <w:tcPr>
            <w:tcW w:w="0" w:type="auto"/>
            <w:tcBorders>
              <w:tl2br w:val="nil"/>
              <w:tr2bl w:val="nil"/>
            </w:tcBorders>
            <w:noWrap w:val="0"/>
            <w:vAlign w:val="center"/>
          </w:tcPr>
          <w:p w14:paraId="3C88A63E">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5BD8A961">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0372</w:t>
            </w:r>
          </w:p>
        </w:tc>
        <w:tc>
          <w:tcPr>
            <w:tcW w:w="0" w:type="auto"/>
            <w:tcBorders>
              <w:tl2br w:val="nil"/>
              <w:tr2bl w:val="nil"/>
            </w:tcBorders>
            <w:noWrap w:val="0"/>
            <w:vAlign w:val="center"/>
          </w:tcPr>
          <w:p w14:paraId="6538C414">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0" w:type="auto"/>
            <w:tcBorders>
              <w:tl2br w:val="nil"/>
              <w:tr2bl w:val="nil"/>
            </w:tcBorders>
            <w:noWrap w:val="0"/>
            <w:vAlign w:val="center"/>
          </w:tcPr>
          <w:p w14:paraId="6B316526">
            <w:pPr>
              <w:pageBreakBefore w:val="0"/>
              <w:widowControl/>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0.0104</w:t>
            </w:r>
          </w:p>
        </w:tc>
        <w:tc>
          <w:tcPr>
            <w:tcW w:w="0" w:type="auto"/>
            <w:tcBorders>
              <w:tl2br w:val="nil"/>
              <w:tr2bl w:val="nil"/>
            </w:tcBorders>
            <w:noWrap w:val="0"/>
            <w:vAlign w:val="center"/>
          </w:tcPr>
          <w:p w14:paraId="08F6B9D5">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满足</w:t>
            </w:r>
            <w:r>
              <w:rPr>
                <w:rFonts w:hint="eastAsia"/>
                <w:color w:val="auto"/>
                <w:sz w:val="21"/>
                <w:szCs w:val="21"/>
                <w:lang w:val="en-US" w:eastAsia="zh-CN"/>
              </w:rPr>
              <w:t>要求</w:t>
            </w:r>
          </w:p>
        </w:tc>
        <w:tc>
          <w:tcPr>
            <w:tcW w:w="360" w:type="pct"/>
            <w:tcBorders>
              <w:tl2br w:val="nil"/>
              <w:tr2bl w:val="nil"/>
            </w:tcBorders>
            <w:noWrap w:val="0"/>
            <w:vAlign w:val="center"/>
          </w:tcPr>
          <w:p w14:paraId="76FA9E1B">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0504</w:t>
            </w:r>
          </w:p>
        </w:tc>
        <w:tc>
          <w:tcPr>
            <w:tcW w:w="283" w:type="pct"/>
            <w:tcBorders>
              <w:tl2br w:val="nil"/>
              <w:tr2bl w:val="nil"/>
            </w:tcBorders>
            <w:noWrap w:val="0"/>
            <w:vAlign w:val="center"/>
          </w:tcPr>
          <w:p w14:paraId="2A656943">
            <w:pPr>
              <w:pageBreakBefore w:val="0"/>
              <w:widowControl/>
              <w:wordWrap/>
              <w:bidi w:val="0"/>
              <w:adjustRightInd/>
              <w:snapToGrid/>
              <w:spacing w:line="240" w:lineRule="auto"/>
              <w:ind w:firstLine="0" w:firstLineChars="0"/>
              <w:jc w:val="center"/>
              <w:rPr>
                <w:color w:val="auto"/>
              </w:rPr>
            </w:pPr>
            <w:r>
              <w:rPr>
                <w:color w:val="auto"/>
                <w:sz w:val="21"/>
                <w:szCs w:val="21"/>
              </w:rPr>
              <w:t>满足</w:t>
            </w:r>
            <w:r>
              <w:rPr>
                <w:rFonts w:hint="eastAsia"/>
                <w:color w:val="auto"/>
                <w:sz w:val="21"/>
                <w:szCs w:val="21"/>
                <w:lang w:val="en-US" w:eastAsia="zh-CN"/>
              </w:rPr>
              <w:t>要求</w:t>
            </w:r>
          </w:p>
        </w:tc>
      </w:tr>
      <w:tr w14:paraId="71512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tcBorders>
              <w:tl2br w:val="nil"/>
              <w:tr2bl w:val="nil"/>
            </w:tcBorders>
            <w:noWrap w:val="0"/>
            <w:vAlign w:val="center"/>
          </w:tcPr>
          <w:p w14:paraId="4A851E3E">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5</w:t>
            </w:r>
          </w:p>
        </w:tc>
        <w:tc>
          <w:tcPr>
            <w:tcW w:w="0" w:type="auto"/>
            <w:tcBorders>
              <w:tl2br w:val="nil"/>
              <w:tr2bl w:val="nil"/>
            </w:tcBorders>
            <w:noWrap w:val="0"/>
            <w:vAlign w:val="center"/>
          </w:tcPr>
          <w:p w14:paraId="3E425A0C">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（G</w:t>
            </w:r>
            <w:r>
              <w:rPr>
                <w:rFonts w:hint="default" w:ascii="Times New Roman" w:hAnsi="Times New Roman" w:cs="Times New Roman"/>
                <w:color w:val="auto"/>
                <w:sz w:val="21"/>
                <w:szCs w:val="21"/>
              </w:rPr>
              <w:t>B3838-2002）</w:t>
            </w:r>
            <w:r>
              <w:rPr>
                <w:rStyle w:val="706"/>
                <w:rFonts w:hint="default" w:ascii="Times New Roman" w:hAnsi="Times New Roman" w:cs="Times New Roman"/>
                <w:color w:val="auto"/>
              </w:rPr>
              <w:t>Ⅱ类水标准</w:t>
            </w:r>
          </w:p>
        </w:tc>
        <w:tc>
          <w:tcPr>
            <w:tcW w:w="0" w:type="auto"/>
            <w:gridSpan w:val="2"/>
            <w:tcBorders>
              <w:tl2br w:val="nil"/>
              <w:tr2bl w:val="nil"/>
            </w:tcBorders>
            <w:noWrap w:val="0"/>
            <w:vAlign w:val="center"/>
          </w:tcPr>
          <w:p w14:paraId="61885921">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0" w:type="auto"/>
            <w:gridSpan w:val="2"/>
            <w:tcBorders>
              <w:tl2br w:val="nil"/>
              <w:tr2bl w:val="nil"/>
            </w:tcBorders>
            <w:noWrap w:val="0"/>
            <w:vAlign w:val="center"/>
          </w:tcPr>
          <w:p w14:paraId="70D8ACEB">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0" w:type="auto"/>
            <w:gridSpan w:val="2"/>
            <w:tcBorders>
              <w:tl2br w:val="nil"/>
              <w:tr2bl w:val="nil"/>
            </w:tcBorders>
            <w:noWrap w:val="0"/>
            <w:vAlign w:val="center"/>
          </w:tcPr>
          <w:p w14:paraId="4E6DD171">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w:t>
            </w:r>
          </w:p>
        </w:tc>
        <w:tc>
          <w:tcPr>
            <w:tcW w:w="0" w:type="auto"/>
            <w:gridSpan w:val="2"/>
            <w:tcBorders>
              <w:tl2br w:val="nil"/>
              <w:tr2bl w:val="nil"/>
            </w:tcBorders>
            <w:noWrap w:val="0"/>
            <w:vAlign w:val="center"/>
          </w:tcPr>
          <w:p w14:paraId="44A398E1">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0.05</w:t>
            </w:r>
          </w:p>
        </w:tc>
        <w:tc>
          <w:tcPr>
            <w:tcW w:w="0" w:type="auto"/>
            <w:gridSpan w:val="2"/>
            <w:tcBorders>
              <w:tl2br w:val="nil"/>
              <w:tr2bl w:val="nil"/>
            </w:tcBorders>
            <w:noWrap w:val="0"/>
            <w:vAlign w:val="center"/>
          </w:tcPr>
          <w:p w14:paraId="056F31C5">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0.9</w:t>
            </w:r>
          </w:p>
        </w:tc>
      </w:tr>
      <w:tr w14:paraId="3C7C5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0" w:type="auto"/>
            <w:tcBorders>
              <w:tl2br w:val="nil"/>
              <w:tr2bl w:val="nil"/>
            </w:tcBorders>
            <w:noWrap w:val="0"/>
            <w:vAlign w:val="center"/>
          </w:tcPr>
          <w:p w14:paraId="0BFA2F07">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6</w:t>
            </w:r>
          </w:p>
        </w:tc>
        <w:tc>
          <w:tcPr>
            <w:tcW w:w="0" w:type="auto"/>
            <w:tcBorders>
              <w:tl2br w:val="nil"/>
              <w:tr2bl w:val="nil"/>
            </w:tcBorders>
            <w:noWrap w:val="0"/>
            <w:vAlign w:val="center"/>
          </w:tcPr>
          <w:p w14:paraId="17FA3F94">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预留10%安全余量后的标准</w:t>
            </w:r>
          </w:p>
        </w:tc>
        <w:tc>
          <w:tcPr>
            <w:tcW w:w="0" w:type="auto"/>
            <w:gridSpan w:val="2"/>
            <w:tcBorders>
              <w:tl2br w:val="nil"/>
              <w:tr2bl w:val="nil"/>
            </w:tcBorders>
            <w:noWrap w:val="0"/>
            <w:vAlign w:val="center"/>
          </w:tcPr>
          <w:p w14:paraId="12C6C7C5">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13.5</w:t>
            </w:r>
          </w:p>
        </w:tc>
        <w:tc>
          <w:tcPr>
            <w:tcW w:w="0" w:type="auto"/>
            <w:gridSpan w:val="2"/>
            <w:tcBorders>
              <w:tl2br w:val="nil"/>
              <w:tr2bl w:val="nil"/>
            </w:tcBorders>
            <w:noWrap w:val="0"/>
            <w:vAlign w:val="center"/>
          </w:tcPr>
          <w:p w14:paraId="78B3DFD9">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0.45</w:t>
            </w:r>
          </w:p>
        </w:tc>
        <w:tc>
          <w:tcPr>
            <w:tcW w:w="0" w:type="auto"/>
            <w:gridSpan w:val="2"/>
            <w:tcBorders>
              <w:tl2br w:val="nil"/>
              <w:tr2bl w:val="nil"/>
            </w:tcBorders>
            <w:noWrap w:val="0"/>
            <w:vAlign w:val="center"/>
          </w:tcPr>
          <w:p w14:paraId="21326368">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09</w:t>
            </w:r>
          </w:p>
        </w:tc>
        <w:tc>
          <w:tcPr>
            <w:tcW w:w="0" w:type="auto"/>
            <w:gridSpan w:val="2"/>
            <w:tcBorders>
              <w:tl2br w:val="nil"/>
              <w:tr2bl w:val="nil"/>
            </w:tcBorders>
            <w:noWrap w:val="0"/>
            <w:vAlign w:val="center"/>
          </w:tcPr>
          <w:p w14:paraId="79D47D32">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0.045</w:t>
            </w:r>
          </w:p>
        </w:tc>
        <w:tc>
          <w:tcPr>
            <w:tcW w:w="0" w:type="auto"/>
            <w:gridSpan w:val="2"/>
            <w:tcBorders>
              <w:tl2br w:val="nil"/>
              <w:tr2bl w:val="nil"/>
            </w:tcBorders>
            <w:noWrap w:val="0"/>
            <w:vAlign w:val="center"/>
          </w:tcPr>
          <w:p w14:paraId="0B7A56D8">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0.81</w:t>
            </w:r>
          </w:p>
        </w:tc>
      </w:tr>
    </w:tbl>
    <w:p w14:paraId="473D7C9A">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sz w:val="24"/>
          <w:szCs w:val="24"/>
        </w:rPr>
      </w:pPr>
      <w:r>
        <w:rPr>
          <w:color w:val="auto"/>
          <w:sz w:val="24"/>
          <w:szCs w:val="24"/>
        </w:rPr>
        <w:t>由上表可以看出：枯水期，正常排放情况下，项目尾水不会对</w:t>
      </w:r>
      <w:r>
        <w:rPr>
          <w:rFonts w:hint="eastAsia"/>
          <w:color w:val="auto"/>
          <w:sz w:val="24"/>
          <w:szCs w:val="24"/>
          <w:lang w:eastAsia="zh-CN"/>
        </w:rPr>
        <w:t>金碑断面</w:t>
      </w:r>
      <w:r>
        <w:rPr>
          <w:color w:val="auto"/>
          <w:sz w:val="24"/>
          <w:szCs w:val="24"/>
        </w:rPr>
        <w:t>水质造成污染影响，该处水质依旧为</w:t>
      </w:r>
      <w:r>
        <w:rPr>
          <w:rFonts w:hint="default" w:ascii="Times New Roman" w:hAnsi="Times New Roman" w:cs="Times New Roman"/>
          <w:color w:val="auto"/>
          <w:sz w:val="24"/>
          <w:szCs w:val="24"/>
        </w:rPr>
        <w:t>Ⅱ</w:t>
      </w:r>
      <w:r>
        <w:rPr>
          <w:color w:val="auto"/>
          <w:sz w:val="24"/>
          <w:szCs w:val="24"/>
        </w:rPr>
        <w:t>类水质，且满足10%的安全余量；枯水期，非正常排放情况下（污水处理设施完全故障，污水不经处理直接排放），项目尾水不会对</w:t>
      </w:r>
      <w:r>
        <w:rPr>
          <w:rFonts w:hint="eastAsia"/>
          <w:color w:val="auto"/>
          <w:sz w:val="24"/>
          <w:szCs w:val="24"/>
          <w:lang w:eastAsia="zh-CN"/>
        </w:rPr>
        <w:t>金碑断面</w:t>
      </w:r>
      <w:r>
        <w:rPr>
          <w:color w:val="auto"/>
          <w:sz w:val="24"/>
          <w:szCs w:val="24"/>
        </w:rPr>
        <w:t>水质造成污染影响，该处水质依旧为</w:t>
      </w:r>
      <w:r>
        <w:rPr>
          <w:rFonts w:hint="default" w:ascii="Times New Roman" w:hAnsi="Times New Roman" w:cs="Times New Roman"/>
          <w:color w:val="auto"/>
          <w:sz w:val="24"/>
          <w:szCs w:val="24"/>
        </w:rPr>
        <w:t>Ⅱ</w:t>
      </w:r>
      <w:r>
        <w:rPr>
          <w:color w:val="auto"/>
          <w:sz w:val="24"/>
          <w:szCs w:val="24"/>
        </w:rPr>
        <w:t>类水质，且满足10%的安全余量。</w:t>
      </w:r>
    </w:p>
    <w:p w14:paraId="6D045797">
      <w:pPr>
        <w:pStyle w:val="6"/>
        <w:pageBreakBefore w:val="0"/>
        <w:wordWrap/>
        <w:bidi w:val="0"/>
        <w:adjustRightInd/>
        <w:snapToGrid/>
        <w:rPr>
          <w:color w:val="auto"/>
        </w:rPr>
      </w:pPr>
      <w:r>
        <w:rPr>
          <w:color w:val="auto"/>
        </w:rPr>
        <w:t>建设项目污染物排放信息</w:t>
      </w:r>
    </w:p>
    <w:p w14:paraId="0ABFDC12">
      <w:pPr>
        <w:pageBreakBefore w:val="0"/>
        <w:wordWrap/>
        <w:bidi w:val="0"/>
        <w:adjustRightInd/>
        <w:snapToGrid/>
        <w:ind w:firstLine="480"/>
        <w:jc w:val="left"/>
        <w:rPr>
          <w:color w:val="auto"/>
          <w:kern w:val="0"/>
        </w:rPr>
      </w:pPr>
      <w:r>
        <w:rPr>
          <w:color w:val="auto"/>
          <w:kern w:val="0"/>
        </w:rPr>
        <w:t>①废水类别、污染物及污染治理设施信息</w:t>
      </w:r>
      <w:r>
        <w:rPr>
          <w:rFonts w:hint="eastAsia"/>
          <w:color w:val="auto"/>
          <w:kern w:val="0"/>
          <w:lang w:val="en-US" w:eastAsia="zh-CN"/>
        </w:rPr>
        <w:t>见下表</w:t>
      </w:r>
      <w:r>
        <w:rPr>
          <w:color w:val="auto"/>
          <w:kern w:val="0"/>
        </w:rPr>
        <w:t>。</w:t>
      </w:r>
    </w:p>
    <w:p w14:paraId="3FE4E73A">
      <w:pPr>
        <w:pStyle w:val="15"/>
        <w:numPr>
          <w:ilvl w:val="0"/>
          <w:numId w:val="31"/>
        </w:numPr>
        <w:bidi w:val="0"/>
        <w:ind w:left="0" w:leftChars="0" w:firstLine="0" w:firstLineChars="0"/>
        <w:rPr>
          <w:color w:val="auto"/>
        </w:rPr>
      </w:pPr>
      <w:r>
        <w:rPr>
          <w:color w:val="auto"/>
        </w:rPr>
        <w:t>废水类别、污染物及污染治理设施信息表</w:t>
      </w:r>
    </w:p>
    <w:tbl>
      <w:tblPr>
        <w:tblStyle w:val="4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37"/>
        <w:gridCol w:w="397"/>
        <w:gridCol w:w="1311"/>
        <w:gridCol w:w="397"/>
        <w:gridCol w:w="730"/>
        <w:gridCol w:w="736"/>
        <w:gridCol w:w="657"/>
        <w:gridCol w:w="1601"/>
        <w:gridCol w:w="410"/>
        <w:gridCol w:w="779"/>
        <w:gridCol w:w="1425"/>
      </w:tblGrid>
      <w:tr w14:paraId="61191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vMerge w:val="restart"/>
            <w:tcBorders>
              <w:tl2br w:val="nil"/>
              <w:tr2bl w:val="nil"/>
            </w:tcBorders>
            <w:noWrap w:val="0"/>
            <w:vAlign w:val="center"/>
          </w:tcPr>
          <w:p w14:paraId="175105D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397" w:type="dxa"/>
            <w:vMerge w:val="restart"/>
            <w:tcBorders>
              <w:tl2br w:val="nil"/>
              <w:tr2bl w:val="nil"/>
            </w:tcBorders>
            <w:noWrap w:val="0"/>
            <w:vAlign w:val="center"/>
          </w:tcPr>
          <w:p w14:paraId="4DD3875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废水类别</w:t>
            </w:r>
          </w:p>
        </w:tc>
        <w:tc>
          <w:tcPr>
            <w:tcW w:w="1311" w:type="dxa"/>
            <w:vMerge w:val="restart"/>
            <w:tcBorders>
              <w:tl2br w:val="nil"/>
              <w:tr2bl w:val="nil"/>
            </w:tcBorders>
            <w:noWrap w:val="0"/>
            <w:vAlign w:val="center"/>
          </w:tcPr>
          <w:p w14:paraId="768D95C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p w14:paraId="7BA8AF9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种类</w:t>
            </w:r>
          </w:p>
        </w:tc>
        <w:tc>
          <w:tcPr>
            <w:tcW w:w="397" w:type="dxa"/>
            <w:vMerge w:val="restart"/>
            <w:tcBorders>
              <w:tl2br w:val="nil"/>
              <w:tr2bl w:val="nil"/>
            </w:tcBorders>
            <w:noWrap w:val="0"/>
            <w:vAlign w:val="center"/>
          </w:tcPr>
          <w:p w14:paraId="286E668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排放去向</w:t>
            </w:r>
          </w:p>
        </w:tc>
        <w:tc>
          <w:tcPr>
            <w:tcW w:w="730" w:type="dxa"/>
            <w:vMerge w:val="restart"/>
            <w:tcBorders>
              <w:tl2br w:val="nil"/>
              <w:tr2bl w:val="nil"/>
            </w:tcBorders>
            <w:noWrap w:val="0"/>
            <w:vAlign w:val="center"/>
          </w:tcPr>
          <w:p w14:paraId="55A6440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排放规律</w:t>
            </w:r>
          </w:p>
        </w:tc>
        <w:tc>
          <w:tcPr>
            <w:tcW w:w="2994" w:type="dxa"/>
            <w:gridSpan w:val="3"/>
            <w:tcBorders>
              <w:tl2br w:val="nil"/>
              <w:tr2bl w:val="nil"/>
            </w:tcBorders>
            <w:noWrap w:val="0"/>
            <w:vAlign w:val="center"/>
          </w:tcPr>
          <w:p w14:paraId="6B225A4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tc>
        <w:tc>
          <w:tcPr>
            <w:tcW w:w="410" w:type="dxa"/>
            <w:vMerge w:val="restart"/>
            <w:tcBorders>
              <w:tl2br w:val="nil"/>
              <w:tr2bl w:val="nil"/>
            </w:tcBorders>
            <w:noWrap w:val="0"/>
            <w:vAlign w:val="center"/>
          </w:tcPr>
          <w:p w14:paraId="1834682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779" w:type="dxa"/>
            <w:vMerge w:val="restart"/>
            <w:tcBorders>
              <w:tl2br w:val="nil"/>
              <w:tr2bl w:val="nil"/>
            </w:tcBorders>
            <w:noWrap w:val="0"/>
            <w:vAlign w:val="center"/>
          </w:tcPr>
          <w:p w14:paraId="4BFDBFC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排放口设置是否符合要求</w:t>
            </w:r>
          </w:p>
        </w:tc>
        <w:tc>
          <w:tcPr>
            <w:tcW w:w="1425" w:type="dxa"/>
            <w:vMerge w:val="restart"/>
            <w:tcBorders>
              <w:tl2br w:val="nil"/>
              <w:tr2bl w:val="nil"/>
            </w:tcBorders>
            <w:noWrap w:val="0"/>
            <w:vAlign w:val="center"/>
          </w:tcPr>
          <w:p w14:paraId="56AAD7D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w:t>
            </w:r>
          </w:p>
          <w:p w14:paraId="676DE3D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类型</w:t>
            </w:r>
          </w:p>
        </w:tc>
      </w:tr>
      <w:tr w14:paraId="71082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vMerge w:val="continue"/>
            <w:tcBorders>
              <w:tl2br w:val="nil"/>
              <w:tr2bl w:val="nil"/>
            </w:tcBorders>
            <w:noWrap w:val="0"/>
            <w:vAlign w:val="center"/>
          </w:tcPr>
          <w:p w14:paraId="33B87049">
            <w:pPr>
              <w:pageBreakBefore w:val="0"/>
              <w:wordWrap/>
              <w:bidi w:val="0"/>
              <w:adjustRightInd/>
              <w:snapToGrid/>
              <w:spacing w:line="240" w:lineRule="auto"/>
              <w:ind w:firstLine="0" w:firstLineChars="0"/>
              <w:jc w:val="center"/>
              <w:rPr>
                <w:color w:val="auto"/>
                <w:sz w:val="21"/>
                <w:szCs w:val="21"/>
              </w:rPr>
            </w:pPr>
          </w:p>
        </w:tc>
        <w:tc>
          <w:tcPr>
            <w:tcW w:w="397" w:type="dxa"/>
            <w:vMerge w:val="continue"/>
            <w:tcBorders>
              <w:tl2br w:val="nil"/>
              <w:tr2bl w:val="nil"/>
            </w:tcBorders>
            <w:noWrap w:val="0"/>
            <w:vAlign w:val="center"/>
          </w:tcPr>
          <w:p w14:paraId="7CC05745">
            <w:pPr>
              <w:pageBreakBefore w:val="0"/>
              <w:wordWrap/>
              <w:bidi w:val="0"/>
              <w:adjustRightInd/>
              <w:snapToGrid/>
              <w:spacing w:line="240" w:lineRule="auto"/>
              <w:ind w:firstLine="0" w:firstLineChars="0"/>
              <w:jc w:val="center"/>
              <w:rPr>
                <w:color w:val="auto"/>
                <w:sz w:val="21"/>
                <w:szCs w:val="21"/>
              </w:rPr>
            </w:pPr>
          </w:p>
        </w:tc>
        <w:tc>
          <w:tcPr>
            <w:tcW w:w="1311" w:type="dxa"/>
            <w:vMerge w:val="continue"/>
            <w:tcBorders>
              <w:tl2br w:val="nil"/>
              <w:tr2bl w:val="nil"/>
            </w:tcBorders>
            <w:noWrap w:val="0"/>
            <w:vAlign w:val="center"/>
          </w:tcPr>
          <w:p w14:paraId="214FCFFA">
            <w:pPr>
              <w:pageBreakBefore w:val="0"/>
              <w:wordWrap/>
              <w:bidi w:val="0"/>
              <w:adjustRightInd/>
              <w:snapToGrid/>
              <w:spacing w:line="240" w:lineRule="auto"/>
              <w:ind w:firstLine="0" w:firstLineChars="0"/>
              <w:jc w:val="center"/>
              <w:rPr>
                <w:color w:val="auto"/>
                <w:sz w:val="21"/>
                <w:szCs w:val="21"/>
              </w:rPr>
            </w:pPr>
          </w:p>
        </w:tc>
        <w:tc>
          <w:tcPr>
            <w:tcW w:w="397" w:type="dxa"/>
            <w:vMerge w:val="continue"/>
            <w:tcBorders>
              <w:tl2br w:val="nil"/>
              <w:tr2bl w:val="nil"/>
            </w:tcBorders>
            <w:noWrap w:val="0"/>
            <w:vAlign w:val="center"/>
          </w:tcPr>
          <w:p w14:paraId="717D165F">
            <w:pPr>
              <w:pageBreakBefore w:val="0"/>
              <w:wordWrap/>
              <w:bidi w:val="0"/>
              <w:adjustRightInd/>
              <w:snapToGrid/>
              <w:spacing w:line="240" w:lineRule="auto"/>
              <w:ind w:firstLine="0" w:firstLineChars="0"/>
              <w:jc w:val="center"/>
              <w:rPr>
                <w:color w:val="auto"/>
                <w:sz w:val="21"/>
                <w:szCs w:val="21"/>
              </w:rPr>
            </w:pPr>
          </w:p>
        </w:tc>
        <w:tc>
          <w:tcPr>
            <w:tcW w:w="730" w:type="dxa"/>
            <w:vMerge w:val="continue"/>
            <w:tcBorders>
              <w:tl2br w:val="nil"/>
              <w:tr2bl w:val="nil"/>
            </w:tcBorders>
            <w:noWrap w:val="0"/>
            <w:vAlign w:val="center"/>
          </w:tcPr>
          <w:p w14:paraId="206A3C06">
            <w:pPr>
              <w:pageBreakBefore w:val="0"/>
              <w:wordWrap/>
              <w:bidi w:val="0"/>
              <w:adjustRightInd/>
              <w:snapToGrid/>
              <w:spacing w:line="240" w:lineRule="auto"/>
              <w:ind w:firstLine="0" w:firstLineChars="0"/>
              <w:jc w:val="center"/>
              <w:rPr>
                <w:color w:val="auto"/>
                <w:sz w:val="21"/>
                <w:szCs w:val="21"/>
              </w:rPr>
            </w:pPr>
          </w:p>
        </w:tc>
        <w:tc>
          <w:tcPr>
            <w:tcW w:w="736" w:type="dxa"/>
            <w:tcBorders>
              <w:tl2br w:val="nil"/>
              <w:tr2bl w:val="nil"/>
            </w:tcBorders>
            <w:noWrap w:val="0"/>
            <w:vAlign w:val="center"/>
          </w:tcPr>
          <w:p w14:paraId="57C1426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p w14:paraId="58D8D3D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编号</w:t>
            </w:r>
          </w:p>
        </w:tc>
        <w:tc>
          <w:tcPr>
            <w:tcW w:w="657" w:type="dxa"/>
            <w:tcBorders>
              <w:tl2br w:val="nil"/>
              <w:tr2bl w:val="nil"/>
            </w:tcBorders>
            <w:noWrap w:val="0"/>
            <w:vAlign w:val="center"/>
          </w:tcPr>
          <w:p w14:paraId="5C86246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p w14:paraId="7B17A7E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1601" w:type="dxa"/>
            <w:tcBorders>
              <w:tl2br w:val="nil"/>
              <w:tr2bl w:val="nil"/>
            </w:tcBorders>
            <w:noWrap w:val="0"/>
            <w:vAlign w:val="center"/>
          </w:tcPr>
          <w:p w14:paraId="34B0E5A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污染治理设施工艺</w:t>
            </w:r>
          </w:p>
        </w:tc>
        <w:tc>
          <w:tcPr>
            <w:tcW w:w="410" w:type="dxa"/>
            <w:vMerge w:val="continue"/>
            <w:tcBorders>
              <w:tl2br w:val="nil"/>
              <w:tr2bl w:val="nil"/>
            </w:tcBorders>
            <w:noWrap w:val="0"/>
            <w:vAlign w:val="center"/>
          </w:tcPr>
          <w:p w14:paraId="3550682C">
            <w:pPr>
              <w:pageBreakBefore w:val="0"/>
              <w:wordWrap/>
              <w:bidi w:val="0"/>
              <w:adjustRightInd/>
              <w:snapToGrid/>
              <w:spacing w:line="240" w:lineRule="auto"/>
              <w:ind w:firstLine="0" w:firstLineChars="0"/>
              <w:jc w:val="center"/>
              <w:rPr>
                <w:color w:val="auto"/>
                <w:sz w:val="21"/>
                <w:szCs w:val="21"/>
              </w:rPr>
            </w:pPr>
          </w:p>
        </w:tc>
        <w:tc>
          <w:tcPr>
            <w:tcW w:w="779" w:type="dxa"/>
            <w:vMerge w:val="continue"/>
            <w:tcBorders>
              <w:tl2br w:val="nil"/>
              <w:tr2bl w:val="nil"/>
            </w:tcBorders>
            <w:noWrap w:val="0"/>
            <w:vAlign w:val="center"/>
          </w:tcPr>
          <w:p w14:paraId="07E2CD1B">
            <w:pPr>
              <w:pageBreakBefore w:val="0"/>
              <w:wordWrap/>
              <w:bidi w:val="0"/>
              <w:adjustRightInd/>
              <w:snapToGrid/>
              <w:spacing w:line="240" w:lineRule="auto"/>
              <w:ind w:firstLine="0" w:firstLineChars="0"/>
              <w:jc w:val="center"/>
              <w:rPr>
                <w:color w:val="auto"/>
                <w:sz w:val="21"/>
                <w:szCs w:val="21"/>
              </w:rPr>
            </w:pPr>
          </w:p>
        </w:tc>
        <w:tc>
          <w:tcPr>
            <w:tcW w:w="1425" w:type="dxa"/>
            <w:vMerge w:val="continue"/>
            <w:tcBorders>
              <w:tl2br w:val="nil"/>
              <w:tr2bl w:val="nil"/>
            </w:tcBorders>
            <w:noWrap w:val="0"/>
            <w:vAlign w:val="center"/>
          </w:tcPr>
          <w:p w14:paraId="301B7D21">
            <w:pPr>
              <w:pageBreakBefore w:val="0"/>
              <w:wordWrap/>
              <w:bidi w:val="0"/>
              <w:adjustRightInd/>
              <w:snapToGrid/>
              <w:spacing w:line="240" w:lineRule="auto"/>
              <w:ind w:firstLine="0" w:firstLineChars="0"/>
              <w:jc w:val="center"/>
              <w:rPr>
                <w:color w:val="auto"/>
                <w:sz w:val="21"/>
                <w:szCs w:val="21"/>
              </w:rPr>
            </w:pPr>
          </w:p>
        </w:tc>
      </w:tr>
      <w:tr w14:paraId="5D4C2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tcBorders>
              <w:tl2br w:val="nil"/>
              <w:tr2bl w:val="nil"/>
            </w:tcBorders>
            <w:noWrap w:val="0"/>
            <w:vAlign w:val="center"/>
          </w:tcPr>
          <w:p w14:paraId="4BE5F623">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397" w:type="dxa"/>
            <w:tcBorders>
              <w:tl2br w:val="nil"/>
              <w:tr2bl w:val="nil"/>
            </w:tcBorders>
            <w:noWrap w:val="0"/>
            <w:vAlign w:val="center"/>
          </w:tcPr>
          <w:p w14:paraId="07DC0115">
            <w:pPr>
              <w:pageBreakBefore w:val="0"/>
              <w:wordWrap/>
              <w:bidi w:val="0"/>
              <w:adjustRightInd/>
              <w:snapToGrid/>
              <w:spacing w:line="240" w:lineRule="auto"/>
              <w:ind w:firstLine="0" w:firstLineChars="0"/>
              <w:jc w:val="center"/>
              <w:rPr>
                <w:color w:val="auto"/>
                <w:sz w:val="21"/>
                <w:szCs w:val="21"/>
              </w:rPr>
            </w:pPr>
            <w:r>
              <w:rPr>
                <w:color w:val="auto"/>
                <w:sz w:val="21"/>
                <w:szCs w:val="21"/>
              </w:rPr>
              <w:t>工业废水</w:t>
            </w:r>
          </w:p>
        </w:tc>
        <w:tc>
          <w:tcPr>
            <w:tcW w:w="1311" w:type="dxa"/>
            <w:tcBorders>
              <w:tl2br w:val="nil"/>
              <w:tr2bl w:val="nil"/>
            </w:tcBorders>
            <w:noWrap w:val="0"/>
            <w:vAlign w:val="center"/>
          </w:tcPr>
          <w:p w14:paraId="2BA3BBD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CODcr、NH</w:t>
            </w:r>
            <w:r>
              <w:rPr>
                <w:color w:val="auto"/>
                <w:sz w:val="21"/>
                <w:szCs w:val="21"/>
                <w:vertAlign w:val="subscript"/>
              </w:rPr>
              <w:t>3</w:t>
            </w:r>
            <w:r>
              <w:rPr>
                <w:color w:val="auto"/>
                <w:sz w:val="21"/>
                <w:szCs w:val="21"/>
              </w:rPr>
              <w:t>-N、总磷、</w:t>
            </w:r>
            <w:r>
              <w:rPr>
                <w:rFonts w:hint="eastAsia"/>
                <w:color w:val="auto"/>
                <w:sz w:val="21"/>
                <w:szCs w:val="21"/>
                <w:lang w:val="en-US" w:eastAsia="zh-CN"/>
              </w:rPr>
              <w:t>石油类、甲醛</w:t>
            </w:r>
          </w:p>
        </w:tc>
        <w:tc>
          <w:tcPr>
            <w:tcW w:w="397" w:type="dxa"/>
            <w:tcBorders>
              <w:tl2br w:val="nil"/>
              <w:tr2bl w:val="nil"/>
            </w:tcBorders>
            <w:noWrap w:val="0"/>
            <w:vAlign w:val="center"/>
          </w:tcPr>
          <w:p w14:paraId="36A8FA7A">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730" w:type="dxa"/>
            <w:tcBorders>
              <w:tl2br w:val="nil"/>
              <w:tr2bl w:val="nil"/>
            </w:tcBorders>
            <w:noWrap w:val="0"/>
            <w:vAlign w:val="center"/>
          </w:tcPr>
          <w:p w14:paraId="499EE235">
            <w:pPr>
              <w:pageBreakBefore w:val="0"/>
              <w:wordWrap/>
              <w:bidi w:val="0"/>
              <w:adjustRightInd/>
              <w:snapToGrid/>
              <w:spacing w:line="240" w:lineRule="auto"/>
              <w:ind w:firstLine="0" w:firstLineChars="0"/>
              <w:jc w:val="center"/>
              <w:rPr>
                <w:color w:val="auto"/>
                <w:sz w:val="21"/>
                <w:szCs w:val="21"/>
              </w:rPr>
            </w:pPr>
            <w:r>
              <w:rPr>
                <w:color w:val="auto"/>
                <w:sz w:val="21"/>
                <w:szCs w:val="21"/>
              </w:rPr>
              <w:t>连续排放，流量稳定</w:t>
            </w:r>
          </w:p>
        </w:tc>
        <w:tc>
          <w:tcPr>
            <w:tcW w:w="736" w:type="dxa"/>
            <w:tcBorders>
              <w:tl2br w:val="nil"/>
              <w:tr2bl w:val="nil"/>
            </w:tcBorders>
            <w:noWrap w:val="0"/>
            <w:vAlign w:val="center"/>
          </w:tcPr>
          <w:p w14:paraId="3544EF7A">
            <w:pPr>
              <w:pageBreakBefore w:val="0"/>
              <w:wordWrap/>
              <w:bidi w:val="0"/>
              <w:adjustRightInd/>
              <w:snapToGrid/>
              <w:spacing w:line="240" w:lineRule="auto"/>
              <w:ind w:firstLine="0" w:firstLineChars="0"/>
              <w:jc w:val="center"/>
              <w:rPr>
                <w:color w:val="auto"/>
                <w:sz w:val="21"/>
                <w:szCs w:val="21"/>
              </w:rPr>
            </w:pPr>
            <w:r>
              <w:rPr>
                <w:color w:val="auto"/>
                <w:sz w:val="21"/>
                <w:szCs w:val="21"/>
              </w:rPr>
              <w:t>TW001</w:t>
            </w:r>
          </w:p>
        </w:tc>
        <w:tc>
          <w:tcPr>
            <w:tcW w:w="657" w:type="dxa"/>
            <w:tcBorders>
              <w:tl2br w:val="nil"/>
              <w:tr2bl w:val="nil"/>
            </w:tcBorders>
            <w:noWrap w:val="0"/>
            <w:vAlign w:val="center"/>
          </w:tcPr>
          <w:p w14:paraId="5DFF4AC7">
            <w:pPr>
              <w:pageBreakBefore w:val="0"/>
              <w:wordWrap/>
              <w:bidi w:val="0"/>
              <w:adjustRightInd/>
              <w:snapToGrid/>
              <w:spacing w:line="240" w:lineRule="auto"/>
              <w:ind w:firstLine="0" w:firstLineChars="0"/>
              <w:jc w:val="center"/>
              <w:rPr>
                <w:color w:val="auto"/>
                <w:sz w:val="21"/>
                <w:szCs w:val="21"/>
              </w:rPr>
            </w:pPr>
            <w:r>
              <w:rPr>
                <w:color w:val="auto"/>
                <w:sz w:val="21"/>
                <w:szCs w:val="21"/>
              </w:rPr>
              <w:t>废水处理系统</w:t>
            </w:r>
          </w:p>
        </w:tc>
        <w:tc>
          <w:tcPr>
            <w:tcW w:w="1601" w:type="dxa"/>
            <w:tcBorders>
              <w:tl2br w:val="nil"/>
              <w:tr2bl w:val="nil"/>
            </w:tcBorders>
            <w:noWrap w:val="0"/>
            <w:vAlign w:val="center"/>
          </w:tcPr>
          <w:p w14:paraId="6FEC6B53">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超细格栅+调节池+高级氧化预处理（预留）+水解酸化池+生化池+二沉池+磁混凝沉淀池+深床反硝化+高级氧化深度处理+紫外线消毒</w:t>
            </w:r>
          </w:p>
        </w:tc>
        <w:tc>
          <w:tcPr>
            <w:tcW w:w="410" w:type="dxa"/>
            <w:tcBorders>
              <w:tl2br w:val="nil"/>
              <w:tr2bl w:val="nil"/>
            </w:tcBorders>
            <w:noWrap w:val="0"/>
            <w:vAlign w:val="center"/>
          </w:tcPr>
          <w:p w14:paraId="355433B9">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779" w:type="dxa"/>
            <w:tcBorders>
              <w:tl2br w:val="nil"/>
              <w:tr2bl w:val="nil"/>
            </w:tcBorders>
            <w:noWrap w:val="0"/>
            <w:vAlign w:val="center"/>
          </w:tcPr>
          <w:p w14:paraId="77273F67">
            <w:pPr>
              <w:pageBreakBefore w:val="0"/>
              <w:wordWrap/>
              <w:bidi w:val="0"/>
              <w:adjustRightInd/>
              <w:snapToGrid/>
              <w:spacing w:line="240" w:lineRule="auto"/>
              <w:ind w:firstLine="0" w:firstLineChars="0"/>
              <w:jc w:val="center"/>
              <w:rPr>
                <w:snapToGrid w:val="0"/>
                <w:color w:val="auto"/>
                <w:kern w:val="20"/>
                <w:sz w:val="21"/>
                <w:szCs w:val="21"/>
              </w:rPr>
            </w:pPr>
            <w:r>
              <w:rPr>
                <w:rFonts w:hint="eastAsia"/>
                <w:color w:val="auto"/>
                <w:kern w:val="0"/>
                <w:sz w:val="21"/>
                <w:szCs w:val="21"/>
                <w:lang w:eastAsia="zh-CN"/>
              </w:rPr>
              <w:t>☑</w:t>
            </w:r>
            <w:r>
              <w:rPr>
                <w:color w:val="auto"/>
                <w:sz w:val="21"/>
                <w:szCs w:val="21"/>
              </w:rPr>
              <w:t>是</w:t>
            </w:r>
          </w:p>
          <w:p w14:paraId="27278102">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w:t>
            </w:r>
            <w:r>
              <w:rPr>
                <w:color w:val="auto"/>
                <w:sz w:val="21"/>
                <w:szCs w:val="21"/>
              </w:rPr>
              <w:t>否</w:t>
            </w:r>
          </w:p>
        </w:tc>
        <w:tc>
          <w:tcPr>
            <w:tcW w:w="1425" w:type="dxa"/>
            <w:tcBorders>
              <w:tl2br w:val="nil"/>
              <w:tr2bl w:val="nil"/>
            </w:tcBorders>
            <w:noWrap w:val="0"/>
            <w:vAlign w:val="center"/>
          </w:tcPr>
          <w:p w14:paraId="31034154">
            <w:pPr>
              <w:pageBreakBefore w:val="0"/>
              <w:wordWrap/>
              <w:bidi w:val="0"/>
              <w:adjustRightInd/>
              <w:snapToGrid/>
              <w:spacing w:line="240" w:lineRule="auto"/>
              <w:ind w:firstLine="0" w:firstLineChars="0"/>
              <w:jc w:val="center"/>
              <w:rPr>
                <w:rFonts w:ascii="宋体" w:hAnsi="宋体"/>
                <w:snapToGrid w:val="0"/>
                <w:color w:val="auto"/>
                <w:kern w:val="20"/>
                <w:sz w:val="21"/>
                <w:szCs w:val="21"/>
              </w:rPr>
            </w:pPr>
            <w:r>
              <w:rPr>
                <w:rFonts w:hint="eastAsia"/>
                <w:color w:val="auto"/>
                <w:kern w:val="0"/>
                <w:sz w:val="21"/>
                <w:szCs w:val="21"/>
                <w:lang w:eastAsia="zh-CN"/>
              </w:rPr>
              <w:t>☑</w:t>
            </w:r>
            <w:r>
              <w:rPr>
                <w:rFonts w:ascii="宋体" w:hAnsi="宋体"/>
                <w:color w:val="auto"/>
                <w:sz w:val="21"/>
                <w:szCs w:val="21"/>
              </w:rPr>
              <w:t>企业总排</w:t>
            </w:r>
          </w:p>
          <w:p w14:paraId="52F65FE3">
            <w:pPr>
              <w:pageBreakBefore w:val="0"/>
              <w:wordWrap/>
              <w:bidi w:val="0"/>
              <w:adjustRightInd/>
              <w:snapToGrid/>
              <w:spacing w:line="240" w:lineRule="auto"/>
              <w:ind w:firstLine="0" w:firstLineChars="0"/>
              <w:jc w:val="center"/>
              <w:rPr>
                <w:rFonts w:ascii="宋体" w:hAnsi="宋体"/>
                <w:color w:val="auto"/>
                <w:sz w:val="21"/>
                <w:szCs w:val="21"/>
              </w:rPr>
            </w:pPr>
            <w:r>
              <w:rPr>
                <w:rFonts w:hint="eastAsia" w:ascii="宋体" w:hAnsi="宋体"/>
                <w:color w:val="auto"/>
                <w:kern w:val="0"/>
                <w:sz w:val="21"/>
                <w:szCs w:val="21"/>
                <w:lang w:eastAsia="zh-CN"/>
              </w:rPr>
              <w:t>□</w:t>
            </w:r>
            <w:r>
              <w:rPr>
                <w:rFonts w:ascii="宋体" w:hAnsi="宋体"/>
                <w:color w:val="auto"/>
                <w:sz w:val="21"/>
                <w:szCs w:val="21"/>
              </w:rPr>
              <w:t>雨水排放</w:t>
            </w:r>
          </w:p>
          <w:p w14:paraId="40D94A83">
            <w:pPr>
              <w:pageBreakBefore w:val="0"/>
              <w:wordWrap/>
              <w:bidi w:val="0"/>
              <w:adjustRightInd/>
              <w:snapToGrid/>
              <w:spacing w:line="240" w:lineRule="auto"/>
              <w:ind w:firstLine="0" w:firstLineChars="0"/>
              <w:jc w:val="center"/>
              <w:rPr>
                <w:rFonts w:ascii="宋体" w:hAnsi="宋体"/>
                <w:color w:val="auto"/>
                <w:sz w:val="21"/>
                <w:szCs w:val="21"/>
              </w:rPr>
            </w:pPr>
            <w:r>
              <w:rPr>
                <w:rFonts w:ascii="宋体" w:hAnsi="宋体"/>
                <w:color w:val="auto"/>
                <w:kern w:val="0"/>
                <w:sz w:val="21"/>
                <w:szCs w:val="21"/>
              </w:rPr>
              <w:t>□</w:t>
            </w:r>
            <w:r>
              <w:rPr>
                <w:rFonts w:ascii="宋体" w:hAnsi="宋体"/>
                <w:color w:val="auto"/>
                <w:spacing w:val="-10"/>
                <w:sz w:val="21"/>
                <w:szCs w:val="21"/>
              </w:rPr>
              <w:t>清净下水排放</w:t>
            </w:r>
          </w:p>
          <w:p w14:paraId="238EB194">
            <w:pPr>
              <w:pageBreakBefore w:val="0"/>
              <w:wordWrap/>
              <w:bidi w:val="0"/>
              <w:adjustRightInd/>
              <w:snapToGrid/>
              <w:spacing w:line="240" w:lineRule="auto"/>
              <w:ind w:firstLine="0" w:firstLineChars="0"/>
              <w:jc w:val="center"/>
              <w:rPr>
                <w:rFonts w:ascii="宋体" w:hAnsi="宋体"/>
                <w:color w:val="auto"/>
                <w:sz w:val="21"/>
                <w:szCs w:val="21"/>
              </w:rPr>
            </w:pPr>
            <w:r>
              <w:rPr>
                <w:rFonts w:ascii="宋体" w:hAnsi="宋体"/>
                <w:color w:val="auto"/>
                <w:kern w:val="0"/>
                <w:sz w:val="21"/>
                <w:szCs w:val="21"/>
              </w:rPr>
              <w:t>□</w:t>
            </w:r>
            <w:r>
              <w:rPr>
                <w:rFonts w:ascii="宋体" w:hAnsi="宋体"/>
                <w:color w:val="auto"/>
                <w:sz w:val="21"/>
                <w:szCs w:val="21"/>
              </w:rPr>
              <w:t>温排水排放</w:t>
            </w:r>
          </w:p>
          <w:p w14:paraId="0849A279">
            <w:pPr>
              <w:pageBreakBefore w:val="0"/>
              <w:wordWrap/>
              <w:bidi w:val="0"/>
              <w:adjustRightInd/>
              <w:snapToGrid/>
              <w:spacing w:line="240" w:lineRule="auto"/>
              <w:ind w:firstLine="0" w:firstLineChars="0"/>
              <w:jc w:val="center"/>
              <w:rPr>
                <w:rFonts w:ascii="宋体" w:hAnsi="宋体"/>
                <w:color w:val="auto"/>
                <w:sz w:val="21"/>
                <w:szCs w:val="21"/>
              </w:rPr>
            </w:pPr>
            <w:r>
              <w:rPr>
                <w:color w:val="auto"/>
                <w:kern w:val="0"/>
                <w:sz w:val="21"/>
                <w:szCs w:val="21"/>
              </w:rPr>
              <w:t>□</w:t>
            </w:r>
            <w:r>
              <w:rPr>
                <w:rFonts w:ascii="宋体" w:hAnsi="宋体"/>
                <w:color w:val="auto"/>
                <w:sz w:val="21"/>
                <w:szCs w:val="21"/>
              </w:rPr>
              <w:t>车间或车间处理设施排放</w:t>
            </w:r>
          </w:p>
        </w:tc>
      </w:tr>
    </w:tbl>
    <w:p w14:paraId="0B5C5411">
      <w:pPr>
        <w:pageBreakBefore w:val="0"/>
        <w:wordWrap/>
        <w:bidi w:val="0"/>
        <w:adjustRightInd/>
        <w:snapToGrid/>
        <w:spacing w:line="440" w:lineRule="exact"/>
        <w:ind w:firstLine="480"/>
        <w:jc w:val="left"/>
        <w:rPr>
          <w:bCs/>
          <w:color w:val="auto"/>
        </w:rPr>
      </w:pPr>
      <w:r>
        <w:rPr>
          <w:bCs/>
          <w:color w:val="auto"/>
        </w:rPr>
        <w:t>②废水排放口基本情况</w:t>
      </w:r>
    </w:p>
    <w:p w14:paraId="59C3F113">
      <w:pPr>
        <w:pStyle w:val="15"/>
        <w:numPr>
          <w:ilvl w:val="0"/>
          <w:numId w:val="31"/>
        </w:numPr>
        <w:bidi w:val="0"/>
        <w:ind w:left="0" w:leftChars="0" w:firstLine="0" w:firstLineChars="0"/>
        <w:rPr>
          <w:color w:val="auto"/>
        </w:rPr>
      </w:pPr>
      <w:r>
        <w:rPr>
          <w:color w:val="auto"/>
        </w:rPr>
        <w:t>废水排放口基本情况表</w:t>
      </w:r>
    </w:p>
    <w:tbl>
      <w:tblPr>
        <w:tblStyle w:val="48"/>
        <w:tblW w:w="8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9"/>
        <w:gridCol w:w="830"/>
        <w:gridCol w:w="834"/>
        <w:gridCol w:w="923"/>
        <w:gridCol w:w="743"/>
        <w:gridCol w:w="600"/>
        <w:gridCol w:w="944"/>
        <w:gridCol w:w="584"/>
        <w:gridCol w:w="504"/>
        <w:gridCol w:w="709"/>
        <w:gridCol w:w="780"/>
        <w:gridCol w:w="856"/>
        <w:gridCol w:w="240"/>
      </w:tblGrid>
      <w:tr w14:paraId="29D66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vMerge w:val="restart"/>
            <w:tcBorders>
              <w:tl2br w:val="nil"/>
              <w:tr2bl w:val="nil"/>
            </w:tcBorders>
            <w:noWrap w:val="0"/>
            <w:vAlign w:val="center"/>
          </w:tcPr>
          <w:p w14:paraId="4FDB13E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830" w:type="dxa"/>
            <w:vMerge w:val="restart"/>
            <w:tcBorders>
              <w:tl2br w:val="nil"/>
              <w:tr2bl w:val="nil"/>
            </w:tcBorders>
            <w:noWrap w:val="0"/>
            <w:vAlign w:val="center"/>
          </w:tcPr>
          <w:p w14:paraId="16B65D9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w:t>
            </w:r>
          </w:p>
          <w:p w14:paraId="5A96201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编号</w:t>
            </w:r>
          </w:p>
        </w:tc>
        <w:tc>
          <w:tcPr>
            <w:tcW w:w="1757" w:type="dxa"/>
            <w:gridSpan w:val="2"/>
            <w:tcBorders>
              <w:tl2br w:val="nil"/>
              <w:tr2bl w:val="nil"/>
            </w:tcBorders>
            <w:noWrap w:val="0"/>
            <w:vAlign w:val="center"/>
          </w:tcPr>
          <w:p w14:paraId="156960C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排放口地理坐标</w:t>
            </w:r>
          </w:p>
        </w:tc>
        <w:tc>
          <w:tcPr>
            <w:tcW w:w="743" w:type="dxa"/>
            <w:vMerge w:val="restart"/>
            <w:tcBorders>
              <w:tl2br w:val="nil"/>
              <w:tr2bl w:val="nil"/>
            </w:tcBorders>
            <w:noWrap w:val="0"/>
            <w:vAlign w:val="center"/>
          </w:tcPr>
          <w:p w14:paraId="5CAA419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废水排放量/</w:t>
            </w:r>
          </w:p>
          <w:p w14:paraId="7EB2A17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（万t/a）</w:t>
            </w:r>
          </w:p>
        </w:tc>
        <w:tc>
          <w:tcPr>
            <w:tcW w:w="600" w:type="dxa"/>
            <w:vMerge w:val="restart"/>
            <w:tcBorders>
              <w:tl2br w:val="nil"/>
              <w:tr2bl w:val="nil"/>
            </w:tcBorders>
            <w:noWrap w:val="0"/>
            <w:vAlign w:val="center"/>
          </w:tcPr>
          <w:p w14:paraId="31D35ED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w:t>
            </w:r>
          </w:p>
          <w:p w14:paraId="089337A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去向</w:t>
            </w:r>
          </w:p>
        </w:tc>
        <w:tc>
          <w:tcPr>
            <w:tcW w:w="944" w:type="dxa"/>
            <w:vMerge w:val="restart"/>
            <w:tcBorders>
              <w:tl2br w:val="nil"/>
              <w:tr2bl w:val="nil"/>
            </w:tcBorders>
            <w:noWrap w:val="0"/>
            <w:vAlign w:val="center"/>
          </w:tcPr>
          <w:p w14:paraId="7A606AE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w:t>
            </w:r>
          </w:p>
          <w:p w14:paraId="38CE090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规律</w:t>
            </w:r>
          </w:p>
        </w:tc>
        <w:tc>
          <w:tcPr>
            <w:tcW w:w="584" w:type="dxa"/>
            <w:vMerge w:val="restart"/>
            <w:tcBorders>
              <w:tl2br w:val="nil"/>
              <w:tr2bl w:val="nil"/>
            </w:tcBorders>
            <w:noWrap w:val="0"/>
            <w:vAlign w:val="center"/>
          </w:tcPr>
          <w:p w14:paraId="4705BAA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间歇排放时段</w:t>
            </w:r>
          </w:p>
        </w:tc>
        <w:tc>
          <w:tcPr>
            <w:tcW w:w="1213" w:type="dxa"/>
            <w:gridSpan w:val="2"/>
            <w:tcBorders>
              <w:tl2br w:val="nil"/>
              <w:tr2bl w:val="nil"/>
            </w:tcBorders>
            <w:noWrap w:val="0"/>
            <w:vAlign w:val="center"/>
          </w:tcPr>
          <w:p w14:paraId="1BA7278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受纳自然水体信息</w:t>
            </w:r>
          </w:p>
        </w:tc>
        <w:tc>
          <w:tcPr>
            <w:tcW w:w="1636" w:type="dxa"/>
            <w:gridSpan w:val="2"/>
            <w:tcBorders>
              <w:tl2br w:val="nil"/>
              <w:tr2bl w:val="nil"/>
            </w:tcBorders>
            <w:noWrap w:val="0"/>
            <w:vAlign w:val="center"/>
          </w:tcPr>
          <w:p w14:paraId="5BF49B1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汇入受纳自然水体处地理坐标</w:t>
            </w:r>
          </w:p>
        </w:tc>
        <w:tc>
          <w:tcPr>
            <w:tcW w:w="240" w:type="dxa"/>
            <w:vMerge w:val="restart"/>
            <w:tcBorders>
              <w:tl2br w:val="nil"/>
              <w:tr2bl w:val="nil"/>
            </w:tcBorders>
            <w:noWrap w:val="0"/>
            <w:vAlign w:val="center"/>
          </w:tcPr>
          <w:p w14:paraId="2F4096B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备注</w:t>
            </w:r>
          </w:p>
        </w:tc>
      </w:tr>
      <w:tr w14:paraId="78E77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vMerge w:val="continue"/>
            <w:tcBorders>
              <w:tl2br w:val="nil"/>
              <w:tr2bl w:val="nil"/>
            </w:tcBorders>
            <w:noWrap w:val="0"/>
            <w:vAlign w:val="center"/>
          </w:tcPr>
          <w:p w14:paraId="37AC19A0">
            <w:pPr>
              <w:pageBreakBefore w:val="0"/>
              <w:wordWrap/>
              <w:bidi w:val="0"/>
              <w:adjustRightInd/>
              <w:snapToGrid/>
              <w:spacing w:line="240" w:lineRule="auto"/>
              <w:ind w:firstLine="0" w:firstLineChars="0"/>
              <w:jc w:val="center"/>
              <w:rPr>
                <w:color w:val="auto"/>
                <w:sz w:val="21"/>
                <w:szCs w:val="21"/>
              </w:rPr>
            </w:pPr>
          </w:p>
        </w:tc>
        <w:tc>
          <w:tcPr>
            <w:tcW w:w="830" w:type="dxa"/>
            <w:vMerge w:val="continue"/>
            <w:tcBorders>
              <w:tl2br w:val="nil"/>
              <w:tr2bl w:val="nil"/>
            </w:tcBorders>
            <w:noWrap w:val="0"/>
            <w:vAlign w:val="center"/>
          </w:tcPr>
          <w:p w14:paraId="49829225">
            <w:pPr>
              <w:pageBreakBefore w:val="0"/>
              <w:wordWrap/>
              <w:bidi w:val="0"/>
              <w:adjustRightInd/>
              <w:snapToGrid/>
              <w:spacing w:line="240" w:lineRule="auto"/>
              <w:ind w:firstLine="0" w:firstLineChars="0"/>
              <w:jc w:val="center"/>
              <w:rPr>
                <w:color w:val="auto"/>
                <w:sz w:val="21"/>
                <w:szCs w:val="21"/>
              </w:rPr>
            </w:pPr>
          </w:p>
        </w:tc>
        <w:tc>
          <w:tcPr>
            <w:tcW w:w="834" w:type="dxa"/>
            <w:tcBorders>
              <w:tl2br w:val="nil"/>
              <w:tr2bl w:val="nil"/>
            </w:tcBorders>
            <w:noWrap w:val="0"/>
            <w:vAlign w:val="center"/>
          </w:tcPr>
          <w:p w14:paraId="3C19C1E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经度</w:t>
            </w:r>
          </w:p>
        </w:tc>
        <w:tc>
          <w:tcPr>
            <w:tcW w:w="923" w:type="dxa"/>
            <w:tcBorders>
              <w:tl2br w:val="nil"/>
              <w:tr2bl w:val="nil"/>
            </w:tcBorders>
            <w:noWrap w:val="0"/>
            <w:vAlign w:val="center"/>
          </w:tcPr>
          <w:p w14:paraId="1692F49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纬度</w:t>
            </w:r>
          </w:p>
        </w:tc>
        <w:tc>
          <w:tcPr>
            <w:tcW w:w="743" w:type="dxa"/>
            <w:vMerge w:val="continue"/>
            <w:tcBorders>
              <w:tl2br w:val="nil"/>
              <w:tr2bl w:val="nil"/>
            </w:tcBorders>
            <w:noWrap w:val="0"/>
            <w:vAlign w:val="center"/>
          </w:tcPr>
          <w:p w14:paraId="39C04B3D">
            <w:pPr>
              <w:pageBreakBefore w:val="0"/>
              <w:wordWrap/>
              <w:bidi w:val="0"/>
              <w:adjustRightInd/>
              <w:snapToGrid/>
              <w:spacing w:line="240" w:lineRule="auto"/>
              <w:ind w:firstLine="0" w:firstLineChars="0"/>
              <w:jc w:val="center"/>
              <w:rPr>
                <w:color w:val="auto"/>
                <w:sz w:val="21"/>
                <w:szCs w:val="21"/>
              </w:rPr>
            </w:pPr>
          </w:p>
        </w:tc>
        <w:tc>
          <w:tcPr>
            <w:tcW w:w="600" w:type="dxa"/>
            <w:vMerge w:val="continue"/>
            <w:tcBorders>
              <w:tl2br w:val="nil"/>
              <w:tr2bl w:val="nil"/>
            </w:tcBorders>
            <w:noWrap w:val="0"/>
            <w:vAlign w:val="center"/>
          </w:tcPr>
          <w:p w14:paraId="42BF3BBE">
            <w:pPr>
              <w:pageBreakBefore w:val="0"/>
              <w:wordWrap/>
              <w:bidi w:val="0"/>
              <w:adjustRightInd/>
              <w:snapToGrid/>
              <w:spacing w:line="240" w:lineRule="auto"/>
              <w:ind w:firstLine="0" w:firstLineChars="0"/>
              <w:jc w:val="center"/>
              <w:rPr>
                <w:color w:val="auto"/>
                <w:sz w:val="21"/>
                <w:szCs w:val="21"/>
              </w:rPr>
            </w:pPr>
          </w:p>
        </w:tc>
        <w:tc>
          <w:tcPr>
            <w:tcW w:w="944" w:type="dxa"/>
            <w:vMerge w:val="continue"/>
            <w:tcBorders>
              <w:tl2br w:val="nil"/>
              <w:tr2bl w:val="nil"/>
            </w:tcBorders>
            <w:noWrap w:val="0"/>
            <w:vAlign w:val="center"/>
          </w:tcPr>
          <w:p w14:paraId="1773C99B">
            <w:pPr>
              <w:pageBreakBefore w:val="0"/>
              <w:wordWrap/>
              <w:bidi w:val="0"/>
              <w:adjustRightInd/>
              <w:snapToGrid/>
              <w:spacing w:line="240" w:lineRule="auto"/>
              <w:ind w:firstLine="0" w:firstLineChars="0"/>
              <w:jc w:val="center"/>
              <w:rPr>
                <w:color w:val="auto"/>
                <w:sz w:val="21"/>
                <w:szCs w:val="21"/>
              </w:rPr>
            </w:pPr>
          </w:p>
        </w:tc>
        <w:tc>
          <w:tcPr>
            <w:tcW w:w="584" w:type="dxa"/>
            <w:vMerge w:val="continue"/>
            <w:tcBorders>
              <w:tl2br w:val="nil"/>
              <w:tr2bl w:val="nil"/>
            </w:tcBorders>
            <w:noWrap w:val="0"/>
            <w:vAlign w:val="center"/>
          </w:tcPr>
          <w:p w14:paraId="26A9596A">
            <w:pPr>
              <w:pageBreakBefore w:val="0"/>
              <w:wordWrap/>
              <w:bidi w:val="0"/>
              <w:adjustRightInd/>
              <w:snapToGrid/>
              <w:spacing w:line="240" w:lineRule="auto"/>
              <w:ind w:firstLine="0" w:firstLineChars="0"/>
              <w:jc w:val="center"/>
              <w:rPr>
                <w:color w:val="auto"/>
                <w:sz w:val="21"/>
                <w:szCs w:val="21"/>
              </w:rPr>
            </w:pPr>
          </w:p>
        </w:tc>
        <w:tc>
          <w:tcPr>
            <w:tcW w:w="504" w:type="dxa"/>
            <w:tcBorders>
              <w:tl2br w:val="nil"/>
              <w:tr2bl w:val="nil"/>
            </w:tcBorders>
            <w:noWrap w:val="0"/>
            <w:vAlign w:val="center"/>
          </w:tcPr>
          <w:p w14:paraId="2103CF6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709" w:type="dxa"/>
            <w:tcBorders>
              <w:tl2br w:val="nil"/>
              <w:tr2bl w:val="nil"/>
            </w:tcBorders>
            <w:noWrap w:val="0"/>
            <w:vAlign w:val="center"/>
          </w:tcPr>
          <w:p w14:paraId="4FF345E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780" w:type="dxa"/>
            <w:tcBorders>
              <w:tl2br w:val="nil"/>
              <w:tr2bl w:val="nil"/>
            </w:tcBorders>
            <w:noWrap w:val="0"/>
            <w:vAlign w:val="center"/>
          </w:tcPr>
          <w:p w14:paraId="7CA31B7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经度</w:t>
            </w:r>
          </w:p>
        </w:tc>
        <w:tc>
          <w:tcPr>
            <w:tcW w:w="856" w:type="dxa"/>
            <w:tcBorders>
              <w:tl2br w:val="nil"/>
              <w:tr2bl w:val="nil"/>
            </w:tcBorders>
            <w:noWrap w:val="0"/>
            <w:vAlign w:val="center"/>
          </w:tcPr>
          <w:p w14:paraId="44FEBC0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纬度</w:t>
            </w:r>
          </w:p>
        </w:tc>
        <w:tc>
          <w:tcPr>
            <w:tcW w:w="240" w:type="dxa"/>
            <w:vMerge w:val="continue"/>
            <w:tcBorders>
              <w:tl2br w:val="nil"/>
              <w:tr2bl w:val="nil"/>
            </w:tcBorders>
            <w:noWrap w:val="0"/>
            <w:vAlign w:val="center"/>
          </w:tcPr>
          <w:p w14:paraId="11DAC02A">
            <w:pPr>
              <w:pageBreakBefore w:val="0"/>
              <w:wordWrap/>
              <w:bidi w:val="0"/>
              <w:adjustRightInd/>
              <w:snapToGrid/>
              <w:spacing w:line="240" w:lineRule="auto"/>
              <w:ind w:firstLine="0" w:firstLineChars="0"/>
              <w:jc w:val="center"/>
              <w:rPr>
                <w:color w:val="auto"/>
                <w:sz w:val="21"/>
                <w:szCs w:val="21"/>
              </w:rPr>
            </w:pPr>
          </w:p>
        </w:tc>
      </w:tr>
      <w:tr w14:paraId="19AE2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tcBorders>
              <w:tl2br w:val="nil"/>
              <w:tr2bl w:val="nil"/>
            </w:tcBorders>
            <w:noWrap w:val="0"/>
            <w:vAlign w:val="center"/>
          </w:tcPr>
          <w:p w14:paraId="64115515">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830" w:type="dxa"/>
            <w:tcBorders>
              <w:tl2br w:val="nil"/>
              <w:tr2bl w:val="nil"/>
            </w:tcBorders>
            <w:noWrap w:val="0"/>
            <w:vAlign w:val="center"/>
          </w:tcPr>
          <w:p w14:paraId="146FE5B0">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834" w:type="dxa"/>
            <w:tcBorders>
              <w:tl2br w:val="nil"/>
              <w:tr2bl w:val="nil"/>
            </w:tcBorders>
            <w:noWrap w:val="0"/>
            <w:vAlign w:val="center"/>
          </w:tcPr>
          <w:p w14:paraId="186856FF">
            <w:pPr>
              <w:pageBreakBefore w:val="0"/>
              <w:wordWrap/>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106°53′3.26″</w:t>
            </w:r>
          </w:p>
        </w:tc>
        <w:tc>
          <w:tcPr>
            <w:tcW w:w="923" w:type="dxa"/>
            <w:tcBorders>
              <w:tl2br w:val="nil"/>
              <w:tr2bl w:val="nil"/>
            </w:tcBorders>
            <w:noWrap w:val="0"/>
            <w:vAlign w:val="center"/>
          </w:tcPr>
          <w:p w14:paraId="1FC3766F">
            <w:pPr>
              <w:pageBreakBefore w:val="0"/>
              <w:wordWrap/>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31°45′12.92″</w:t>
            </w:r>
          </w:p>
        </w:tc>
        <w:tc>
          <w:tcPr>
            <w:tcW w:w="743" w:type="dxa"/>
            <w:tcBorders>
              <w:tl2br w:val="nil"/>
              <w:tr2bl w:val="nil"/>
            </w:tcBorders>
            <w:noWrap w:val="0"/>
            <w:vAlign w:val="center"/>
          </w:tcPr>
          <w:p w14:paraId="5A46E3A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109.5</w:t>
            </w:r>
          </w:p>
        </w:tc>
        <w:tc>
          <w:tcPr>
            <w:tcW w:w="600" w:type="dxa"/>
            <w:tcBorders>
              <w:tl2br w:val="nil"/>
              <w:tr2bl w:val="nil"/>
            </w:tcBorders>
            <w:noWrap w:val="0"/>
            <w:vAlign w:val="center"/>
          </w:tcPr>
          <w:p w14:paraId="17435E56">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944" w:type="dxa"/>
            <w:tcBorders>
              <w:tl2br w:val="nil"/>
              <w:tr2bl w:val="nil"/>
            </w:tcBorders>
            <w:noWrap w:val="0"/>
            <w:vAlign w:val="center"/>
          </w:tcPr>
          <w:p w14:paraId="298779D2">
            <w:pPr>
              <w:pageBreakBefore w:val="0"/>
              <w:wordWrap/>
              <w:bidi w:val="0"/>
              <w:adjustRightInd/>
              <w:snapToGrid/>
              <w:spacing w:line="240" w:lineRule="auto"/>
              <w:ind w:firstLine="0" w:firstLineChars="0"/>
              <w:jc w:val="center"/>
              <w:rPr>
                <w:color w:val="auto"/>
                <w:sz w:val="21"/>
                <w:szCs w:val="21"/>
              </w:rPr>
            </w:pPr>
            <w:r>
              <w:rPr>
                <w:color w:val="auto"/>
                <w:sz w:val="21"/>
                <w:szCs w:val="21"/>
              </w:rPr>
              <w:t>连续排放，流量稳定</w:t>
            </w:r>
          </w:p>
        </w:tc>
        <w:tc>
          <w:tcPr>
            <w:tcW w:w="584" w:type="dxa"/>
            <w:tcBorders>
              <w:tl2br w:val="nil"/>
              <w:tr2bl w:val="nil"/>
            </w:tcBorders>
            <w:noWrap w:val="0"/>
            <w:vAlign w:val="center"/>
          </w:tcPr>
          <w:p w14:paraId="11CC591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04" w:type="dxa"/>
            <w:tcBorders>
              <w:tl2br w:val="nil"/>
              <w:tr2bl w:val="nil"/>
            </w:tcBorders>
            <w:noWrap w:val="0"/>
            <w:vAlign w:val="center"/>
          </w:tcPr>
          <w:p w14:paraId="46983BEB">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709" w:type="dxa"/>
            <w:tcBorders>
              <w:tl2br w:val="nil"/>
              <w:tr2bl w:val="nil"/>
            </w:tcBorders>
            <w:noWrap w:val="0"/>
            <w:vAlign w:val="center"/>
          </w:tcPr>
          <w:p w14:paraId="24E719AF">
            <w:pPr>
              <w:pageBreakBefore w:val="0"/>
              <w:wordWrap/>
              <w:bidi w:val="0"/>
              <w:adjustRightInd/>
              <w:snapToGrid/>
              <w:spacing w:line="240" w:lineRule="auto"/>
              <w:ind w:firstLine="0" w:firstLineChars="0"/>
              <w:jc w:val="center"/>
              <w:rPr>
                <w:color w:val="auto"/>
                <w:sz w:val="21"/>
                <w:szCs w:val="21"/>
              </w:rPr>
            </w:pPr>
            <w:r>
              <w:rPr>
                <w:color w:val="auto"/>
                <w:sz w:val="21"/>
                <w:szCs w:val="21"/>
              </w:rPr>
              <w:t>Ⅲ类</w:t>
            </w:r>
          </w:p>
        </w:tc>
        <w:tc>
          <w:tcPr>
            <w:tcW w:w="780" w:type="dxa"/>
            <w:tcBorders>
              <w:tl2br w:val="nil"/>
              <w:tr2bl w:val="nil"/>
            </w:tcBorders>
            <w:noWrap w:val="0"/>
            <w:vAlign w:val="center"/>
          </w:tcPr>
          <w:p w14:paraId="71A69755">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cs="Times New Roman"/>
                <w:color w:val="auto"/>
                <w:sz w:val="21"/>
                <w:szCs w:val="21"/>
              </w:rPr>
              <w:t>106°53′3.26″</w:t>
            </w:r>
          </w:p>
        </w:tc>
        <w:tc>
          <w:tcPr>
            <w:tcW w:w="856" w:type="dxa"/>
            <w:tcBorders>
              <w:tl2br w:val="nil"/>
              <w:tr2bl w:val="nil"/>
            </w:tcBorders>
            <w:noWrap w:val="0"/>
            <w:vAlign w:val="center"/>
          </w:tcPr>
          <w:p w14:paraId="10D190E9">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cs="Times New Roman"/>
                <w:color w:val="auto"/>
                <w:sz w:val="21"/>
                <w:szCs w:val="21"/>
              </w:rPr>
              <w:t>31°45′12.92″</w:t>
            </w:r>
          </w:p>
        </w:tc>
        <w:tc>
          <w:tcPr>
            <w:tcW w:w="240" w:type="dxa"/>
            <w:tcBorders>
              <w:tl2br w:val="nil"/>
              <w:tr2bl w:val="nil"/>
            </w:tcBorders>
            <w:noWrap w:val="0"/>
            <w:vAlign w:val="center"/>
          </w:tcPr>
          <w:p w14:paraId="7E6E708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bl>
    <w:p w14:paraId="7873ACE0">
      <w:pPr>
        <w:pageBreakBefore w:val="0"/>
        <w:wordWrap/>
        <w:bidi w:val="0"/>
        <w:adjustRightInd/>
        <w:snapToGrid/>
        <w:spacing w:line="440" w:lineRule="exact"/>
        <w:ind w:firstLine="480"/>
        <w:jc w:val="left"/>
        <w:rPr>
          <w:bCs/>
          <w:color w:val="auto"/>
        </w:rPr>
      </w:pPr>
      <w:r>
        <w:rPr>
          <w:bCs/>
          <w:color w:val="auto"/>
        </w:rPr>
        <w:t>③废水污染物排放执行标准表</w:t>
      </w:r>
    </w:p>
    <w:p w14:paraId="2F6353BE">
      <w:pPr>
        <w:pStyle w:val="15"/>
        <w:numPr>
          <w:ilvl w:val="0"/>
          <w:numId w:val="31"/>
        </w:numPr>
        <w:bidi w:val="0"/>
        <w:ind w:left="0" w:leftChars="0" w:firstLine="0" w:firstLineChars="0"/>
        <w:rPr>
          <w:color w:val="auto"/>
        </w:rPr>
      </w:pPr>
      <w:r>
        <w:rPr>
          <w:color w:val="auto"/>
        </w:rPr>
        <w:t>废水污染物排放执行标准表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60"/>
        <w:gridCol w:w="1029"/>
        <w:gridCol w:w="1328"/>
        <w:gridCol w:w="3955"/>
        <w:gridCol w:w="2067"/>
      </w:tblGrid>
      <w:tr w14:paraId="24822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vMerge w:val="restart"/>
            <w:tcBorders>
              <w:tl2br w:val="nil"/>
              <w:tr2bl w:val="nil"/>
            </w:tcBorders>
            <w:noWrap w:val="0"/>
            <w:vAlign w:val="center"/>
          </w:tcPr>
          <w:p w14:paraId="19AB906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0" w:type="auto"/>
            <w:vMerge w:val="restart"/>
            <w:tcBorders>
              <w:tl2br w:val="nil"/>
              <w:tr2bl w:val="nil"/>
            </w:tcBorders>
            <w:noWrap w:val="0"/>
            <w:vAlign w:val="center"/>
          </w:tcPr>
          <w:p w14:paraId="6CDD230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751" w:type="pct"/>
            <w:vMerge w:val="restart"/>
            <w:tcBorders>
              <w:tl2br w:val="nil"/>
              <w:tr2bl w:val="nil"/>
            </w:tcBorders>
            <w:noWrap w:val="0"/>
            <w:vAlign w:val="center"/>
          </w:tcPr>
          <w:p w14:paraId="37C77E2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3406" w:type="pct"/>
            <w:gridSpan w:val="2"/>
            <w:tcBorders>
              <w:tl2br w:val="nil"/>
              <w:tr2bl w:val="nil"/>
            </w:tcBorders>
            <w:noWrap w:val="0"/>
            <w:vAlign w:val="center"/>
          </w:tcPr>
          <w:p w14:paraId="48B0673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国家或地方污染物排放标准及其他按规定商定的排放协议</w:t>
            </w:r>
          </w:p>
        </w:tc>
      </w:tr>
      <w:tr w14:paraId="0D2BB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vMerge w:val="continue"/>
            <w:tcBorders>
              <w:tl2br w:val="nil"/>
              <w:tr2bl w:val="nil"/>
            </w:tcBorders>
            <w:noWrap w:val="0"/>
            <w:vAlign w:val="center"/>
          </w:tcPr>
          <w:p w14:paraId="5D8C16F3">
            <w:pPr>
              <w:pageBreakBefore w:val="0"/>
              <w:wordWrap/>
              <w:bidi w:val="0"/>
              <w:adjustRightInd/>
              <w:snapToGrid/>
              <w:spacing w:line="240" w:lineRule="auto"/>
              <w:ind w:firstLine="0" w:firstLineChars="0"/>
              <w:jc w:val="center"/>
              <w:rPr>
                <w:b/>
                <w:bCs/>
                <w:color w:val="auto"/>
                <w:sz w:val="21"/>
                <w:szCs w:val="21"/>
              </w:rPr>
            </w:pPr>
          </w:p>
        </w:tc>
        <w:tc>
          <w:tcPr>
            <w:tcW w:w="0" w:type="auto"/>
            <w:vMerge w:val="continue"/>
            <w:tcBorders>
              <w:tl2br w:val="nil"/>
              <w:tr2bl w:val="nil"/>
            </w:tcBorders>
            <w:noWrap w:val="0"/>
            <w:vAlign w:val="center"/>
          </w:tcPr>
          <w:p w14:paraId="11316FAA">
            <w:pPr>
              <w:pageBreakBefore w:val="0"/>
              <w:wordWrap/>
              <w:bidi w:val="0"/>
              <w:adjustRightInd/>
              <w:snapToGrid/>
              <w:spacing w:line="240" w:lineRule="auto"/>
              <w:ind w:firstLine="0" w:firstLineChars="0"/>
              <w:jc w:val="center"/>
              <w:rPr>
                <w:b/>
                <w:bCs/>
                <w:color w:val="auto"/>
                <w:sz w:val="21"/>
                <w:szCs w:val="21"/>
              </w:rPr>
            </w:pPr>
          </w:p>
        </w:tc>
        <w:tc>
          <w:tcPr>
            <w:tcW w:w="751" w:type="pct"/>
            <w:vMerge w:val="continue"/>
            <w:tcBorders>
              <w:tl2br w:val="nil"/>
              <w:tr2bl w:val="nil"/>
            </w:tcBorders>
            <w:noWrap w:val="0"/>
            <w:vAlign w:val="center"/>
          </w:tcPr>
          <w:p w14:paraId="1AF45FE6">
            <w:pPr>
              <w:pageBreakBefore w:val="0"/>
              <w:wordWrap/>
              <w:bidi w:val="0"/>
              <w:adjustRightInd/>
              <w:snapToGrid/>
              <w:spacing w:line="240" w:lineRule="auto"/>
              <w:ind w:firstLine="0" w:firstLineChars="0"/>
              <w:jc w:val="center"/>
              <w:rPr>
                <w:b/>
                <w:bCs/>
                <w:color w:val="auto"/>
                <w:sz w:val="21"/>
                <w:szCs w:val="21"/>
              </w:rPr>
            </w:pPr>
          </w:p>
        </w:tc>
        <w:tc>
          <w:tcPr>
            <w:tcW w:w="2237" w:type="pct"/>
            <w:tcBorders>
              <w:tl2br w:val="nil"/>
              <w:tr2bl w:val="nil"/>
            </w:tcBorders>
            <w:noWrap w:val="0"/>
            <w:vAlign w:val="center"/>
          </w:tcPr>
          <w:p w14:paraId="0154AF8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1169" w:type="pct"/>
            <w:tcBorders>
              <w:tl2br w:val="nil"/>
              <w:tr2bl w:val="nil"/>
            </w:tcBorders>
            <w:noWrap w:val="0"/>
            <w:vAlign w:val="center"/>
          </w:tcPr>
          <w:p w14:paraId="7D38E714">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浓度限值/</w:t>
            </w: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r>
      <w:tr w14:paraId="5046FA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181E6AC2">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0" w:type="auto"/>
            <w:vMerge w:val="restart"/>
            <w:tcBorders>
              <w:tl2br w:val="nil"/>
              <w:tr2bl w:val="nil"/>
            </w:tcBorders>
            <w:noWrap w:val="0"/>
            <w:vAlign w:val="center"/>
          </w:tcPr>
          <w:p w14:paraId="320E6C9B">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751" w:type="pct"/>
            <w:tcBorders>
              <w:tl2br w:val="nil"/>
              <w:tr2bl w:val="nil"/>
            </w:tcBorders>
            <w:noWrap w:val="0"/>
            <w:vAlign w:val="center"/>
          </w:tcPr>
          <w:p w14:paraId="68B94B0C">
            <w:pPr>
              <w:pageBreakBefore w:val="0"/>
              <w:wordWrap/>
              <w:bidi w:val="0"/>
              <w:adjustRightInd/>
              <w:snapToGrid/>
              <w:spacing w:line="240" w:lineRule="auto"/>
              <w:ind w:firstLine="0" w:firstLineChars="0"/>
              <w:jc w:val="center"/>
              <w:rPr>
                <w:color w:val="auto"/>
                <w:sz w:val="21"/>
                <w:szCs w:val="21"/>
              </w:rPr>
            </w:pPr>
            <w:r>
              <w:rPr>
                <w:color w:val="auto"/>
                <w:sz w:val="21"/>
                <w:szCs w:val="21"/>
              </w:rPr>
              <w:t>CODcr</w:t>
            </w:r>
          </w:p>
        </w:tc>
        <w:tc>
          <w:tcPr>
            <w:tcW w:w="2237" w:type="pct"/>
            <w:vMerge w:val="restart"/>
            <w:tcBorders>
              <w:tl2br w:val="nil"/>
              <w:tr2bl w:val="nil"/>
            </w:tcBorders>
            <w:noWrap w:val="0"/>
            <w:vAlign w:val="center"/>
          </w:tcPr>
          <w:p w14:paraId="7D183CED">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《城镇污水处理厂污染物排放标准》（GB18918-2002）一级A标准</w:t>
            </w:r>
          </w:p>
        </w:tc>
        <w:tc>
          <w:tcPr>
            <w:tcW w:w="1169" w:type="pct"/>
            <w:tcBorders>
              <w:tl2br w:val="nil"/>
              <w:tr2bl w:val="nil"/>
            </w:tcBorders>
            <w:noWrap w:val="0"/>
            <w:vAlign w:val="center"/>
          </w:tcPr>
          <w:p w14:paraId="6CC0E7A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5C85C0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211F2F3C">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0" w:type="auto"/>
            <w:vMerge w:val="continue"/>
            <w:tcBorders>
              <w:tl2br w:val="nil"/>
              <w:tr2bl w:val="nil"/>
            </w:tcBorders>
            <w:noWrap w:val="0"/>
            <w:vAlign w:val="center"/>
          </w:tcPr>
          <w:p w14:paraId="23BBA7DB">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28EB9AF1">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2237" w:type="pct"/>
            <w:vMerge w:val="continue"/>
            <w:tcBorders>
              <w:tl2br w:val="nil"/>
              <w:tr2bl w:val="nil"/>
            </w:tcBorders>
            <w:noWrap w:val="0"/>
            <w:vAlign w:val="center"/>
          </w:tcPr>
          <w:p w14:paraId="3F90BD20">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44DBB780">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r>
      <w:tr w14:paraId="46BBD9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1F3D2C75">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0" w:type="auto"/>
            <w:vMerge w:val="continue"/>
            <w:tcBorders>
              <w:tl2br w:val="nil"/>
              <w:tr2bl w:val="nil"/>
            </w:tcBorders>
            <w:noWrap w:val="0"/>
            <w:vAlign w:val="center"/>
          </w:tcPr>
          <w:p w14:paraId="0B507DF7">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6EAC366C">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2237" w:type="pct"/>
            <w:vMerge w:val="continue"/>
            <w:tcBorders>
              <w:tl2br w:val="nil"/>
              <w:tr2bl w:val="nil"/>
            </w:tcBorders>
            <w:noWrap w:val="0"/>
            <w:vAlign w:val="center"/>
          </w:tcPr>
          <w:p w14:paraId="55CF75BC">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7C62A138">
            <w:pPr>
              <w:pageBreakBefore w:val="0"/>
              <w:wordWrap/>
              <w:bidi w:val="0"/>
              <w:adjustRightInd/>
              <w:snapToGrid/>
              <w:spacing w:line="240" w:lineRule="auto"/>
              <w:ind w:firstLine="0" w:firstLineChars="0"/>
              <w:jc w:val="center"/>
              <w:rPr>
                <w:color w:val="auto"/>
                <w:sz w:val="21"/>
                <w:szCs w:val="21"/>
              </w:rPr>
            </w:pPr>
            <w:r>
              <w:rPr>
                <w:color w:val="auto"/>
                <w:sz w:val="21"/>
                <w:szCs w:val="21"/>
              </w:rPr>
              <w:t>0.5</w:t>
            </w:r>
          </w:p>
        </w:tc>
      </w:tr>
      <w:tr w14:paraId="06465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1DBBDEB0">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0" w:type="auto"/>
            <w:vMerge w:val="continue"/>
            <w:tcBorders>
              <w:tl2br w:val="nil"/>
              <w:tr2bl w:val="nil"/>
            </w:tcBorders>
            <w:noWrap w:val="0"/>
            <w:vAlign w:val="center"/>
          </w:tcPr>
          <w:p w14:paraId="469B01BC">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1A42589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石油类</w:t>
            </w:r>
          </w:p>
        </w:tc>
        <w:tc>
          <w:tcPr>
            <w:tcW w:w="2237" w:type="pct"/>
            <w:vMerge w:val="continue"/>
            <w:tcBorders>
              <w:tl2br w:val="nil"/>
              <w:tr2bl w:val="nil"/>
            </w:tcBorders>
            <w:noWrap w:val="0"/>
            <w:vAlign w:val="center"/>
          </w:tcPr>
          <w:p w14:paraId="19FB01EF">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7955B3FB">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1</w:t>
            </w:r>
          </w:p>
        </w:tc>
      </w:tr>
      <w:tr w14:paraId="16E92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25079009">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0" w:type="auto"/>
            <w:vMerge w:val="continue"/>
            <w:tcBorders>
              <w:tl2br w:val="nil"/>
              <w:tr2bl w:val="nil"/>
            </w:tcBorders>
            <w:noWrap w:val="0"/>
            <w:vAlign w:val="center"/>
          </w:tcPr>
          <w:p w14:paraId="7CD5F118">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2B47F1A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2237" w:type="pct"/>
            <w:vMerge w:val="continue"/>
            <w:tcBorders>
              <w:tl2br w:val="nil"/>
              <w:tr2bl w:val="nil"/>
            </w:tcBorders>
            <w:noWrap w:val="0"/>
            <w:vAlign w:val="center"/>
          </w:tcPr>
          <w:p w14:paraId="6CED84D1">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155BF8C3">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r>
    </w:tbl>
    <w:p w14:paraId="74480F3B">
      <w:pPr>
        <w:pageBreakBefore w:val="0"/>
        <w:wordWrap/>
        <w:bidi w:val="0"/>
        <w:adjustRightInd/>
        <w:snapToGrid/>
        <w:spacing w:line="440" w:lineRule="exact"/>
        <w:ind w:firstLine="480"/>
        <w:jc w:val="left"/>
        <w:rPr>
          <w:bCs/>
          <w:color w:val="auto"/>
        </w:rPr>
      </w:pPr>
      <w:r>
        <w:rPr>
          <w:bCs/>
          <w:color w:val="auto"/>
        </w:rPr>
        <w:t>④废水污染物排放信息表</w:t>
      </w:r>
    </w:p>
    <w:p w14:paraId="2CAE934F">
      <w:pPr>
        <w:pStyle w:val="15"/>
        <w:numPr>
          <w:ilvl w:val="0"/>
          <w:numId w:val="31"/>
        </w:numPr>
        <w:bidi w:val="0"/>
        <w:ind w:left="0" w:leftChars="0" w:firstLine="0" w:firstLineChars="0"/>
        <w:rPr>
          <w:rFonts w:eastAsia="宋体"/>
          <w:b/>
          <w:color w:val="auto"/>
          <w:sz w:val="21"/>
          <w:szCs w:val="21"/>
        </w:rPr>
      </w:pPr>
      <w:r>
        <w:rPr>
          <w:rFonts w:eastAsia="宋体"/>
          <w:b/>
          <w:color w:val="auto"/>
          <w:sz w:val="21"/>
          <w:szCs w:val="21"/>
        </w:rPr>
        <w:t>废水污染物排放信息表</w:t>
      </w:r>
    </w:p>
    <w:tbl>
      <w:tblPr>
        <w:tblStyle w:val="48"/>
        <w:tblW w:w="894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47"/>
        <w:gridCol w:w="1212"/>
        <w:gridCol w:w="1275"/>
        <w:gridCol w:w="2100"/>
        <w:gridCol w:w="2263"/>
        <w:gridCol w:w="1544"/>
      </w:tblGrid>
      <w:tr w14:paraId="0C7F5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547" w:type="dxa"/>
            <w:tcBorders>
              <w:tl2br w:val="nil"/>
              <w:tr2bl w:val="nil"/>
            </w:tcBorders>
            <w:noWrap w:val="0"/>
            <w:vAlign w:val="center"/>
          </w:tcPr>
          <w:p w14:paraId="2D00FC4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212" w:type="dxa"/>
            <w:tcBorders>
              <w:tl2br w:val="nil"/>
              <w:tr2bl w:val="nil"/>
            </w:tcBorders>
            <w:noWrap w:val="0"/>
            <w:vAlign w:val="center"/>
          </w:tcPr>
          <w:p w14:paraId="6F51831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1275" w:type="dxa"/>
            <w:tcBorders>
              <w:tl2br w:val="nil"/>
              <w:tr2bl w:val="nil"/>
            </w:tcBorders>
            <w:noWrap w:val="0"/>
            <w:vAlign w:val="center"/>
          </w:tcPr>
          <w:p w14:paraId="3C94E90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2100" w:type="dxa"/>
            <w:tcBorders>
              <w:tl2br w:val="nil"/>
              <w:tr2bl w:val="nil"/>
            </w:tcBorders>
            <w:noWrap w:val="0"/>
            <w:vAlign w:val="center"/>
          </w:tcPr>
          <w:p w14:paraId="438B6A8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排放浓度/（mg/L）</w:t>
            </w:r>
          </w:p>
        </w:tc>
        <w:tc>
          <w:tcPr>
            <w:tcW w:w="2263" w:type="dxa"/>
            <w:tcBorders>
              <w:tl2br w:val="nil"/>
              <w:tr2bl w:val="nil"/>
            </w:tcBorders>
            <w:noWrap w:val="0"/>
            <w:vAlign w:val="center"/>
          </w:tcPr>
          <w:p w14:paraId="56918B7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日排放量/（t/d）</w:t>
            </w:r>
          </w:p>
        </w:tc>
        <w:tc>
          <w:tcPr>
            <w:tcW w:w="1544" w:type="dxa"/>
            <w:tcBorders>
              <w:tl2br w:val="nil"/>
              <w:tr2bl w:val="nil"/>
            </w:tcBorders>
            <w:noWrap w:val="0"/>
            <w:vAlign w:val="center"/>
          </w:tcPr>
          <w:p w14:paraId="44B6857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3FBAE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6EA3C9F1">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212" w:type="dxa"/>
            <w:vMerge w:val="restart"/>
            <w:tcBorders>
              <w:tl2br w:val="nil"/>
              <w:tr2bl w:val="nil"/>
            </w:tcBorders>
            <w:noWrap w:val="0"/>
            <w:vAlign w:val="center"/>
          </w:tcPr>
          <w:p w14:paraId="4CEEFA45">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1275" w:type="dxa"/>
            <w:tcBorders>
              <w:tl2br w:val="nil"/>
              <w:tr2bl w:val="nil"/>
            </w:tcBorders>
            <w:noWrap w:val="0"/>
            <w:vAlign w:val="center"/>
          </w:tcPr>
          <w:p w14:paraId="49E7D214">
            <w:pPr>
              <w:pageBreakBefore w:val="0"/>
              <w:wordWrap/>
              <w:bidi w:val="0"/>
              <w:adjustRightInd/>
              <w:snapToGrid/>
              <w:spacing w:line="240" w:lineRule="auto"/>
              <w:ind w:firstLine="0" w:firstLineChars="0"/>
              <w:jc w:val="center"/>
              <w:rPr>
                <w:color w:val="auto"/>
                <w:sz w:val="21"/>
                <w:szCs w:val="21"/>
              </w:rPr>
            </w:pPr>
            <w:r>
              <w:rPr>
                <w:color w:val="auto"/>
                <w:sz w:val="21"/>
                <w:szCs w:val="21"/>
              </w:rPr>
              <w:t>CODcr</w:t>
            </w:r>
          </w:p>
        </w:tc>
        <w:tc>
          <w:tcPr>
            <w:tcW w:w="2100" w:type="dxa"/>
            <w:tcBorders>
              <w:tl2br w:val="nil"/>
              <w:tr2bl w:val="nil"/>
            </w:tcBorders>
            <w:noWrap w:val="0"/>
            <w:vAlign w:val="center"/>
          </w:tcPr>
          <w:p w14:paraId="6179F4D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2263" w:type="dxa"/>
            <w:tcBorders>
              <w:tl2br w:val="nil"/>
              <w:tr2bl w:val="nil"/>
            </w:tcBorders>
            <w:noWrap w:val="0"/>
            <w:vAlign w:val="center"/>
          </w:tcPr>
          <w:p w14:paraId="4B43C49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0.15</w:t>
            </w:r>
          </w:p>
        </w:tc>
        <w:tc>
          <w:tcPr>
            <w:tcW w:w="1544" w:type="dxa"/>
            <w:tcBorders>
              <w:tl2br w:val="nil"/>
              <w:tr2bl w:val="nil"/>
            </w:tcBorders>
            <w:noWrap w:val="0"/>
            <w:vAlign w:val="center"/>
          </w:tcPr>
          <w:p w14:paraId="7935FBF5">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54.75</w:t>
            </w:r>
          </w:p>
        </w:tc>
      </w:tr>
      <w:tr w14:paraId="1B3BF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42166A7A">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212" w:type="dxa"/>
            <w:vMerge w:val="continue"/>
            <w:tcBorders>
              <w:tl2br w:val="nil"/>
              <w:tr2bl w:val="nil"/>
            </w:tcBorders>
            <w:noWrap w:val="0"/>
            <w:vAlign w:val="center"/>
          </w:tcPr>
          <w:p w14:paraId="4D67B755">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0DC9E5E5">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2100" w:type="dxa"/>
            <w:tcBorders>
              <w:tl2br w:val="nil"/>
              <w:tr2bl w:val="nil"/>
            </w:tcBorders>
            <w:noWrap w:val="0"/>
            <w:vAlign w:val="center"/>
          </w:tcPr>
          <w:p w14:paraId="731B254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2263" w:type="dxa"/>
            <w:tcBorders>
              <w:tl2br w:val="nil"/>
              <w:tr2bl w:val="nil"/>
            </w:tcBorders>
            <w:noWrap w:val="0"/>
            <w:vAlign w:val="center"/>
          </w:tcPr>
          <w:p w14:paraId="1691FDE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0.015</w:t>
            </w:r>
          </w:p>
        </w:tc>
        <w:tc>
          <w:tcPr>
            <w:tcW w:w="1544" w:type="dxa"/>
            <w:tcBorders>
              <w:tl2br w:val="nil"/>
              <w:tr2bl w:val="nil"/>
            </w:tcBorders>
            <w:noWrap w:val="0"/>
            <w:vAlign w:val="center"/>
          </w:tcPr>
          <w:p w14:paraId="394A895E">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5.475</w:t>
            </w:r>
          </w:p>
        </w:tc>
      </w:tr>
      <w:tr w14:paraId="53133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72499121">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212" w:type="dxa"/>
            <w:vMerge w:val="continue"/>
            <w:tcBorders>
              <w:tl2br w:val="nil"/>
              <w:tr2bl w:val="nil"/>
            </w:tcBorders>
            <w:noWrap w:val="0"/>
            <w:vAlign w:val="center"/>
          </w:tcPr>
          <w:p w14:paraId="6A7A847C">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203E2052">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2100" w:type="dxa"/>
            <w:tcBorders>
              <w:tl2br w:val="nil"/>
              <w:tr2bl w:val="nil"/>
            </w:tcBorders>
            <w:noWrap w:val="0"/>
            <w:vAlign w:val="center"/>
          </w:tcPr>
          <w:p w14:paraId="2E8F9E1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2263" w:type="dxa"/>
            <w:tcBorders>
              <w:tl2br w:val="nil"/>
              <w:tr2bl w:val="nil"/>
            </w:tcBorders>
            <w:noWrap w:val="0"/>
            <w:vAlign w:val="center"/>
          </w:tcPr>
          <w:p w14:paraId="57469E9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0.0015</w:t>
            </w:r>
          </w:p>
        </w:tc>
        <w:tc>
          <w:tcPr>
            <w:tcW w:w="1544" w:type="dxa"/>
            <w:tcBorders>
              <w:tl2br w:val="nil"/>
              <w:tr2bl w:val="nil"/>
            </w:tcBorders>
            <w:noWrap w:val="0"/>
            <w:vAlign w:val="center"/>
          </w:tcPr>
          <w:p w14:paraId="02D448DA">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0.5475</w:t>
            </w:r>
          </w:p>
        </w:tc>
      </w:tr>
      <w:tr w14:paraId="3AC8B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48443D23">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1212" w:type="dxa"/>
            <w:vMerge w:val="continue"/>
            <w:tcBorders>
              <w:tl2br w:val="nil"/>
              <w:tr2bl w:val="nil"/>
            </w:tcBorders>
            <w:noWrap w:val="0"/>
            <w:vAlign w:val="center"/>
          </w:tcPr>
          <w:p w14:paraId="191A705D">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957DB9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石油类</w:t>
            </w:r>
          </w:p>
        </w:tc>
        <w:tc>
          <w:tcPr>
            <w:tcW w:w="2100" w:type="dxa"/>
            <w:tcBorders>
              <w:tl2br w:val="nil"/>
              <w:tr2bl w:val="nil"/>
            </w:tcBorders>
            <w:noWrap w:val="0"/>
            <w:vAlign w:val="center"/>
          </w:tcPr>
          <w:p w14:paraId="757EBBA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2263" w:type="dxa"/>
            <w:tcBorders>
              <w:tl2br w:val="nil"/>
              <w:tr2bl w:val="nil"/>
            </w:tcBorders>
            <w:noWrap w:val="0"/>
            <w:vAlign w:val="center"/>
          </w:tcPr>
          <w:p w14:paraId="10452CD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w:t>
            </w:r>
          </w:p>
        </w:tc>
        <w:tc>
          <w:tcPr>
            <w:tcW w:w="1544" w:type="dxa"/>
            <w:tcBorders>
              <w:tl2br w:val="nil"/>
              <w:tr2bl w:val="nil"/>
            </w:tcBorders>
            <w:noWrap w:val="0"/>
            <w:vAlign w:val="center"/>
          </w:tcPr>
          <w:p w14:paraId="01B70C1D">
            <w:pPr>
              <w:pageBreakBefore w:val="0"/>
              <w:widowControl/>
              <w:wordWrap/>
              <w:bidi w:val="0"/>
              <w:adjustRightInd/>
              <w:snapToGrid/>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1.095</w:t>
            </w:r>
          </w:p>
        </w:tc>
      </w:tr>
      <w:tr w14:paraId="2D0EF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510B37A4">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c>
          <w:tcPr>
            <w:tcW w:w="1212" w:type="dxa"/>
            <w:vMerge w:val="continue"/>
            <w:tcBorders>
              <w:tl2br w:val="nil"/>
              <w:tr2bl w:val="nil"/>
            </w:tcBorders>
            <w:noWrap w:val="0"/>
            <w:vAlign w:val="center"/>
          </w:tcPr>
          <w:p w14:paraId="50148F97">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0FE573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2100" w:type="dxa"/>
            <w:tcBorders>
              <w:tl2br w:val="nil"/>
              <w:tr2bl w:val="nil"/>
            </w:tcBorders>
            <w:noWrap w:val="0"/>
            <w:vAlign w:val="center"/>
          </w:tcPr>
          <w:p w14:paraId="4370CB0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2263" w:type="dxa"/>
            <w:tcBorders>
              <w:tl2br w:val="nil"/>
              <w:tr2bl w:val="nil"/>
            </w:tcBorders>
            <w:noWrap w:val="0"/>
            <w:vAlign w:val="center"/>
          </w:tcPr>
          <w:p w14:paraId="30E0665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w:t>
            </w:r>
          </w:p>
        </w:tc>
        <w:tc>
          <w:tcPr>
            <w:tcW w:w="1544" w:type="dxa"/>
            <w:tcBorders>
              <w:tl2br w:val="nil"/>
              <w:tr2bl w:val="nil"/>
            </w:tcBorders>
            <w:noWrap w:val="0"/>
            <w:vAlign w:val="center"/>
          </w:tcPr>
          <w:p w14:paraId="5267B1D8">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1.095</w:t>
            </w:r>
          </w:p>
        </w:tc>
      </w:tr>
      <w:tr w14:paraId="5EC3B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restart"/>
            <w:tcBorders>
              <w:tl2br w:val="nil"/>
              <w:tr2bl w:val="nil"/>
            </w:tcBorders>
            <w:noWrap w:val="0"/>
            <w:vAlign w:val="center"/>
          </w:tcPr>
          <w:p w14:paraId="7A545A03">
            <w:pPr>
              <w:pageBreakBefore w:val="0"/>
              <w:wordWrap/>
              <w:bidi w:val="0"/>
              <w:adjustRightInd/>
              <w:snapToGrid/>
              <w:spacing w:line="240" w:lineRule="auto"/>
              <w:ind w:firstLine="0" w:firstLineChars="0"/>
              <w:jc w:val="center"/>
              <w:rPr>
                <w:color w:val="auto"/>
                <w:sz w:val="21"/>
                <w:szCs w:val="21"/>
              </w:rPr>
            </w:pPr>
            <w:r>
              <w:rPr>
                <w:color w:val="auto"/>
                <w:sz w:val="21"/>
                <w:szCs w:val="21"/>
              </w:rPr>
              <w:t>全厂排放口合计</w:t>
            </w:r>
          </w:p>
        </w:tc>
        <w:tc>
          <w:tcPr>
            <w:tcW w:w="1275" w:type="dxa"/>
            <w:tcBorders>
              <w:tl2br w:val="nil"/>
              <w:tr2bl w:val="nil"/>
            </w:tcBorders>
            <w:noWrap w:val="0"/>
            <w:vAlign w:val="center"/>
          </w:tcPr>
          <w:p w14:paraId="23F3BB73">
            <w:pPr>
              <w:pageBreakBefore w:val="0"/>
              <w:wordWrap/>
              <w:bidi w:val="0"/>
              <w:adjustRightInd/>
              <w:snapToGrid/>
              <w:spacing w:line="240" w:lineRule="auto"/>
              <w:ind w:firstLine="0" w:firstLineChars="0"/>
              <w:jc w:val="center"/>
              <w:rPr>
                <w:color w:val="auto"/>
                <w:sz w:val="21"/>
                <w:szCs w:val="21"/>
              </w:rPr>
            </w:pPr>
            <w:r>
              <w:rPr>
                <w:color w:val="auto"/>
                <w:sz w:val="21"/>
                <w:szCs w:val="21"/>
              </w:rPr>
              <w:t>COD</w:t>
            </w:r>
            <w:r>
              <w:rPr>
                <w:color w:val="auto"/>
                <w:sz w:val="21"/>
                <w:szCs w:val="21"/>
                <w:vertAlign w:val="subscript"/>
              </w:rPr>
              <w:t>Cr</w:t>
            </w:r>
          </w:p>
        </w:tc>
        <w:tc>
          <w:tcPr>
            <w:tcW w:w="5907" w:type="dxa"/>
            <w:gridSpan w:val="3"/>
            <w:tcBorders>
              <w:tl2br w:val="nil"/>
              <w:tr2bl w:val="nil"/>
            </w:tcBorders>
            <w:noWrap w:val="0"/>
            <w:vAlign w:val="center"/>
          </w:tcPr>
          <w:p w14:paraId="12F1907B">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54.75</w:t>
            </w:r>
          </w:p>
        </w:tc>
      </w:tr>
      <w:tr w14:paraId="45BCA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4AA4BC97">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0769851">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5907" w:type="dxa"/>
            <w:gridSpan w:val="3"/>
            <w:tcBorders>
              <w:tl2br w:val="nil"/>
              <w:tr2bl w:val="nil"/>
            </w:tcBorders>
            <w:noWrap w:val="0"/>
            <w:vAlign w:val="center"/>
          </w:tcPr>
          <w:p w14:paraId="40B42BB3">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5.475</w:t>
            </w:r>
          </w:p>
        </w:tc>
      </w:tr>
      <w:tr w14:paraId="0DAB6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2C4D9728">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69C87390">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5907" w:type="dxa"/>
            <w:gridSpan w:val="3"/>
            <w:tcBorders>
              <w:tl2br w:val="nil"/>
              <w:tr2bl w:val="nil"/>
            </w:tcBorders>
            <w:noWrap w:val="0"/>
            <w:vAlign w:val="center"/>
          </w:tcPr>
          <w:p w14:paraId="1891BF75">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0.5475</w:t>
            </w:r>
          </w:p>
        </w:tc>
      </w:tr>
      <w:tr w14:paraId="1F238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3AD9F368">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2104E1FF">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石油类</w:t>
            </w:r>
          </w:p>
        </w:tc>
        <w:tc>
          <w:tcPr>
            <w:tcW w:w="5907" w:type="dxa"/>
            <w:gridSpan w:val="3"/>
            <w:tcBorders>
              <w:tl2br w:val="nil"/>
              <w:tr2bl w:val="nil"/>
            </w:tcBorders>
            <w:noWrap w:val="0"/>
            <w:vAlign w:val="center"/>
          </w:tcPr>
          <w:p w14:paraId="5E98CD2F">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rFonts w:hint="eastAsia"/>
                <w:color w:val="auto"/>
                <w:kern w:val="0"/>
                <w:sz w:val="21"/>
                <w:szCs w:val="21"/>
                <w:lang w:val="en-US" w:eastAsia="zh-CN" w:bidi="ar"/>
              </w:rPr>
              <w:t>1.095</w:t>
            </w:r>
          </w:p>
        </w:tc>
      </w:tr>
      <w:tr w14:paraId="4EB25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468F8DE2">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63598EC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5907" w:type="dxa"/>
            <w:gridSpan w:val="3"/>
            <w:tcBorders>
              <w:tl2br w:val="nil"/>
              <w:tr2bl w:val="nil"/>
            </w:tcBorders>
            <w:noWrap w:val="0"/>
            <w:vAlign w:val="center"/>
          </w:tcPr>
          <w:p w14:paraId="028A7547">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1.095</w:t>
            </w:r>
          </w:p>
        </w:tc>
      </w:tr>
    </w:tbl>
    <w:p w14:paraId="713712A8">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 xml:space="preserve"> </w:t>
      </w:r>
      <w:r>
        <w:rPr>
          <w:color w:val="auto"/>
        </w:rPr>
        <w:t>⑤建设项目地表水环境影响评价自查表</w:t>
      </w:r>
    </w:p>
    <w:p w14:paraId="1214ECEF">
      <w:pPr>
        <w:bidi w:val="0"/>
        <w:rPr>
          <w:color w:val="auto"/>
        </w:rPr>
      </w:pPr>
      <w:r>
        <w:rPr>
          <w:color w:val="auto"/>
        </w:rPr>
        <w:t>建设项目地表水环境影响评价自查表详见</w:t>
      </w:r>
      <w:r>
        <w:rPr>
          <w:rFonts w:hint="eastAsia"/>
          <w:color w:val="auto"/>
          <w:lang w:val="en-US" w:eastAsia="zh-CN"/>
        </w:rPr>
        <w:t>下表</w:t>
      </w:r>
      <w:r>
        <w:rPr>
          <w:color w:val="auto"/>
        </w:rPr>
        <w:t>。</w:t>
      </w:r>
    </w:p>
    <w:p w14:paraId="4D335A67">
      <w:pPr>
        <w:pStyle w:val="15"/>
        <w:numPr>
          <w:ilvl w:val="0"/>
          <w:numId w:val="31"/>
        </w:numPr>
        <w:bidi w:val="0"/>
        <w:ind w:left="0" w:leftChars="0" w:firstLine="0" w:firstLineChars="0"/>
        <w:rPr>
          <w:color w:val="auto"/>
        </w:rPr>
      </w:pPr>
      <w:r>
        <w:rPr>
          <w:rFonts w:hint="default" w:ascii="Times New Roman" w:hAnsi="Times New Roman" w:cs="Times New Roman"/>
          <w:b/>
          <w:color w:val="auto"/>
          <w:szCs w:val="21"/>
        </w:rPr>
        <w:t>建设项目地表水环境影响评价自查表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13"/>
        <w:gridCol w:w="926"/>
        <w:gridCol w:w="1134"/>
        <w:gridCol w:w="449"/>
        <w:gridCol w:w="360"/>
        <w:gridCol w:w="477"/>
        <w:gridCol w:w="1126"/>
        <w:gridCol w:w="544"/>
        <w:gridCol w:w="90"/>
        <w:gridCol w:w="1575"/>
        <w:gridCol w:w="605"/>
        <w:gridCol w:w="144"/>
        <w:gridCol w:w="1043"/>
      </w:tblGrid>
      <w:tr w14:paraId="13B99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705" w:type="pct"/>
            <w:gridSpan w:val="2"/>
            <w:tcBorders>
              <w:tl2br w:val="nil"/>
              <w:tr2bl w:val="nil"/>
            </w:tcBorders>
            <w:noWrap/>
            <w:vAlign w:val="center"/>
          </w:tcPr>
          <w:p w14:paraId="69F7494D">
            <w:pPr>
              <w:pStyle w:val="12"/>
              <w:bidi w:val="0"/>
              <w:rPr>
                <w:rFonts w:hint="default"/>
                <w:color w:val="auto"/>
              </w:rPr>
            </w:pPr>
            <w:r>
              <w:rPr>
                <w:rFonts w:hint="default"/>
                <w:color w:val="auto"/>
              </w:rPr>
              <w:t>工作内容</w:t>
            </w:r>
          </w:p>
        </w:tc>
        <w:tc>
          <w:tcPr>
            <w:tcW w:w="4294" w:type="pct"/>
            <w:gridSpan w:val="11"/>
            <w:tcBorders>
              <w:tl2br w:val="nil"/>
              <w:tr2bl w:val="nil"/>
            </w:tcBorders>
            <w:noWrap/>
            <w:vAlign w:val="center"/>
          </w:tcPr>
          <w:p w14:paraId="6AA939E4">
            <w:pPr>
              <w:pStyle w:val="12"/>
              <w:bidi w:val="0"/>
              <w:rPr>
                <w:rFonts w:hint="default"/>
                <w:color w:val="auto"/>
              </w:rPr>
            </w:pPr>
            <w:r>
              <w:rPr>
                <w:rFonts w:hint="default"/>
                <w:color w:val="auto"/>
              </w:rPr>
              <w:t>自查项目</w:t>
            </w:r>
          </w:p>
        </w:tc>
      </w:tr>
      <w:tr w14:paraId="747A3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0F13EA1F">
            <w:pPr>
              <w:pStyle w:val="12"/>
              <w:bidi w:val="0"/>
              <w:rPr>
                <w:rFonts w:hint="default"/>
                <w:color w:val="auto"/>
              </w:rPr>
            </w:pPr>
            <w:r>
              <w:rPr>
                <w:rFonts w:hint="default"/>
                <w:color w:val="auto"/>
              </w:rPr>
              <w:t>影响识别</w:t>
            </w:r>
          </w:p>
        </w:tc>
        <w:tc>
          <w:tcPr>
            <w:tcW w:w="526" w:type="pct"/>
            <w:tcBorders>
              <w:tl2br w:val="nil"/>
              <w:tr2bl w:val="nil"/>
            </w:tcBorders>
            <w:noWrap w:val="0"/>
            <w:vAlign w:val="center"/>
          </w:tcPr>
          <w:p w14:paraId="79C15075">
            <w:pPr>
              <w:pStyle w:val="12"/>
              <w:bidi w:val="0"/>
              <w:rPr>
                <w:rFonts w:hint="default"/>
                <w:color w:val="auto"/>
              </w:rPr>
            </w:pPr>
            <w:r>
              <w:rPr>
                <w:rFonts w:hint="default"/>
                <w:color w:val="auto"/>
              </w:rPr>
              <w:t>影响类型</w:t>
            </w:r>
          </w:p>
        </w:tc>
        <w:tc>
          <w:tcPr>
            <w:tcW w:w="4294" w:type="pct"/>
            <w:gridSpan w:val="11"/>
            <w:tcBorders>
              <w:tl2br w:val="nil"/>
              <w:tr2bl w:val="nil"/>
            </w:tcBorders>
            <w:noWrap/>
            <w:vAlign w:val="center"/>
          </w:tcPr>
          <w:p w14:paraId="2144E1CA">
            <w:pPr>
              <w:pStyle w:val="12"/>
              <w:bidi w:val="0"/>
              <w:rPr>
                <w:rFonts w:hint="default"/>
                <w:color w:val="auto"/>
              </w:rPr>
            </w:pPr>
            <w:r>
              <w:rPr>
                <w:rFonts w:hint="default"/>
                <w:color w:val="auto"/>
              </w:rPr>
              <w:t xml:space="preserve">水污染影响型 </w:t>
            </w:r>
            <w:r>
              <w:rPr>
                <w:rFonts w:hint="default"/>
                <w:color w:val="auto"/>
              </w:rPr>
              <w:sym w:font="Wingdings 2" w:char="F052"/>
            </w:r>
            <w:r>
              <w:rPr>
                <w:rFonts w:hint="default"/>
                <w:color w:val="auto"/>
              </w:rPr>
              <w:t>；水文要素影响型 □</w:t>
            </w:r>
          </w:p>
        </w:tc>
      </w:tr>
      <w:tr w14:paraId="14757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42540F9D">
            <w:pPr>
              <w:pStyle w:val="12"/>
              <w:bidi w:val="0"/>
              <w:rPr>
                <w:rFonts w:hint="default"/>
                <w:color w:val="auto"/>
              </w:rPr>
            </w:pPr>
          </w:p>
        </w:tc>
        <w:tc>
          <w:tcPr>
            <w:tcW w:w="526" w:type="pct"/>
            <w:tcBorders>
              <w:tl2br w:val="nil"/>
              <w:tr2bl w:val="nil"/>
            </w:tcBorders>
            <w:noWrap w:val="0"/>
            <w:vAlign w:val="center"/>
          </w:tcPr>
          <w:p w14:paraId="25F7CF66">
            <w:pPr>
              <w:pStyle w:val="12"/>
              <w:bidi w:val="0"/>
              <w:rPr>
                <w:rFonts w:hint="default"/>
                <w:color w:val="auto"/>
              </w:rPr>
            </w:pPr>
            <w:r>
              <w:rPr>
                <w:rFonts w:hint="default"/>
                <w:color w:val="auto"/>
              </w:rPr>
              <w:t>水环境保护目标</w:t>
            </w:r>
          </w:p>
        </w:tc>
        <w:tc>
          <w:tcPr>
            <w:tcW w:w="4294" w:type="pct"/>
            <w:gridSpan w:val="11"/>
            <w:tcBorders>
              <w:tl2br w:val="nil"/>
              <w:tr2bl w:val="nil"/>
            </w:tcBorders>
            <w:noWrap w:val="0"/>
            <w:vAlign w:val="center"/>
          </w:tcPr>
          <w:p w14:paraId="08733F71">
            <w:pPr>
              <w:pStyle w:val="12"/>
              <w:bidi w:val="0"/>
              <w:jc w:val="left"/>
              <w:rPr>
                <w:rFonts w:hint="default"/>
                <w:color w:val="auto"/>
              </w:rPr>
            </w:pPr>
            <w:r>
              <w:rPr>
                <w:rFonts w:hint="default"/>
                <w:color w:val="auto"/>
              </w:rPr>
              <w:t xml:space="preserve">饮用水水源保护区 </w:t>
            </w:r>
            <w:r>
              <w:rPr>
                <w:rFonts w:hint="default"/>
                <w:color w:val="auto"/>
              </w:rPr>
              <w:sym w:font="Wingdings 2" w:char="00A3"/>
            </w:r>
            <w:r>
              <w:rPr>
                <w:rFonts w:hint="default"/>
                <w:color w:val="auto"/>
              </w:rPr>
              <w:t>；饮用水取水口 □；涉水的自然保护区 □；重要湿地 □；</w:t>
            </w:r>
            <w:r>
              <w:rPr>
                <w:rFonts w:hint="default"/>
                <w:color w:val="auto"/>
              </w:rPr>
              <w:br w:type="textWrapping"/>
            </w:r>
            <w:r>
              <w:rPr>
                <w:rFonts w:hint="default"/>
                <w:color w:val="auto"/>
              </w:rPr>
              <w:t>重点保护与珍稀水生生物的栖息地 □；</w:t>
            </w:r>
          </w:p>
          <w:p w14:paraId="7C873605">
            <w:pPr>
              <w:pStyle w:val="12"/>
              <w:bidi w:val="0"/>
              <w:jc w:val="left"/>
              <w:rPr>
                <w:rFonts w:hint="default"/>
                <w:color w:val="auto"/>
              </w:rPr>
            </w:pPr>
            <w:r>
              <w:rPr>
                <w:rFonts w:hint="default"/>
                <w:color w:val="auto"/>
              </w:rPr>
              <w:t>重要水生生物的自然产卵场及索饵场、越冬场和洄游通道、天然渔场等渔业水体 □；</w:t>
            </w:r>
          </w:p>
          <w:p w14:paraId="75147025">
            <w:pPr>
              <w:pStyle w:val="12"/>
              <w:bidi w:val="0"/>
              <w:jc w:val="left"/>
              <w:rPr>
                <w:rFonts w:hint="default"/>
                <w:color w:val="auto"/>
              </w:rPr>
            </w:pPr>
            <w:r>
              <w:rPr>
                <w:rFonts w:hint="default"/>
                <w:color w:val="auto"/>
              </w:rPr>
              <w:t>涉水的风景名胜区 □；其他 □</w:t>
            </w:r>
          </w:p>
        </w:tc>
      </w:tr>
      <w:tr w14:paraId="10E4E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3B23E83">
            <w:pPr>
              <w:pStyle w:val="12"/>
              <w:bidi w:val="0"/>
              <w:rPr>
                <w:rFonts w:hint="default"/>
                <w:color w:val="auto"/>
              </w:rPr>
            </w:pPr>
          </w:p>
        </w:tc>
        <w:tc>
          <w:tcPr>
            <w:tcW w:w="526" w:type="pct"/>
            <w:vMerge w:val="restart"/>
            <w:tcBorders>
              <w:tl2br w:val="nil"/>
              <w:tr2bl w:val="nil"/>
            </w:tcBorders>
            <w:noWrap w:val="0"/>
            <w:vAlign w:val="center"/>
          </w:tcPr>
          <w:p w14:paraId="37CA7632">
            <w:pPr>
              <w:pStyle w:val="12"/>
              <w:bidi w:val="0"/>
              <w:rPr>
                <w:rFonts w:hint="default"/>
                <w:color w:val="auto"/>
              </w:rPr>
            </w:pPr>
            <w:r>
              <w:rPr>
                <w:rFonts w:hint="default"/>
                <w:color w:val="auto"/>
              </w:rPr>
              <w:t>影响途径</w:t>
            </w:r>
          </w:p>
        </w:tc>
        <w:tc>
          <w:tcPr>
            <w:tcW w:w="2017" w:type="pct"/>
            <w:gridSpan w:val="5"/>
            <w:tcBorders>
              <w:tl2br w:val="nil"/>
              <w:tr2bl w:val="nil"/>
            </w:tcBorders>
            <w:noWrap w:val="0"/>
            <w:vAlign w:val="center"/>
          </w:tcPr>
          <w:p w14:paraId="195ED92E">
            <w:pPr>
              <w:pStyle w:val="12"/>
              <w:bidi w:val="0"/>
              <w:rPr>
                <w:rFonts w:hint="default"/>
                <w:color w:val="auto"/>
              </w:rPr>
            </w:pPr>
            <w:r>
              <w:rPr>
                <w:rFonts w:hint="default"/>
                <w:color w:val="auto"/>
              </w:rPr>
              <w:t>水污染影响型</w:t>
            </w:r>
          </w:p>
        </w:tc>
        <w:tc>
          <w:tcPr>
            <w:tcW w:w="2276" w:type="pct"/>
            <w:gridSpan w:val="6"/>
            <w:tcBorders>
              <w:tl2br w:val="nil"/>
              <w:tr2bl w:val="nil"/>
            </w:tcBorders>
            <w:noWrap w:val="0"/>
            <w:vAlign w:val="center"/>
          </w:tcPr>
          <w:p w14:paraId="4509B1B3">
            <w:pPr>
              <w:pStyle w:val="12"/>
              <w:bidi w:val="0"/>
              <w:rPr>
                <w:rFonts w:hint="default"/>
                <w:color w:val="auto"/>
              </w:rPr>
            </w:pPr>
            <w:r>
              <w:rPr>
                <w:rFonts w:hint="default"/>
                <w:color w:val="auto"/>
              </w:rPr>
              <w:t>水文要素影响型</w:t>
            </w:r>
          </w:p>
        </w:tc>
      </w:tr>
      <w:tr w14:paraId="2AB3E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3E18E8E8">
            <w:pPr>
              <w:pStyle w:val="12"/>
              <w:bidi w:val="0"/>
              <w:rPr>
                <w:rFonts w:hint="default"/>
                <w:color w:val="auto"/>
              </w:rPr>
            </w:pPr>
          </w:p>
        </w:tc>
        <w:tc>
          <w:tcPr>
            <w:tcW w:w="526" w:type="pct"/>
            <w:vMerge w:val="continue"/>
            <w:tcBorders>
              <w:tl2br w:val="nil"/>
              <w:tr2bl w:val="nil"/>
            </w:tcBorders>
            <w:noWrap w:val="0"/>
            <w:vAlign w:val="center"/>
          </w:tcPr>
          <w:p w14:paraId="64C3BD7D">
            <w:pPr>
              <w:pStyle w:val="12"/>
              <w:bidi w:val="0"/>
              <w:rPr>
                <w:rFonts w:hint="default"/>
                <w:color w:val="auto"/>
              </w:rPr>
            </w:pPr>
          </w:p>
        </w:tc>
        <w:tc>
          <w:tcPr>
            <w:tcW w:w="2017" w:type="pct"/>
            <w:gridSpan w:val="5"/>
            <w:tcBorders>
              <w:tl2br w:val="nil"/>
              <w:tr2bl w:val="nil"/>
            </w:tcBorders>
            <w:noWrap w:val="0"/>
            <w:vAlign w:val="center"/>
          </w:tcPr>
          <w:p w14:paraId="60AA4DFA">
            <w:pPr>
              <w:pStyle w:val="12"/>
              <w:bidi w:val="0"/>
              <w:rPr>
                <w:rFonts w:hint="default"/>
                <w:color w:val="auto"/>
              </w:rPr>
            </w:pPr>
            <w:r>
              <w:rPr>
                <w:rFonts w:hint="default"/>
                <w:color w:val="auto"/>
              </w:rPr>
              <w:t xml:space="preserve">直接排放 </w:t>
            </w:r>
            <w:r>
              <w:rPr>
                <w:rFonts w:hint="eastAsia"/>
                <w:color w:val="auto"/>
                <w:lang w:eastAsia="zh-CN"/>
              </w:rPr>
              <w:t>☑</w:t>
            </w:r>
            <w:r>
              <w:rPr>
                <w:rFonts w:hint="default"/>
                <w:color w:val="auto"/>
              </w:rPr>
              <w:t xml:space="preserve">；间接排放 </w:t>
            </w:r>
            <w:r>
              <w:rPr>
                <w:rFonts w:hint="default"/>
                <w:color w:val="auto"/>
              </w:rPr>
              <w:sym w:font="Wingdings 2" w:char="00A3"/>
            </w:r>
            <w:r>
              <w:rPr>
                <w:rFonts w:hint="default"/>
                <w:color w:val="auto"/>
              </w:rPr>
              <w:t xml:space="preserve">；其他 </w:t>
            </w:r>
            <w:r>
              <w:rPr>
                <w:rFonts w:hint="default"/>
                <w:color w:val="auto"/>
              </w:rPr>
              <w:sym w:font="Wingdings 2" w:char="00A3"/>
            </w:r>
          </w:p>
        </w:tc>
        <w:tc>
          <w:tcPr>
            <w:tcW w:w="2276" w:type="pct"/>
            <w:gridSpan w:val="6"/>
            <w:tcBorders>
              <w:tl2br w:val="nil"/>
              <w:tr2bl w:val="nil"/>
            </w:tcBorders>
            <w:noWrap w:val="0"/>
            <w:vAlign w:val="center"/>
          </w:tcPr>
          <w:p w14:paraId="0B1675CD">
            <w:pPr>
              <w:pStyle w:val="12"/>
              <w:bidi w:val="0"/>
              <w:rPr>
                <w:rFonts w:hint="default"/>
                <w:color w:val="auto"/>
              </w:rPr>
            </w:pPr>
            <w:r>
              <w:rPr>
                <w:rFonts w:hint="default"/>
                <w:color w:val="auto"/>
              </w:rPr>
              <w:t>水温 □；径流 □；水域面积 □</w:t>
            </w:r>
          </w:p>
        </w:tc>
      </w:tr>
      <w:tr w14:paraId="3E6F8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0BD72BDA">
            <w:pPr>
              <w:pStyle w:val="12"/>
              <w:bidi w:val="0"/>
              <w:rPr>
                <w:rFonts w:hint="default"/>
                <w:color w:val="auto"/>
              </w:rPr>
            </w:pPr>
          </w:p>
        </w:tc>
        <w:tc>
          <w:tcPr>
            <w:tcW w:w="526" w:type="pct"/>
            <w:tcBorders>
              <w:tl2br w:val="nil"/>
              <w:tr2bl w:val="nil"/>
            </w:tcBorders>
            <w:noWrap w:val="0"/>
            <w:vAlign w:val="center"/>
          </w:tcPr>
          <w:p w14:paraId="04E91CEF">
            <w:pPr>
              <w:pStyle w:val="12"/>
              <w:bidi w:val="0"/>
              <w:rPr>
                <w:rFonts w:hint="default"/>
                <w:color w:val="auto"/>
              </w:rPr>
            </w:pPr>
            <w:r>
              <w:rPr>
                <w:rFonts w:hint="default"/>
                <w:color w:val="auto"/>
              </w:rPr>
              <w:t>影响因子</w:t>
            </w:r>
          </w:p>
        </w:tc>
        <w:tc>
          <w:tcPr>
            <w:tcW w:w="2017" w:type="pct"/>
            <w:gridSpan w:val="5"/>
            <w:tcBorders>
              <w:tl2br w:val="nil"/>
              <w:tr2bl w:val="nil"/>
            </w:tcBorders>
            <w:noWrap w:val="0"/>
            <w:vAlign w:val="center"/>
          </w:tcPr>
          <w:p w14:paraId="1A569915">
            <w:pPr>
              <w:pStyle w:val="12"/>
              <w:bidi w:val="0"/>
              <w:jc w:val="left"/>
              <w:rPr>
                <w:rFonts w:hint="default"/>
                <w:color w:val="auto"/>
              </w:rPr>
            </w:pPr>
            <w:r>
              <w:rPr>
                <w:rFonts w:hint="default"/>
                <w:color w:val="auto"/>
              </w:rPr>
              <w:t xml:space="preserve">持久性污染物 </w:t>
            </w:r>
            <w:r>
              <w:rPr>
                <w:rFonts w:hint="eastAsia"/>
                <w:color w:val="auto"/>
                <w:lang w:eastAsia="zh-CN"/>
              </w:rPr>
              <w:t>☑</w:t>
            </w:r>
            <w:r>
              <w:rPr>
                <w:rFonts w:hint="default"/>
                <w:color w:val="auto"/>
              </w:rPr>
              <w:t xml:space="preserve">；有毒有害污染物 □；非持久性污染物 </w:t>
            </w:r>
            <w:r>
              <w:rPr>
                <w:rFonts w:hint="default"/>
                <w:color w:val="auto"/>
              </w:rPr>
              <w:sym w:font="Wingdings 2" w:char="F052"/>
            </w:r>
            <w:r>
              <w:rPr>
                <w:rFonts w:hint="default"/>
                <w:color w:val="auto"/>
              </w:rPr>
              <w:t>；pH值 □；热污染 □；富营养化 □；其他 □</w:t>
            </w:r>
          </w:p>
        </w:tc>
        <w:tc>
          <w:tcPr>
            <w:tcW w:w="2276" w:type="pct"/>
            <w:gridSpan w:val="6"/>
            <w:tcBorders>
              <w:tl2br w:val="nil"/>
              <w:tr2bl w:val="nil"/>
            </w:tcBorders>
            <w:noWrap w:val="0"/>
            <w:vAlign w:val="center"/>
          </w:tcPr>
          <w:p w14:paraId="1F749BF5">
            <w:pPr>
              <w:pStyle w:val="12"/>
              <w:bidi w:val="0"/>
              <w:jc w:val="left"/>
              <w:rPr>
                <w:rFonts w:hint="default"/>
                <w:color w:val="auto"/>
              </w:rPr>
            </w:pPr>
            <w:r>
              <w:rPr>
                <w:rFonts w:hint="default"/>
                <w:color w:val="auto"/>
              </w:rPr>
              <w:t>水温 □；水位（水深） □；流速 □；流量 □；其他 □</w:t>
            </w:r>
          </w:p>
        </w:tc>
      </w:tr>
      <w:tr w14:paraId="6F69C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05" w:type="pct"/>
            <w:gridSpan w:val="2"/>
            <w:vMerge w:val="restart"/>
            <w:tcBorders>
              <w:tl2br w:val="nil"/>
              <w:tr2bl w:val="nil"/>
            </w:tcBorders>
            <w:noWrap/>
            <w:vAlign w:val="center"/>
          </w:tcPr>
          <w:p w14:paraId="15277C1B">
            <w:pPr>
              <w:pStyle w:val="12"/>
              <w:bidi w:val="0"/>
              <w:rPr>
                <w:rFonts w:hint="default"/>
                <w:color w:val="auto"/>
              </w:rPr>
            </w:pPr>
            <w:r>
              <w:rPr>
                <w:rFonts w:hint="default"/>
                <w:color w:val="auto"/>
              </w:rPr>
              <w:t>评价等级</w:t>
            </w:r>
          </w:p>
        </w:tc>
        <w:tc>
          <w:tcPr>
            <w:tcW w:w="2017" w:type="pct"/>
            <w:gridSpan w:val="5"/>
            <w:tcBorders>
              <w:tl2br w:val="nil"/>
              <w:tr2bl w:val="nil"/>
            </w:tcBorders>
            <w:noWrap/>
            <w:vAlign w:val="center"/>
          </w:tcPr>
          <w:p w14:paraId="3DF6DB79">
            <w:pPr>
              <w:pStyle w:val="12"/>
              <w:bidi w:val="0"/>
              <w:rPr>
                <w:rFonts w:hint="default"/>
                <w:color w:val="auto"/>
              </w:rPr>
            </w:pPr>
            <w:r>
              <w:rPr>
                <w:rFonts w:hint="default"/>
                <w:color w:val="auto"/>
              </w:rPr>
              <w:t>水污染影响型</w:t>
            </w:r>
          </w:p>
        </w:tc>
        <w:tc>
          <w:tcPr>
            <w:tcW w:w="2276" w:type="pct"/>
            <w:gridSpan w:val="6"/>
            <w:tcBorders>
              <w:tl2br w:val="nil"/>
              <w:tr2bl w:val="nil"/>
            </w:tcBorders>
            <w:noWrap w:val="0"/>
            <w:vAlign w:val="center"/>
          </w:tcPr>
          <w:p w14:paraId="336D0F25">
            <w:pPr>
              <w:pStyle w:val="12"/>
              <w:bidi w:val="0"/>
              <w:rPr>
                <w:rFonts w:hint="default"/>
                <w:color w:val="auto"/>
              </w:rPr>
            </w:pPr>
            <w:r>
              <w:rPr>
                <w:rFonts w:hint="default"/>
                <w:color w:val="auto"/>
              </w:rPr>
              <w:t>水文要素影响型</w:t>
            </w:r>
          </w:p>
        </w:tc>
      </w:tr>
      <w:tr w14:paraId="6C2D9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05" w:type="pct"/>
            <w:gridSpan w:val="2"/>
            <w:vMerge w:val="continue"/>
            <w:tcBorders>
              <w:tl2br w:val="nil"/>
              <w:tr2bl w:val="nil"/>
            </w:tcBorders>
            <w:noWrap/>
            <w:vAlign w:val="center"/>
          </w:tcPr>
          <w:p w14:paraId="66A55AC2">
            <w:pPr>
              <w:pStyle w:val="12"/>
              <w:bidi w:val="0"/>
              <w:rPr>
                <w:rFonts w:hint="default"/>
                <w:color w:val="auto"/>
              </w:rPr>
            </w:pPr>
          </w:p>
        </w:tc>
        <w:tc>
          <w:tcPr>
            <w:tcW w:w="2017" w:type="pct"/>
            <w:gridSpan w:val="5"/>
            <w:tcBorders>
              <w:tl2br w:val="nil"/>
              <w:tr2bl w:val="nil"/>
            </w:tcBorders>
            <w:noWrap/>
            <w:vAlign w:val="center"/>
          </w:tcPr>
          <w:p w14:paraId="0F29B981">
            <w:pPr>
              <w:pStyle w:val="12"/>
              <w:bidi w:val="0"/>
              <w:jc w:val="left"/>
              <w:rPr>
                <w:rFonts w:hint="default"/>
                <w:color w:val="auto"/>
              </w:rPr>
            </w:pPr>
            <w:r>
              <w:rPr>
                <w:rFonts w:hint="default"/>
                <w:color w:val="auto"/>
              </w:rPr>
              <w:t xml:space="preserve">一级 □；二级 </w:t>
            </w:r>
            <w:r>
              <w:rPr>
                <w:rFonts w:hint="eastAsia"/>
                <w:color w:val="auto"/>
                <w:lang w:eastAsia="zh-CN"/>
              </w:rPr>
              <w:t>☑</w:t>
            </w:r>
            <w:r>
              <w:rPr>
                <w:rFonts w:hint="default"/>
                <w:color w:val="auto"/>
              </w:rPr>
              <w:t>；三级A □；</w:t>
            </w:r>
          </w:p>
          <w:p w14:paraId="73C9B00D">
            <w:pPr>
              <w:pStyle w:val="12"/>
              <w:bidi w:val="0"/>
              <w:jc w:val="left"/>
              <w:rPr>
                <w:rFonts w:hint="default"/>
                <w:color w:val="auto"/>
              </w:rPr>
            </w:pPr>
            <w:r>
              <w:rPr>
                <w:rFonts w:hint="default"/>
                <w:color w:val="auto"/>
              </w:rPr>
              <w:t xml:space="preserve">三级B </w:t>
            </w:r>
            <w:r>
              <w:rPr>
                <w:rFonts w:hint="default"/>
                <w:color w:val="auto"/>
              </w:rPr>
              <w:sym w:font="Wingdings 2" w:char="00A3"/>
            </w:r>
          </w:p>
        </w:tc>
        <w:tc>
          <w:tcPr>
            <w:tcW w:w="2276" w:type="pct"/>
            <w:gridSpan w:val="6"/>
            <w:tcBorders>
              <w:tl2br w:val="nil"/>
              <w:tr2bl w:val="nil"/>
            </w:tcBorders>
            <w:noWrap w:val="0"/>
            <w:vAlign w:val="center"/>
          </w:tcPr>
          <w:p w14:paraId="21DB760C">
            <w:pPr>
              <w:pStyle w:val="12"/>
              <w:bidi w:val="0"/>
              <w:jc w:val="left"/>
              <w:rPr>
                <w:rFonts w:hint="default"/>
                <w:color w:val="auto"/>
              </w:rPr>
            </w:pPr>
            <w:r>
              <w:rPr>
                <w:rFonts w:hint="default"/>
                <w:color w:val="auto"/>
              </w:rPr>
              <w:t>一级 □；二级 □；三级 □</w:t>
            </w:r>
          </w:p>
        </w:tc>
      </w:tr>
      <w:tr w14:paraId="59FB5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57BD0678">
            <w:pPr>
              <w:pStyle w:val="12"/>
              <w:bidi w:val="0"/>
              <w:rPr>
                <w:rFonts w:hint="default"/>
                <w:color w:val="auto"/>
              </w:rPr>
            </w:pPr>
            <w:r>
              <w:rPr>
                <w:rFonts w:hint="default"/>
                <w:color w:val="auto"/>
              </w:rPr>
              <w:t>现状调查</w:t>
            </w:r>
          </w:p>
        </w:tc>
        <w:tc>
          <w:tcPr>
            <w:tcW w:w="526" w:type="pct"/>
            <w:vMerge w:val="restart"/>
            <w:tcBorders>
              <w:tl2br w:val="nil"/>
              <w:tr2bl w:val="nil"/>
            </w:tcBorders>
            <w:noWrap w:val="0"/>
            <w:vAlign w:val="center"/>
          </w:tcPr>
          <w:p w14:paraId="43A3A897">
            <w:pPr>
              <w:pStyle w:val="12"/>
              <w:bidi w:val="0"/>
              <w:rPr>
                <w:rFonts w:hint="default"/>
                <w:color w:val="auto"/>
              </w:rPr>
            </w:pPr>
            <w:r>
              <w:rPr>
                <w:rFonts w:hint="default"/>
                <w:color w:val="auto"/>
              </w:rPr>
              <w:t>区域污染源</w:t>
            </w:r>
          </w:p>
        </w:tc>
        <w:tc>
          <w:tcPr>
            <w:tcW w:w="2017" w:type="pct"/>
            <w:gridSpan w:val="5"/>
            <w:tcBorders>
              <w:tl2br w:val="nil"/>
              <w:tr2bl w:val="nil"/>
            </w:tcBorders>
            <w:noWrap/>
            <w:vAlign w:val="center"/>
          </w:tcPr>
          <w:p w14:paraId="349B0AFA">
            <w:pPr>
              <w:pStyle w:val="12"/>
              <w:bidi w:val="0"/>
              <w:rPr>
                <w:rFonts w:hint="default"/>
                <w:color w:val="auto"/>
              </w:rPr>
            </w:pPr>
            <w:r>
              <w:rPr>
                <w:rFonts w:hint="default"/>
                <w:color w:val="auto"/>
              </w:rPr>
              <w:t>调查项目</w:t>
            </w:r>
          </w:p>
        </w:tc>
        <w:tc>
          <w:tcPr>
            <w:tcW w:w="2276" w:type="pct"/>
            <w:gridSpan w:val="6"/>
            <w:tcBorders>
              <w:tl2br w:val="nil"/>
              <w:tr2bl w:val="nil"/>
            </w:tcBorders>
            <w:noWrap/>
            <w:vAlign w:val="center"/>
          </w:tcPr>
          <w:p w14:paraId="0181C87B">
            <w:pPr>
              <w:pStyle w:val="12"/>
              <w:bidi w:val="0"/>
              <w:rPr>
                <w:rFonts w:hint="default"/>
                <w:color w:val="auto"/>
              </w:rPr>
            </w:pPr>
            <w:r>
              <w:rPr>
                <w:rFonts w:hint="default"/>
                <w:color w:val="auto"/>
              </w:rPr>
              <w:t>数据来源</w:t>
            </w:r>
          </w:p>
        </w:tc>
      </w:tr>
      <w:tr w14:paraId="39004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5AAA86C6">
            <w:pPr>
              <w:pStyle w:val="12"/>
              <w:bidi w:val="0"/>
              <w:rPr>
                <w:rFonts w:hint="default"/>
                <w:color w:val="auto"/>
              </w:rPr>
            </w:pPr>
          </w:p>
        </w:tc>
        <w:tc>
          <w:tcPr>
            <w:tcW w:w="526" w:type="pct"/>
            <w:vMerge w:val="continue"/>
            <w:tcBorders>
              <w:tl2br w:val="nil"/>
              <w:tr2bl w:val="nil"/>
            </w:tcBorders>
            <w:noWrap w:val="0"/>
            <w:vAlign w:val="center"/>
          </w:tcPr>
          <w:p w14:paraId="580676DA">
            <w:pPr>
              <w:pStyle w:val="12"/>
              <w:bidi w:val="0"/>
              <w:rPr>
                <w:rFonts w:hint="default"/>
                <w:color w:val="auto"/>
              </w:rPr>
            </w:pPr>
          </w:p>
        </w:tc>
        <w:tc>
          <w:tcPr>
            <w:tcW w:w="900" w:type="pct"/>
            <w:gridSpan w:val="2"/>
            <w:tcBorders>
              <w:tl2br w:val="nil"/>
              <w:tr2bl w:val="nil"/>
            </w:tcBorders>
            <w:noWrap w:val="0"/>
            <w:vAlign w:val="center"/>
          </w:tcPr>
          <w:p w14:paraId="538147ED">
            <w:pPr>
              <w:pStyle w:val="12"/>
              <w:bidi w:val="0"/>
              <w:jc w:val="left"/>
              <w:rPr>
                <w:rFonts w:hint="default"/>
                <w:color w:val="auto"/>
              </w:rPr>
            </w:pPr>
            <w:r>
              <w:rPr>
                <w:rFonts w:hint="default"/>
                <w:color w:val="auto"/>
              </w:rPr>
              <w:t>已建□；在建□；拟建□；其他□</w:t>
            </w:r>
          </w:p>
        </w:tc>
        <w:tc>
          <w:tcPr>
            <w:tcW w:w="1117" w:type="pct"/>
            <w:gridSpan w:val="3"/>
            <w:tcBorders>
              <w:tl2br w:val="nil"/>
              <w:tr2bl w:val="nil"/>
            </w:tcBorders>
            <w:noWrap w:val="0"/>
            <w:vAlign w:val="center"/>
          </w:tcPr>
          <w:p w14:paraId="3A775534">
            <w:pPr>
              <w:pStyle w:val="12"/>
              <w:bidi w:val="0"/>
              <w:jc w:val="left"/>
              <w:rPr>
                <w:rFonts w:hint="default"/>
                <w:color w:val="auto"/>
              </w:rPr>
            </w:pPr>
            <w:r>
              <w:rPr>
                <w:rFonts w:hint="default"/>
                <w:color w:val="auto"/>
              </w:rPr>
              <w:t>拟替代的污染源□</w:t>
            </w:r>
          </w:p>
        </w:tc>
        <w:tc>
          <w:tcPr>
            <w:tcW w:w="2276" w:type="pct"/>
            <w:gridSpan w:val="6"/>
            <w:tcBorders>
              <w:tl2br w:val="nil"/>
              <w:tr2bl w:val="nil"/>
            </w:tcBorders>
            <w:noWrap w:val="0"/>
            <w:vAlign w:val="center"/>
          </w:tcPr>
          <w:p w14:paraId="0F8D1EE4">
            <w:pPr>
              <w:pStyle w:val="12"/>
              <w:bidi w:val="0"/>
              <w:jc w:val="left"/>
              <w:rPr>
                <w:rFonts w:hint="default"/>
                <w:color w:val="auto"/>
              </w:rPr>
            </w:pPr>
            <w:r>
              <w:rPr>
                <w:rFonts w:hint="default"/>
                <w:color w:val="auto"/>
              </w:rPr>
              <w:t>排污许可证□；环评□；环保验收□；</w:t>
            </w:r>
          </w:p>
          <w:p w14:paraId="4F1B8F87">
            <w:pPr>
              <w:pStyle w:val="12"/>
              <w:bidi w:val="0"/>
              <w:jc w:val="left"/>
              <w:rPr>
                <w:rFonts w:hint="default"/>
                <w:color w:val="auto"/>
              </w:rPr>
            </w:pPr>
            <w:r>
              <w:rPr>
                <w:rFonts w:hint="default"/>
                <w:color w:val="auto"/>
              </w:rPr>
              <w:t>既有实测□；现场监测□；入河排放口数据□；其他□</w:t>
            </w:r>
          </w:p>
        </w:tc>
      </w:tr>
      <w:tr w14:paraId="22DB7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2C797CF0">
            <w:pPr>
              <w:pStyle w:val="12"/>
              <w:bidi w:val="0"/>
              <w:rPr>
                <w:rFonts w:hint="default"/>
                <w:color w:val="auto"/>
              </w:rPr>
            </w:pPr>
          </w:p>
        </w:tc>
        <w:tc>
          <w:tcPr>
            <w:tcW w:w="526" w:type="pct"/>
            <w:vMerge w:val="restart"/>
            <w:tcBorders>
              <w:tl2br w:val="nil"/>
              <w:tr2bl w:val="nil"/>
            </w:tcBorders>
            <w:noWrap w:val="0"/>
            <w:vAlign w:val="center"/>
          </w:tcPr>
          <w:p w14:paraId="6C36311C">
            <w:pPr>
              <w:pStyle w:val="12"/>
              <w:bidi w:val="0"/>
              <w:rPr>
                <w:rFonts w:hint="default"/>
                <w:color w:val="auto"/>
              </w:rPr>
            </w:pPr>
            <w:r>
              <w:rPr>
                <w:rFonts w:hint="default"/>
                <w:color w:val="auto"/>
              </w:rPr>
              <w:t>受影响水体水环境质量　</w:t>
            </w:r>
          </w:p>
        </w:tc>
        <w:tc>
          <w:tcPr>
            <w:tcW w:w="2017" w:type="pct"/>
            <w:gridSpan w:val="5"/>
            <w:tcBorders>
              <w:tl2br w:val="nil"/>
              <w:tr2bl w:val="nil"/>
            </w:tcBorders>
            <w:noWrap/>
            <w:vAlign w:val="center"/>
          </w:tcPr>
          <w:p w14:paraId="154E03AC">
            <w:pPr>
              <w:pStyle w:val="12"/>
              <w:bidi w:val="0"/>
              <w:rPr>
                <w:rFonts w:hint="default"/>
                <w:color w:val="auto"/>
              </w:rPr>
            </w:pPr>
            <w:r>
              <w:rPr>
                <w:rFonts w:hint="default"/>
                <w:color w:val="auto"/>
              </w:rPr>
              <w:t>调查时期</w:t>
            </w:r>
          </w:p>
        </w:tc>
        <w:tc>
          <w:tcPr>
            <w:tcW w:w="2276" w:type="pct"/>
            <w:gridSpan w:val="6"/>
            <w:tcBorders>
              <w:tl2br w:val="nil"/>
              <w:tr2bl w:val="nil"/>
            </w:tcBorders>
            <w:noWrap/>
            <w:vAlign w:val="center"/>
          </w:tcPr>
          <w:p w14:paraId="27955A84">
            <w:pPr>
              <w:pStyle w:val="12"/>
              <w:bidi w:val="0"/>
              <w:rPr>
                <w:rFonts w:hint="default"/>
                <w:color w:val="auto"/>
              </w:rPr>
            </w:pPr>
            <w:r>
              <w:rPr>
                <w:rFonts w:hint="default"/>
                <w:color w:val="auto"/>
              </w:rPr>
              <w:t>数据来源</w:t>
            </w:r>
          </w:p>
        </w:tc>
      </w:tr>
      <w:tr w14:paraId="2D7E2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38E1FC6F">
            <w:pPr>
              <w:pStyle w:val="12"/>
              <w:bidi w:val="0"/>
              <w:rPr>
                <w:rFonts w:hint="default"/>
                <w:color w:val="auto"/>
              </w:rPr>
            </w:pPr>
          </w:p>
        </w:tc>
        <w:tc>
          <w:tcPr>
            <w:tcW w:w="526" w:type="pct"/>
            <w:vMerge w:val="continue"/>
            <w:tcBorders>
              <w:tl2br w:val="nil"/>
              <w:tr2bl w:val="nil"/>
            </w:tcBorders>
            <w:noWrap w:val="0"/>
            <w:vAlign w:val="center"/>
          </w:tcPr>
          <w:p w14:paraId="1BC874B1">
            <w:pPr>
              <w:pStyle w:val="12"/>
              <w:bidi w:val="0"/>
              <w:rPr>
                <w:rFonts w:hint="default"/>
                <w:color w:val="auto"/>
              </w:rPr>
            </w:pPr>
          </w:p>
        </w:tc>
        <w:tc>
          <w:tcPr>
            <w:tcW w:w="2017" w:type="pct"/>
            <w:gridSpan w:val="5"/>
            <w:tcBorders>
              <w:tl2br w:val="nil"/>
              <w:tr2bl w:val="nil"/>
            </w:tcBorders>
            <w:noWrap w:val="0"/>
            <w:vAlign w:val="center"/>
          </w:tcPr>
          <w:p w14:paraId="0C9235AA">
            <w:pPr>
              <w:pStyle w:val="12"/>
              <w:bidi w:val="0"/>
              <w:jc w:val="left"/>
              <w:rPr>
                <w:rFonts w:hint="default"/>
                <w:color w:val="auto"/>
              </w:rPr>
            </w:pPr>
            <w:r>
              <w:rPr>
                <w:rFonts w:hint="default"/>
                <w:color w:val="auto"/>
              </w:rPr>
              <w:t>丰水期</w:t>
            </w:r>
            <w:r>
              <w:rPr>
                <w:rFonts w:hint="eastAsia"/>
                <w:color w:val="auto"/>
                <w:lang w:eastAsia="zh-CN"/>
              </w:rPr>
              <w:t>□</w:t>
            </w:r>
            <w:r>
              <w:rPr>
                <w:rFonts w:hint="default"/>
                <w:color w:val="auto"/>
              </w:rPr>
              <w:t>；平水期□；</w:t>
            </w:r>
          </w:p>
          <w:p w14:paraId="31DD267E">
            <w:pPr>
              <w:pStyle w:val="12"/>
              <w:bidi w:val="0"/>
              <w:jc w:val="left"/>
              <w:rPr>
                <w:rFonts w:hint="default"/>
                <w:color w:val="auto"/>
              </w:rPr>
            </w:pPr>
            <w:r>
              <w:rPr>
                <w:rFonts w:hint="default"/>
                <w:color w:val="auto"/>
              </w:rPr>
              <w:t>枯水期</w:t>
            </w:r>
            <w:r>
              <w:rPr>
                <w:rFonts w:hint="eastAsia"/>
                <w:color w:val="auto"/>
                <w:lang w:eastAsia="zh-CN"/>
              </w:rPr>
              <w:t>□</w:t>
            </w:r>
            <w:r>
              <w:rPr>
                <w:rFonts w:hint="default"/>
                <w:color w:val="auto"/>
              </w:rPr>
              <w:t>；冰封期□</w:t>
            </w:r>
            <w:r>
              <w:rPr>
                <w:rFonts w:hint="default"/>
                <w:color w:val="auto"/>
              </w:rPr>
              <w:br w:type="textWrapping"/>
            </w:r>
            <w:r>
              <w:rPr>
                <w:rFonts w:hint="default"/>
                <w:color w:val="auto"/>
              </w:rPr>
              <w:t>春季□；夏季□；秋季□；冬季□</w:t>
            </w:r>
          </w:p>
        </w:tc>
        <w:tc>
          <w:tcPr>
            <w:tcW w:w="2276" w:type="pct"/>
            <w:gridSpan w:val="6"/>
            <w:tcBorders>
              <w:tl2br w:val="nil"/>
              <w:tr2bl w:val="nil"/>
            </w:tcBorders>
            <w:noWrap/>
            <w:vAlign w:val="center"/>
          </w:tcPr>
          <w:p w14:paraId="4C941564">
            <w:pPr>
              <w:pStyle w:val="12"/>
              <w:bidi w:val="0"/>
              <w:jc w:val="left"/>
              <w:rPr>
                <w:rFonts w:hint="default"/>
                <w:color w:val="auto"/>
              </w:rPr>
            </w:pPr>
            <w:r>
              <w:rPr>
                <w:rFonts w:hint="default"/>
                <w:color w:val="auto"/>
              </w:rPr>
              <w:t>生态环境保护主管部门□；补充监测□；其他</w:t>
            </w:r>
            <w:r>
              <w:rPr>
                <w:rFonts w:hint="default"/>
                <w:color w:val="auto"/>
              </w:rPr>
              <w:sym w:font="Wingdings 2" w:char="F052"/>
            </w:r>
          </w:p>
        </w:tc>
      </w:tr>
      <w:tr w14:paraId="50E86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2DD3B202">
            <w:pPr>
              <w:pStyle w:val="12"/>
              <w:bidi w:val="0"/>
              <w:rPr>
                <w:rFonts w:hint="default"/>
                <w:color w:val="auto"/>
              </w:rPr>
            </w:pPr>
          </w:p>
        </w:tc>
        <w:tc>
          <w:tcPr>
            <w:tcW w:w="526" w:type="pct"/>
            <w:tcBorders>
              <w:tl2br w:val="nil"/>
              <w:tr2bl w:val="nil"/>
            </w:tcBorders>
            <w:noWrap w:val="0"/>
            <w:vAlign w:val="center"/>
          </w:tcPr>
          <w:p w14:paraId="68CCA99E">
            <w:pPr>
              <w:pStyle w:val="12"/>
              <w:bidi w:val="0"/>
              <w:rPr>
                <w:rFonts w:hint="default"/>
                <w:color w:val="auto"/>
              </w:rPr>
            </w:pPr>
            <w:r>
              <w:rPr>
                <w:rFonts w:hint="default"/>
                <w:color w:val="auto"/>
              </w:rPr>
              <w:t>区域水资源开发利用状况</w:t>
            </w:r>
          </w:p>
        </w:tc>
        <w:tc>
          <w:tcPr>
            <w:tcW w:w="4294" w:type="pct"/>
            <w:gridSpan w:val="11"/>
            <w:tcBorders>
              <w:tl2br w:val="nil"/>
              <w:tr2bl w:val="nil"/>
            </w:tcBorders>
            <w:noWrap/>
            <w:vAlign w:val="center"/>
          </w:tcPr>
          <w:p w14:paraId="57827C58">
            <w:pPr>
              <w:pStyle w:val="12"/>
              <w:bidi w:val="0"/>
              <w:rPr>
                <w:rFonts w:hint="default"/>
                <w:color w:val="auto"/>
              </w:rPr>
            </w:pPr>
            <w:r>
              <w:rPr>
                <w:rFonts w:hint="default"/>
                <w:color w:val="auto"/>
              </w:rPr>
              <w:t>未开发□；开发量40%以下□；开发量40%以上□</w:t>
            </w:r>
          </w:p>
        </w:tc>
      </w:tr>
      <w:tr w14:paraId="21A93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77E7F11">
            <w:pPr>
              <w:pStyle w:val="12"/>
              <w:bidi w:val="0"/>
              <w:rPr>
                <w:rFonts w:hint="default"/>
                <w:color w:val="auto"/>
              </w:rPr>
            </w:pPr>
          </w:p>
        </w:tc>
        <w:tc>
          <w:tcPr>
            <w:tcW w:w="526" w:type="pct"/>
            <w:vMerge w:val="restart"/>
            <w:tcBorders>
              <w:tl2br w:val="nil"/>
              <w:tr2bl w:val="nil"/>
            </w:tcBorders>
            <w:noWrap w:val="0"/>
            <w:vAlign w:val="center"/>
          </w:tcPr>
          <w:p w14:paraId="55EAB28F">
            <w:pPr>
              <w:pStyle w:val="12"/>
              <w:bidi w:val="0"/>
              <w:rPr>
                <w:rFonts w:hint="default"/>
                <w:color w:val="auto"/>
              </w:rPr>
            </w:pPr>
            <w:r>
              <w:rPr>
                <w:rFonts w:hint="default"/>
                <w:color w:val="auto"/>
              </w:rPr>
              <w:t>水文情势调查　</w:t>
            </w:r>
          </w:p>
        </w:tc>
        <w:tc>
          <w:tcPr>
            <w:tcW w:w="2017" w:type="pct"/>
            <w:gridSpan w:val="5"/>
            <w:tcBorders>
              <w:tl2br w:val="nil"/>
              <w:tr2bl w:val="nil"/>
            </w:tcBorders>
            <w:noWrap/>
            <w:vAlign w:val="center"/>
          </w:tcPr>
          <w:p w14:paraId="030E88B9">
            <w:pPr>
              <w:pStyle w:val="12"/>
              <w:bidi w:val="0"/>
              <w:rPr>
                <w:rFonts w:hint="default"/>
                <w:color w:val="auto"/>
              </w:rPr>
            </w:pPr>
            <w:r>
              <w:rPr>
                <w:rFonts w:hint="default"/>
                <w:color w:val="auto"/>
              </w:rPr>
              <w:t>调查时期</w:t>
            </w:r>
          </w:p>
        </w:tc>
        <w:tc>
          <w:tcPr>
            <w:tcW w:w="2276" w:type="pct"/>
            <w:gridSpan w:val="6"/>
            <w:tcBorders>
              <w:tl2br w:val="nil"/>
              <w:tr2bl w:val="nil"/>
            </w:tcBorders>
            <w:noWrap/>
            <w:vAlign w:val="center"/>
          </w:tcPr>
          <w:p w14:paraId="6CAE6A8C">
            <w:pPr>
              <w:pStyle w:val="12"/>
              <w:bidi w:val="0"/>
              <w:rPr>
                <w:rFonts w:hint="default"/>
                <w:color w:val="auto"/>
              </w:rPr>
            </w:pPr>
            <w:r>
              <w:rPr>
                <w:rFonts w:hint="default"/>
                <w:color w:val="auto"/>
              </w:rPr>
              <w:t>数据来源</w:t>
            </w:r>
          </w:p>
        </w:tc>
      </w:tr>
      <w:tr w14:paraId="22096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63CD146B">
            <w:pPr>
              <w:pStyle w:val="12"/>
              <w:bidi w:val="0"/>
              <w:rPr>
                <w:rFonts w:hint="default"/>
                <w:color w:val="auto"/>
              </w:rPr>
            </w:pPr>
          </w:p>
        </w:tc>
        <w:tc>
          <w:tcPr>
            <w:tcW w:w="526" w:type="pct"/>
            <w:vMerge w:val="continue"/>
            <w:tcBorders>
              <w:tl2br w:val="nil"/>
              <w:tr2bl w:val="nil"/>
            </w:tcBorders>
            <w:noWrap w:val="0"/>
            <w:vAlign w:val="center"/>
          </w:tcPr>
          <w:p w14:paraId="73504BF0">
            <w:pPr>
              <w:pStyle w:val="12"/>
              <w:bidi w:val="0"/>
              <w:rPr>
                <w:rFonts w:hint="default"/>
                <w:color w:val="auto"/>
              </w:rPr>
            </w:pPr>
          </w:p>
        </w:tc>
        <w:tc>
          <w:tcPr>
            <w:tcW w:w="2017" w:type="pct"/>
            <w:gridSpan w:val="5"/>
            <w:tcBorders>
              <w:tl2br w:val="nil"/>
              <w:tr2bl w:val="nil"/>
            </w:tcBorders>
            <w:noWrap w:val="0"/>
            <w:vAlign w:val="center"/>
          </w:tcPr>
          <w:p w14:paraId="4B9D5E6B">
            <w:pPr>
              <w:pStyle w:val="12"/>
              <w:bidi w:val="0"/>
              <w:rPr>
                <w:rFonts w:hint="default"/>
                <w:color w:val="auto"/>
              </w:rPr>
            </w:pPr>
            <w:r>
              <w:rPr>
                <w:rFonts w:hint="default"/>
                <w:color w:val="auto"/>
              </w:rPr>
              <w:t>丰水期□；平水期□；</w:t>
            </w:r>
          </w:p>
          <w:p w14:paraId="4B4659D2">
            <w:pPr>
              <w:pStyle w:val="12"/>
              <w:bidi w:val="0"/>
              <w:rPr>
                <w:rFonts w:hint="default"/>
                <w:color w:val="auto"/>
              </w:rPr>
            </w:pPr>
            <w:r>
              <w:rPr>
                <w:rFonts w:hint="default"/>
                <w:color w:val="auto"/>
              </w:rPr>
              <w:t>枯水期□；冰封期□</w:t>
            </w:r>
            <w:r>
              <w:rPr>
                <w:rFonts w:hint="default"/>
                <w:color w:val="auto"/>
              </w:rPr>
              <w:br w:type="textWrapping"/>
            </w:r>
            <w:r>
              <w:rPr>
                <w:rFonts w:hint="default"/>
                <w:color w:val="auto"/>
              </w:rPr>
              <w:t>春季□；夏季□；秋季□；冬季□</w:t>
            </w:r>
          </w:p>
        </w:tc>
        <w:tc>
          <w:tcPr>
            <w:tcW w:w="2276" w:type="pct"/>
            <w:gridSpan w:val="6"/>
            <w:tcBorders>
              <w:tl2br w:val="nil"/>
              <w:tr2bl w:val="nil"/>
            </w:tcBorders>
            <w:noWrap/>
            <w:vAlign w:val="center"/>
          </w:tcPr>
          <w:p w14:paraId="576F5B73">
            <w:pPr>
              <w:pStyle w:val="12"/>
              <w:bidi w:val="0"/>
              <w:rPr>
                <w:rFonts w:hint="default"/>
                <w:color w:val="auto"/>
              </w:rPr>
            </w:pPr>
            <w:r>
              <w:rPr>
                <w:rFonts w:hint="default"/>
                <w:color w:val="auto"/>
              </w:rPr>
              <w:t>水行政主管部门□；补充监测□；其他□</w:t>
            </w:r>
          </w:p>
        </w:tc>
      </w:tr>
      <w:tr w14:paraId="08A8C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9BF8EFD">
            <w:pPr>
              <w:pStyle w:val="12"/>
              <w:bidi w:val="0"/>
              <w:rPr>
                <w:rFonts w:hint="default"/>
                <w:color w:val="auto"/>
              </w:rPr>
            </w:pPr>
          </w:p>
        </w:tc>
        <w:tc>
          <w:tcPr>
            <w:tcW w:w="526" w:type="pct"/>
            <w:vMerge w:val="restart"/>
            <w:tcBorders>
              <w:tl2br w:val="nil"/>
              <w:tr2bl w:val="nil"/>
            </w:tcBorders>
            <w:noWrap w:val="0"/>
            <w:vAlign w:val="center"/>
          </w:tcPr>
          <w:p w14:paraId="4F19D404">
            <w:pPr>
              <w:pStyle w:val="12"/>
              <w:bidi w:val="0"/>
              <w:rPr>
                <w:rFonts w:hint="default"/>
                <w:color w:val="auto"/>
              </w:rPr>
            </w:pPr>
            <w:r>
              <w:rPr>
                <w:rFonts w:hint="default"/>
                <w:color w:val="auto"/>
              </w:rPr>
              <w:t>补充监测　</w:t>
            </w:r>
          </w:p>
        </w:tc>
        <w:tc>
          <w:tcPr>
            <w:tcW w:w="2017" w:type="pct"/>
            <w:gridSpan w:val="5"/>
            <w:tcBorders>
              <w:tl2br w:val="nil"/>
              <w:tr2bl w:val="nil"/>
            </w:tcBorders>
            <w:noWrap w:val="0"/>
            <w:vAlign w:val="center"/>
          </w:tcPr>
          <w:p w14:paraId="2B256B76">
            <w:pPr>
              <w:pStyle w:val="12"/>
              <w:bidi w:val="0"/>
              <w:rPr>
                <w:rFonts w:hint="default"/>
                <w:color w:val="auto"/>
              </w:rPr>
            </w:pPr>
            <w:r>
              <w:rPr>
                <w:rFonts w:hint="default"/>
                <w:color w:val="auto"/>
              </w:rPr>
              <w:t>监测时期</w:t>
            </w:r>
          </w:p>
        </w:tc>
        <w:tc>
          <w:tcPr>
            <w:tcW w:w="1257" w:type="pct"/>
            <w:gridSpan w:val="3"/>
            <w:tcBorders>
              <w:tl2br w:val="nil"/>
              <w:tr2bl w:val="nil"/>
            </w:tcBorders>
            <w:noWrap/>
            <w:vAlign w:val="center"/>
          </w:tcPr>
          <w:p w14:paraId="5CFEDC1F">
            <w:pPr>
              <w:pStyle w:val="12"/>
              <w:bidi w:val="0"/>
              <w:rPr>
                <w:rFonts w:hint="default"/>
                <w:color w:val="auto"/>
              </w:rPr>
            </w:pPr>
            <w:r>
              <w:rPr>
                <w:rFonts w:hint="default"/>
                <w:color w:val="auto"/>
              </w:rPr>
              <w:t>监测因子</w:t>
            </w:r>
          </w:p>
        </w:tc>
        <w:tc>
          <w:tcPr>
            <w:tcW w:w="1019" w:type="pct"/>
            <w:gridSpan w:val="3"/>
            <w:tcBorders>
              <w:tl2br w:val="nil"/>
              <w:tr2bl w:val="nil"/>
            </w:tcBorders>
            <w:noWrap/>
            <w:vAlign w:val="center"/>
          </w:tcPr>
          <w:p w14:paraId="62BF02B7">
            <w:pPr>
              <w:pStyle w:val="12"/>
              <w:bidi w:val="0"/>
              <w:rPr>
                <w:rFonts w:hint="default"/>
                <w:color w:val="auto"/>
              </w:rPr>
            </w:pPr>
            <w:r>
              <w:rPr>
                <w:rFonts w:hint="default"/>
                <w:color w:val="auto"/>
              </w:rPr>
              <w:t>监测断面或点位</w:t>
            </w:r>
          </w:p>
        </w:tc>
      </w:tr>
      <w:tr w14:paraId="7A53F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6CEACE77">
            <w:pPr>
              <w:pStyle w:val="12"/>
              <w:bidi w:val="0"/>
              <w:rPr>
                <w:rFonts w:hint="default"/>
                <w:color w:val="auto"/>
              </w:rPr>
            </w:pPr>
          </w:p>
        </w:tc>
        <w:tc>
          <w:tcPr>
            <w:tcW w:w="526" w:type="pct"/>
            <w:vMerge w:val="continue"/>
            <w:tcBorders>
              <w:tl2br w:val="nil"/>
              <w:tr2bl w:val="nil"/>
            </w:tcBorders>
            <w:noWrap w:val="0"/>
            <w:vAlign w:val="center"/>
          </w:tcPr>
          <w:p w14:paraId="050064DE">
            <w:pPr>
              <w:pStyle w:val="12"/>
              <w:bidi w:val="0"/>
              <w:rPr>
                <w:rFonts w:hint="default"/>
                <w:color w:val="auto"/>
              </w:rPr>
            </w:pPr>
          </w:p>
        </w:tc>
        <w:tc>
          <w:tcPr>
            <w:tcW w:w="2017" w:type="pct"/>
            <w:gridSpan w:val="5"/>
            <w:tcBorders>
              <w:tl2br w:val="nil"/>
              <w:tr2bl w:val="nil"/>
            </w:tcBorders>
            <w:noWrap w:val="0"/>
            <w:vAlign w:val="center"/>
          </w:tcPr>
          <w:p w14:paraId="5B30CA06">
            <w:pPr>
              <w:pStyle w:val="12"/>
              <w:bidi w:val="0"/>
              <w:rPr>
                <w:rFonts w:hint="default"/>
                <w:color w:val="auto"/>
              </w:rPr>
            </w:pPr>
            <w:r>
              <w:rPr>
                <w:rFonts w:hint="default"/>
                <w:color w:val="auto"/>
              </w:rPr>
              <w:t>丰水期</w:t>
            </w:r>
            <w:r>
              <w:rPr>
                <w:rFonts w:hint="eastAsia"/>
                <w:color w:val="auto"/>
                <w:lang w:eastAsia="zh-CN"/>
              </w:rPr>
              <w:t>□</w:t>
            </w:r>
            <w:r>
              <w:rPr>
                <w:rFonts w:hint="default"/>
                <w:color w:val="auto"/>
              </w:rPr>
              <w:t>；平水期□；</w:t>
            </w:r>
          </w:p>
          <w:p w14:paraId="3BBCDC5D">
            <w:pPr>
              <w:pStyle w:val="12"/>
              <w:bidi w:val="0"/>
              <w:rPr>
                <w:rFonts w:hint="default"/>
                <w:color w:val="auto"/>
              </w:rPr>
            </w:pPr>
            <w:r>
              <w:rPr>
                <w:rFonts w:hint="default"/>
                <w:color w:val="auto"/>
              </w:rPr>
              <w:t>枯水期</w:t>
            </w:r>
            <w:r>
              <w:rPr>
                <w:rFonts w:hint="eastAsia"/>
                <w:color w:val="auto"/>
                <w:lang w:eastAsia="zh-CN"/>
              </w:rPr>
              <w:t>☑</w:t>
            </w:r>
            <w:r>
              <w:rPr>
                <w:rFonts w:hint="default"/>
                <w:color w:val="auto"/>
              </w:rPr>
              <w:t>；冰封期□</w:t>
            </w:r>
            <w:r>
              <w:rPr>
                <w:rFonts w:hint="default"/>
                <w:color w:val="auto"/>
              </w:rPr>
              <w:br w:type="textWrapping"/>
            </w:r>
            <w:r>
              <w:rPr>
                <w:rFonts w:hint="default"/>
                <w:color w:val="auto"/>
              </w:rPr>
              <w:t>春季□；夏季□；秋季□；冬季□</w:t>
            </w:r>
          </w:p>
        </w:tc>
        <w:tc>
          <w:tcPr>
            <w:tcW w:w="1257" w:type="pct"/>
            <w:gridSpan w:val="3"/>
            <w:tcBorders>
              <w:tl2br w:val="nil"/>
              <w:tr2bl w:val="nil"/>
            </w:tcBorders>
            <w:noWrap/>
            <w:vAlign w:val="center"/>
          </w:tcPr>
          <w:p w14:paraId="3A495B60">
            <w:pPr>
              <w:pStyle w:val="12"/>
              <w:bidi w:val="0"/>
              <w:rPr>
                <w:rFonts w:hint="default"/>
                <w:color w:val="auto"/>
              </w:rPr>
            </w:pPr>
            <w:r>
              <w:rPr>
                <w:rFonts w:hint="default"/>
                <w:color w:val="auto"/>
              </w:rPr>
              <w:t>（CODCr、BOD5、NH3-N、总氮、总磷</w:t>
            </w:r>
            <w:r>
              <w:rPr>
                <w:rFonts w:hint="eastAsia"/>
                <w:color w:val="auto"/>
                <w:lang w:val="en-US" w:eastAsia="zh-CN"/>
              </w:rPr>
              <w:t>等等</w:t>
            </w:r>
            <w:r>
              <w:rPr>
                <w:rFonts w:hint="default"/>
                <w:color w:val="auto"/>
              </w:rPr>
              <w:t xml:space="preserve"> ）</w:t>
            </w:r>
          </w:p>
        </w:tc>
        <w:tc>
          <w:tcPr>
            <w:tcW w:w="1019" w:type="pct"/>
            <w:gridSpan w:val="3"/>
            <w:tcBorders>
              <w:tl2br w:val="nil"/>
              <w:tr2bl w:val="nil"/>
            </w:tcBorders>
            <w:noWrap/>
            <w:vAlign w:val="center"/>
          </w:tcPr>
          <w:p w14:paraId="50518AC2">
            <w:pPr>
              <w:pStyle w:val="12"/>
              <w:bidi w:val="0"/>
              <w:rPr>
                <w:rFonts w:hint="default"/>
                <w:color w:val="auto"/>
              </w:rPr>
            </w:pPr>
            <w:r>
              <w:rPr>
                <w:rFonts w:hint="default"/>
                <w:color w:val="auto"/>
              </w:rPr>
              <w:t>监测断面或点位</w:t>
            </w:r>
          </w:p>
          <w:p w14:paraId="298FCFD2">
            <w:pPr>
              <w:pStyle w:val="12"/>
              <w:bidi w:val="0"/>
              <w:rPr>
                <w:rFonts w:hint="default"/>
                <w:color w:val="auto"/>
              </w:rPr>
            </w:pPr>
            <w:r>
              <w:rPr>
                <w:rFonts w:hint="default"/>
                <w:color w:val="auto"/>
              </w:rPr>
              <w:t xml:space="preserve">个数（  </w:t>
            </w:r>
            <w:r>
              <w:rPr>
                <w:rFonts w:hint="eastAsia"/>
                <w:color w:val="auto"/>
                <w:lang w:val="en-US" w:eastAsia="zh-CN"/>
              </w:rPr>
              <w:t>2</w:t>
            </w:r>
            <w:r>
              <w:rPr>
                <w:rFonts w:hint="default"/>
                <w:color w:val="auto"/>
              </w:rPr>
              <w:t xml:space="preserve"> ）个</w:t>
            </w:r>
          </w:p>
        </w:tc>
      </w:tr>
      <w:tr w14:paraId="1EA55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3FEE7685">
            <w:pPr>
              <w:pStyle w:val="12"/>
              <w:bidi w:val="0"/>
              <w:rPr>
                <w:rFonts w:hint="default"/>
                <w:color w:val="auto"/>
              </w:rPr>
            </w:pPr>
            <w:r>
              <w:rPr>
                <w:rFonts w:hint="default"/>
                <w:color w:val="auto"/>
              </w:rPr>
              <w:t>现状评价</w:t>
            </w:r>
          </w:p>
        </w:tc>
        <w:tc>
          <w:tcPr>
            <w:tcW w:w="526" w:type="pct"/>
            <w:tcBorders>
              <w:tl2br w:val="nil"/>
              <w:tr2bl w:val="nil"/>
            </w:tcBorders>
            <w:noWrap w:val="0"/>
            <w:vAlign w:val="center"/>
          </w:tcPr>
          <w:p w14:paraId="1383E918">
            <w:pPr>
              <w:pStyle w:val="12"/>
              <w:bidi w:val="0"/>
              <w:rPr>
                <w:rFonts w:hint="default"/>
                <w:color w:val="auto"/>
              </w:rPr>
            </w:pPr>
            <w:r>
              <w:rPr>
                <w:rFonts w:hint="default"/>
                <w:color w:val="auto"/>
              </w:rPr>
              <w:t>评价范围</w:t>
            </w:r>
          </w:p>
        </w:tc>
        <w:tc>
          <w:tcPr>
            <w:tcW w:w="4294" w:type="pct"/>
            <w:gridSpan w:val="11"/>
            <w:tcBorders>
              <w:tl2br w:val="nil"/>
              <w:tr2bl w:val="nil"/>
            </w:tcBorders>
            <w:noWrap/>
            <w:vAlign w:val="center"/>
          </w:tcPr>
          <w:p w14:paraId="4B53ADF6">
            <w:pPr>
              <w:pStyle w:val="12"/>
              <w:bidi w:val="0"/>
              <w:rPr>
                <w:rFonts w:hint="default"/>
                <w:color w:val="auto"/>
              </w:rPr>
            </w:pPr>
            <w:r>
              <w:rPr>
                <w:rFonts w:hint="default"/>
                <w:color w:val="auto"/>
              </w:rPr>
              <w:t xml:space="preserve">河流：长度（ </w:t>
            </w:r>
            <w:r>
              <w:rPr>
                <w:rFonts w:hint="eastAsia"/>
                <w:color w:val="auto"/>
                <w:lang w:val="en-US" w:eastAsia="zh-CN"/>
              </w:rPr>
              <w:t>9.2</w:t>
            </w:r>
            <w:r>
              <w:rPr>
                <w:rFonts w:hint="default"/>
                <w:color w:val="auto"/>
              </w:rPr>
              <w:t xml:space="preserve"> ）km；湖库、河口及近岸海域：面积（   ）km2</w:t>
            </w:r>
          </w:p>
        </w:tc>
      </w:tr>
      <w:tr w14:paraId="349331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076D2C04">
            <w:pPr>
              <w:pStyle w:val="12"/>
              <w:bidi w:val="0"/>
              <w:rPr>
                <w:rFonts w:hint="default"/>
                <w:color w:val="auto"/>
              </w:rPr>
            </w:pPr>
          </w:p>
        </w:tc>
        <w:tc>
          <w:tcPr>
            <w:tcW w:w="526" w:type="pct"/>
            <w:tcBorders>
              <w:tl2br w:val="nil"/>
              <w:tr2bl w:val="nil"/>
            </w:tcBorders>
            <w:noWrap w:val="0"/>
            <w:vAlign w:val="center"/>
          </w:tcPr>
          <w:p w14:paraId="6D1629B1">
            <w:pPr>
              <w:pStyle w:val="12"/>
              <w:bidi w:val="0"/>
              <w:rPr>
                <w:rFonts w:hint="default"/>
                <w:color w:val="auto"/>
              </w:rPr>
            </w:pPr>
            <w:r>
              <w:rPr>
                <w:rFonts w:hint="default"/>
                <w:color w:val="auto"/>
              </w:rPr>
              <w:t>评价因子</w:t>
            </w:r>
          </w:p>
        </w:tc>
        <w:tc>
          <w:tcPr>
            <w:tcW w:w="4294" w:type="pct"/>
            <w:gridSpan w:val="11"/>
            <w:tcBorders>
              <w:tl2br w:val="nil"/>
              <w:tr2bl w:val="nil"/>
            </w:tcBorders>
            <w:noWrap/>
            <w:vAlign w:val="center"/>
          </w:tcPr>
          <w:p w14:paraId="5FBB363F">
            <w:pPr>
              <w:pStyle w:val="12"/>
              <w:bidi w:val="0"/>
              <w:rPr>
                <w:rFonts w:hint="default"/>
                <w:color w:val="auto"/>
              </w:rPr>
            </w:pPr>
            <w:r>
              <w:rPr>
                <w:rFonts w:hint="default"/>
                <w:color w:val="auto"/>
              </w:rPr>
              <w:t>（CODCr、NH3-N、总磷</w:t>
            </w:r>
            <w:r>
              <w:rPr>
                <w:rFonts w:hint="eastAsia"/>
                <w:color w:val="auto"/>
                <w:lang w:eastAsia="zh-CN"/>
              </w:rPr>
              <w:t>、</w:t>
            </w:r>
            <w:r>
              <w:rPr>
                <w:rFonts w:hint="eastAsia"/>
                <w:color w:val="auto"/>
                <w:lang w:val="en-US" w:eastAsia="zh-CN"/>
              </w:rPr>
              <w:t>石油类、甲醛</w:t>
            </w:r>
            <w:r>
              <w:rPr>
                <w:rFonts w:hint="default"/>
                <w:color w:val="auto"/>
              </w:rPr>
              <w:t>）</w:t>
            </w:r>
          </w:p>
        </w:tc>
      </w:tr>
      <w:tr w14:paraId="24BEC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46E9969C">
            <w:pPr>
              <w:pStyle w:val="12"/>
              <w:bidi w:val="0"/>
              <w:rPr>
                <w:rFonts w:hint="default"/>
                <w:color w:val="auto"/>
              </w:rPr>
            </w:pPr>
          </w:p>
        </w:tc>
        <w:tc>
          <w:tcPr>
            <w:tcW w:w="526" w:type="pct"/>
            <w:tcBorders>
              <w:tl2br w:val="nil"/>
              <w:tr2bl w:val="nil"/>
            </w:tcBorders>
            <w:noWrap w:val="0"/>
            <w:vAlign w:val="center"/>
          </w:tcPr>
          <w:p w14:paraId="317D4AEF">
            <w:pPr>
              <w:pStyle w:val="12"/>
              <w:bidi w:val="0"/>
              <w:rPr>
                <w:rFonts w:hint="default"/>
                <w:color w:val="auto"/>
              </w:rPr>
            </w:pPr>
            <w:r>
              <w:rPr>
                <w:rFonts w:hint="default"/>
                <w:color w:val="auto"/>
              </w:rPr>
              <w:t>评价标准</w:t>
            </w:r>
          </w:p>
        </w:tc>
        <w:tc>
          <w:tcPr>
            <w:tcW w:w="4294" w:type="pct"/>
            <w:gridSpan w:val="11"/>
            <w:tcBorders>
              <w:tl2br w:val="nil"/>
              <w:tr2bl w:val="nil"/>
            </w:tcBorders>
            <w:noWrap/>
            <w:vAlign w:val="center"/>
          </w:tcPr>
          <w:p w14:paraId="361E0272">
            <w:pPr>
              <w:pStyle w:val="12"/>
              <w:bidi w:val="0"/>
              <w:rPr>
                <w:rFonts w:hint="default"/>
                <w:color w:val="auto"/>
              </w:rPr>
            </w:pPr>
            <w:r>
              <w:rPr>
                <w:rFonts w:hint="default"/>
                <w:color w:val="auto"/>
              </w:rPr>
              <w:t xml:space="preserve">河流、湖库、河口：Ⅰ类 □；Ⅱ类 </w:t>
            </w:r>
            <w:r>
              <w:rPr>
                <w:rFonts w:hint="eastAsia"/>
                <w:color w:val="auto"/>
                <w:lang w:eastAsia="zh-CN"/>
              </w:rPr>
              <w:t>□</w:t>
            </w:r>
            <w:r>
              <w:rPr>
                <w:rFonts w:hint="default"/>
                <w:color w:val="auto"/>
              </w:rPr>
              <w:t xml:space="preserve">；Ⅲ类 </w:t>
            </w:r>
            <w:r>
              <w:rPr>
                <w:rFonts w:hint="eastAsia"/>
                <w:color w:val="auto"/>
                <w:lang w:eastAsia="zh-CN"/>
              </w:rPr>
              <w:t>☑</w:t>
            </w:r>
            <w:r>
              <w:rPr>
                <w:rFonts w:hint="default"/>
                <w:color w:val="auto"/>
              </w:rPr>
              <w:t>；Ⅳ类 □；Ⅴ类 □</w:t>
            </w:r>
          </w:p>
          <w:p w14:paraId="5F929208">
            <w:pPr>
              <w:pStyle w:val="12"/>
              <w:bidi w:val="0"/>
              <w:rPr>
                <w:rFonts w:hint="default"/>
                <w:color w:val="auto"/>
              </w:rPr>
            </w:pPr>
            <w:r>
              <w:rPr>
                <w:rFonts w:hint="default"/>
                <w:color w:val="auto"/>
              </w:rPr>
              <w:t>近岸海域：第一类 □；第二类 □；第三类 □；第四类 □</w:t>
            </w:r>
          </w:p>
          <w:p w14:paraId="6279713E">
            <w:pPr>
              <w:pStyle w:val="12"/>
              <w:bidi w:val="0"/>
              <w:rPr>
                <w:rFonts w:hint="default"/>
                <w:color w:val="auto"/>
              </w:rPr>
            </w:pPr>
            <w:r>
              <w:rPr>
                <w:rFonts w:hint="default"/>
                <w:color w:val="auto"/>
              </w:rPr>
              <w:t>规划年评价标准（   ）</w:t>
            </w:r>
          </w:p>
        </w:tc>
      </w:tr>
      <w:tr w14:paraId="0F978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3BBD9300">
            <w:pPr>
              <w:pStyle w:val="12"/>
              <w:bidi w:val="0"/>
              <w:rPr>
                <w:rFonts w:hint="default"/>
                <w:color w:val="auto"/>
              </w:rPr>
            </w:pPr>
          </w:p>
        </w:tc>
        <w:tc>
          <w:tcPr>
            <w:tcW w:w="526" w:type="pct"/>
            <w:tcBorders>
              <w:tl2br w:val="nil"/>
              <w:tr2bl w:val="nil"/>
            </w:tcBorders>
            <w:noWrap w:val="0"/>
            <w:vAlign w:val="center"/>
          </w:tcPr>
          <w:p w14:paraId="208D552D">
            <w:pPr>
              <w:pStyle w:val="12"/>
              <w:bidi w:val="0"/>
              <w:rPr>
                <w:rFonts w:hint="default"/>
                <w:color w:val="auto"/>
              </w:rPr>
            </w:pPr>
            <w:r>
              <w:rPr>
                <w:rFonts w:hint="default"/>
                <w:color w:val="auto"/>
              </w:rPr>
              <w:t>评价时期</w:t>
            </w:r>
          </w:p>
        </w:tc>
        <w:tc>
          <w:tcPr>
            <w:tcW w:w="4294" w:type="pct"/>
            <w:gridSpan w:val="11"/>
            <w:tcBorders>
              <w:tl2br w:val="nil"/>
              <w:tr2bl w:val="nil"/>
            </w:tcBorders>
            <w:noWrap w:val="0"/>
            <w:vAlign w:val="center"/>
          </w:tcPr>
          <w:p w14:paraId="645C98CB">
            <w:pPr>
              <w:pStyle w:val="12"/>
              <w:bidi w:val="0"/>
              <w:rPr>
                <w:rFonts w:hint="default"/>
                <w:color w:val="auto"/>
              </w:rPr>
            </w:pPr>
            <w:r>
              <w:rPr>
                <w:rFonts w:hint="default"/>
                <w:color w:val="auto"/>
              </w:rPr>
              <w:t xml:space="preserve">丰水期 </w:t>
            </w:r>
            <w:r>
              <w:rPr>
                <w:rFonts w:hint="eastAsia"/>
                <w:color w:val="auto"/>
                <w:lang w:eastAsia="zh-CN"/>
              </w:rPr>
              <w:t>□</w:t>
            </w:r>
            <w:r>
              <w:rPr>
                <w:rFonts w:hint="default"/>
                <w:color w:val="auto"/>
              </w:rPr>
              <w:t xml:space="preserve">；平水期 □；枯水期 </w:t>
            </w:r>
            <w:r>
              <w:rPr>
                <w:rFonts w:hint="eastAsia"/>
                <w:color w:val="auto"/>
                <w:lang w:eastAsia="zh-CN"/>
              </w:rPr>
              <w:t>☑</w:t>
            </w:r>
            <w:r>
              <w:rPr>
                <w:rFonts w:hint="default"/>
                <w:color w:val="auto"/>
              </w:rPr>
              <w:t>；冰封期 □</w:t>
            </w:r>
            <w:r>
              <w:rPr>
                <w:rFonts w:hint="default"/>
                <w:color w:val="auto"/>
              </w:rPr>
              <w:br w:type="textWrapping"/>
            </w:r>
            <w:r>
              <w:rPr>
                <w:rFonts w:hint="default"/>
                <w:color w:val="auto"/>
              </w:rPr>
              <w:t>春季 □；夏季 □；秋季 □；冬季 □</w:t>
            </w:r>
          </w:p>
        </w:tc>
      </w:tr>
      <w:tr w14:paraId="2B2F0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689BA788">
            <w:pPr>
              <w:pStyle w:val="12"/>
              <w:bidi w:val="0"/>
              <w:rPr>
                <w:rFonts w:hint="default"/>
                <w:color w:val="auto"/>
              </w:rPr>
            </w:pPr>
          </w:p>
        </w:tc>
        <w:tc>
          <w:tcPr>
            <w:tcW w:w="526" w:type="pct"/>
            <w:tcBorders>
              <w:tl2br w:val="nil"/>
              <w:tr2bl w:val="nil"/>
            </w:tcBorders>
            <w:noWrap w:val="0"/>
            <w:vAlign w:val="center"/>
          </w:tcPr>
          <w:p w14:paraId="3340F17E">
            <w:pPr>
              <w:pStyle w:val="12"/>
              <w:bidi w:val="0"/>
              <w:rPr>
                <w:rFonts w:hint="default"/>
                <w:color w:val="auto"/>
              </w:rPr>
            </w:pPr>
            <w:r>
              <w:rPr>
                <w:rFonts w:hint="default"/>
                <w:color w:val="auto"/>
              </w:rPr>
              <w:t>评价结论</w:t>
            </w:r>
          </w:p>
        </w:tc>
        <w:tc>
          <w:tcPr>
            <w:tcW w:w="3701" w:type="pct"/>
            <w:gridSpan w:val="10"/>
            <w:tcBorders>
              <w:tl2br w:val="nil"/>
              <w:tr2bl w:val="nil"/>
            </w:tcBorders>
            <w:noWrap w:val="0"/>
            <w:vAlign w:val="center"/>
          </w:tcPr>
          <w:p w14:paraId="26EBB64A">
            <w:pPr>
              <w:pStyle w:val="12"/>
              <w:bidi w:val="0"/>
              <w:jc w:val="left"/>
              <w:rPr>
                <w:rFonts w:hint="default"/>
                <w:color w:val="auto"/>
              </w:rPr>
            </w:pPr>
            <w:r>
              <w:rPr>
                <w:rFonts w:hint="default"/>
                <w:color w:val="auto"/>
              </w:rPr>
              <w:t xml:space="preserve">水环境功能区或水功能区、近岸海域环境功能区水质达标状况 </w:t>
            </w:r>
            <w:r>
              <w:rPr>
                <w:rFonts w:hint="default"/>
                <w:color w:val="auto"/>
              </w:rPr>
              <w:sym w:font="Wingdings 2" w:char="0052"/>
            </w:r>
            <w:r>
              <w:rPr>
                <w:rFonts w:hint="default"/>
                <w:color w:val="auto"/>
              </w:rPr>
              <w:t xml:space="preserve">：达标 </w:t>
            </w:r>
            <w:r>
              <w:rPr>
                <w:rFonts w:hint="default"/>
                <w:color w:val="auto"/>
              </w:rPr>
              <w:sym w:font="Wingdings 2" w:char="0052"/>
            </w:r>
            <w:r>
              <w:rPr>
                <w:rFonts w:hint="default"/>
                <w:color w:val="auto"/>
              </w:rPr>
              <w:t xml:space="preserve">；不达标 </w:t>
            </w:r>
            <w:r>
              <w:rPr>
                <w:rFonts w:hint="default"/>
                <w:color w:val="auto"/>
              </w:rPr>
              <w:sym w:font="Wingdings 2" w:char="00A3"/>
            </w:r>
            <w:r>
              <w:rPr>
                <w:rFonts w:hint="default"/>
                <w:color w:val="auto"/>
              </w:rPr>
              <w:br w:type="textWrapping"/>
            </w:r>
            <w:r>
              <w:rPr>
                <w:rFonts w:hint="default"/>
                <w:color w:val="auto"/>
              </w:rPr>
              <w:t xml:space="preserve">水环境控制单元或断面水质达标状况 </w:t>
            </w:r>
            <w:r>
              <w:rPr>
                <w:rFonts w:hint="default"/>
                <w:color w:val="auto"/>
              </w:rPr>
              <w:sym w:font="Wingdings 2" w:char="0052"/>
            </w:r>
            <w:r>
              <w:rPr>
                <w:rFonts w:hint="default"/>
                <w:color w:val="auto"/>
              </w:rPr>
              <w:t xml:space="preserve">：达标 </w:t>
            </w:r>
            <w:r>
              <w:rPr>
                <w:rFonts w:hint="default"/>
                <w:color w:val="auto"/>
              </w:rPr>
              <w:sym w:font="Wingdings 2" w:char="0052"/>
            </w:r>
            <w:r>
              <w:rPr>
                <w:rFonts w:hint="default"/>
                <w:color w:val="auto"/>
              </w:rPr>
              <w:t xml:space="preserve">；不达标 </w:t>
            </w:r>
            <w:r>
              <w:rPr>
                <w:rFonts w:hint="default"/>
                <w:color w:val="auto"/>
              </w:rPr>
              <w:sym w:font="Wingdings 2" w:char="00A3"/>
            </w:r>
            <w:r>
              <w:rPr>
                <w:rFonts w:hint="default"/>
                <w:color w:val="auto"/>
              </w:rPr>
              <w:br w:type="textWrapping"/>
            </w:r>
            <w:r>
              <w:rPr>
                <w:rFonts w:hint="default"/>
                <w:color w:val="auto"/>
              </w:rPr>
              <w:t xml:space="preserve">水环境保护目标质量状况 </w:t>
            </w:r>
            <w:r>
              <w:rPr>
                <w:rFonts w:hint="default"/>
                <w:color w:val="auto"/>
              </w:rPr>
              <w:sym w:font="Wingdings 2" w:char="0052"/>
            </w:r>
            <w:r>
              <w:rPr>
                <w:rFonts w:hint="default"/>
                <w:color w:val="auto"/>
              </w:rPr>
              <w:t xml:space="preserve">：达标 </w:t>
            </w:r>
            <w:r>
              <w:rPr>
                <w:rFonts w:hint="default"/>
                <w:color w:val="auto"/>
              </w:rPr>
              <w:sym w:font="Wingdings 2" w:char="0052"/>
            </w:r>
            <w:r>
              <w:rPr>
                <w:rFonts w:hint="default"/>
                <w:color w:val="auto"/>
              </w:rPr>
              <w:t>；不达标 □</w:t>
            </w:r>
            <w:r>
              <w:rPr>
                <w:rFonts w:hint="default"/>
                <w:color w:val="auto"/>
              </w:rPr>
              <w:br w:type="textWrapping"/>
            </w:r>
            <w:r>
              <w:rPr>
                <w:rFonts w:hint="default"/>
                <w:color w:val="auto"/>
              </w:rPr>
              <w:t>对照断面、控制断面等代表性断面的水质状况 □：达标 □；不达标 □</w:t>
            </w:r>
          </w:p>
          <w:p w14:paraId="55F546F2">
            <w:pPr>
              <w:pStyle w:val="12"/>
              <w:bidi w:val="0"/>
              <w:jc w:val="left"/>
              <w:rPr>
                <w:rFonts w:hint="default"/>
                <w:color w:val="auto"/>
              </w:rPr>
            </w:pPr>
            <w:r>
              <w:rPr>
                <w:rFonts w:hint="default"/>
                <w:color w:val="auto"/>
              </w:rPr>
              <w:t>底泥污染评价 □</w:t>
            </w:r>
            <w:r>
              <w:rPr>
                <w:rFonts w:hint="default"/>
                <w:color w:val="auto"/>
              </w:rPr>
              <w:br w:type="textWrapping"/>
            </w:r>
            <w:r>
              <w:rPr>
                <w:rFonts w:hint="default"/>
                <w:color w:val="auto"/>
              </w:rPr>
              <w:t>水资源与开发利用程度及其水文情势评价 □</w:t>
            </w:r>
            <w:r>
              <w:rPr>
                <w:rFonts w:hint="default"/>
                <w:color w:val="auto"/>
              </w:rPr>
              <w:br w:type="textWrapping"/>
            </w:r>
            <w:r>
              <w:rPr>
                <w:rFonts w:hint="default"/>
                <w:color w:val="auto"/>
              </w:rPr>
              <w:t>水环境质量回顾评价 □</w:t>
            </w:r>
            <w:r>
              <w:rPr>
                <w:rFonts w:hint="default"/>
                <w:color w:val="auto"/>
              </w:rPr>
              <w:br w:type="textWrapping"/>
            </w:r>
            <w:r>
              <w:rPr>
                <w:rFonts w:hint="default"/>
                <w:color w:val="auto"/>
              </w:rPr>
              <w:t>流域（区域）水资源（包括水能资源）与开发利用总体状况、生态流量管理要求与现状满足程度、建设项目占用水域空间的水流状况与河湖演变状况 □</w:t>
            </w:r>
          </w:p>
        </w:tc>
        <w:tc>
          <w:tcPr>
            <w:tcW w:w="593" w:type="pct"/>
            <w:tcBorders>
              <w:tl2br w:val="nil"/>
              <w:tr2bl w:val="nil"/>
            </w:tcBorders>
            <w:noWrap w:val="0"/>
            <w:vAlign w:val="center"/>
          </w:tcPr>
          <w:p w14:paraId="6B57DAE4">
            <w:pPr>
              <w:pStyle w:val="12"/>
              <w:bidi w:val="0"/>
              <w:rPr>
                <w:rFonts w:hint="default"/>
                <w:color w:val="auto"/>
              </w:rPr>
            </w:pPr>
            <w:r>
              <w:rPr>
                <w:rFonts w:hint="default"/>
                <w:color w:val="auto"/>
              </w:rPr>
              <w:t xml:space="preserve">达标区 </w:t>
            </w:r>
            <w:r>
              <w:rPr>
                <w:rFonts w:hint="default"/>
                <w:color w:val="auto"/>
              </w:rPr>
              <w:sym w:font="Wingdings 2" w:char="0052"/>
            </w:r>
          </w:p>
          <w:p w14:paraId="6E35D536">
            <w:pPr>
              <w:pStyle w:val="12"/>
              <w:bidi w:val="0"/>
              <w:rPr>
                <w:rFonts w:hint="default"/>
                <w:color w:val="auto"/>
              </w:rPr>
            </w:pPr>
            <w:r>
              <w:rPr>
                <w:rFonts w:hint="default"/>
                <w:color w:val="auto"/>
              </w:rPr>
              <w:t xml:space="preserve">不达标区 </w:t>
            </w:r>
            <w:r>
              <w:rPr>
                <w:rFonts w:hint="default"/>
                <w:color w:val="auto"/>
              </w:rPr>
              <w:sym w:font="Wingdings 2" w:char="00A3"/>
            </w:r>
          </w:p>
        </w:tc>
      </w:tr>
      <w:tr w14:paraId="50050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1AE8BFB8">
            <w:pPr>
              <w:pStyle w:val="12"/>
              <w:bidi w:val="0"/>
              <w:rPr>
                <w:rFonts w:hint="default"/>
                <w:color w:val="auto"/>
              </w:rPr>
            </w:pPr>
            <w:r>
              <w:rPr>
                <w:rFonts w:hint="default"/>
                <w:color w:val="auto"/>
              </w:rPr>
              <w:t>影响预测</w:t>
            </w:r>
          </w:p>
        </w:tc>
        <w:tc>
          <w:tcPr>
            <w:tcW w:w="526" w:type="pct"/>
            <w:tcBorders>
              <w:tl2br w:val="nil"/>
              <w:tr2bl w:val="nil"/>
            </w:tcBorders>
            <w:noWrap w:val="0"/>
            <w:vAlign w:val="center"/>
          </w:tcPr>
          <w:p w14:paraId="58AE06A5">
            <w:pPr>
              <w:pStyle w:val="12"/>
              <w:bidi w:val="0"/>
              <w:rPr>
                <w:rFonts w:hint="default"/>
                <w:color w:val="auto"/>
              </w:rPr>
            </w:pPr>
            <w:r>
              <w:rPr>
                <w:rFonts w:hint="default"/>
                <w:color w:val="auto"/>
              </w:rPr>
              <w:t>预测范围</w:t>
            </w:r>
          </w:p>
        </w:tc>
        <w:tc>
          <w:tcPr>
            <w:tcW w:w="4294" w:type="pct"/>
            <w:gridSpan w:val="11"/>
            <w:tcBorders>
              <w:tl2br w:val="nil"/>
              <w:tr2bl w:val="nil"/>
            </w:tcBorders>
            <w:noWrap/>
            <w:vAlign w:val="center"/>
          </w:tcPr>
          <w:p w14:paraId="4F945B36">
            <w:pPr>
              <w:pStyle w:val="12"/>
              <w:bidi w:val="0"/>
              <w:rPr>
                <w:rFonts w:hint="default"/>
                <w:color w:val="auto"/>
              </w:rPr>
            </w:pPr>
            <w:r>
              <w:rPr>
                <w:rFonts w:hint="default"/>
                <w:color w:val="auto"/>
              </w:rPr>
              <w:t xml:space="preserve">河流：长度（ </w:t>
            </w:r>
            <w:r>
              <w:rPr>
                <w:rFonts w:hint="eastAsia"/>
                <w:color w:val="auto"/>
                <w:lang w:val="en-US" w:eastAsia="zh-CN"/>
              </w:rPr>
              <w:t>8.7</w:t>
            </w:r>
            <w:r>
              <w:rPr>
                <w:rFonts w:hint="default"/>
                <w:color w:val="auto"/>
              </w:rPr>
              <w:t xml:space="preserve">  ）km；湖库、河口及近岸海域：面积（   ）km2</w:t>
            </w:r>
          </w:p>
        </w:tc>
      </w:tr>
      <w:tr w14:paraId="5EB7B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73C58370">
            <w:pPr>
              <w:pStyle w:val="12"/>
              <w:bidi w:val="0"/>
              <w:rPr>
                <w:rFonts w:hint="default"/>
                <w:color w:val="auto"/>
              </w:rPr>
            </w:pPr>
          </w:p>
        </w:tc>
        <w:tc>
          <w:tcPr>
            <w:tcW w:w="526" w:type="pct"/>
            <w:tcBorders>
              <w:tl2br w:val="nil"/>
              <w:tr2bl w:val="nil"/>
            </w:tcBorders>
            <w:noWrap w:val="0"/>
            <w:vAlign w:val="center"/>
          </w:tcPr>
          <w:p w14:paraId="452623BB">
            <w:pPr>
              <w:pStyle w:val="12"/>
              <w:bidi w:val="0"/>
              <w:rPr>
                <w:rFonts w:hint="default"/>
                <w:color w:val="auto"/>
              </w:rPr>
            </w:pPr>
            <w:r>
              <w:rPr>
                <w:rFonts w:hint="default"/>
                <w:color w:val="auto"/>
              </w:rPr>
              <w:t>预测因子</w:t>
            </w:r>
          </w:p>
        </w:tc>
        <w:tc>
          <w:tcPr>
            <w:tcW w:w="4294" w:type="pct"/>
            <w:gridSpan w:val="11"/>
            <w:tcBorders>
              <w:tl2br w:val="nil"/>
              <w:tr2bl w:val="nil"/>
            </w:tcBorders>
            <w:noWrap/>
            <w:vAlign w:val="center"/>
          </w:tcPr>
          <w:p w14:paraId="71DB2326">
            <w:pPr>
              <w:pStyle w:val="12"/>
              <w:bidi w:val="0"/>
              <w:rPr>
                <w:rFonts w:hint="default"/>
                <w:color w:val="auto"/>
              </w:rPr>
            </w:pPr>
            <w:r>
              <w:rPr>
                <w:rFonts w:hint="default"/>
                <w:color w:val="auto"/>
              </w:rPr>
              <w:t>（ CODCr、NH3-N、总磷</w:t>
            </w:r>
            <w:r>
              <w:rPr>
                <w:rFonts w:hint="eastAsia"/>
                <w:color w:val="auto"/>
                <w:lang w:eastAsia="zh-CN"/>
              </w:rPr>
              <w:t>、</w:t>
            </w:r>
            <w:r>
              <w:rPr>
                <w:rFonts w:hint="eastAsia"/>
                <w:color w:val="auto"/>
                <w:lang w:val="en-US" w:eastAsia="zh-CN"/>
              </w:rPr>
              <w:t>石油类、甲醛</w:t>
            </w:r>
            <w:r>
              <w:rPr>
                <w:rFonts w:hint="default"/>
                <w:color w:val="auto"/>
              </w:rPr>
              <w:t xml:space="preserve">  ）</w:t>
            </w:r>
          </w:p>
        </w:tc>
      </w:tr>
      <w:tr w14:paraId="772F2C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25AC2F04">
            <w:pPr>
              <w:pStyle w:val="12"/>
              <w:bidi w:val="0"/>
              <w:rPr>
                <w:rFonts w:hint="default"/>
                <w:color w:val="auto"/>
              </w:rPr>
            </w:pPr>
          </w:p>
        </w:tc>
        <w:tc>
          <w:tcPr>
            <w:tcW w:w="526" w:type="pct"/>
            <w:tcBorders>
              <w:tl2br w:val="nil"/>
              <w:tr2bl w:val="nil"/>
            </w:tcBorders>
            <w:noWrap w:val="0"/>
            <w:vAlign w:val="center"/>
          </w:tcPr>
          <w:p w14:paraId="342A742A">
            <w:pPr>
              <w:pStyle w:val="12"/>
              <w:bidi w:val="0"/>
              <w:rPr>
                <w:rFonts w:hint="default"/>
                <w:color w:val="auto"/>
              </w:rPr>
            </w:pPr>
            <w:r>
              <w:rPr>
                <w:rFonts w:hint="default"/>
                <w:color w:val="auto"/>
              </w:rPr>
              <w:t>预测时期</w:t>
            </w:r>
          </w:p>
        </w:tc>
        <w:tc>
          <w:tcPr>
            <w:tcW w:w="4294" w:type="pct"/>
            <w:gridSpan w:val="11"/>
            <w:tcBorders>
              <w:tl2br w:val="nil"/>
              <w:tr2bl w:val="nil"/>
            </w:tcBorders>
            <w:noWrap w:val="0"/>
            <w:vAlign w:val="center"/>
          </w:tcPr>
          <w:p w14:paraId="008F83DC">
            <w:pPr>
              <w:pStyle w:val="12"/>
              <w:bidi w:val="0"/>
              <w:jc w:val="left"/>
              <w:rPr>
                <w:rFonts w:hint="default"/>
                <w:color w:val="auto"/>
              </w:rPr>
            </w:pPr>
            <w:r>
              <w:rPr>
                <w:rFonts w:hint="default"/>
                <w:color w:val="auto"/>
              </w:rPr>
              <w:t xml:space="preserve">丰水期 </w:t>
            </w:r>
            <w:r>
              <w:rPr>
                <w:rFonts w:hint="eastAsia"/>
                <w:color w:val="auto"/>
                <w:lang w:eastAsia="zh-CN"/>
              </w:rPr>
              <w:t>□</w:t>
            </w:r>
            <w:r>
              <w:rPr>
                <w:rFonts w:hint="default"/>
                <w:color w:val="auto"/>
              </w:rPr>
              <w:t xml:space="preserve">；平水期 □；枯水期 </w:t>
            </w:r>
            <w:r>
              <w:rPr>
                <w:rFonts w:hint="eastAsia"/>
                <w:color w:val="auto"/>
                <w:lang w:eastAsia="zh-CN"/>
              </w:rPr>
              <w:t>☑</w:t>
            </w:r>
            <w:r>
              <w:rPr>
                <w:rFonts w:hint="default"/>
                <w:color w:val="auto"/>
              </w:rPr>
              <w:t>；冰封期 □</w:t>
            </w:r>
            <w:r>
              <w:rPr>
                <w:rFonts w:hint="default"/>
                <w:color w:val="auto"/>
              </w:rPr>
              <w:br w:type="textWrapping"/>
            </w:r>
            <w:r>
              <w:rPr>
                <w:rFonts w:hint="default"/>
                <w:color w:val="auto"/>
              </w:rPr>
              <w:t>春季 □；夏季 □；秋季 □；冬季 □</w:t>
            </w:r>
            <w:r>
              <w:rPr>
                <w:rFonts w:hint="default"/>
                <w:color w:val="auto"/>
              </w:rPr>
              <w:br w:type="textWrapping"/>
            </w:r>
            <w:r>
              <w:rPr>
                <w:rFonts w:hint="default"/>
                <w:color w:val="auto"/>
              </w:rPr>
              <w:t>设计水文条件 □</w:t>
            </w:r>
          </w:p>
        </w:tc>
      </w:tr>
      <w:tr w14:paraId="13D67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252F4BD4">
            <w:pPr>
              <w:pStyle w:val="12"/>
              <w:bidi w:val="0"/>
              <w:rPr>
                <w:rFonts w:hint="default"/>
                <w:color w:val="auto"/>
              </w:rPr>
            </w:pPr>
          </w:p>
        </w:tc>
        <w:tc>
          <w:tcPr>
            <w:tcW w:w="526" w:type="pct"/>
            <w:tcBorders>
              <w:tl2br w:val="nil"/>
              <w:tr2bl w:val="nil"/>
            </w:tcBorders>
            <w:noWrap w:val="0"/>
            <w:vAlign w:val="center"/>
          </w:tcPr>
          <w:p w14:paraId="6BB80B6F">
            <w:pPr>
              <w:pStyle w:val="12"/>
              <w:bidi w:val="0"/>
              <w:rPr>
                <w:rFonts w:hint="default"/>
                <w:color w:val="auto"/>
              </w:rPr>
            </w:pPr>
            <w:r>
              <w:rPr>
                <w:rFonts w:hint="default"/>
                <w:color w:val="auto"/>
              </w:rPr>
              <w:t>预测情景</w:t>
            </w:r>
          </w:p>
        </w:tc>
        <w:tc>
          <w:tcPr>
            <w:tcW w:w="4294" w:type="pct"/>
            <w:gridSpan w:val="11"/>
            <w:tcBorders>
              <w:tl2br w:val="nil"/>
              <w:tr2bl w:val="nil"/>
            </w:tcBorders>
            <w:noWrap w:val="0"/>
            <w:vAlign w:val="center"/>
          </w:tcPr>
          <w:p w14:paraId="6CF2B2C7">
            <w:pPr>
              <w:pStyle w:val="12"/>
              <w:bidi w:val="0"/>
              <w:jc w:val="left"/>
              <w:rPr>
                <w:rFonts w:hint="default"/>
                <w:color w:val="auto"/>
              </w:rPr>
            </w:pPr>
            <w:r>
              <w:rPr>
                <w:rFonts w:hint="default"/>
                <w:color w:val="auto"/>
              </w:rPr>
              <w:t xml:space="preserve">建设期 □；生产运行期 </w:t>
            </w:r>
            <w:r>
              <w:rPr>
                <w:rFonts w:hint="eastAsia"/>
                <w:color w:val="auto"/>
                <w:lang w:eastAsia="zh-CN"/>
              </w:rPr>
              <w:t>☑</w:t>
            </w:r>
            <w:r>
              <w:rPr>
                <w:rFonts w:hint="default"/>
                <w:color w:val="auto"/>
              </w:rPr>
              <w:t>；服务期满后 □</w:t>
            </w:r>
            <w:r>
              <w:rPr>
                <w:rFonts w:hint="default"/>
                <w:color w:val="auto"/>
              </w:rPr>
              <w:br w:type="textWrapping"/>
            </w:r>
            <w:r>
              <w:rPr>
                <w:rFonts w:hint="default"/>
                <w:color w:val="auto"/>
              </w:rPr>
              <w:t xml:space="preserve">正常工况 </w:t>
            </w:r>
            <w:r>
              <w:rPr>
                <w:rFonts w:hint="eastAsia"/>
                <w:color w:val="auto"/>
                <w:lang w:eastAsia="zh-CN"/>
              </w:rPr>
              <w:t>☑</w:t>
            </w:r>
            <w:r>
              <w:rPr>
                <w:rFonts w:hint="default"/>
                <w:color w:val="auto"/>
              </w:rPr>
              <w:t xml:space="preserve">；非正常工况 </w:t>
            </w:r>
            <w:r>
              <w:rPr>
                <w:rFonts w:hint="eastAsia"/>
                <w:color w:val="auto"/>
                <w:lang w:eastAsia="zh-CN"/>
              </w:rPr>
              <w:t>☑</w:t>
            </w:r>
            <w:r>
              <w:rPr>
                <w:rFonts w:hint="default"/>
                <w:color w:val="auto"/>
              </w:rPr>
              <w:br w:type="textWrapping"/>
            </w:r>
            <w:r>
              <w:rPr>
                <w:rFonts w:hint="default"/>
                <w:color w:val="auto"/>
              </w:rPr>
              <w:t>污染控制和减缓措施方案 □</w:t>
            </w:r>
            <w:r>
              <w:rPr>
                <w:rFonts w:hint="default"/>
                <w:color w:val="auto"/>
              </w:rPr>
              <w:br w:type="textWrapping"/>
            </w:r>
            <w:r>
              <w:rPr>
                <w:rFonts w:hint="default"/>
                <w:color w:val="auto"/>
              </w:rPr>
              <w:t>区（流）域环境质量改善目标要求情景 □</w:t>
            </w:r>
          </w:p>
        </w:tc>
      </w:tr>
      <w:tr w14:paraId="3EC84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C9CBD4A">
            <w:pPr>
              <w:pStyle w:val="12"/>
              <w:bidi w:val="0"/>
              <w:rPr>
                <w:rFonts w:hint="default"/>
                <w:color w:val="auto"/>
              </w:rPr>
            </w:pPr>
          </w:p>
        </w:tc>
        <w:tc>
          <w:tcPr>
            <w:tcW w:w="526" w:type="pct"/>
            <w:tcBorders>
              <w:tl2br w:val="nil"/>
              <w:tr2bl w:val="nil"/>
            </w:tcBorders>
            <w:noWrap w:val="0"/>
            <w:vAlign w:val="center"/>
          </w:tcPr>
          <w:p w14:paraId="44CA0EB6">
            <w:pPr>
              <w:pStyle w:val="12"/>
              <w:bidi w:val="0"/>
              <w:rPr>
                <w:rFonts w:hint="default"/>
                <w:color w:val="auto"/>
              </w:rPr>
            </w:pPr>
            <w:r>
              <w:rPr>
                <w:rFonts w:hint="default"/>
                <w:color w:val="auto"/>
              </w:rPr>
              <w:t>预测方法</w:t>
            </w:r>
          </w:p>
        </w:tc>
        <w:tc>
          <w:tcPr>
            <w:tcW w:w="4294" w:type="pct"/>
            <w:gridSpan w:val="11"/>
            <w:tcBorders>
              <w:tl2br w:val="nil"/>
              <w:tr2bl w:val="nil"/>
            </w:tcBorders>
            <w:noWrap/>
            <w:vAlign w:val="center"/>
          </w:tcPr>
          <w:p w14:paraId="3B878D19">
            <w:pPr>
              <w:pStyle w:val="12"/>
              <w:bidi w:val="0"/>
              <w:jc w:val="left"/>
              <w:rPr>
                <w:rFonts w:hint="default"/>
                <w:color w:val="auto"/>
              </w:rPr>
            </w:pPr>
            <w:r>
              <w:rPr>
                <w:rFonts w:hint="default"/>
                <w:color w:val="auto"/>
              </w:rPr>
              <w:t xml:space="preserve">数值解 □：解析解 </w:t>
            </w:r>
            <w:r>
              <w:rPr>
                <w:rFonts w:hint="eastAsia"/>
                <w:color w:val="auto"/>
                <w:lang w:eastAsia="zh-CN"/>
              </w:rPr>
              <w:t>☑</w:t>
            </w:r>
            <w:r>
              <w:rPr>
                <w:rFonts w:hint="default"/>
                <w:color w:val="auto"/>
              </w:rPr>
              <w:t>；其他 □</w:t>
            </w:r>
          </w:p>
          <w:p w14:paraId="1245CCB3">
            <w:pPr>
              <w:pStyle w:val="12"/>
              <w:bidi w:val="0"/>
              <w:jc w:val="left"/>
              <w:rPr>
                <w:rFonts w:hint="default"/>
                <w:color w:val="auto"/>
              </w:rPr>
            </w:pPr>
            <w:r>
              <w:rPr>
                <w:rFonts w:hint="default"/>
                <w:color w:val="auto"/>
              </w:rPr>
              <w:t>导则推荐模式 □：其他 □</w:t>
            </w:r>
          </w:p>
        </w:tc>
      </w:tr>
      <w:tr w14:paraId="58D0B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2A30A149">
            <w:pPr>
              <w:pStyle w:val="12"/>
              <w:bidi w:val="0"/>
              <w:rPr>
                <w:rFonts w:hint="default"/>
                <w:color w:val="auto"/>
              </w:rPr>
            </w:pPr>
            <w:r>
              <w:rPr>
                <w:rFonts w:hint="default"/>
                <w:color w:val="auto"/>
              </w:rPr>
              <w:t>影响评价</w:t>
            </w:r>
          </w:p>
        </w:tc>
        <w:tc>
          <w:tcPr>
            <w:tcW w:w="526" w:type="pct"/>
            <w:tcBorders>
              <w:tl2br w:val="nil"/>
              <w:tr2bl w:val="nil"/>
            </w:tcBorders>
            <w:noWrap w:val="0"/>
            <w:vAlign w:val="center"/>
          </w:tcPr>
          <w:p w14:paraId="74409F1C">
            <w:pPr>
              <w:pStyle w:val="12"/>
              <w:bidi w:val="0"/>
              <w:rPr>
                <w:rFonts w:hint="default"/>
                <w:color w:val="auto"/>
              </w:rPr>
            </w:pPr>
            <w:r>
              <w:rPr>
                <w:rFonts w:hint="default"/>
                <w:color w:val="auto"/>
              </w:rPr>
              <w:t>水污染控制和水环境影响减缓措施有效性评价</w:t>
            </w:r>
          </w:p>
        </w:tc>
        <w:tc>
          <w:tcPr>
            <w:tcW w:w="4294" w:type="pct"/>
            <w:gridSpan w:val="11"/>
            <w:tcBorders>
              <w:tl2br w:val="nil"/>
              <w:tr2bl w:val="nil"/>
            </w:tcBorders>
            <w:noWrap/>
            <w:vAlign w:val="center"/>
          </w:tcPr>
          <w:p w14:paraId="4DDBFA50">
            <w:pPr>
              <w:pStyle w:val="12"/>
              <w:bidi w:val="0"/>
              <w:rPr>
                <w:rFonts w:hint="default"/>
                <w:color w:val="auto"/>
              </w:rPr>
            </w:pPr>
            <w:r>
              <w:rPr>
                <w:rFonts w:hint="default"/>
                <w:color w:val="auto"/>
              </w:rPr>
              <w:t>区（流）域水环境质量改善目标 □；替代削减源 □</w:t>
            </w:r>
          </w:p>
        </w:tc>
      </w:tr>
      <w:tr w14:paraId="6E081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38536E63">
            <w:pPr>
              <w:pStyle w:val="12"/>
              <w:bidi w:val="0"/>
              <w:rPr>
                <w:rFonts w:hint="default"/>
                <w:color w:val="auto"/>
              </w:rPr>
            </w:pPr>
          </w:p>
        </w:tc>
        <w:tc>
          <w:tcPr>
            <w:tcW w:w="526" w:type="pct"/>
            <w:tcBorders>
              <w:tl2br w:val="nil"/>
              <w:tr2bl w:val="nil"/>
            </w:tcBorders>
            <w:noWrap w:val="0"/>
            <w:vAlign w:val="center"/>
          </w:tcPr>
          <w:p w14:paraId="0F6F5D6F">
            <w:pPr>
              <w:pStyle w:val="12"/>
              <w:bidi w:val="0"/>
              <w:rPr>
                <w:rFonts w:hint="default"/>
                <w:color w:val="auto"/>
              </w:rPr>
            </w:pPr>
            <w:r>
              <w:rPr>
                <w:rFonts w:hint="default"/>
                <w:color w:val="auto"/>
              </w:rPr>
              <w:t>水环境影响评价</w:t>
            </w:r>
          </w:p>
        </w:tc>
        <w:tc>
          <w:tcPr>
            <w:tcW w:w="4294" w:type="pct"/>
            <w:gridSpan w:val="11"/>
            <w:tcBorders>
              <w:tl2br w:val="nil"/>
              <w:tr2bl w:val="nil"/>
            </w:tcBorders>
            <w:noWrap w:val="0"/>
            <w:vAlign w:val="center"/>
          </w:tcPr>
          <w:p w14:paraId="6A83C63E">
            <w:pPr>
              <w:pStyle w:val="12"/>
              <w:bidi w:val="0"/>
              <w:jc w:val="left"/>
              <w:rPr>
                <w:rFonts w:hint="default"/>
                <w:color w:val="auto"/>
              </w:rPr>
            </w:pPr>
            <w:r>
              <w:rPr>
                <w:rFonts w:hint="default"/>
                <w:color w:val="auto"/>
              </w:rPr>
              <w:t>排放口混合区外满足水环境管理要求 □</w:t>
            </w:r>
            <w:r>
              <w:rPr>
                <w:rFonts w:hint="default"/>
                <w:color w:val="auto"/>
              </w:rPr>
              <w:br w:type="textWrapping"/>
            </w:r>
            <w:r>
              <w:rPr>
                <w:rFonts w:hint="default"/>
                <w:color w:val="auto"/>
              </w:rPr>
              <w:t xml:space="preserve">水环境功能区或水功能区、近岸海域环境功能区水质达标 </w:t>
            </w:r>
            <w:r>
              <w:rPr>
                <w:rFonts w:hint="default"/>
                <w:color w:val="auto"/>
              </w:rPr>
              <w:sym w:font="Wingdings 2" w:char="F052"/>
            </w:r>
            <w:r>
              <w:rPr>
                <w:rFonts w:hint="default"/>
                <w:color w:val="auto"/>
              </w:rPr>
              <w:br w:type="textWrapping"/>
            </w:r>
            <w:r>
              <w:rPr>
                <w:rFonts w:hint="default"/>
                <w:color w:val="auto"/>
              </w:rPr>
              <w:t xml:space="preserve">满足水环境保护目标水域水环境质量要求 </w:t>
            </w:r>
            <w:r>
              <w:rPr>
                <w:rFonts w:hint="default"/>
                <w:color w:val="auto"/>
              </w:rPr>
              <w:sym w:font="Wingdings 2" w:char="0052"/>
            </w:r>
            <w:r>
              <w:rPr>
                <w:rFonts w:hint="default"/>
                <w:color w:val="auto"/>
              </w:rPr>
              <w:br w:type="textWrapping"/>
            </w:r>
            <w:r>
              <w:rPr>
                <w:rFonts w:hint="default"/>
                <w:color w:val="auto"/>
              </w:rPr>
              <w:t>水环境控制单元或断面水质达标 □</w:t>
            </w:r>
            <w:r>
              <w:rPr>
                <w:rFonts w:hint="default"/>
                <w:color w:val="auto"/>
              </w:rPr>
              <w:br w:type="textWrapping"/>
            </w:r>
            <w:r>
              <w:rPr>
                <w:rFonts w:hint="default"/>
                <w:color w:val="auto"/>
              </w:rPr>
              <w:t>满足重点水污染物排放总量控制指标要求，重点行业建设项目，主要污染物排放满足等量或减量替代要求 □</w:t>
            </w:r>
          </w:p>
          <w:p w14:paraId="557B3D88">
            <w:pPr>
              <w:pStyle w:val="12"/>
              <w:bidi w:val="0"/>
              <w:jc w:val="left"/>
              <w:rPr>
                <w:rFonts w:hint="default"/>
                <w:color w:val="auto"/>
              </w:rPr>
            </w:pPr>
            <w:r>
              <w:rPr>
                <w:rFonts w:hint="default"/>
                <w:color w:val="auto"/>
              </w:rPr>
              <w:t>满足区（流）域水环境质量改善目标要求 □</w:t>
            </w:r>
            <w:r>
              <w:rPr>
                <w:rFonts w:hint="default"/>
                <w:color w:val="auto"/>
              </w:rPr>
              <w:br w:type="textWrapping"/>
            </w:r>
            <w:r>
              <w:rPr>
                <w:rFonts w:hint="default"/>
                <w:color w:val="auto"/>
              </w:rPr>
              <w:t>水文要素影响型建设项目同时应包括水文情势变化评价、主要水文特征值影响评价、生态流量符合性评价 □</w:t>
            </w:r>
            <w:r>
              <w:rPr>
                <w:rFonts w:hint="default"/>
                <w:color w:val="auto"/>
              </w:rPr>
              <w:br w:type="textWrapping"/>
            </w:r>
            <w:r>
              <w:rPr>
                <w:rFonts w:hint="default"/>
                <w:color w:val="auto"/>
              </w:rPr>
              <w:t>对于新设或调整入河（湖库、近岸海域）排放口的建设项目，应包括排放口设置的环境合理性评价 □</w:t>
            </w:r>
            <w:r>
              <w:rPr>
                <w:rFonts w:hint="default"/>
                <w:color w:val="auto"/>
              </w:rPr>
              <w:br w:type="textWrapping"/>
            </w:r>
            <w:r>
              <w:rPr>
                <w:rFonts w:hint="default"/>
                <w:color w:val="auto"/>
              </w:rPr>
              <w:t xml:space="preserve">满足生态保护红线、水环境质量底线、资源利用上线和环境准入清单管理要求 </w:t>
            </w:r>
            <w:r>
              <w:rPr>
                <w:rFonts w:hint="default"/>
                <w:color w:val="auto"/>
              </w:rPr>
              <w:sym w:font="Wingdings 2" w:char="F052"/>
            </w:r>
          </w:p>
        </w:tc>
      </w:tr>
      <w:tr w14:paraId="0D70A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0D6E9769">
            <w:pPr>
              <w:pStyle w:val="12"/>
              <w:bidi w:val="0"/>
              <w:rPr>
                <w:rFonts w:hint="default"/>
                <w:color w:val="auto"/>
              </w:rPr>
            </w:pPr>
          </w:p>
        </w:tc>
        <w:tc>
          <w:tcPr>
            <w:tcW w:w="526" w:type="pct"/>
            <w:vMerge w:val="restart"/>
            <w:tcBorders>
              <w:tl2br w:val="nil"/>
              <w:tr2bl w:val="nil"/>
            </w:tcBorders>
            <w:noWrap w:val="0"/>
            <w:vAlign w:val="center"/>
          </w:tcPr>
          <w:p w14:paraId="38B7A953">
            <w:pPr>
              <w:pStyle w:val="12"/>
              <w:bidi w:val="0"/>
              <w:rPr>
                <w:rFonts w:hint="default"/>
                <w:color w:val="auto"/>
              </w:rPr>
            </w:pPr>
            <w:r>
              <w:rPr>
                <w:rFonts w:hint="default"/>
                <w:color w:val="auto"/>
              </w:rPr>
              <w:t>污染源排放量核算</w:t>
            </w:r>
          </w:p>
        </w:tc>
        <w:tc>
          <w:tcPr>
            <w:tcW w:w="645" w:type="pct"/>
            <w:tcBorders>
              <w:tl2br w:val="nil"/>
              <w:tr2bl w:val="nil"/>
            </w:tcBorders>
            <w:noWrap/>
            <w:vAlign w:val="center"/>
          </w:tcPr>
          <w:p w14:paraId="174B6D3E">
            <w:pPr>
              <w:pStyle w:val="12"/>
              <w:bidi w:val="0"/>
              <w:rPr>
                <w:rFonts w:hint="default"/>
                <w:color w:val="auto"/>
              </w:rPr>
            </w:pPr>
            <w:r>
              <w:rPr>
                <w:rFonts w:hint="default"/>
                <w:color w:val="auto"/>
              </w:rPr>
              <w:t>污染物名称</w:t>
            </w:r>
          </w:p>
        </w:tc>
        <w:tc>
          <w:tcPr>
            <w:tcW w:w="2629" w:type="pct"/>
            <w:gridSpan w:val="7"/>
            <w:tcBorders>
              <w:tl2br w:val="nil"/>
              <w:tr2bl w:val="nil"/>
            </w:tcBorders>
            <w:noWrap w:val="0"/>
            <w:vAlign w:val="center"/>
          </w:tcPr>
          <w:p w14:paraId="18D83C97">
            <w:pPr>
              <w:pStyle w:val="12"/>
              <w:bidi w:val="0"/>
              <w:rPr>
                <w:rFonts w:hint="default"/>
                <w:color w:val="auto"/>
              </w:rPr>
            </w:pPr>
            <w:r>
              <w:rPr>
                <w:rFonts w:hint="default"/>
                <w:color w:val="auto"/>
              </w:rPr>
              <w:t>排放量/（t/a）</w:t>
            </w:r>
          </w:p>
        </w:tc>
        <w:tc>
          <w:tcPr>
            <w:tcW w:w="1019" w:type="pct"/>
            <w:gridSpan w:val="3"/>
            <w:tcBorders>
              <w:tl2br w:val="nil"/>
              <w:tr2bl w:val="nil"/>
            </w:tcBorders>
            <w:noWrap w:val="0"/>
            <w:vAlign w:val="center"/>
          </w:tcPr>
          <w:p w14:paraId="6B112441">
            <w:pPr>
              <w:pStyle w:val="12"/>
              <w:bidi w:val="0"/>
              <w:rPr>
                <w:rFonts w:hint="default"/>
                <w:color w:val="auto"/>
              </w:rPr>
            </w:pPr>
            <w:r>
              <w:rPr>
                <w:rFonts w:hint="default"/>
                <w:color w:val="auto"/>
              </w:rPr>
              <w:t>排放浓度/（mg/L）</w:t>
            </w:r>
          </w:p>
        </w:tc>
      </w:tr>
      <w:tr w14:paraId="09D84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0513D89A">
            <w:pPr>
              <w:pStyle w:val="12"/>
              <w:bidi w:val="0"/>
              <w:rPr>
                <w:rFonts w:hint="default"/>
                <w:color w:val="auto"/>
              </w:rPr>
            </w:pPr>
          </w:p>
        </w:tc>
        <w:tc>
          <w:tcPr>
            <w:tcW w:w="526" w:type="pct"/>
            <w:vMerge w:val="continue"/>
            <w:tcBorders>
              <w:tl2br w:val="nil"/>
              <w:tr2bl w:val="nil"/>
            </w:tcBorders>
            <w:noWrap w:val="0"/>
            <w:vAlign w:val="center"/>
          </w:tcPr>
          <w:p w14:paraId="13D707E4">
            <w:pPr>
              <w:pStyle w:val="12"/>
              <w:bidi w:val="0"/>
              <w:rPr>
                <w:rFonts w:hint="default"/>
                <w:color w:val="auto"/>
              </w:rPr>
            </w:pPr>
          </w:p>
        </w:tc>
        <w:tc>
          <w:tcPr>
            <w:tcW w:w="645" w:type="pct"/>
            <w:tcBorders>
              <w:tl2br w:val="nil"/>
              <w:tr2bl w:val="nil"/>
            </w:tcBorders>
            <w:noWrap/>
            <w:vAlign w:val="center"/>
          </w:tcPr>
          <w:p w14:paraId="416ECE89">
            <w:pPr>
              <w:pStyle w:val="12"/>
              <w:bidi w:val="0"/>
              <w:rPr>
                <w:rFonts w:hint="default"/>
                <w:color w:val="auto"/>
              </w:rPr>
            </w:pPr>
            <w:r>
              <w:rPr>
                <w:rFonts w:hint="default"/>
                <w:color w:val="auto"/>
              </w:rPr>
              <w:t>（CODCr）</w:t>
            </w:r>
          </w:p>
          <w:p w14:paraId="4915C8E3">
            <w:pPr>
              <w:pStyle w:val="12"/>
              <w:bidi w:val="0"/>
              <w:rPr>
                <w:rFonts w:hint="default"/>
                <w:color w:val="auto"/>
              </w:rPr>
            </w:pPr>
            <w:r>
              <w:rPr>
                <w:rFonts w:hint="default"/>
                <w:color w:val="auto"/>
              </w:rPr>
              <w:t>（NH3-N）</w:t>
            </w:r>
          </w:p>
          <w:p w14:paraId="69259D00">
            <w:pPr>
              <w:pStyle w:val="12"/>
              <w:bidi w:val="0"/>
              <w:rPr>
                <w:rFonts w:hint="default"/>
                <w:color w:val="auto"/>
              </w:rPr>
            </w:pPr>
            <w:r>
              <w:rPr>
                <w:rFonts w:hint="default"/>
                <w:color w:val="auto"/>
              </w:rPr>
              <w:t>（总磷）</w:t>
            </w:r>
          </w:p>
          <w:p w14:paraId="390F4CED">
            <w:pPr>
              <w:pStyle w:val="12"/>
              <w:bidi w:val="0"/>
              <w:rPr>
                <w:rFonts w:hint="default"/>
                <w:color w:val="auto"/>
              </w:rPr>
            </w:pPr>
            <w:r>
              <w:rPr>
                <w:rFonts w:hint="default"/>
                <w:color w:val="auto"/>
              </w:rPr>
              <w:t>（</w:t>
            </w:r>
            <w:r>
              <w:rPr>
                <w:rFonts w:hint="eastAsia"/>
                <w:color w:val="auto"/>
                <w:lang w:val="en-US" w:eastAsia="zh-CN"/>
              </w:rPr>
              <w:t>石油类</w:t>
            </w:r>
            <w:r>
              <w:rPr>
                <w:rFonts w:hint="default"/>
                <w:color w:val="auto"/>
              </w:rPr>
              <w:t>）</w:t>
            </w:r>
          </w:p>
          <w:p w14:paraId="1C8C4A7F">
            <w:pPr>
              <w:pStyle w:val="12"/>
              <w:bidi w:val="0"/>
              <w:rPr>
                <w:rFonts w:hint="default"/>
                <w:color w:val="auto"/>
              </w:rPr>
            </w:pPr>
            <w:r>
              <w:rPr>
                <w:rFonts w:hint="default"/>
                <w:color w:val="auto"/>
              </w:rPr>
              <w:t>（</w:t>
            </w:r>
            <w:r>
              <w:rPr>
                <w:rFonts w:hint="eastAsia"/>
                <w:color w:val="auto"/>
                <w:lang w:val="en-US" w:eastAsia="zh-CN"/>
              </w:rPr>
              <w:t>甲醛</w:t>
            </w:r>
            <w:r>
              <w:rPr>
                <w:rFonts w:hint="default"/>
                <w:color w:val="auto"/>
              </w:rPr>
              <w:t>）</w:t>
            </w:r>
          </w:p>
        </w:tc>
        <w:tc>
          <w:tcPr>
            <w:tcW w:w="2629" w:type="pct"/>
            <w:gridSpan w:val="7"/>
            <w:tcBorders>
              <w:tl2br w:val="nil"/>
              <w:tr2bl w:val="nil"/>
            </w:tcBorders>
            <w:noWrap w:val="0"/>
            <w:vAlign w:val="center"/>
          </w:tcPr>
          <w:p w14:paraId="69B37C16">
            <w:pPr>
              <w:pStyle w:val="12"/>
              <w:bidi w:val="0"/>
              <w:jc w:val="left"/>
              <w:rPr>
                <w:rFonts w:hint="default"/>
                <w:color w:val="auto"/>
              </w:rPr>
            </w:pPr>
            <w:r>
              <w:rPr>
                <w:rFonts w:hint="default"/>
                <w:color w:val="auto"/>
              </w:rPr>
              <w:t>（</w:t>
            </w:r>
            <w:r>
              <w:rPr>
                <w:rFonts w:hint="eastAsia"/>
                <w:color w:val="auto"/>
                <w:lang w:val="en-US" w:eastAsia="zh-CN"/>
              </w:rPr>
              <w:t>54.75</w:t>
            </w:r>
            <w:r>
              <w:rPr>
                <w:rFonts w:hint="default"/>
                <w:color w:val="auto"/>
              </w:rPr>
              <w:t>）</w:t>
            </w:r>
          </w:p>
          <w:p w14:paraId="061994C1">
            <w:pPr>
              <w:pStyle w:val="12"/>
              <w:bidi w:val="0"/>
              <w:jc w:val="left"/>
              <w:rPr>
                <w:rFonts w:hint="default"/>
                <w:color w:val="auto"/>
              </w:rPr>
            </w:pPr>
            <w:r>
              <w:rPr>
                <w:rFonts w:hint="default"/>
                <w:color w:val="auto"/>
              </w:rPr>
              <w:t>（</w:t>
            </w:r>
            <w:r>
              <w:rPr>
                <w:rFonts w:hint="eastAsia"/>
                <w:color w:val="auto"/>
                <w:lang w:val="en-US" w:eastAsia="zh-CN"/>
              </w:rPr>
              <w:t>5.475</w:t>
            </w:r>
            <w:r>
              <w:rPr>
                <w:rFonts w:hint="default"/>
                <w:color w:val="auto"/>
              </w:rPr>
              <w:t>）</w:t>
            </w:r>
          </w:p>
          <w:p w14:paraId="0E4F9563">
            <w:pPr>
              <w:pStyle w:val="12"/>
              <w:bidi w:val="0"/>
              <w:jc w:val="left"/>
              <w:rPr>
                <w:rFonts w:hint="default"/>
                <w:color w:val="auto"/>
              </w:rPr>
            </w:pPr>
            <w:r>
              <w:rPr>
                <w:rFonts w:hint="default"/>
                <w:color w:val="auto"/>
              </w:rPr>
              <w:t>（</w:t>
            </w:r>
            <w:r>
              <w:rPr>
                <w:rFonts w:hint="eastAsia"/>
                <w:color w:val="auto"/>
                <w:lang w:val="en-US" w:eastAsia="zh-CN"/>
              </w:rPr>
              <w:t>0.5475</w:t>
            </w:r>
            <w:r>
              <w:rPr>
                <w:rFonts w:hint="default"/>
                <w:color w:val="auto"/>
              </w:rPr>
              <w:t>）</w:t>
            </w:r>
          </w:p>
          <w:p w14:paraId="5094DA82">
            <w:pPr>
              <w:pStyle w:val="12"/>
              <w:bidi w:val="0"/>
              <w:jc w:val="left"/>
              <w:rPr>
                <w:rFonts w:hint="default"/>
                <w:color w:val="auto"/>
              </w:rPr>
            </w:pPr>
            <w:r>
              <w:rPr>
                <w:rFonts w:hint="default"/>
                <w:color w:val="auto"/>
              </w:rPr>
              <w:t>（</w:t>
            </w:r>
            <w:r>
              <w:rPr>
                <w:rFonts w:hint="eastAsia"/>
                <w:color w:val="auto"/>
                <w:lang w:val="en-US" w:eastAsia="zh-CN"/>
              </w:rPr>
              <w:t xml:space="preserve">1.095 </w:t>
            </w:r>
            <w:r>
              <w:rPr>
                <w:rFonts w:hint="default"/>
                <w:color w:val="auto"/>
              </w:rPr>
              <w:t>）</w:t>
            </w:r>
          </w:p>
          <w:p w14:paraId="6C0BC3A2">
            <w:pPr>
              <w:pStyle w:val="12"/>
              <w:bidi w:val="0"/>
              <w:jc w:val="left"/>
              <w:rPr>
                <w:rFonts w:hint="default"/>
                <w:color w:val="auto"/>
              </w:rPr>
            </w:pPr>
            <w:r>
              <w:rPr>
                <w:rFonts w:hint="default"/>
                <w:color w:val="auto"/>
              </w:rPr>
              <w:t>（</w:t>
            </w:r>
            <w:r>
              <w:rPr>
                <w:rFonts w:hint="eastAsia"/>
                <w:color w:val="auto"/>
                <w:lang w:val="en-US" w:eastAsia="zh-CN"/>
              </w:rPr>
              <w:t xml:space="preserve">1.095 </w:t>
            </w:r>
            <w:r>
              <w:rPr>
                <w:rFonts w:hint="default"/>
                <w:color w:val="auto"/>
              </w:rPr>
              <w:t>）</w:t>
            </w:r>
          </w:p>
        </w:tc>
        <w:tc>
          <w:tcPr>
            <w:tcW w:w="1019" w:type="pct"/>
            <w:gridSpan w:val="3"/>
            <w:tcBorders>
              <w:tl2br w:val="nil"/>
              <w:tr2bl w:val="nil"/>
            </w:tcBorders>
            <w:noWrap w:val="0"/>
            <w:vAlign w:val="center"/>
          </w:tcPr>
          <w:p w14:paraId="4596CC40">
            <w:pPr>
              <w:pStyle w:val="12"/>
              <w:bidi w:val="0"/>
              <w:rPr>
                <w:rFonts w:hint="default"/>
                <w:color w:val="auto"/>
              </w:rPr>
            </w:pPr>
            <w:r>
              <w:rPr>
                <w:rFonts w:hint="default"/>
                <w:color w:val="auto"/>
              </w:rPr>
              <w:t>（  ）</w:t>
            </w:r>
          </w:p>
          <w:p w14:paraId="08933977">
            <w:pPr>
              <w:pStyle w:val="12"/>
              <w:bidi w:val="0"/>
              <w:rPr>
                <w:rFonts w:hint="default"/>
                <w:color w:val="auto"/>
              </w:rPr>
            </w:pPr>
            <w:r>
              <w:rPr>
                <w:rFonts w:hint="default"/>
                <w:color w:val="auto"/>
              </w:rPr>
              <w:t>（  ）</w:t>
            </w:r>
          </w:p>
          <w:p w14:paraId="12A40E02">
            <w:pPr>
              <w:pStyle w:val="12"/>
              <w:bidi w:val="0"/>
              <w:rPr>
                <w:rFonts w:hint="default"/>
                <w:color w:val="auto"/>
              </w:rPr>
            </w:pPr>
            <w:r>
              <w:rPr>
                <w:rFonts w:hint="default"/>
                <w:color w:val="auto"/>
              </w:rPr>
              <w:t>（  ）</w:t>
            </w:r>
          </w:p>
        </w:tc>
      </w:tr>
      <w:tr w14:paraId="167A4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4DF726CC">
            <w:pPr>
              <w:pStyle w:val="12"/>
              <w:bidi w:val="0"/>
              <w:rPr>
                <w:rFonts w:hint="default"/>
                <w:color w:val="auto"/>
              </w:rPr>
            </w:pPr>
          </w:p>
        </w:tc>
        <w:tc>
          <w:tcPr>
            <w:tcW w:w="526" w:type="pct"/>
            <w:vMerge w:val="restart"/>
            <w:tcBorders>
              <w:tl2br w:val="nil"/>
              <w:tr2bl w:val="nil"/>
            </w:tcBorders>
            <w:noWrap w:val="0"/>
            <w:vAlign w:val="center"/>
          </w:tcPr>
          <w:p w14:paraId="3FF4BD4A">
            <w:pPr>
              <w:pStyle w:val="12"/>
              <w:bidi w:val="0"/>
              <w:rPr>
                <w:rFonts w:hint="default"/>
                <w:color w:val="auto"/>
              </w:rPr>
            </w:pPr>
            <w:r>
              <w:rPr>
                <w:rFonts w:hint="default"/>
                <w:color w:val="auto"/>
              </w:rPr>
              <w:t>替代源排放情况</w:t>
            </w:r>
          </w:p>
        </w:tc>
        <w:tc>
          <w:tcPr>
            <w:tcW w:w="645" w:type="pct"/>
            <w:tcBorders>
              <w:tl2br w:val="nil"/>
              <w:tr2bl w:val="nil"/>
            </w:tcBorders>
            <w:noWrap/>
            <w:vAlign w:val="center"/>
          </w:tcPr>
          <w:p w14:paraId="01C5E1A1">
            <w:pPr>
              <w:pStyle w:val="12"/>
              <w:bidi w:val="0"/>
              <w:rPr>
                <w:rFonts w:hint="default"/>
                <w:color w:val="auto"/>
              </w:rPr>
            </w:pPr>
            <w:r>
              <w:rPr>
                <w:rFonts w:hint="default"/>
                <w:color w:val="auto"/>
              </w:rPr>
              <w:t>污染源名称</w:t>
            </w:r>
          </w:p>
        </w:tc>
        <w:tc>
          <w:tcPr>
            <w:tcW w:w="731" w:type="pct"/>
            <w:gridSpan w:val="3"/>
            <w:tcBorders>
              <w:tl2br w:val="nil"/>
              <w:tr2bl w:val="nil"/>
            </w:tcBorders>
            <w:noWrap w:val="0"/>
            <w:vAlign w:val="center"/>
          </w:tcPr>
          <w:p w14:paraId="3E1219A8">
            <w:pPr>
              <w:pStyle w:val="12"/>
              <w:bidi w:val="0"/>
              <w:rPr>
                <w:rFonts w:hint="default"/>
                <w:color w:val="auto"/>
              </w:rPr>
            </w:pPr>
            <w:r>
              <w:rPr>
                <w:rFonts w:hint="default"/>
                <w:color w:val="auto"/>
              </w:rPr>
              <w:t>排污许可证编号</w:t>
            </w:r>
          </w:p>
        </w:tc>
        <w:tc>
          <w:tcPr>
            <w:tcW w:w="1001" w:type="pct"/>
            <w:gridSpan w:val="3"/>
            <w:tcBorders>
              <w:tl2br w:val="nil"/>
              <w:tr2bl w:val="nil"/>
            </w:tcBorders>
            <w:noWrap w:val="0"/>
            <w:vAlign w:val="center"/>
          </w:tcPr>
          <w:p w14:paraId="45E532A0">
            <w:pPr>
              <w:pStyle w:val="12"/>
              <w:bidi w:val="0"/>
              <w:rPr>
                <w:rFonts w:hint="default"/>
                <w:color w:val="auto"/>
              </w:rPr>
            </w:pPr>
            <w:r>
              <w:rPr>
                <w:rFonts w:hint="default"/>
                <w:color w:val="auto"/>
              </w:rPr>
              <w:t>污染物名称</w:t>
            </w:r>
          </w:p>
        </w:tc>
        <w:tc>
          <w:tcPr>
            <w:tcW w:w="1240" w:type="pct"/>
            <w:gridSpan w:val="2"/>
            <w:tcBorders>
              <w:tl2br w:val="nil"/>
              <w:tr2bl w:val="nil"/>
            </w:tcBorders>
            <w:noWrap w:val="0"/>
            <w:vAlign w:val="center"/>
          </w:tcPr>
          <w:p w14:paraId="64FED366">
            <w:pPr>
              <w:pStyle w:val="12"/>
              <w:bidi w:val="0"/>
              <w:rPr>
                <w:rFonts w:hint="default"/>
                <w:color w:val="auto"/>
              </w:rPr>
            </w:pPr>
            <w:r>
              <w:rPr>
                <w:rFonts w:hint="default"/>
                <w:color w:val="auto"/>
              </w:rPr>
              <w:t>排放量/（t/a）</w:t>
            </w:r>
          </w:p>
        </w:tc>
        <w:tc>
          <w:tcPr>
            <w:tcW w:w="675" w:type="pct"/>
            <w:gridSpan w:val="2"/>
            <w:tcBorders>
              <w:tl2br w:val="nil"/>
              <w:tr2bl w:val="nil"/>
            </w:tcBorders>
            <w:noWrap w:val="0"/>
            <w:vAlign w:val="center"/>
          </w:tcPr>
          <w:p w14:paraId="7FE67E2F">
            <w:pPr>
              <w:pStyle w:val="12"/>
              <w:bidi w:val="0"/>
              <w:rPr>
                <w:rFonts w:hint="default"/>
                <w:color w:val="auto"/>
              </w:rPr>
            </w:pPr>
            <w:r>
              <w:rPr>
                <w:rFonts w:hint="default"/>
                <w:color w:val="auto"/>
              </w:rPr>
              <w:t>排放浓度/（mg/L）</w:t>
            </w:r>
          </w:p>
        </w:tc>
      </w:tr>
      <w:tr w14:paraId="117F3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5544C72C">
            <w:pPr>
              <w:pStyle w:val="12"/>
              <w:bidi w:val="0"/>
              <w:rPr>
                <w:rFonts w:hint="default"/>
                <w:color w:val="auto"/>
              </w:rPr>
            </w:pPr>
          </w:p>
        </w:tc>
        <w:tc>
          <w:tcPr>
            <w:tcW w:w="526" w:type="pct"/>
            <w:vMerge w:val="continue"/>
            <w:tcBorders>
              <w:tl2br w:val="nil"/>
              <w:tr2bl w:val="nil"/>
            </w:tcBorders>
            <w:noWrap w:val="0"/>
            <w:vAlign w:val="center"/>
          </w:tcPr>
          <w:p w14:paraId="4B847778">
            <w:pPr>
              <w:pStyle w:val="12"/>
              <w:bidi w:val="0"/>
              <w:rPr>
                <w:rFonts w:hint="default"/>
                <w:color w:val="auto"/>
              </w:rPr>
            </w:pPr>
          </w:p>
        </w:tc>
        <w:tc>
          <w:tcPr>
            <w:tcW w:w="645" w:type="pct"/>
            <w:tcBorders>
              <w:tl2br w:val="nil"/>
              <w:tr2bl w:val="nil"/>
            </w:tcBorders>
            <w:noWrap/>
            <w:vAlign w:val="center"/>
          </w:tcPr>
          <w:p w14:paraId="7D5D5787">
            <w:pPr>
              <w:pStyle w:val="12"/>
              <w:bidi w:val="0"/>
              <w:rPr>
                <w:rFonts w:hint="default"/>
                <w:color w:val="auto"/>
              </w:rPr>
            </w:pPr>
            <w:r>
              <w:rPr>
                <w:rFonts w:hint="default"/>
                <w:color w:val="auto"/>
              </w:rPr>
              <w:t>（   ）</w:t>
            </w:r>
          </w:p>
        </w:tc>
        <w:tc>
          <w:tcPr>
            <w:tcW w:w="731" w:type="pct"/>
            <w:gridSpan w:val="3"/>
            <w:tcBorders>
              <w:tl2br w:val="nil"/>
              <w:tr2bl w:val="nil"/>
            </w:tcBorders>
            <w:noWrap w:val="0"/>
            <w:vAlign w:val="center"/>
          </w:tcPr>
          <w:p w14:paraId="011380BF">
            <w:pPr>
              <w:pStyle w:val="12"/>
              <w:bidi w:val="0"/>
              <w:rPr>
                <w:rFonts w:hint="default"/>
                <w:color w:val="auto"/>
              </w:rPr>
            </w:pPr>
            <w:r>
              <w:rPr>
                <w:rFonts w:hint="default"/>
                <w:color w:val="auto"/>
              </w:rPr>
              <w:t>（   ）</w:t>
            </w:r>
          </w:p>
        </w:tc>
        <w:tc>
          <w:tcPr>
            <w:tcW w:w="1001" w:type="pct"/>
            <w:gridSpan w:val="3"/>
            <w:tcBorders>
              <w:tl2br w:val="nil"/>
              <w:tr2bl w:val="nil"/>
            </w:tcBorders>
            <w:noWrap w:val="0"/>
            <w:vAlign w:val="center"/>
          </w:tcPr>
          <w:p w14:paraId="6AB77970">
            <w:pPr>
              <w:pStyle w:val="12"/>
              <w:bidi w:val="0"/>
              <w:rPr>
                <w:rFonts w:hint="default"/>
                <w:color w:val="auto"/>
              </w:rPr>
            </w:pPr>
            <w:r>
              <w:rPr>
                <w:rFonts w:hint="default"/>
                <w:color w:val="auto"/>
              </w:rPr>
              <w:t>（   ）</w:t>
            </w:r>
          </w:p>
        </w:tc>
        <w:tc>
          <w:tcPr>
            <w:tcW w:w="1240" w:type="pct"/>
            <w:gridSpan w:val="2"/>
            <w:tcBorders>
              <w:tl2br w:val="nil"/>
              <w:tr2bl w:val="nil"/>
            </w:tcBorders>
            <w:noWrap w:val="0"/>
            <w:vAlign w:val="center"/>
          </w:tcPr>
          <w:p w14:paraId="6AF89B6A">
            <w:pPr>
              <w:pStyle w:val="12"/>
              <w:bidi w:val="0"/>
              <w:rPr>
                <w:rFonts w:hint="default"/>
                <w:color w:val="auto"/>
              </w:rPr>
            </w:pPr>
            <w:r>
              <w:rPr>
                <w:rFonts w:hint="default"/>
                <w:color w:val="auto"/>
              </w:rPr>
              <w:t>（   ）</w:t>
            </w:r>
          </w:p>
        </w:tc>
        <w:tc>
          <w:tcPr>
            <w:tcW w:w="675" w:type="pct"/>
            <w:gridSpan w:val="2"/>
            <w:tcBorders>
              <w:tl2br w:val="nil"/>
              <w:tr2bl w:val="nil"/>
            </w:tcBorders>
            <w:noWrap w:val="0"/>
            <w:vAlign w:val="center"/>
          </w:tcPr>
          <w:p w14:paraId="443E925E">
            <w:pPr>
              <w:pStyle w:val="12"/>
              <w:bidi w:val="0"/>
              <w:rPr>
                <w:rFonts w:hint="default"/>
                <w:color w:val="auto"/>
              </w:rPr>
            </w:pPr>
            <w:r>
              <w:rPr>
                <w:rFonts w:hint="default"/>
                <w:color w:val="auto"/>
              </w:rPr>
              <w:t>（   ）</w:t>
            </w:r>
          </w:p>
        </w:tc>
      </w:tr>
      <w:tr w14:paraId="78FB0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0349ECB6">
            <w:pPr>
              <w:pStyle w:val="12"/>
              <w:bidi w:val="0"/>
              <w:rPr>
                <w:rFonts w:hint="default"/>
                <w:color w:val="auto"/>
              </w:rPr>
            </w:pPr>
          </w:p>
        </w:tc>
        <w:tc>
          <w:tcPr>
            <w:tcW w:w="526" w:type="pct"/>
            <w:tcBorders>
              <w:tl2br w:val="nil"/>
              <w:tr2bl w:val="nil"/>
            </w:tcBorders>
            <w:noWrap w:val="0"/>
            <w:vAlign w:val="center"/>
          </w:tcPr>
          <w:p w14:paraId="64ACD644">
            <w:pPr>
              <w:pStyle w:val="12"/>
              <w:bidi w:val="0"/>
              <w:rPr>
                <w:rFonts w:hint="default"/>
                <w:color w:val="auto"/>
              </w:rPr>
            </w:pPr>
            <w:r>
              <w:rPr>
                <w:rFonts w:hint="default"/>
                <w:color w:val="auto"/>
              </w:rPr>
              <w:t>生态流量确定</w:t>
            </w:r>
          </w:p>
        </w:tc>
        <w:tc>
          <w:tcPr>
            <w:tcW w:w="4294" w:type="pct"/>
            <w:gridSpan w:val="11"/>
            <w:tcBorders>
              <w:tl2br w:val="nil"/>
              <w:tr2bl w:val="nil"/>
            </w:tcBorders>
            <w:noWrap/>
            <w:vAlign w:val="center"/>
          </w:tcPr>
          <w:p w14:paraId="6DEA4F1D">
            <w:pPr>
              <w:pStyle w:val="12"/>
              <w:bidi w:val="0"/>
              <w:rPr>
                <w:rFonts w:hint="default"/>
                <w:color w:val="auto"/>
              </w:rPr>
            </w:pPr>
            <w:r>
              <w:rPr>
                <w:rFonts w:hint="default"/>
                <w:color w:val="auto"/>
              </w:rPr>
              <w:t>生态流量：一般水期（   ）m3/s；鱼类繁殖期（   ）m3/s；其他（   ）m3/s</w:t>
            </w:r>
          </w:p>
          <w:p w14:paraId="0501146E">
            <w:pPr>
              <w:pStyle w:val="12"/>
              <w:bidi w:val="0"/>
              <w:rPr>
                <w:rFonts w:hint="default"/>
                <w:color w:val="auto"/>
              </w:rPr>
            </w:pPr>
            <w:r>
              <w:rPr>
                <w:rFonts w:hint="default"/>
                <w:color w:val="auto"/>
              </w:rPr>
              <w:t>生态水位：一般水期（   ）m；鱼类繁殖期（   ）m；其他（   ）m</w:t>
            </w:r>
          </w:p>
        </w:tc>
      </w:tr>
      <w:tr w14:paraId="06803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restart"/>
            <w:tcBorders>
              <w:tl2br w:val="nil"/>
              <w:tr2bl w:val="nil"/>
            </w:tcBorders>
            <w:noWrap/>
            <w:textDirection w:val="tbRlV"/>
            <w:vAlign w:val="center"/>
          </w:tcPr>
          <w:p w14:paraId="529309DD">
            <w:pPr>
              <w:pStyle w:val="12"/>
              <w:bidi w:val="0"/>
              <w:rPr>
                <w:rFonts w:hint="default"/>
                <w:color w:val="auto"/>
              </w:rPr>
            </w:pPr>
            <w:r>
              <w:rPr>
                <w:rFonts w:hint="default"/>
                <w:color w:val="auto"/>
              </w:rPr>
              <w:t>防治措施</w:t>
            </w:r>
          </w:p>
        </w:tc>
        <w:tc>
          <w:tcPr>
            <w:tcW w:w="526" w:type="pct"/>
            <w:tcBorders>
              <w:tl2br w:val="nil"/>
              <w:tr2bl w:val="nil"/>
            </w:tcBorders>
            <w:noWrap w:val="0"/>
            <w:vAlign w:val="center"/>
          </w:tcPr>
          <w:p w14:paraId="15DD390F">
            <w:pPr>
              <w:pStyle w:val="12"/>
              <w:bidi w:val="0"/>
              <w:rPr>
                <w:rFonts w:hint="default"/>
                <w:color w:val="auto"/>
              </w:rPr>
            </w:pPr>
            <w:r>
              <w:rPr>
                <w:rFonts w:hint="default"/>
                <w:color w:val="auto"/>
              </w:rPr>
              <w:t>环保措施</w:t>
            </w:r>
          </w:p>
        </w:tc>
        <w:tc>
          <w:tcPr>
            <w:tcW w:w="4294" w:type="pct"/>
            <w:gridSpan w:val="11"/>
            <w:tcBorders>
              <w:tl2br w:val="nil"/>
              <w:tr2bl w:val="nil"/>
            </w:tcBorders>
            <w:noWrap/>
            <w:vAlign w:val="center"/>
          </w:tcPr>
          <w:p w14:paraId="0491D873">
            <w:pPr>
              <w:pStyle w:val="12"/>
              <w:bidi w:val="0"/>
              <w:rPr>
                <w:rFonts w:hint="default"/>
                <w:color w:val="auto"/>
              </w:rPr>
            </w:pPr>
            <w:r>
              <w:rPr>
                <w:rFonts w:hint="default"/>
                <w:color w:val="auto"/>
              </w:rPr>
              <w:t xml:space="preserve">污水处理设施 </w:t>
            </w:r>
            <w:r>
              <w:rPr>
                <w:rFonts w:hint="default"/>
                <w:color w:val="auto"/>
              </w:rPr>
              <w:sym w:font="Wingdings 2" w:char="0052"/>
            </w:r>
            <w:r>
              <w:rPr>
                <w:rFonts w:hint="default"/>
                <w:color w:val="auto"/>
              </w:rPr>
              <w:t>；水文减缓设施 □；生态流量保障设施 □；区域削减 □；</w:t>
            </w:r>
          </w:p>
          <w:p w14:paraId="29261F4D">
            <w:pPr>
              <w:pStyle w:val="12"/>
              <w:bidi w:val="0"/>
              <w:rPr>
                <w:rFonts w:hint="default"/>
                <w:color w:val="auto"/>
              </w:rPr>
            </w:pPr>
            <w:r>
              <w:rPr>
                <w:rFonts w:hint="default"/>
                <w:color w:val="auto"/>
              </w:rPr>
              <w:t xml:space="preserve">依托其他工程措施 </w:t>
            </w:r>
            <w:r>
              <w:rPr>
                <w:rFonts w:hint="default"/>
                <w:color w:val="auto"/>
              </w:rPr>
              <w:sym w:font="Wingdings 2" w:char="00A3"/>
            </w:r>
            <w:r>
              <w:rPr>
                <w:rFonts w:hint="default"/>
                <w:color w:val="auto"/>
              </w:rPr>
              <w:t>；其他 □</w:t>
            </w:r>
          </w:p>
        </w:tc>
      </w:tr>
      <w:tr w14:paraId="2BF34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4E40796F">
            <w:pPr>
              <w:pStyle w:val="12"/>
              <w:bidi w:val="0"/>
              <w:rPr>
                <w:rFonts w:hint="default"/>
                <w:color w:val="auto"/>
              </w:rPr>
            </w:pPr>
          </w:p>
        </w:tc>
        <w:tc>
          <w:tcPr>
            <w:tcW w:w="526" w:type="pct"/>
            <w:vMerge w:val="restart"/>
            <w:tcBorders>
              <w:tl2br w:val="nil"/>
              <w:tr2bl w:val="nil"/>
            </w:tcBorders>
            <w:noWrap w:val="0"/>
            <w:vAlign w:val="center"/>
          </w:tcPr>
          <w:p w14:paraId="506DF266">
            <w:pPr>
              <w:pStyle w:val="12"/>
              <w:bidi w:val="0"/>
              <w:rPr>
                <w:rFonts w:hint="default"/>
                <w:color w:val="auto"/>
              </w:rPr>
            </w:pPr>
            <w:r>
              <w:rPr>
                <w:rFonts w:hint="default"/>
                <w:color w:val="auto"/>
              </w:rPr>
              <w:t>监测计划</w:t>
            </w:r>
          </w:p>
        </w:tc>
        <w:tc>
          <w:tcPr>
            <w:tcW w:w="1105" w:type="pct"/>
            <w:gridSpan w:val="3"/>
            <w:tcBorders>
              <w:tl2br w:val="nil"/>
              <w:tr2bl w:val="nil"/>
            </w:tcBorders>
            <w:noWrap/>
            <w:vAlign w:val="center"/>
          </w:tcPr>
          <w:p w14:paraId="37C48D3A">
            <w:pPr>
              <w:pStyle w:val="12"/>
              <w:bidi w:val="0"/>
              <w:rPr>
                <w:rFonts w:hint="default"/>
                <w:color w:val="auto"/>
              </w:rPr>
            </w:pPr>
          </w:p>
        </w:tc>
        <w:tc>
          <w:tcPr>
            <w:tcW w:w="1221" w:type="pct"/>
            <w:gridSpan w:val="3"/>
            <w:tcBorders>
              <w:tl2br w:val="nil"/>
              <w:tr2bl w:val="nil"/>
            </w:tcBorders>
            <w:noWrap w:val="0"/>
            <w:vAlign w:val="center"/>
          </w:tcPr>
          <w:p w14:paraId="246E49B5">
            <w:pPr>
              <w:pStyle w:val="12"/>
              <w:bidi w:val="0"/>
              <w:rPr>
                <w:rFonts w:hint="default"/>
                <w:color w:val="auto"/>
              </w:rPr>
            </w:pPr>
            <w:r>
              <w:rPr>
                <w:rFonts w:hint="default"/>
                <w:color w:val="auto"/>
              </w:rPr>
              <w:t>环境质量</w:t>
            </w:r>
          </w:p>
        </w:tc>
        <w:tc>
          <w:tcPr>
            <w:tcW w:w="1967" w:type="pct"/>
            <w:gridSpan w:val="5"/>
            <w:tcBorders>
              <w:tl2br w:val="nil"/>
              <w:tr2bl w:val="nil"/>
            </w:tcBorders>
            <w:noWrap w:val="0"/>
            <w:vAlign w:val="center"/>
          </w:tcPr>
          <w:p w14:paraId="2864506D">
            <w:pPr>
              <w:pStyle w:val="12"/>
              <w:bidi w:val="0"/>
              <w:rPr>
                <w:rFonts w:hint="default"/>
                <w:color w:val="auto"/>
              </w:rPr>
            </w:pPr>
            <w:r>
              <w:rPr>
                <w:rFonts w:hint="default"/>
                <w:color w:val="auto"/>
              </w:rPr>
              <w:t>污染源</w:t>
            </w:r>
          </w:p>
        </w:tc>
      </w:tr>
      <w:tr w14:paraId="1FC79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5520B9E3">
            <w:pPr>
              <w:pStyle w:val="12"/>
              <w:bidi w:val="0"/>
              <w:rPr>
                <w:rFonts w:hint="default"/>
                <w:color w:val="auto"/>
              </w:rPr>
            </w:pPr>
          </w:p>
        </w:tc>
        <w:tc>
          <w:tcPr>
            <w:tcW w:w="526" w:type="pct"/>
            <w:vMerge w:val="continue"/>
            <w:tcBorders>
              <w:tl2br w:val="nil"/>
              <w:tr2bl w:val="nil"/>
            </w:tcBorders>
            <w:noWrap w:val="0"/>
            <w:vAlign w:val="center"/>
          </w:tcPr>
          <w:p w14:paraId="12234CB2">
            <w:pPr>
              <w:pStyle w:val="12"/>
              <w:bidi w:val="0"/>
              <w:rPr>
                <w:rFonts w:hint="default"/>
                <w:color w:val="auto"/>
              </w:rPr>
            </w:pPr>
          </w:p>
        </w:tc>
        <w:tc>
          <w:tcPr>
            <w:tcW w:w="1105" w:type="pct"/>
            <w:gridSpan w:val="3"/>
            <w:tcBorders>
              <w:tl2br w:val="nil"/>
              <w:tr2bl w:val="nil"/>
            </w:tcBorders>
            <w:noWrap/>
            <w:vAlign w:val="center"/>
          </w:tcPr>
          <w:p w14:paraId="107477AB">
            <w:pPr>
              <w:pStyle w:val="12"/>
              <w:bidi w:val="0"/>
              <w:rPr>
                <w:rFonts w:hint="default"/>
                <w:color w:val="auto"/>
              </w:rPr>
            </w:pPr>
            <w:r>
              <w:rPr>
                <w:rFonts w:hint="default"/>
                <w:color w:val="auto"/>
              </w:rPr>
              <w:t>监测方式</w:t>
            </w:r>
          </w:p>
        </w:tc>
        <w:tc>
          <w:tcPr>
            <w:tcW w:w="1221" w:type="pct"/>
            <w:gridSpan w:val="3"/>
            <w:tcBorders>
              <w:tl2br w:val="nil"/>
              <w:tr2bl w:val="nil"/>
            </w:tcBorders>
            <w:noWrap w:val="0"/>
            <w:vAlign w:val="center"/>
          </w:tcPr>
          <w:p w14:paraId="1A90D266">
            <w:pPr>
              <w:pStyle w:val="12"/>
              <w:bidi w:val="0"/>
              <w:rPr>
                <w:rFonts w:hint="default"/>
                <w:color w:val="auto"/>
              </w:rPr>
            </w:pPr>
            <w:r>
              <w:rPr>
                <w:rFonts w:hint="default"/>
                <w:color w:val="auto"/>
              </w:rPr>
              <w:t xml:space="preserve">手动 □；自动 </w:t>
            </w:r>
            <w:r>
              <w:rPr>
                <w:rFonts w:hint="eastAsia"/>
                <w:color w:val="auto"/>
                <w:lang w:eastAsia="zh-CN"/>
              </w:rPr>
              <w:t>□</w:t>
            </w:r>
            <w:r>
              <w:rPr>
                <w:rFonts w:hint="default"/>
                <w:color w:val="auto"/>
              </w:rPr>
              <w:t>；无监测 □</w:t>
            </w:r>
          </w:p>
        </w:tc>
        <w:tc>
          <w:tcPr>
            <w:tcW w:w="1967" w:type="pct"/>
            <w:gridSpan w:val="5"/>
            <w:tcBorders>
              <w:tl2br w:val="nil"/>
              <w:tr2bl w:val="nil"/>
            </w:tcBorders>
            <w:noWrap w:val="0"/>
            <w:vAlign w:val="center"/>
          </w:tcPr>
          <w:p w14:paraId="3FBFB5D0">
            <w:pPr>
              <w:pStyle w:val="12"/>
              <w:bidi w:val="0"/>
              <w:rPr>
                <w:rFonts w:hint="default"/>
                <w:color w:val="auto"/>
              </w:rPr>
            </w:pPr>
            <w:r>
              <w:rPr>
                <w:rFonts w:hint="default"/>
                <w:color w:val="auto"/>
              </w:rPr>
              <w:t xml:space="preserve">手动 </w:t>
            </w:r>
            <w:r>
              <w:rPr>
                <w:rFonts w:hint="eastAsia"/>
                <w:color w:val="auto"/>
                <w:lang w:eastAsia="zh-CN"/>
              </w:rPr>
              <w:t>☑</w:t>
            </w:r>
            <w:r>
              <w:rPr>
                <w:rFonts w:hint="default"/>
                <w:color w:val="auto"/>
              </w:rPr>
              <w:t xml:space="preserve">；自动 </w:t>
            </w:r>
            <w:r>
              <w:rPr>
                <w:rFonts w:hint="eastAsia"/>
                <w:color w:val="auto"/>
                <w:lang w:eastAsia="zh-CN"/>
              </w:rPr>
              <w:t>☑</w:t>
            </w:r>
            <w:r>
              <w:rPr>
                <w:rFonts w:hint="default"/>
                <w:color w:val="auto"/>
              </w:rPr>
              <w:t>；无监测 □</w:t>
            </w:r>
          </w:p>
        </w:tc>
      </w:tr>
      <w:tr w14:paraId="78EB4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56DC329">
            <w:pPr>
              <w:pStyle w:val="12"/>
              <w:bidi w:val="0"/>
              <w:rPr>
                <w:rFonts w:hint="default"/>
                <w:color w:val="auto"/>
              </w:rPr>
            </w:pPr>
          </w:p>
        </w:tc>
        <w:tc>
          <w:tcPr>
            <w:tcW w:w="526" w:type="pct"/>
            <w:vMerge w:val="continue"/>
            <w:tcBorders>
              <w:tl2br w:val="nil"/>
              <w:tr2bl w:val="nil"/>
            </w:tcBorders>
            <w:noWrap w:val="0"/>
            <w:vAlign w:val="center"/>
          </w:tcPr>
          <w:p w14:paraId="1D1ED89D">
            <w:pPr>
              <w:pStyle w:val="12"/>
              <w:bidi w:val="0"/>
              <w:rPr>
                <w:rFonts w:hint="default"/>
                <w:color w:val="auto"/>
              </w:rPr>
            </w:pPr>
          </w:p>
        </w:tc>
        <w:tc>
          <w:tcPr>
            <w:tcW w:w="1105" w:type="pct"/>
            <w:gridSpan w:val="3"/>
            <w:tcBorders>
              <w:tl2br w:val="nil"/>
              <w:tr2bl w:val="nil"/>
            </w:tcBorders>
            <w:noWrap/>
            <w:vAlign w:val="center"/>
          </w:tcPr>
          <w:p w14:paraId="7B9C4BA2">
            <w:pPr>
              <w:pStyle w:val="12"/>
              <w:bidi w:val="0"/>
              <w:rPr>
                <w:rFonts w:hint="default"/>
                <w:color w:val="auto"/>
              </w:rPr>
            </w:pPr>
            <w:r>
              <w:rPr>
                <w:rFonts w:hint="default"/>
                <w:color w:val="auto"/>
              </w:rPr>
              <w:t>监测点位</w:t>
            </w:r>
          </w:p>
        </w:tc>
        <w:tc>
          <w:tcPr>
            <w:tcW w:w="1221" w:type="pct"/>
            <w:gridSpan w:val="3"/>
            <w:tcBorders>
              <w:tl2br w:val="nil"/>
              <w:tr2bl w:val="nil"/>
            </w:tcBorders>
            <w:noWrap w:val="0"/>
            <w:vAlign w:val="center"/>
          </w:tcPr>
          <w:p w14:paraId="0C4396D8">
            <w:pPr>
              <w:pStyle w:val="12"/>
              <w:bidi w:val="0"/>
              <w:rPr>
                <w:rFonts w:hint="default"/>
                <w:color w:val="auto"/>
              </w:rPr>
            </w:pPr>
            <w:r>
              <w:rPr>
                <w:rFonts w:hint="default"/>
                <w:color w:val="auto"/>
              </w:rPr>
              <w:t>（   ）</w:t>
            </w:r>
          </w:p>
        </w:tc>
        <w:tc>
          <w:tcPr>
            <w:tcW w:w="1967" w:type="pct"/>
            <w:gridSpan w:val="5"/>
            <w:tcBorders>
              <w:tl2br w:val="nil"/>
              <w:tr2bl w:val="nil"/>
            </w:tcBorders>
            <w:noWrap w:val="0"/>
            <w:vAlign w:val="center"/>
          </w:tcPr>
          <w:p w14:paraId="2B289491">
            <w:pPr>
              <w:pStyle w:val="12"/>
              <w:bidi w:val="0"/>
              <w:rPr>
                <w:rFonts w:hint="default"/>
                <w:color w:val="auto"/>
              </w:rPr>
            </w:pPr>
            <w:r>
              <w:rPr>
                <w:rFonts w:hint="default"/>
                <w:color w:val="auto"/>
              </w:rPr>
              <w:t>（   ）</w:t>
            </w:r>
          </w:p>
        </w:tc>
      </w:tr>
      <w:tr w14:paraId="4A03F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6170849B">
            <w:pPr>
              <w:pStyle w:val="12"/>
              <w:bidi w:val="0"/>
              <w:rPr>
                <w:rFonts w:hint="default"/>
                <w:color w:val="auto"/>
              </w:rPr>
            </w:pPr>
          </w:p>
        </w:tc>
        <w:tc>
          <w:tcPr>
            <w:tcW w:w="526" w:type="pct"/>
            <w:vMerge w:val="continue"/>
            <w:tcBorders>
              <w:tl2br w:val="nil"/>
              <w:tr2bl w:val="nil"/>
            </w:tcBorders>
            <w:noWrap w:val="0"/>
            <w:vAlign w:val="center"/>
          </w:tcPr>
          <w:p w14:paraId="519FD0F0">
            <w:pPr>
              <w:pStyle w:val="12"/>
              <w:bidi w:val="0"/>
              <w:rPr>
                <w:rFonts w:hint="default"/>
                <w:color w:val="auto"/>
              </w:rPr>
            </w:pPr>
          </w:p>
        </w:tc>
        <w:tc>
          <w:tcPr>
            <w:tcW w:w="1105" w:type="pct"/>
            <w:gridSpan w:val="3"/>
            <w:tcBorders>
              <w:tl2br w:val="nil"/>
              <w:tr2bl w:val="nil"/>
            </w:tcBorders>
            <w:noWrap/>
            <w:vAlign w:val="center"/>
          </w:tcPr>
          <w:p w14:paraId="10B0ED3B">
            <w:pPr>
              <w:pStyle w:val="12"/>
              <w:bidi w:val="0"/>
              <w:rPr>
                <w:rFonts w:hint="default"/>
                <w:color w:val="auto"/>
              </w:rPr>
            </w:pPr>
            <w:r>
              <w:rPr>
                <w:rFonts w:hint="default"/>
                <w:color w:val="auto"/>
              </w:rPr>
              <w:t>监测因子</w:t>
            </w:r>
          </w:p>
        </w:tc>
        <w:tc>
          <w:tcPr>
            <w:tcW w:w="1221" w:type="pct"/>
            <w:gridSpan w:val="3"/>
            <w:tcBorders>
              <w:tl2br w:val="nil"/>
              <w:tr2bl w:val="nil"/>
            </w:tcBorders>
            <w:noWrap w:val="0"/>
            <w:vAlign w:val="top"/>
          </w:tcPr>
          <w:p w14:paraId="5325FB72">
            <w:pPr>
              <w:pStyle w:val="12"/>
              <w:bidi w:val="0"/>
              <w:rPr>
                <w:rFonts w:hint="default"/>
                <w:color w:val="auto"/>
              </w:rPr>
            </w:pPr>
            <w:r>
              <w:rPr>
                <w:rFonts w:hint="default"/>
                <w:color w:val="auto"/>
              </w:rPr>
              <w:t>（   ）</w:t>
            </w:r>
          </w:p>
        </w:tc>
        <w:tc>
          <w:tcPr>
            <w:tcW w:w="1967" w:type="pct"/>
            <w:gridSpan w:val="5"/>
            <w:tcBorders>
              <w:tl2br w:val="nil"/>
              <w:tr2bl w:val="nil"/>
            </w:tcBorders>
            <w:noWrap w:val="0"/>
            <w:vAlign w:val="top"/>
          </w:tcPr>
          <w:p w14:paraId="31022DB2">
            <w:pPr>
              <w:pStyle w:val="12"/>
              <w:bidi w:val="0"/>
              <w:rPr>
                <w:rFonts w:hint="default"/>
                <w:color w:val="auto"/>
              </w:rPr>
            </w:pPr>
            <w:r>
              <w:rPr>
                <w:rFonts w:hint="default"/>
                <w:color w:val="auto"/>
              </w:rPr>
              <w:t>（   ）</w:t>
            </w:r>
          </w:p>
        </w:tc>
      </w:tr>
      <w:tr w14:paraId="236BA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8" w:type="pct"/>
            <w:vMerge w:val="continue"/>
            <w:tcBorders>
              <w:tl2br w:val="nil"/>
              <w:tr2bl w:val="nil"/>
            </w:tcBorders>
            <w:noWrap w:val="0"/>
            <w:vAlign w:val="center"/>
          </w:tcPr>
          <w:p w14:paraId="16962321">
            <w:pPr>
              <w:pStyle w:val="12"/>
              <w:bidi w:val="0"/>
              <w:rPr>
                <w:rFonts w:hint="default"/>
                <w:color w:val="auto"/>
              </w:rPr>
            </w:pPr>
          </w:p>
        </w:tc>
        <w:tc>
          <w:tcPr>
            <w:tcW w:w="526" w:type="pct"/>
            <w:tcBorders>
              <w:tl2br w:val="nil"/>
              <w:tr2bl w:val="nil"/>
            </w:tcBorders>
            <w:noWrap w:val="0"/>
            <w:vAlign w:val="center"/>
          </w:tcPr>
          <w:p w14:paraId="282F7D49">
            <w:pPr>
              <w:pStyle w:val="12"/>
              <w:bidi w:val="0"/>
              <w:rPr>
                <w:rFonts w:hint="default"/>
                <w:color w:val="auto"/>
              </w:rPr>
            </w:pPr>
            <w:r>
              <w:rPr>
                <w:rFonts w:hint="default"/>
                <w:color w:val="auto"/>
              </w:rPr>
              <w:t>污染物排放清单</w:t>
            </w:r>
          </w:p>
        </w:tc>
        <w:tc>
          <w:tcPr>
            <w:tcW w:w="4294" w:type="pct"/>
            <w:gridSpan w:val="11"/>
            <w:tcBorders>
              <w:tl2br w:val="nil"/>
              <w:tr2bl w:val="nil"/>
            </w:tcBorders>
            <w:noWrap/>
            <w:vAlign w:val="center"/>
          </w:tcPr>
          <w:p w14:paraId="6345407F">
            <w:pPr>
              <w:pStyle w:val="12"/>
              <w:bidi w:val="0"/>
              <w:rPr>
                <w:rFonts w:hint="default"/>
                <w:color w:val="auto"/>
              </w:rPr>
            </w:pPr>
            <w:r>
              <w:rPr>
                <w:rFonts w:hint="default"/>
                <w:color w:val="auto"/>
              </w:rPr>
              <w:sym w:font="Wingdings 2" w:char="00A3"/>
            </w:r>
          </w:p>
        </w:tc>
      </w:tr>
      <w:tr w14:paraId="59D52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05" w:type="pct"/>
            <w:gridSpan w:val="2"/>
            <w:tcBorders>
              <w:tl2br w:val="nil"/>
              <w:tr2bl w:val="nil"/>
            </w:tcBorders>
            <w:noWrap/>
            <w:vAlign w:val="center"/>
          </w:tcPr>
          <w:p w14:paraId="7C84AE13">
            <w:pPr>
              <w:pStyle w:val="12"/>
              <w:bidi w:val="0"/>
              <w:rPr>
                <w:rFonts w:hint="default"/>
                <w:color w:val="auto"/>
              </w:rPr>
            </w:pPr>
            <w:r>
              <w:rPr>
                <w:rFonts w:hint="default"/>
                <w:color w:val="auto"/>
              </w:rPr>
              <w:t>评价结论</w:t>
            </w:r>
          </w:p>
        </w:tc>
        <w:tc>
          <w:tcPr>
            <w:tcW w:w="4294" w:type="pct"/>
            <w:gridSpan w:val="11"/>
            <w:tcBorders>
              <w:tl2br w:val="nil"/>
              <w:tr2bl w:val="nil"/>
            </w:tcBorders>
            <w:noWrap/>
            <w:vAlign w:val="center"/>
          </w:tcPr>
          <w:p w14:paraId="586606B5">
            <w:pPr>
              <w:pStyle w:val="12"/>
              <w:bidi w:val="0"/>
              <w:rPr>
                <w:rFonts w:hint="default"/>
                <w:color w:val="auto"/>
              </w:rPr>
            </w:pPr>
            <w:r>
              <w:rPr>
                <w:rFonts w:hint="default"/>
                <w:color w:val="auto"/>
              </w:rPr>
              <w:t xml:space="preserve">可以接受 </w:t>
            </w:r>
            <w:r>
              <w:rPr>
                <w:rFonts w:hint="default"/>
                <w:color w:val="auto"/>
              </w:rPr>
              <w:sym w:font="Wingdings 2" w:char="F052"/>
            </w:r>
            <w:r>
              <w:rPr>
                <w:rFonts w:hint="default"/>
                <w:color w:val="auto"/>
              </w:rPr>
              <w:t>；不可以接受 □</w:t>
            </w:r>
          </w:p>
        </w:tc>
      </w:tr>
      <w:tr w14:paraId="708B5F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13"/>
            <w:tcBorders>
              <w:tl2br w:val="nil"/>
              <w:tr2bl w:val="nil"/>
            </w:tcBorders>
            <w:noWrap/>
            <w:vAlign w:val="center"/>
          </w:tcPr>
          <w:p w14:paraId="07522764">
            <w:pPr>
              <w:pStyle w:val="12"/>
              <w:bidi w:val="0"/>
              <w:rPr>
                <w:rFonts w:hint="default"/>
                <w:color w:val="auto"/>
              </w:rPr>
            </w:pPr>
            <w:r>
              <w:rPr>
                <w:rFonts w:hint="default"/>
                <w:color w:val="auto"/>
              </w:rPr>
              <w:t>注：“□”为勾选项，可√；“（   ）”为内容填写项；“备注”为其他补充内容。</w:t>
            </w:r>
          </w:p>
        </w:tc>
      </w:tr>
    </w:tbl>
    <w:p w14:paraId="7CFCFB6D">
      <w:pPr>
        <w:pStyle w:val="5"/>
        <w:keepNext/>
        <w:keepLines/>
        <w:pageBreakBefore w:val="0"/>
        <w:widowControl w:val="0"/>
        <w:kinsoku/>
        <w:wordWrap/>
        <w:overflowPunct/>
        <w:topLinePunct w:val="0"/>
        <w:autoSpaceDE/>
        <w:autoSpaceDN/>
        <w:bidi w:val="0"/>
        <w:adjustRightInd/>
        <w:snapToGrid/>
        <w:spacing w:before="219" w:beforeLines="70" w:after="48"/>
        <w:ind w:left="0"/>
        <w:textAlignment w:val="auto"/>
        <w:rPr>
          <w:rFonts w:eastAsia="宋体"/>
          <w:color w:val="auto"/>
        </w:rPr>
      </w:pPr>
      <w:r>
        <w:rPr>
          <w:rFonts w:eastAsia="宋体"/>
          <w:color w:val="auto"/>
        </w:rPr>
        <w:t>营运期声环境影响预测与评价</w:t>
      </w:r>
    </w:p>
    <w:p w14:paraId="39ED15D4">
      <w:pPr>
        <w:bidi w:val="0"/>
        <w:rPr>
          <w:b/>
          <w:bCs/>
          <w:color w:val="auto"/>
        </w:rPr>
      </w:pPr>
      <w:r>
        <w:rPr>
          <w:rFonts w:hint="eastAsia"/>
          <w:b/>
          <w:bCs/>
          <w:color w:val="auto"/>
          <w:lang w:val="en-US" w:eastAsia="zh-CN"/>
        </w:rPr>
        <w:t>1</w:t>
      </w:r>
      <w:r>
        <w:rPr>
          <w:b/>
          <w:bCs/>
          <w:color w:val="auto"/>
        </w:rPr>
        <w:t>、</w:t>
      </w:r>
      <w:r>
        <w:rPr>
          <w:rFonts w:hint="eastAsia"/>
          <w:b/>
          <w:bCs/>
          <w:color w:val="auto"/>
        </w:rPr>
        <w:t>噪声源强调查清单参数</w:t>
      </w:r>
    </w:p>
    <w:p w14:paraId="37F6E4DA">
      <w:pPr>
        <w:bidi w:val="0"/>
        <w:rPr>
          <w:color w:val="auto"/>
        </w:rPr>
      </w:pPr>
      <w:r>
        <w:rPr>
          <w:rFonts w:hint="eastAsia"/>
          <w:color w:val="auto"/>
        </w:rPr>
        <w:t>本次评价根据《环境影响评价技术导则 声环境》（HJ2.4-2021）附录B的公式计算设备噪声的室内边界及室外建筑噪声。</w:t>
      </w:r>
    </w:p>
    <w:p w14:paraId="5F76C8CE">
      <w:pPr>
        <w:bidi w:val="0"/>
        <w:rPr>
          <w:b/>
          <w:bCs/>
          <w:color w:val="auto"/>
        </w:rPr>
      </w:pPr>
      <w:r>
        <w:rPr>
          <w:rFonts w:hint="eastAsia"/>
          <w:b/>
          <w:bCs/>
          <w:color w:val="auto"/>
        </w:rPr>
        <w:t>①室内边界声级计算</w:t>
      </w:r>
      <w:r>
        <w:rPr>
          <w:b/>
          <w:bCs/>
          <w:color w:val="auto"/>
        </w:rPr>
        <w:t>方法</w:t>
      </w:r>
      <w:r>
        <w:rPr>
          <w:rFonts w:hint="eastAsia"/>
          <w:b/>
          <w:bCs/>
          <w:color w:val="auto"/>
        </w:rPr>
        <w:t>：</w:t>
      </w:r>
    </w:p>
    <w:p w14:paraId="0F11BF50">
      <w:pPr>
        <w:bidi w:val="0"/>
        <w:rPr>
          <w:color w:val="auto"/>
        </w:rPr>
      </w:pPr>
      <w:r>
        <w:rPr>
          <w:color w:val="auto"/>
        </w:rPr>
        <w:t>计算某一室内声源靠近围护结构处产生的倍频带声压级或A声级：</w:t>
      </w:r>
    </w:p>
    <w:p w14:paraId="42B43E64">
      <w:pPr>
        <w:pStyle w:val="189"/>
        <w:spacing w:line="360" w:lineRule="auto"/>
        <w:ind w:firstLine="0" w:firstLineChars="0"/>
        <w:jc w:val="center"/>
        <w:textAlignment w:val="baseline"/>
        <w:rPr>
          <w:rFonts w:eastAsia="宋体"/>
          <w:snapToGrid w:val="0"/>
          <w:color w:val="auto"/>
          <w:sz w:val="24"/>
        </w:rPr>
      </w:pPr>
      <w:r>
        <w:rPr>
          <w:color w:val="auto"/>
        </w:rPr>
        <w:drawing>
          <wp:inline distT="0" distB="0" distL="114300" distR="114300">
            <wp:extent cx="1635125" cy="447040"/>
            <wp:effectExtent l="0" t="0" r="3175" b="1016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72"/>
                    <a:stretch>
                      <a:fillRect/>
                    </a:stretch>
                  </pic:blipFill>
                  <pic:spPr>
                    <a:xfrm>
                      <a:off x="0" y="0"/>
                      <a:ext cx="1635125" cy="447040"/>
                    </a:xfrm>
                    <a:prstGeom prst="rect">
                      <a:avLst/>
                    </a:prstGeom>
                    <a:noFill/>
                    <a:ln>
                      <a:noFill/>
                    </a:ln>
                  </pic:spPr>
                </pic:pic>
              </a:graphicData>
            </a:graphic>
          </wp:inline>
        </w:drawing>
      </w:r>
    </w:p>
    <w:p w14:paraId="7D28E2C4">
      <w:pPr>
        <w:bidi w:val="0"/>
        <w:rPr>
          <w:color w:val="auto"/>
        </w:rPr>
      </w:pPr>
      <w:r>
        <w:rPr>
          <w:rFonts w:hint="eastAsia"/>
          <w:color w:val="auto"/>
        </w:rPr>
        <w:t>式中：</w:t>
      </w:r>
    </w:p>
    <w:p w14:paraId="395912F1">
      <w:pPr>
        <w:bidi w:val="0"/>
        <w:rPr>
          <w:color w:val="auto"/>
        </w:rPr>
      </w:pPr>
      <w:r>
        <w:rPr>
          <w:color w:val="auto"/>
        </w:rPr>
        <w:t>Lp1—靠近开口处（或窗户）室内某倍频带的声压级或A声级，dB；</w:t>
      </w:r>
    </w:p>
    <w:p w14:paraId="39D9C3DF">
      <w:pPr>
        <w:bidi w:val="0"/>
        <w:rPr>
          <w:color w:val="auto"/>
        </w:rPr>
      </w:pPr>
      <w:r>
        <w:rPr>
          <w:color w:val="auto"/>
        </w:rPr>
        <w:t>Lw—点声源声功率级（A计权或倍频带），dB；</w:t>
      </w:r>
    </w:p>
    <w:p w14:paraId="31A26F1D">
      <w:pPr>
        <w:bidi w:val="0"/>
        <w:rPr>
          <w:color w:val="auto"/>
        </w:rPr>
      </w:pPr>
      <w:r>
        <w:rPr>
          <w:color w:val="auto"/>
        </w:rPr>
        <w:t>Q—指向性因数；通常对无指向性声源，当声源放在房间中心时，Q=1；当放在一面墙的中心时，Q=2；当放在两面墙夹角处时，Q=4；当放在三面墙夹角处时，Q=8；</w:t>
      </w:r>
    </w:p>
    <w:p w14:paraId="598AF637">
      <w:pPr>
        <w:bidi w:val="0"/>
        <w:rPr>
          <w:color w:val="auto"/>
        </w:rPr>
      </w:pPr>
      <w:r>
        <w:rPr>
          <w:color w:val="auto"/>
        </w:rPr>
        <w:t>R—房间常数；R=Sα/（1</w:t>
      </w:r>
      <w:r>
        <w:rPr>
          <w:rFonts w:hint="eastAsia"/>
          <w:color w:val="auto"/>
          <w:lang w:val="en-US" w:eastAsia="zh-CN"/>
        </w:rPr>
        <w:t>-</w:t>
      </w:r>
      <w:r>
        <w:rPr>
          <w:color w:val="auto"/>
        </w:rPr>
        <w:t>α），S为房间内表面面积，m</w:t>
      </w:r>
      <w:r>
        <w:rPr>
          <w:rFonts w:hint="eastAsia"/>
          <w:color w:val="auto"/>
          <w:lang w:val="en-US" w:eastAsia="zh-CN"/>
        </w:rPr>
        <w:t>²</w:t>
      </w:r>
      <w:r>
        <w:rPr>
          <w:color w:val="auto"/>
        </w:rPr>
        <w:t>；α为平均吸声系数；</w:t>
      </w:r>
    </w:p>
    <w:p w14:paraId="6DF24D75">
      <w:pPr>
        <w:bidi w:val="0"/>
        <w:rPr>
          <w:color w:val="auto"/>
        </w:rPr>
      </w:pPr>
      <w:r>
        <w:rPr>
          <w:color w:val="auto"/>
        </w:rPr>
        <w:t>r—声源到靠近围护结构某点处的距离，m。</w:t>
      </w:r>
    </w:p>
    <w:p w14:paraId="2946A66E">
      <w:pPr>
        <w:spacing w:line="336" w:lineRule="auto"/>
        <w:ind w:firstLine="480" w:firstLineChars="200"/>
        <w:rPr>
          <w:color w:val="auto"/>
          <w:sz w:val="24"/>
        </w:rPr>
      </w:pPr>
      <w:r>
        <w:rPr>
          <w:rFonts w:hint="eastAsia"/>
          <w:color w:val="auto"/>
          <w:sz w:val="24"/>
        </w:rPr>
        <w:t>本项目</w:t>
      </w:r>
      <w:r>
        <w:rPr>
          <w:rFonts w:hint="eastAsia"/>
          <w:color w:val="auto"/>
          <w:sz w:val="24"/>
          <w:lang w:val="en-US" w:eastAsia="zh-CN"/>
        </w:rPr>
        <w:t>建筑</w:t>
      </w:r>
      <w:r>
        <w:rPr>
          <w:rFonts w:hint="eastAsia"/>
          <w:color w:val="auto"/>
          <w:sz w:val="24"/>
        </w:rPr>
        <w:t>墙体、顶面均采用</w:t>
      </w:r>
      <w:r>
        <w:rPr>
          <w:rFonts w:hint="eastAsia"/>
          <w:color w:val="auto"/>
          <w:sz w:val="24"/>
          <w:lang w:val="en-US" w:eastAsia="zh-CN"/>
        </w:rPr>
        <w:t>钢混结构</w:t>
      </w:r>
      <w:r>
        <w:rPr>
          <w:rFonts w:hint="eastAsia"/>
          <w:color w:val="auto"/>
          <w:sz w:val="24"/>
        </w:rPr>
        <w:t>，地面为混凝土硬化（未刷漆），参考《环境工程手册 环境噪声控制卷》（2000年）中表4-1常用建筑材料类的吸声系数，混凝土地面吸声系数取值0</w:t>
      </w:r>
      <w:r>
        <w:rPr>
          <w:color w:val="auto"/>
          <w:sz w:val="24"/>
        </w:rPr>
        <w:t>.0</w:t>
      </w:r>
      <w:r>
        <w:rPr>
          <w:rFonts w:hint="eastAsia"/>
          <w:color w:val="auto"/>
          <w:sz w:val="24"/>
          <w:lang w:val="en-US" w:eastAsia="zh-CN"/>
        </w:rPr>
        <w:t>7</w:t>
      </w:r>
      <w:r>
        <w:rPr>
          <w:rFonts w:hint="eastAsia"/>
          <w:color w:val="auto"/>
          <w:sz w:val="24"/>
        </w:rPr>
        <w:t>；混凝土</w:t>
      </w:r>
      <w:r>
        <w:rPr>
          <w:rFonts w:hint="eastAsia"/>
          <w:color w:val="auto"/>
          <w:sz w:val="24"/>
          <w:lang w:val="en-US" w:eastAsia="zh-CN"/>
        </w:rPr>
        <w:t>墙面</w:t>
      </w:r>
      <w:r>
        <w:rPr>
          <w:rFonts w:hint="eastAsia"/>
          <w:color w:val="auto"/>
          <w:sz w:val="24"/>
        </w:rPr>
        <w:t>吸声系数取值</w:t>
      </w:r>
      <w:r>
        <w:rPr>
          <w:rFonts w:hint="eastAsia"/>
          <w:color w:val="auto"/>
          <w:sz w:val="24"/>
          <w:lang w:val="en-US" w:eastAsia="zh-CN"/>
        </w:rPr>
        <w:t>0.07</w:t>
      </w:r>
      <w:r>
        <w:rPr>
          <w:rFonts w:hint="eastAsia"/>
          <w:color w:val="auto"/>
          <w:sz w:val="24"/>
        </w:rPr>
        <w:t>；则根据本项目</w:t>
      </w:r>
      <w:r>
        <w:rPr>
          <w:rFonts w:hint="eastAsia"/>
          <w:color w:val="auto"/>
          <w:sz w:val="24"/>
          <w:lang w:val="en-US" w:eastAsia="zh-CN"/>
        </w:rPr>
        <w:t>建筑物</w:t>
      </w:r>
      <w:r>
        <w:rPr>
          <w:rFonts w:hint="eastAsia"/>
          <w:color w:val="auto"/>
          <w:sz w:val="24"/>
        </w:rPr>
        <w:t>各部分表面积，计算其</w:t>
      </w:r>
      <w:r>
        <w:rPr>
          <w:rFonts w:hint="eastAsia"/>
          <w:color w:val="auto"/>
          <w:sz w:val="24"/>
          <w:lang w:val="en-US" w:eastAsia="zh-CN"/>
        </w:rPr>
        <w:t>建筑物</w:t>
      </w:r>
      <w:r>
        <w:rPr>
          <w:rFonts w:hint="eastAsia"/>
          <w:color w:val="auto"/>
          <w:sz w:val="24"/>
        </w:rPr>
        <w:t>平均吸声系数以及房间常数如下表所示。</w:t>
      </w:r>
    </w:p>
    <w:p w14:paraId="1BD27F62">
      <w:pPr>
        <w:pStyle w:val="15"/>
        <w:numPr>
          <w:ilvl w:val="0"/>
          <w:numId w:val="31"/>
        </w:numPr>
        <w:bidi w:val="0"/>
        <w:ind w:left="0" w:leftChars="0" w:firstLine="0" w:firstLineChars="0"/>
        <w:rPr>
          <w:b/>
          <w:bCs/>
          <w:color w:val="auto"/>
          <w:szCs w:val="21"/>
        </w:rPr>
      </w:pPr>
      <w:r>
        <w:rPr>
          <w:rFonts w:hint="eastAsia"/>
          <w:b/>
          <w:bCs/>
          <w:color w:val="auto"/>
          <w:szCs w:val="21"/>
        </w:rPr>
        <w:t>本项目</w:t>
      </w:r>
      <w:r>
        <w:rPr>
          <w:rFonts w:hint="eastAsia"/>
          <w:b/>
          <w:bCs/>
          <w:color w:val="auto"/>
          <w:szCs w:val="21"/>
          <w:lang w:val="en-US" w:eastAsia="zh-CN"/>
        </w:rPr>
        <w:t>建筑物</w:t>
      </w:r>
      <w:r>
        <w:rPr>
          <w:rFonts w:hint="eastAsia"/>
          <w:b/>
          <w:bCs/>
          <w:color w:val="auto"/>
          <w:szCs w:val="21"/>
        </w:rPr>
        <w:t>房间常数以及平均吸声系数计算结果</w:t>
      </w:r>
    </w:p>
    <w:tbl>
      <w:tblPr>
        <w:tblStyle w:val="48"/>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08"/>
        <w:gridCol w:w="908"/>
        <w:gridCol w:w="836"/>
        <w:gridCol w:w="1027"/>
        <w:gridCol w:w="1258"/>
        <w:gridCol w:w="1892"/>
        <w:gridCol w:w="1516"/>
      </w:tblGrid>
      <w:tr w14:paraId="583828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tcBorders>
              <w:right w:val="single" w:color="auto" w:sz="4" w:space="0"/>
              <w:tl2br w:val="nil"/>
              <w:tr2bl w:val="nil"/>
            </w:tcBorders>
            <w:noWrap/>
            <w:vAlign w:val="center"/>
          </w:tcPr>
          <w:p w14:paraId="264E964B">
            <w:pPr>
              <w:pStyle w:val="12"/>
              <w:bidi w:val="0"/>
              <w:rPr>
                <w:b/>
                <w:bCs/>
                <w:color w:val="auto"/>
              </w:rPr>
            </w:pPr>
            <w:r>
              <w:rPr>
                <w:rFonts w:hint="eastAsia"/>
                <w:b/>
                <w:bCs/>
                <w:color w:val="auto"/>
              </w:rPr>
              <w:t>建筑物</w:t>
            </w:r>
          </w:p>
        </w:tc>
        <w:tc>
          <w:tcPr>
            <w:tcW w:w="974" w:type="pct"/>
            <w:gridSpan w:val="2"/>
            <w:tcBorders>
              <w:left w:val="single" w:color="auto" w:sz="4" w:space="0"/>
              <w:tl2br w:val="nil"/>
              <w:tr2bl w:val="nil"/>
            </w:tcBorders>
            <w:noWrap w:val="0"/>
            <w:vAlign w:val="center"/>
          </w:tcPr>
          <w:p w14:paraId="61D68BB1">
            <w:pPr>
              <w:pStyle w:val="12"/>
              <w:bidi w:val="0"/>
              <w:rPr>
                <w:b/>
                <w:bCs/>
                <w:color w:val="auto"/>
              </w:rPr>
            </w:pPr>
            <w:r>
              <w:rPr>
                <w:b/>
                <w:bCs/>
                <w:color w:val="auto"/>
              </w:rPr>
              <w:t>a吸声系数</w:t>
            </w:r>
          </w:p>
        </w:tc>
        <w:tc>
          <w:tcPr>
            <w:tcW w:w="1277" w:type="pct"/>
            <w:gridSpan w:val="2"/>
            <w:tcBorders>
              <w:tl2br w:val="nil"/>
              <w:tr2bl w:val="nil"/>
            </w:tcBorders>
            <w:noWrap/>
            <w:vAlign w:val="center"/>
          </w:tcPr>
          <w:p w14:paraId="1E80BF3E">
            <w:pPr>
              <w:pStyle w:val="12"/>
              <w:bidi w:val="0"/>
              <w:rPr>
                <w:b/>
                <w:bCs/>
                <w:color w:val="auto"/>
              </w:rPr>
            </w:pPr>
            <w:r>
              <w:rPr>
                <w:b/>
                <w:bCs/>
                <w:color w:val="auto"/>
              </w:rPr>
              <w:t>S房间表面积</w:t>
            </w:r>
          </w:p>
        </w:tc>
        <w:tc>
          <w:tcPr>
            <w:tcW w:w="1057" w:type="pct"/>
            <w:tcBorders>
              <w:tl2br w:val="nil"/>
              <w:tr2bl w:val="nil"/>
            </w:tcBorders>
            <w:noWrap/>
            <w:vAlign w:val="center"/>
          </w:tcPr>
          <w:p w14:paraId="386F0CFC">
            <w:pPr>
              <w:pStyle w:val="12"/>
              <w:bidi w:val="0"/>
              <w:rPr>
                <w:b/>
                <w:bCs/>
                <w:color w:val="auto"/>
              </w:rPr>
            </w:pPr>
            <w:r>
              <w:rPr>
                <w:b/>
                <w:bCs/>
                <w:color w:val="auto"/>
              </w:rPr>
              <w:t>α</w:t>
            </w:r>
            <w:r>
              <w:rPr>
                <w:rFonts w:hint="eastAsia"/>
                <w:b/>
                <w:bCs/>
                <w:color w:val="auto"/>
              </w:rPr>
              <w:t>平均吸声系数</w:t>
            </w:r>
          </w:p>
        </w:tc>
        <w:tc>
          <w:tcPr>
            <w:tcW w:w="847" w:type="pct"/>
            <w:tcBorders>
              <w:tl2br w:val="nil"/>
              <w:tr2bl w:val="nil"/>
            </w:tcBorders>
            <w:noWrap/>
            <w:vAlign w:val="center"/>
          </w:tcPr>
          <w:p w14:paraId="1C497681">
            <w:pPr>
              <w:pStyle w:val="12"/>
              <w:bidi w:val="0"/>
              <w:rPr>
                <w:b/>
                <w:bCs/>
                <w:color w:val="auto"/>
              </w:rPr>
            </w:pPr>
            <w:r>
              <w:rPr>
                <w:rFonts w:hint="eastAsia"/>
                <w:b/>
                <w:bCs/>
                <w:color w:val="auto"/>
              </w:rPr>
              <w:t>R</w:t>
            </w:r>
            <w:r>
              <w:rPr>
                <w:b/>
                <w:bCs/>
                <w:color w:val="auto"/>
              </w:rPr>
              <w:t>房间常数</w:t>
            </w:r>
          </w:p>
        </w:tc>
      </w:tr>
      <w:tr w14:paraId="30A340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2E19FE96">
            <w:pPr>
              <w:pStyle w:val="12"/>
              <w:bidi w:val="0"/>
              <w:rPr>
                <w:rFonts w:hint="default"/>
                <w:color w:val="auto"/>
                <w:lang w:val="en-US"/>
              </w:rPr>
            </w:pPr>
            <w:r>
              <w:rPr>
                <w:rFonts w:hint="eastAsia"/>
                <w:color w:val="auto"/>
                <w:lang w:val="en-US" w:eastAsia="zh-CN"/>
              </w:rPr>
              <w:t>污泥脱水车间</w:t>
            </w:r>
          </w:p>
        </w:tc>
        <w:tc>
          <w:tcPr>
            <w:tcW w:w="507" w:type="pct"/>
            <w:tcBorders>
              <w:left w:val="single" w:color="auto" w:sz="4" w:space="0"/>
              <w:tl2br w:val="nil"/>
              <w:tr2bl w:val="nil"/>
            </w:tcBorders>
            <w:noWrap w:val="0"/>
            <w:vAlign w:val="center"/>
          </w:tcPr>
          <w:p w14:paraId="0FE7CA05">
            <w:pPr>
              <w:pStyle w:val="12"/>
              <w:bidi w:val="0"/>
              <w:rPr>
                <w:color w:val="auto"/>
              </w:rPr>
            </w:pPr>
            <w:r>
              <w:rPr>
                <w:color w:val="auto"/>
              </w:rPr>
              <w:t>顶面</w:t>
            </w:r>
          </w:p>
        </w:tc>
        <w:tc>
          <w:tcPr>
            <w:tcW w:w="467" w:type="pct"/>
            <w:tcBorders>
              <w:tl2br w:val="nil"/>
              <w:tr2bl w:val="nil"/>
            </w:tcBorders>
            <w:noWrap/>
            <w:vAlign w:val="center"/>
          </w:tcPr>
          <w:p w14:paraId="440386F0">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4A418AFD">
            <w:pPr>
              <w:pStyle w:val="12"/>
              <w:bidi w:val="0"/>
              <w:rPr>
                <w:color w:val="auto"/>
              </w:rPr>
            </w:pPr>
            <w:r>
              <w:rPr>
                <w:color w:val="auto"/>
              </w:rPr>
              <w:t>顶棚</w:t>
            </w:r>
          </w:p>
        </w:tc>
        <w:tc>
          <w:tcPr>
            <w:tcW w:w="703" w:type="pct"/>
            <w:tcBorders>
              <w:tl2br w:val="nil"/>
              <w:tr2bl w:val="nil"/>
            </w:tcBorders>
            <w:noWrap/>
            <w:vAlign w:val="center"/>
          </w:tcPr>
          <w:p w14:paraId="2B42E362">
            <w:pPr>
              <w:pStyle w:val="12"/>
              <w:bidi w:val="0"/>
              <w:rPr>
                <w:rFonts w:hint="default"/>
                <w:color w:val="auto"/>
                <w:lang w:val="en-US" w:eastAsia="zh-CN"/>
              </w:rPr>
            </w:pPr>
            <w:r>
              <w:rPr>
                <w:rFonts w:hint="default"/>
                <w:color w:val="auto"/>
                <w:lang w:val="en-US" w:eastAsia="zh-CN"/>
              </w:rPr>
              <w:t>545.28</w:t>
            </w:r>
          </w:p>
        </w:tc>
        <w:tc>
          <w:tcPr>
            <w:tcW w:w="1057" w:type="pct"/>
            <w:vMerge w:val="restart"/>
            <w:tcBorders>
              <w:tl2br w:val="nil"/>
              <w:tr2bl w:val="nil"/>
            </w:tcBorders>
            <w:noWrap/>
            <w:vAlign w:val="center"/>
          </w:tcPr>
          <w:p w14:paraId="4F48C2EC">
            <w:pPr>
              <w:pStyle w:val="12"/>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2440C83C">
            <w:pPr>
              <w:pStyle w:val="12"/>
              <w:bidi w:val="0"/>
              <w:rPr>
                <w:rFonts w:hint="default"/>
                <w:color w:val="auto"/>
                <w:lang w:val="en-US" w:eastAsia="zh-CN"/>
              </w:rPr>
            </w:pPr>
            <w:r>
              <w:rPr>
                <w:rFonts w:hint="default"/>
                <w:color w:val="auto"/>
                <w:lang w:val="en-US" w:eastAsia="zh-CN"/>
              </w:rPr>
              <w:t>93.76</w:t>
            </w:r>
          </w:p>
        </w:tc>
      </w:tr>
      <w:tr w14:paraId="107526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3A77E07A">
            <w:pPr>
              <w:pStyle w:val="12"/>
              <w:bidi w:val="0"/>
              <w:rPr>
                <w:color w:val="auto"/>
              </w:rPr>
            </w:pPr>
          </w:p>
        </w:tc>
        <w:tc>
          <w:tcPr>
            <w:tcW w:w="507" w:type="pct"/>
            <w:tcBorders>
              <w:left w:val="single" w:color="auto" w:sz="4" w:space="0"/>
              <w:tl2br w:val="nil"/>
              <w:tr2bl w:val="nil"/>
            </w:tcBorders>
            <w:noWrap w:val="0"/>
            <w:vAlign w:val="center"/>
          </w:tcPr>
          <w:p w14:paraId="1EBC0888">
            <w:pPr>
              <w:pStyle w:val="12"/>
              <w:bidi w:val="0"/>
              <w:rPr>
                <w:color w:val="auto"/>
              </w:rPr>
            </w:pPr>
            <w:r>
              <w:rPr>
                <w:color w:val="auto"/>
              </w:rPr>
              <w:t>墙面</w:t>
            </w:r>
          </w:p>
        </w:tc>
        <w:tc>
          <w:tcPr>
            <w:tcW w:w="467" w:type="pct"/>
            <w:tcBorders>
              <w:tl2br w:val="nil"/>
              <w:tr2bl w:val="nil"/>
            </w:tcBorders>
            <w:noWrap/>
            <w:vAlign w:val="center"/>
          </w:tcPr>
          <w:p w14:paraId="7BD55BD9">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2ADD35A0">
            <w:pPr>
              <w:pStyle w:val="12"/>
              <w:bidi w:val="0"/>
              <w:rPr>
                <w:color w:val="auto"/>
              </w:rPr>
            </w:pPr>
            <w:r>
              <w:rPr>
                <w:color w:val="auto"/>
              </w:rPr>
              <w:t>墙面</w:t>
            </w:r>
          </w:p>
        </w:tc>
        <w:tc>
          <w:tcPr>
            <w:tcW w:w="703" w:type="pct"/>
            <w:tcBorders>
              <w:tl2br w:val="nil"/>
              <w:tr2bl w:val="nil"/>
            </w:tcBorders>
            <w:noWrap/>
            <w:vAlign w:val="center"/>
          </w:tcPr>
          <w:p w14:paraId="092D7650">
            <w:pPr>
              <w:pStyle w:val="12"/>
              <w:bidi w:val="0"/>
              <w:rPr>
                <w:rFonts w:hint="default"/>
                <w:color w:val="auto"/>
                <w:lang w:val="en-US" w:eastAsia="zh-CN"/>
              </w:rPr>
            </w:pPr>
            <w:r>
              <w:rPr>
                <w:rFonts w:hint="default"/>
                <w:color w:val="auto"/>
                <w:lang w:val="en-US" w:eastAsia="zh-CN"/>
              </w:rPr>
              <w:t>1494.64</w:t>
            </w:r>
          </w:p>
        </w:tc>
        <w:tc>
          <w:tcPr>
            <w:tcW w:w="1057" w:type="pct"/>
            <w:vMerge w:val="continue"/>
            <w:tcBorders>
              <w:tl2br w:val="nil"/>
              <w:tr2bl w:val="nil"/>
            </w:tcBorders>
            <w:noWrap/>
            <w:vAlign w:val="center"/>
          </w:tcPr>
          <w:p w14:paraId="00F6153F">
            <w:pPr>
              <w:pStyle w:val="12"/>
              <w:bidi w:val="0"/>
              <w:rPr>
                <w:color w:val="auto"/>
              </w:rPr>
            </w:pPr>
          </w:p>
        </w:tc>
        <w:tc>
          <w:tcPr>
            <w:tcW w:w="847" w:type="pct"/>
            <w:vMerge w:val="continue"/>
            <w:tcBorders>
              <w:tl2br w:val="nil"/>
              <w:tr2bl w:val="nil"/>
            </w:tcBorders>
            <w:noWrap/>
            <w:vAlign w:val="center"/>
          </w:tcPr>
          <w:p w14:paraId="17A241E9">
            <w:pPr>
              <w:pStyle w:val="12"/>
              <w:bidi w:val="0"/>
              <w:rPr>
                <w:color w:val="auto"/>
              </w:rPr>
            </w:pPr>
          </w:p>
        </w:tc>
      </w:tr>
      <w:tr w14:paraId="42332F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4788A9B1">
            <w:pPr>
              <w:pStyle w:val="12"/>
              <w:bidi w:val="0"/>
              <w:rPr>
                <w:color w:val="auto"/>
              </w:rPr>
            </w:pPr>
          </w:p>
        </w:tc>
        <w:tc>
          <w:tcPr>
            <w:tcW w:w="507" w:type="pct"/>
            <w:tcBorders>
              <w:left w:val="single" w:color="auto" w:sz="4" w:space="0"/>
              <w:tl2br w:val="nil"/>
              <w:tr2bl w:val="nil"/>
            </w:tcBorders>
            <w:noWrap w:val="0"/>
            <w:vAlign w:val="center"/>
          </w:tcPr>
          <w:p w14:paraId="7E3381FB">
            <w:pPr>
              <w:pStyle w:val="12"/>
              <w:bidi w:val="0"/>
              <w:rPr>
                <w:color w:val="auto"/>
              </w:rPr>
            </w:pPr>
            <w:r>
              <w:rPr>
                <w:color w:val="auto"/>
              </w:rPr>
              <w:t>地面</w:t>
            </w:r>
          </w:p>
        </w:tc>
        <w:tc>
          <w:tcPr>
            <w:tcW w:w="467" w:type="pct"/>
            <w:tcBorders>
              <w:tl2br w:val="nil"/>
              <w:tr2bl w:val="nil"/>
            </w:tcBorders>
            <w:noWrap/>
            <w:vAlign w:val="center"/>
          </w:tcPr>
          <w:p w14:paraId="4347FCD0">
            <w:pPr>
              <w:pStyle w:val="12"/>
              <w:bidi w:val="0"/>
              <w:rPr>
                <w:rFonts w:hint="eastAsia"/>
                <w:color w:val="auto"/>
                <w:lang w:val="en-US"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3E77F595">
            <w:pPr>
              <w:pStyle w:val="12"/>
              <w:bidi w:val="0"/>
              <w:rPr>
                <w:color w:val="auto"/>
              </w:rPr>
            </w:pPr>
            <w:r>
              <w:rPr>
                <w:color w:val="auto"/>
              </w:rPr>
              <w:t>地面</w:t>
            </w:r>
          </w:p>
        </w:tc>
        <w:tc>
          <w:tcPr>
            <w:tcW w:w="703" w:type="pct"/>
            <w:tcBorders>
              <w:tl2br w:val="nil"/>
              <w:tr2bl w:val="nil"/>
            </w:tcBorders>
            <w:noWrap/>
            <w:vAlign w:val="center"/>
          </w:tcPr>
          <w:p w14:paraId="5AB86B37">
            <w:pPr>
              <w:pStyle w:val="12"/>
              <w:bidi w:val="0"/>
              <w:rPr>
                <w:rFonts w:hint="default"/>
                <w:color w:val="auto"/>
                <w:lang w:val="en-US" w:eastAsia="zh-CN"/>
              </w:rPr>
            </w:pPr>
            <w:r>
              <w:rPr>
                <w:rFonts w:hint="default"/>
                <w:color w:val="auto"/>
                <w:lang w:val="en-US" w:eastAsia="zh-CN"/>
              </w:rPr>
              <w:t>545.28</w:t>
            </w:r>
          </w:p>
        </w:tc>
        <w:tc>
          <w:tcPr>
            <w:tcW w:w="1057" w:type="pct"/>
            <w:vMerge w:val="continue"/>
            <w:tcBorders>
              <w:tl2br w:val="nil"/>
              <w:tr2bl w:val="nil"/>
            </w:tcBorders>
            <w:noWrap/>
            <w:vAlign w:val="center"/>
          </w:tcPr>
          <w:p w14:paraId="5F53E64C">
            <w:pPr>
              <w:pStyle w:val="12"/>
              <w:bidi w:val="0"/>
              <w:rPr>
                <w:color w:val="auto"/>
              </w:rPr>
            </w:pPr>
          </w:p>
        </w:tc>
        <w:tc>
          <w:tcPr>
            <w:tcW w:w="847" w:type="pct"/>
            <w:vMerge w:val="continue"/>
            <w:tcBorders>
              <w:tl2br w:val="nil"/>
              <w:tr2bl w:val="nil"/>
            </w:tcBorders>
            <w:noWrap/>
            <w:vAlign w:val="center"/>
          </w:tcPr>
          <w:p w14:paraId="0B245CD3">
            <w:pPr>
              <w:pStyle w:val="12"/>
              <w:bidi w:val="0"/>
              <w:rPr>
                <w:color w:val="auto"/>
              </w:rPr>
            </w:pPr>
          </w:p>
        </w:tc>
      </w:tr>
      <w:tr w14:paraId="1AF4C1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2F71502B">
            <w:pPr>
              <w:pStyle w:val="12"/>
              <w:bidi w:val="0"/>
              <w:rPr>
                <w:rFonts w:hint="default" w:eastAsia="宋体"/>
                <w:color w:val="auto"/>
                <w:lang w:val="en-US" w:eastAsia="zh-CN"/>
              </w:rPr>
            </w:pPr>
            <w:r>
              <w:rPr>
                <w:rFonts w:hint="eastAsia"/>
                <w:color w:val="auto"/>
                <w:lang w:val="en-US" w:eastAsia="zh-CN"/>
              </w:rPr>
              <w:t>泵房</w:t>
            </w:r>
          </w:p>
        </w:tc>
        <w:tc>
          <w:tcPr>
            <w:tcW w:w="507" w:type="pct"/>
            <w:tcBorders>
              <w:left w:val="single" w:color="auto" w:sz="4" w:space="0"/>
              <w:tl2br w:val="nil"/>
              <w:tr2bl w:val="nil"/>
            </w:tcBorders>
            <w:noWrap w:val="0"/>
            <w:vAlign w:val="center"/>
          </w:tcPr>
          <w:p w14:paraId="1E937736">
            <w:pPr>
              <w:pStyle w:val="12"/>
              <w:bidi w:val="0"/>
              <w:rPr>
                <w:color w:val="auto"/>
              </w:rPr>
            </w:pPr>
            <w:r>
              <w:rPr>
                <w:color w:val="auto"/>
              </w:rPr>
              <w:t>顶面</w:t>
            </w:r>
          </w:p>
        </w:tc>
        <w:tc>
          <w:tcPr>
            <w:tcW w:w="467" w:type="pct"/>
            <w:tcBorders>
              <w:tl2br w:val="nil"/>
              <w:tr2bl w:val="nil"/>
            </w:tcBorders>
            <w:noWrap/>
            <w:vAlign w:val="center"/>
          </w:tcPr>
          <w:p w14:paraId="33087768">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6B6C2C2B">
            <w:pPr>
              <w:pStyle w:val="12"/>
              <w:bidi w:val="0"/>
              <w:rPr>
                <w:color w:val="auto"/>
              </w:rPr>
            </w:pPr>
            <w:r>
              <w:rPr>
                <w:color w:val="auto"/>
              </w:rPr>
              <w:t>顶棚</w:t>
            </w:r>
          </w:p>
        </w:tc>
        <w:tc>
          <w:tcPr>
            <w:tcW w:w="703" w:type="pct"/>
            <w:tcBorders>
              <w:tl2br w:val="nil"/>
              <w:tr2bl w:val="nil"/>
            </w:tcBorders>
            <w:noWrap/>
            <w:vAlign w:val="center"/>
          </w:tcPr>
          <w:p w14:paraId="35FBC6FF">
            <w:pPr>
              <w:pStyle w:val="12"/>
              <w:bidi w:val="0"/>
              <w:rPr>
                <w:rFonts w:hint="eastAsia"/>
                <w:color w:val="auto"/>
                <w:lang w:val="en-US" w:eastAsia="zh-CN"/>
              </w:rPr>
            </w:pPr>
            <w:r>
              <w:rPr>
                <w:rFonts w:hint="default"/>
                <w:color w:val="auto"/>
                <w:lang w:val="en-US" w:eastAsia="zh-CN"/>
              </w:rPr>
              <w:t>150</w:t>
            </w:r>
          </w:p>
        </w:tc>
        <w:tc>
          <w:tcPr>
            <w:tcW w:w="1057" w:type="pct"/>
            <w:vMerge w:val="restart"/>
            <w:tcBorders>
              <w:tl2br w:val="nil"/>
              <w:tr2bl w:val="nil"/>
            </w:tcBorders>
            <w:noWrap/>
            <w:vAlign w:val="center"/>
          </w:tcPr>
          <w:p w14:paraId="41375C47">
            <w:pPr>
              <w:pStyle w:val="12"/>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16277DE2">
            <w:pPr>
              <w:pStyle w:val="12"/>
              <w:bidi w:val="0"/>
              <w:rPr>
                <w:color w:val="auto"/>
              </w:rPr>
            </w:pPr>
            <w:r>
              <w:rPr>
                <w:rFonts w:hint="default"/>
                <w:color w:val="auto"/>
                <w:lang w:val="en-US" w:eastAsia="zh-CN"/>
              </w:rPr>
              <w:t>16.32</w:t>
            </w:r>
          </w:p>
        </w:tc>
      </w:tr>
      <w:tr w14:paraId="55E500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6D0865DE">
            <w:pPr>
              <w:pStyle w:val="12"/>
              <w:bidi w:val="0"/>
              <w:rPr>
                <w:color w:val="auto"/>
              </w:rPr>
            </w:pPr>
          </w:p>
        </w:tc>
        <w:tc>
          <w:tcPr>
            <w:tcW w:w="507" w:type="pct"/>
            <w:tcBorders>
              <w:left w:val="single" w:color="auto" w:sz="4" w:space="0"/>
              <w:tl2br w:val="nil"/>
              <w:tr2bl w:val="nil"/>
            </w:tcBorders>
            <w:noWrap w:val="0"/>
            <w:vAlign w:val="center"/>
          </w:tcPr>
          <w:p w14:paraId="29DDA58F">
            <w:pPr>
              <w:pStyle w:val="12"/>
              <w:bidi w:val="0"/>
              <w:rPr>
                <w:color w:val="auto"/>
              </w:rPr>
            </w:pPr>
            <w:r>
              <w:rPr>
                <w:color w:val="auto"/>
              </w:rPr>
              <w:t>墙面</w:t>
            </w:r>
          </w:p>
        </w:tc>
        <w:tc>
          <w:tcPr>
            <w:tcW w:w="467" w:type="pct"/>
            <w:tcBorders>
              <w:tl2br w:val="nil"/>
              <w:tr2bl w:val="nil"/>
            </w:tcBorders>
            <w:noWrap/>
            <w:vAlign w:val="center"/>
          </w:tcPr>
          <w:p w14:paraId="1C969FBB">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465D5242">
            <w:pPr>
              <w:pStyle w:val="12"/>
              <w:bidi w:val="0"/>
              <w:rPr>
                <w:color w:val="auto"/>
              </w:rPr>
            </w:pPr>
            <w:r>
              <w:rPr>
                <w:color w:val="auto"/>
              </w:rPr>
              <w:t>墙面</w:t>
            </w:r>
          </w:p>
        </w:tc>
        <w:tc>
          <w:tcPr>
            <w:tcW w:w="703" w:type="pct"/>
            <w:tcBorders>
              <w:tl2br w:val="nil"/>
              <w:tr2bl w:val="nil"/>
            </w:tcBorders>
            <w:noWrap/>
            <w:vAlign w:val="center"/>
          </w:tcPr>
          <w:p w14:paraId="04FB5034">
            <w:pPr>
              <w:pStyle w:val="12"/>
              <w:bidi w:val="0"/>
              <w:rPr>
                <w:rFonts w:hint="eastAsia"/>
                <w:color w:val="auto"/>
                <w:lang w:val="en-US" w:eastAsia="zh-CN"/>
              </w:rPr>
            </w:pPr>
            <w:r>
              <w:rPr>
                <w:rFonts w:hint="default"/>
                <w:color w:val="auto"/>
                <w:lang w:val="en-US" w:eastAsia="zh-CN"/>
              </w:rPr>
              <w:t>150</w:t>
            </w:r>
          </w:p>
        </w:tc>
        <w:tc>
          <w:tcPr>
            <w:tcW w:w="1057" w:type="pct"/>
            <w:vMerge w:val="continue"/>
            <w:tcBorders>
              <w:tl2br w:val="nil"/>
              <w:tr2bl w:val="nil"/>
            </w:tcBorders>
            <w:noWrap/>
            <w:vAlign w:val="center"/>
          </w:tcPr>
          <w:p w14:paraId="017F37F0">
            <w:pPr>
              <w:pStyle w:val="12"/>
              <w:bidi w:val="0"/>
              <w:rPr>
                <w:color w:val="auto"/>
              </w:rPr>
            </w:pPr>
          </w:p>
        </w:tc>
        <w:tc>
          <w:tcPr>
            <w:tcW w:w="847" w:type="pct"/>
            <w:vMerge w:val="continue"/>
            <w:tcBorders>
              <w:tl2br w:val="nil"/>
              <w:tr2bl w:val="nil"/>
            </w:tcBorders>
            <w:noWrap/>
            <w:vAlign w:val="center"/>
          </w:tcPr>
          <w:p w14:paraId="10FA26CD">
            <w:pPr>
              <w:pStyle w:val="12"/>
              <w:bidi w:val="0"/>
              <w:rPr>
                <w:color w:val="auto"/>
              </w:rPr>
            </w:pPr>
          </w:p>
        </w:tc>
      </w:tr>
      <w:tr w14:paraId="75E06A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24388CA8">
            <w:pPr>
              <w:pStyle w:val="12"/>
              <w:bidi w:val="0"/>
              <w:rPr>
                <w:color w:val="auto"/>
              </w:rPr>
            </w:pPr>
          </w:p>
        </w:tc>
        <w:tc>
          <w:tcPr>
            <w:tcW w:w="507" w:type="pct"/>
            <w:tcBorders>
              <w:left w:val="single" w:color="auto" w:sz="4" w:space="0"/>
              <w:tl2br w:val="nil"/>
              <w:tr2bl w:val="nil"/>
            </w:tcBorders>
            <w:noWrap w:val="0"/>
            <w:vAlign w:val="center"/>
          </w:tcPr>
          <w:p w14:paraId="3D013370">
            <w:pPr>
              <w:pStyle w:val="12"/>
              <w:bidi w:val="0"/>
              <w:rPr>
                <w:color w:val="auto"/>
              </w:rPr>
            </w:pPr>
            <w:r>
              <w:rPr>
                <w:color w:val="auto"/>
              </w:rPr>
              <w:t>地面</w:t>
            </w:r>
          </w:p>
        </w:tc>
        <w:tc>
          <w:tcPr>
            <w:tcW w:w="467" w:type="pct"/>
            <w:tcBorders>
              <w:tl2br w:val="nil"/>
              <w:tr2bl w:val="nil"/>
            </w:tcBorders>
            <w:noWrap/>
            <w:vAlign w:val="center"/>
          </w:tcPr>
          <w:p w14:paraId="0769B87F">
            <w:pPr>
              <w:pStyle w:val="12"/>
              <w:bidi w:val="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695E3F4D">
            <w:pPr>
              <w:pStyle w:val="12"/>
              <w:bidi w:val="0"/>
              <w:rPr>
                <w:color w:val="auto"/>
              </w:rPr>
            </w:pPr>
            <w:r>
              <w:rPr>
                <w:color w:val="auto"/>
              </w:rPr>
              <w:t>地面</w:t>
            </w:r>
          </w:p>
        </w:tc>
        <w:tc>
          <w:tcPr>
            <w:tcW w:w="703" w:type="pct"/>
            <w:tcBorders>
              <w:tl2br w:val="nil"/>
              <w:tr2bl w:val="nil"/>
            </w:tcBorders>
            <w:noWrap/>
            <w:vAlign w:val="center"/>
          </w:tcPr>
          <w:p w14:paraId="011F25C8">
            <w:pPr>
              <w:pStyle w:val="12"/>
              <w:bidi w:val="0"/>
              <w:rPr>
                <w:rFonts w:hint="eastAsia"/>
                <w:color w:val="auto"/>
                <w:lang w:val="en-US" w:eastAsia="zh-CN"/>
              </w:rPr>
            </w:pPr>
            <w:r>
              <w:rPr>
                <w:rFonts w:hint="default"/>
                <w:color w:val="auto"/>
                <w:lang w:val="en-US" w:eastAsia="zh-CN"/>
              </w:rPr>
              <w:t>150</w:t>
            </w:r>
          </w:p>
        </w:tc>
        <w:tc>
          <w:tcPr>
            <w:tcW w:w="1057" w:type="pct"/>
            <w:vMerge w:val="continue"/>
            <w:tcBorders>
              <w:tl2br w:val="nil"/>
              <w:tr2bl w:val="nil"/>
            </w:tcBorders>
            <w:noWrap/>
            <w:vAlign w:val="center"/>
          </w:tcPr>
          <w:p w14:paraId="7129C0CF">
            <w:pPr>
              <w:pStyle w:val="12"/>
              <w:bidi w:val="0"/>
              <w:rPr>
                <w:color w:val="auto"/>
              </w:rPr>
            </w:pPr>
          </w:p>
        </w:tc>
        <w:tc>
          <w:tcPr>
            <w:tcW w:w="847" w:type="pct"/>
            <w:vMerge w:val="continue"/>
            <w:tcBorders>
              <w:tl2br w:val="nil"/>
              <w:tr2bl w:val="nil"/>
            </w:tcBorders>
            <w:noWrap/>
            <w:vAlign w:val="center"/>
          </w:tcPr>
          <w:p w14:paraId="47E908FC">
            <w:pPr>
              <w:pStyle w:val="12"/>
              <w:bidi w:val="0"/>
              <w:rPr>
                <w:color w:val="auto"/>
              </w:rPr>
            </w:pPr>
          </w:p>
        </w:tc>
      </w:tr>
      <w:tr w14:paraId="7654C6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160FF517">
            <w:pPr>
              <w:pStyle w:val="12"/>
              <w:bidi w:val="0"/>
              <w:rPr>
                <w:color w:val="auto"/>
              </w:rPr>
            </w:pPr>
            <w:r>
              <w:rPr>
                <w:rFonts w:hint="eastAsia"/>
                <w:color w:val="auto"/>
                <w:lang w:val="en-US" w:eastAsia="zh-CN"/>
              </w:rPr>
              <w:t>风机房</w:t>
            </w:r>
          </w:p>
        </w:tc>
        <w:tc>
          <w:tcPr>
            <w:tcW w:w="507" w:type="pct"/>
            <w:tcBorders>
              <w:left w:val="single" w:color="auto" w:sz="4" w:space="0"/>
              <w:tl2br w:val="nil"/>
              <w:tr2bl w:val="nil"/>
            </w:tcBorders>
            <w:noWrap w:val="0"/>
            <w:vAlign w:val="center"/>
          </w:tcPr>
          <w:p w14:paraId="593D741A">
            <w:pPr>
              <w:pStyle w:val="12"/>
              <w:bidi w:val="0"/>
              <w:rPr>
                <w:color w:val="auto"/>
              </w:rPr>
            </w:pPr>
            <w:r>
              <w:rPr>
                <w:color w:val="auto"/>
              </w:rPr>
              <w:t>顶面</w:t>
            </w:r>
          </w:p>
        </w:tc>
        <w:tc>
          <w:tcPr>
            <w:tcW w:w="467" w:type="pct"/>
            <w:tcBorders>
              <w:tl2br w:val="nil"/>
              <w:tr2bl w:val="nil"/>
            </w:tcBorders>
            <w:noWrap/>
            <w:vAlign w:val="center"/>
          </w:tcPr>
          <w:p w14:paraId="7D03E313">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2300843E">
            <w:pPr>
              <w:pStyle w:val="12"/>
              <w:bidi w:val="0"/>
              <w:rPr>
                <w:color w:val="auto"/>
              </w:rPr>
            </w:pPr>
            <w:r>
              <w:rPr>
                <w:color w:val="auto"/>
              </w:rPr>
              <w:t>顶棚</w:t>
            </w:r>
          </w:p>
        </w:tc>
        <w:tc>
          <w:tcPr>
            <w:tcW w:w="703" w:type="pct"/>
            <w:tcBorders>
              <w:tl2br w:val="nil"/>
              <w:tr2bl w:val="nil"/>
            </w:tcBorders>
            <w:noWrap/>
            <w:vAlign w:val="center"/>
          </w:tcPr>
          <w:p w14:paraId="309A8A5F">
            <w:pPr>
              <w:pStyle w:val="12"/>
              <w:bidi w:val="0"/>
              <w:rPr>
                <w:rFonts w:hint="eastAsia"/>
                <w:color w:val="auto"/>
                <w:lang w:val="en-US" w:eastAsia="zh-CN"/>
              </w:rPr>
            </w:pPr>
            <w:r>
              <w:rPr>
                <w:rFonts w:hint="default"/>
                <w:color w:val="auto"/>
                <w:lang w:val="en-US" w:eastAsia="zh-CN"/>
              </w:rPr>
              <w:t>275.26</w:t>
            </w:r>
          </w:p>
        </w:tc>
        <w:tc>
          <w:tcPr>
            <w:tcW w:w="1057" w:type="pct"/>
            <w:vMerge w:val="restart"/>
            <w:tcBorders>
              <w:tl2br w:val="nil"/>
              <w:tr2bl w:val="nil"/>
            </w:tcBorders>
            <w:noWrap/>
            <w:vAlign w:val="center"/>
          </w:tcPr>
          <w:p w14:paraId="587EB6D8">
            <w:pPr>
              <w:pStyle w:val="12"/>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5513542F">
            <w:pPr>
              <w:pStyle w:val="12"/>
              <w:bidi w:val="0"/>
              <w:rPr>
                <w:color w:val="auto"/>
              </w:rPr>
            </w:pPr>
            <w:r>
              <w:rPr>
                <w:rFonts w:hint="default"/>
                <w:color w:val="auto"/>
                <w:lang w:val="en-US" w:eastAsia="zh-CN"/>
              </w:rPr>
              <w:t>38.84</w:t>
            </w:r>
          </w:p>
        </w:tc>
      </w:tr>
      <w:tr w14:paraId="4689C6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26598CD1">
            <w:pPr>
              <w:pStyle w:val="12"/>
              <w:bidi w:val="0"/>
              <w:rPr>
                <w:color w:val="auto"/>
              </w:rPr>
            </w:pPr>
          </w:p>
        </w:tc>
        <w:tc>
          <w:tcPr>
            <w:tcW w:w="507" w:type="pct"/>
            <w:tcBorders>
              <w:left w:val="single" w:color="auto" w:sz="4" w:space="0"/>
              <w:tl2br w:val="nil"/>
              <w:tr2bl w:val="nil"/>
            </w:tcBorders>
            <w:noWrap w:val="0"/>
            <w:vAlign w:val="center"/>
          </w:tcPr>
          <w:p w14:paraId="48386BEF">
            <w:pPr>
              <w:pStyle w:val="12"/>
              <w:bidi w:val="0"/>
              <w:rPr>
                <w:color w:val="auto"/>
              </w:rPr>
            </w:pPr>
            <w:r>
              <w:rPr>
                <w:color w:val="auto"/>
              </w:rPr>
              <w:t>墙面</w:t>
            </w:r>
          </w:p>
        </w:tc>
        <w:tc>
          <w:tcPr>
            <w:tcW w:w="467" w:type="pct"/>
            <w:tcBorders>
              <w:tl2br w:val="nil"/>
              <w:tr2bl w:val="nil"/>
            </w:tcBorders>
            <w:noWrap/>
            <w:vAlign w:val="center"/>
          </w:tcPr>
          <w:p w14:paraId="41EE209E">
            <w:pPr>
              <w:pStyle w:val="12"/>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0E0D8D95">
            <w:pPr>
              <w:pStyle w:val="12"/>
              <w:bidi w:val="0"/>
              <w:rPr>
                <w:color w:val="auto"/>
              </w:rPr>
            </w:pPr>
            <w:r>
              <w:rPr>
                <w:color w:val="auto"/>
              </w:rPr>
              <w:t>墙面</w:t>
            </w:r>
          </w:p>
        </w:tc>
        <w:tc>
          <w:tcPr>
            <w:tcW w:w="703" w:type="pct"/>
            <w:tcBorders>
              <w:tl2br w:val="nil"/>
              <w:tr2bl w:val="nil"/>
            </w:tcBorders>
            <w:noWrap/>
            <w:vAlign w:val="center"/>
          </w:tcPr>
          <w:p w14:paraId="2166077D">
            <w:pPr>
              <w:pStyle w:val="12"/>
              <w:bidi w:val="0"/>
              <w:rPr>
                <w:rFonts w:hint="eastAsia"/>
                <w:color w:val="auto"/>
                <w:lang w:val="en-US" w:eastAsia="zh-CN"/>
              </w:rPr>
            </w:pPr>
            <w:r>
              <w:rPr>
                <w:rFonts w:hint="default"/>
                <w:color w:val="auto"/>
                <w:lang w:val="en-US" w:eastAsia="zh-CN"/>
              </w:rPr>
              <w:t>520.26</w:t>
            </w:r>
          </w:p>
        </w:tc>
        <w:tc>
          <w:tcPr>
            <w:tcW w:w="1057" w:type="pct"/>
            <w:vMerge w:val="continue"/>
            <w:tcBorders>
              <w:tl2br w:val="nil"/>
              <w:tr2bl w:val="nil"/>
            </w:tcBorders>
            <w:noWrap/>
            <w:vAlign w:val="center"/>
          </w:tcPr>
          <w:p w14:paraId="0E8B86A2">
            <w:pPr>
              <w:pStyle w:val="12"/>
              <w:bidi w:val="0"/>
              <w:rPr>
                <w:color w:val="auto"/>
              </w:rPr>
            </w:pPr>
          </w:p>
        </w:tc>
        <w:tc>
          <w:tcPr>
            <w:tcW w:w="847" w:type="pct"/>
            <w:vMerge w:val="continue"/>
            <w:tcBorders>
              <w:tl2br w:val="nil"/>
              <w:tr2bl w:val="nil"/>
            </w:tcBorders>
            <w:noWrap/>
            <w:vAlign w:val="center"/>
          </w:tcPr>
          <w:p w14:paraId="3388D3DF">
            <w:pPr>
              <w:pStyle w:val="12"/>
              <w:bidi w:val="0"/>
              <w:rPr>
                <w:color w:val="auto"/>
              </w:rPr>
            </w:pPr>
          </w:p>
        </w:tc>
      </w:tr>
      <w:tr w14:paraId="42C0D7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3D5E70CD">
            <w:pPr>
              <w:pStyle w:val="12"/>
              <w:bidi w:val="0"/>
              <w:rPr>
                <w:color w:val="auto"/>
              </w:rPr>
            </w:pPr>
          </w:p>
        </w:tc>
        <w:tc>
          <w:tcPr>
            <w:tcW w:w="507" w:type="pct"/>
            <w:tcBorders>
              <w:left w:val="single" w:color="auto" w:sz="4" w:space="0"/>
              <w:tl2br w:val="nil"/>
              <w:tr2bl w:val="nil"/>
            </w:tcBorders>
            <w:noWrap w:val="0"/>
            <w:vAlign w:val="center"/>
          </w:tcPr>
          <w:p w14:paraId="4B2B5407">
            <w:pPr>
              <w:pStyle w:val="12"/>
              <w:bidi w:val="0"/>
              <w:rPr>
                <w:color w:val="auto"/>
              </w:rPr>
            </w:pPr>
            <w:r>
              <w:rPr>
                <w:color w:val="auto"/>
              </w:rPr>
              <w:t>地面</w:t>
            </w:r>
          </w:p>
        </w:tc>
        <w:tc>
          <w:tcPr>
            <w:tcW w:w="467" w:type="pct"/>
            <w:tcBorders>
              <w:tl2br w:val="nil"/>
              <w:tr2bl w:val="nil"/>
            </w:tcBorders>
            <w:noWrap/>
            <w:vAlign w:val="center"/>
          </w:tcPr>
          <w:p w14:paraId="110D6576">
            <w:pPr>
              <w:pStyle w:val="12"/>
              <w:bidi w:val="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13A65CE6">
            <w:pPr>
              <w:pStyle w:val="12"/>
              <w:bidi w:val="0"/>
              <w:rPr>
                <w:color w:val="auto"/>
              </w:rPr>
            </w:pPr>
            <w:r>
              <w:rPr>
                <w:color w:val="auto"/>
              </w:rPr>
              <w:t>地面</w:t>
            </w:r>
          </w:p>
        </w:tc>
        <w:tc>
          <w:tcPr>
            <w:tcW w:w="703" w:type="pct"/>
            <w:tcBorders>
              <w:tl2br w:val="nil"/>
              <w:tr2bl w:val="nil"/>
            </w:tcBorders>
            <w:noWrap/>
            <w:vAlign w:val="center"/>
          </w:tcPr>
          <w:p w14:paraId="6437B6A2">
            <w:pPr>
              <w:pStyle w:val="12"/>
              <w:bidi w:val="0"/>
              <w:rPr>
                <w:rFonts w:hint="eastAsia"/>
                <w:color w:val="auto"/>
                <w:lang w:val="en-US" w:eastAsia="zh-CN"/>
              </w:rPr>
            </w:pPr>
            <w:r>
              <w:rPr>
                <w:rFonts w:hint="default"/>
                <w:color w:val="auto"/>
                <w:lang w:val="en-US" w:eastAsia="zh-CN"/>
              </w:rPr>
              <w:t>275.26</w:t>
            </w:r>
          </w:p>
        </w:tc>
        <w:tc>
          <w:tcPr>
            <w:tcW w:w="1057" w:type="pct"/>
            <w:vMerge w:val="continue"/>
            <w:tcBorders>
              <w:tl2br w:val="nil"/>
              <w:tr2bl w:val="nil"/>
            </w:tcBorders>
            <w:noWrap/>
            <w:vAlign w:val="center"/>
          </w:tcPr>
          <w:p w14:paraId="503AE644">
            <w:pPr>
              <w:pStyle w:val="12"/>
              <w:bidi w:val="0"/>
              <w:rPr>
                <w:color w:val="auto"/>
              </w:rPr>
            </w:pPr>
          </w:p>
        </w:tc>
        <w:tc>
          <w:tcPr>
            <w:tcW w:w="847" w:type="pct"/>
            <w:vMerge w:val="continue"/>
            <w:tcBorders>
              <w:tl2br w:val="nil"/>
              <w:tr2bl w:val="nil"/>
            </w:tcBorders>
            <w:noWrap/>
            <w:vAlign w:val="center"/>
          </w:tcPr>
          <w:p w14:paraId="001BFF2B">
            <w:pPr>
              <w:pStyle w:val="12"/>
              <w:bidi w:val="0"/>
              <w:rPr>
                <w:color w:val="auto"/>
              </w:rPr>
            </w:pPr>
          </w:p>
        </w:tc>
      </w:tr>
      <w:tr w14:paraId="33C42C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4A00419E">
            <w:pPr>
              <w:pStyle w:val="12"/>
              <w:bidi w:val="0"/>
              <w:rPr>
                <w:rFonts w:hint="default"/>
                <w:color w:val="auto"/>
                <w:lang w:val="en-US"/>
              </w:rPr>
            </w:pPr>
            <w:r>
              <w:rPr>
                <w:rFonts w:hint="eastAsia"/>
                <w:color w:val="auto"/>
                <w:lang w:val="en-US" w:eastAsia="zh-CN"/>
              </w:rPr>
              <w:t>机修危废间</w:t>
            </w:r>
          </w:p>
        </w:tc>
        <w:tc>
          <w:tcPr>
            <w:tcW w:w="507" w:type="pct"/>
            <w:tcBorders>
              <w:left w:val="single" w:color="auto" w:sz="4" w:space="0"/>
              <w:tl2br w:val="nil"/>
              <w:tr2bl w:val="nil"/>
            </w:tcBorders>
            <w:noWrap w:val="0"/>
            <w:vAlign w:val="center"/>
          </w:tcPr>
          <w:p w14:paraId="1438BE23">
            <w:pPr>
              <w:pStyle w:val="12"/>
              <w:bidi w:val="0"/>
              <w:rPr>
                <w:color w:val="auto"/>
              </w:rPr>
            </w:pPr>
            <w:r>
              <w:rPr>
                <w:color w:val="auto"/>
              </w:rPr>
              <w:t>顶面</w:t>
            </w:r>
          </w:p>
        </w:tc>
        <w:tc>
          <w:tcPr>
            <w:tcW w:w="467" w:type="pct"/>
            <w:tcBorders>
              <w:tl2br w:val="nil"/>
              <w:tr2bl w:val="nil"/>
            </w:tcBorders>
            <w:noWrap/>
            <w:vAlign w:val="center"/>
          </w:tcPr>
          <w:p w14:paraId="42CACA5E">
            <w:pPr>
              <w:pStyle w:val="12"/>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34E41F7F">
            <w:pPr>
              <w:pStyle w:val="12"/>
              <w:bidi w:val="0"/>
              <w:rPr>
                <w:color w:val="auto"/>
              </w:rPr>
            </w:pPr>
            <w:r>
              <w:rPr>
                <w:color w:val="auto"/>
              </w:rPr>
              <w:t>顶棚</w:t>
            </w:r>
          </w:p>
        </w:tc>
        <w:tc>
          <w:tcPr>
            <w:tcW w:w="703" w:type="pct"/>
            <w:tcBorders>
              <w:tl2br w:val="nil"/>
              <w:tr2bl w:val="nil"/>
            </w:tcBorders>
            <w:noWrap/>
            <w:vAlign w:val="center"/>
          </w:tcPr>
          <w:p w14:paraId="722BF2DF">
            <w:pPr>
              <w:pStyle w:val="12"/>
              <w:bidi w:val="0"/>
              <w:rPr>
                <w:rFonts w:hint="eastAsia"/>
                <w:color w:val="auto"/>
                <w:lang w:val="en-US" w:eastAsia="zh-CN"/>
              </w:rPr>
            </w:pPr>
            <w:r>
              <w:rPr>
                <w:rFonts w:hint="default"/>
                <w:color w:val="auto"/>
                <w:lang w:val="en-US" w:eastAsia="zh-CN"/>
              </w:rPr>
              <w:t>222.39</w:t>
            </w:r>
          </w:p>
        </w:tc>
        <w:tc>
          <w:tcPr>
            <w:tcW w:w="1057" w:type="pct"/>
            <w:vMerge w:val="restart"/>
            <w:tcBorders>
              <w:tl2br w:val="nil"/>
              <w:tr2bl w:val="nil"/>
            </w:tcBorders>
            <w:noWrap/>
            <w:vAlign w:val="center"/>
          </w:tcPr>
          <w:p w14:paraId="60576D1D">
            <w:pPr>
              <w:pStyle w:val="12"/>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692F922C">
            <w:pPr>
              <w:pStyle w:val="12"/>
              <w:bidi w:val="0"/>
              <w:rPr>
                <w:color w:val="auto"/>
              </w:rPr>
            </w:pPr>
            <w:r>
              <w:rPr>
                <w:rFonts w:hint="default"/>
                <w:color w:val="auto"/>
                <w:lang w:val="en-US" w:eastAsia="zh-CN"/>
              </w:rPr>
              <w:t>37.15</w:t>
            </w:r>
          </w:p>
        </w:tc>
      </w:tr>
      <w:tr w14:paraId="42196D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34C52035">
            <w:pPr>
              <w:pStyle w:val="12"/>
              <w:bidi w:val="0"/>
              <w:rPr>
                <w:color w:val="auto"/>
              </w:rPr>
            </w:pPr>
          </w:p>
        </w:tc>
        <w:tc>
          <w:tcPr>
            <w:tcW w:w="507" w:type="pct"/>
            <w:tcBorders>
              <w:left w:val="single" w:color="auto" w:sz="4" w:space="0"/>
              <w:tl2br w:val="nil"/>
              <w:tr2bl w:val="nil"/>
            </w:tcBorders>
            <w:noWrap w:val="0"/>
            <w:vAlign w:val="center"/>
          </w:tcPr>
          <w:p w14:paraId="1C953248">
            <w:pPr>
              <w:pStyle w:val="12"/>
              <w:bidi w:val="0"/>
              <w:rPr>
                <w:color w:val="auto"/>
              </w:rPr>
            </w:pPr>
            <w:r>
              <w:rPr>
                <w:color w:val="auto"/>
              </w:rPr>
              <w:t>墙面</w:t>
            </w:r>
          </w:p>
        </w:tc>
        <w:tc>
          <w:tcPr>
            <w:tcW w:w="467" w:type="pct"/>
            <w:tcBorders>
              <w:tl2br w:val="nil"/>
              <w:tr2bl w:val="nil"/>
            </w:tcBorders>
            <w:noWrap/>
            <w:vAlign w:val="center"/>
          </w:tcPr>
          <w:p w14:paraId="5C3E6D6F">
            <w:pPr>
              <w:pStyle w:val="12"/>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342E2EF1">
            <w:pPr>
              <w:pStyle w:val="12"/>
              <w:bidi w:val="0"/>
              <w:rPr>
                <w:color w:val="auto"/>
              </w:rPr>
            </w:pPr>
            <w:r>
              <w:rPr>
                <w:color w:val="auto"/>
              </w:rPr>
              <w:t>墙面</w:t>
            </w:r>
          </w:p>
        </w:tc>
        <w:tc>
          <w:tcPr>
            <w:tcW w:w="703" w:type="pct"/>
            <w:tcBorders>
              <w:tl2br w:val="nil"/>
              <w:tr2bl w:val="nil"/>
            </w:tcBorders>
            <w:noWrap/>
            <w:vAlign w:val="center"/>
          </w:tcPr>
          <w:p w14:paraId="422943F7">
            <w:pPr>
              <w:pStyle w:val="12"/>
              <w:bidi w:val="0"/>
              <w:rPr>
                <w:rFonts w:hint="eastAsia"/>
                <w:color w:val="auto"/>
                <w:lang w:val="en-US" w:eastAsia="zh-CN"/>
              </w:rPr>
            </w:pPr>
            <w:r>
              <w:rPr>
                <w:rFonts w:hint="default"/>
                <w:color w:val="auto"/>
                <w:lang w:val="en-US" w:eastAsia="zh-CN"/>
              </w:rPr>
              <w:t xml:space="preserve">579.57 </w:t>
            </w:r>
          </w:p>
        </w:tc>
        <w:tc>
          <w:tcPr>
            <w:tcW w:w="1057" w:type="pct"/>
            <w:vMerge w:val="continue"/>
            <w:tcBorders>
              <w:tl2br w:val="nil"/>
              <w:tr2bl w:val="nil"/>
            </w:tcBorders>
            <w:noWrap/>
            <w:vAlign w:val="center"/>
          </w:tcPr>
          <w:p w14:paraId="5B74A2D4">
            <w:pPr>
              <w:pStyle w:val="12"/>
              <w:bidi w:val="0"/>
              <w:rPr>
                <w:color w:val="auto"/>
              </w:rPr>
            </w:pPr>
          </w:p>
        </w:tc>
        <w:tc>
          <w:tcPr>
            <w:tcW w:w="847" w:type="pct"/>
            <w:vMerge w:val="continue"/>
            <w:tcBorders>
              <w:tl2br w:val="nil"/>
              <w:tr2bl w:val="nil"/>
            </w:tcBorders>
            <w:noWrap/>
            <w:vAlign w:val="center"/>
          </w:tcPr>
          <w:p w14:paraId="262120F5">
            <w:pPr>
              <w:pStyle w:val="12"/>
              <w:bidi w:val="0"/>
              <w:rPr>
                <w:color w:val="auto"/>
              </w:rPr>
            </w:pPr>
          </w:p>
        </w:tc>
      </w:tr>
      <w:tr w14:paraId="64BA0A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36FEA4B7">
            <w:pPr>
              <w:pStyle w:val="12"/>
              <w:bidi w:val="0"/>
              <w:rPr>
                <w:color w:val="auto"/>
              </w:rPr>
            </w:pPr>
          </w:p>
        </w:tc>
        <w:tc>
          <w:tcPr>
            <w:tcW w:w="507" w:type="pct"/>
            <w:tcBorders>
              <w:left w:val="single" w:color="auto" w:sz="4" w:space="0"/>
              <w:tl2br w:val="nil"/>
              <w:tr2bl w:val="nil"/>
            </w:tcBorders>
            <w:noWrap w:val="0"/>
            <w:vAlign w:val="center"/>
          </w:tcPr>
          <w:p w14:paraId="325D01BB">
            <w:pPr>
              <w:pStyle w:val="12"/>
              <w:bidi w:val="0"/>
              <w:rPr>
                <w:color w:val="auto"/>
              </w:rPr>
            </w:pPr>
            <w:r>
              <w:rPr>
                <w:color w:val="auto"/>
              </w:rPr>
              <w:t>地面</w:t>
            </w:r>
          </w:p>
        </w:tc>
        <w:tc>
          <w:tcPr>
            <w:tcW w:w="467" w:type="pct"/>
            <w:tcBorders>
              <w:tl2br w:val="nil"/>
              <w:tr2bl w:val="nil"/>
            </w:tcBorders>
            <w:noWrap/>
            <w:vAlign w:val="center"/>
          </w:tcPr>
          <w:p w14:paraId="3C198006">
            <w:pPr>
              <w:pStyle w:val="12"/>
              <w:bidi w:val="0"/>
              <w:ind w:left="0" w:leftChars="0" w:firstLine="0" w:firstLineChars="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33F27CFB">
            <w:pPr>
              <w:pStyle w:val="12"/>
              <w:bidi w:val="0"/>
              <w:rPr>
                <w:color w:val="auto"/>
              </w:rPr>
            </w:pPr>
            <w:r>
              <w:rPr>
                <w:color w:val="auto"/>
              </w:rPr>
              <w:t>地面</w:t>
            </w:r>
          </w:p>
        </w:tc>
        <w:tc>
          <w:tcPr>
            <w:tcW w:w="703" w:type="pct"/>
            <w:tcBorders>
              <w:tl2br w:val="nil"/>
              <w:tr2bl w:val="nil"/>
            </w:tcBorders>
            <w:noWrap/>
            <w:vAlign w:val="center"/>
          </w:tcPr>
          <w:p w14:paraId="31B64FCD">
            <w:pPr>
              <w:pStyle w:val="12"/>
              <w:bidi w:val="0"/>
              <w:rPr>
                <w:rFonts w:hint="eastAsia"/>
                <w:color w:val="auto"/>
                <w:lang w:val="en-US" w:eastAsia="zh-CN"/>
              </w:rPr>
            </w:pPr>
            <w:r>
              <w:rPr>
                <w:rFonts w:hint="default"/>
                <w:color w:val="auto"/>
                <w:lang w:val="en-US" w:eastAsia="zh-CN"/>
              </w:rPr>
              <w:t>222.39</w:t>
            </w:r>
          </w:p>
        </w:tc>
        <w:tc>
          <w:tcPr>
            <w:tcW w:w="1057" w:type="pct"/>
            <w:vMerge w:val="continue"/>
            <w:tcBorders>
              <w:tl2br w:val="nil"/>
              <w:tr2bl w:val="nil"/>
            </w:tcBorders>
            <w:noWrap/>
            <w:vAlign w:val="center"/>
          </w:tcPr>
          <w:p w14:paraId="7E062BB3">
            <w:pPr>
              <w:pStyle w:val="12"/>
              <w:bidi w:val="0"/>
              <w:rPr>
                <w:color w:val="auto"/>
              </w:rPr>
            </w:pPr>
          </w:p>
        </w:tc>
        <w:tc>
          <w:tcPr>
            <w:tcW w:w="847" w:type="pct"/>
            <w:vMerge w:val="continue"/>
            <w:tcBorders>
              <w:tl2br w:val="nil"/>
              <w:tr2bl w:val="nil"/>
            </w:tcBorders>
            <w:noWrap/>
            <w:vAlign w:val="center"/>
          </w:tcPr>
          <w:p w14:paraId="7666F03B">
            <w:pPr>
              <w:pStyle w:val="12"/>
              <w:bidi w:val="0"/>
              <w:rPr>
                <w:color w:val="auto"/>
              </w:rPr>
            </w:pPr>
          </w:p>
        </w:tc>
      </w:tr>
      <w:tr w14:paraId="6E8F97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611DB797">
            <w:pPr>
              <w:pStyle w:val="12"/>
              <w:bidi w:val="0"/>
              <w:rPr>
                <w:rFonts w:hint="default" w:eastAsia="宋体"/>
                <w:color w:val="auto"/>
                <w:lang w:val="en-US" w:eastAsia="zh-CN"/>
              </w:rPr>
            </w:pPr>
            <w:r>
              <w:rPr>
                <w:rFonts w:hint="eastAsia"/>
                <w:color w:val="auto"/>
                <w:lang w:val="en-US" w:eastAsia="zh-CN"/>
              </w:rPr>
              <w:t>在线监测间</w:t>
            </w:r>
          </w:p>
        </w:tc>
        <w:tc>
          <w:tcPr>
            <w:tcW w:w="507" w:type="pct"/>
            <w:tcBorders>
              <w:left w:val="single" w:color="auto" w:sz="4" w:space="0"/>
              <w:tl2br w:val="nil"/>
              <w:tr2bl w:val="nil"/>
            </w:tcBorders>
            <w:noWrap w:val="0"/>
            <w:vAlign w:val="center"/>
          </w:tcPr>
          <w:p w14:paraId="47A21385">
            <w:pPr>
              <w:pStyle w:val="12"/>
              <w:bidi w:val="0"/>
              <w:ind w:left="0" w:leftChars="0" w:firstLine="0" w:firstLineChars="0"/>
              <w:rPr>
                <w:color w:val="auto"/>
              </w:rPr>
            </w:pPr>
            <w:r>
              <w:rPr>
                <w:color w:val="auto"/>
              </w:rPr>
              <w:t>顶面</w:t>
            </w:r>
          </w:p>
        </w:tc>
        <w:tc>
          <w:tcPr>
            <w:tcW w:w="467" w:type="pct"/>
            <w:tcBorders>
              <w:tl2br w:val="nil"/>
              <w:tr2bl w:val="nil"/>
            </w:tcBorders>
            <w:noWrap/>
            <w:vAlign w:val="center"/>
          </w:tcPr>
          <w:p w14:paraId="73A2881D">
            <w:pPr>
              <w:pStyle w:val="12"/>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56D9ADC7">
            <w:pPr>
              <w:pStyle w:val="12"/>
              <w:bidi w:val="0"/>
              <w:ind w:left="0" w:leftChars="0" w:firstLine="0" w:firstLineChars="0"/>
              <w:rPr>
                <w:color w:val="auto"/>
              </w:rPr>
            </w:pPr>
            <w:r>
              <w:rPr>
                <w:color w:val="auto"/>
              </w:rPr>
              <w:t>顶棚</w:t>
            </w:r>
          </w:p>
        </w:tc>
        <w:tc>
          <w:tcPr>
            <w:tcW w:w="703" w:type="pct"/>
            <w:tcBorders>
              <w:tl2br w:val="nil"/>
              <w:tr2bl w:val="nil"/>
            </w:tcBorders>
            <w:noWrap/>
            <w:vAlign w:val="center"/>
          </w:tcPr>
          <w:p w14:paraId="0165236B">
            <w:pPr>
              <w:pStyle w:val="12"/>
              <w:bidi w:val="0"/>
              <w:rPr>
                <w:rFonts w:hint="eastAsia"/>
                <w:color w:val="auto"/>
                <w:lang w:val="en-US" w:eastAsia="zh-CN"/>
              </w:rPr>
            </w:pPr>
            <w:r>
              <w:rPr>
                <w:rFonts w:hint="default"/>
                <w:color w:val="auto"/>
                <w:lang w:val="en-US" w:eastAsia="zh-CN"/>
              </w:rPr>
              <w:t>38.8</w:t>
            </w:r>
          </w:p>
        </w:tc>
        <w:tc>
          <w:tcPr>
            <w:tcW w:w="1057" w:type="pct"/>
            <w:vMerge w:val="restart"/>
            <w:tcBorders>
              <w:tl2br w:val="nil"/>
              <w:tr2bl w:val="nil"/>
            </w:tcBorders>
            <w:noWrap/>
            <w:vAlign w:val="center"/>
          </w:tcPr>
          <w:p w14:paraId="4204A7E1">
            <w:pPr>
              <w:pStyle w:val="12"/>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33308056">
            <w:pPr>
              <w:pStyle w:val="12"/>
              <w:bidi w:val="0"/>
              <w:rPr>
                <w:color w:val="auto"/>
              </w:rPr>
            </w:pPr>
            <w:r>
              <w:rPr>
                <w:rFonts w:hint="default"/>
                <w:color w:val="auto"/>
                <w:lang w:val="en-US" w:eastAsia="zh-CN"/>
              </w:rPr>
              <w:t>6.09</w:t>
            </w:r>
          </w:p>
        </w:tc>
      </w:tr>
      <w:tr w14:paraId="046BA2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58628DE0">
            <w:pPr>
              <w:pStyle w:val="12"/>
              <w:bidi w:val="0"/>
              <w:rPr>
                <w:color w:val="auto"/>
              </w:rPr>
            </w:pPr>
          </w:p>
        </w:tc>
        <w:tc>
          <w:tcPr>
            <w:tcW w:w="507" w:type="pct"/>
            <w:tcBorders>
              <w:left w:val="single" w:color="auto" w:sz="4" w:space="0"/>
              <w:tl2br w:val="nil"/>
              <w:tr2bl w:val="nil"/>
            </w:tcBorders>
            <w:noWrap w:val="0"/>
            <w:vAlign w:val="center"/>
          </w:tcPr>
          <w:p w14:paraId="134D1B03">
            <w:pPr>
              <w:pStyle w:val="12"/>
              <w:bidi w:val="0"/>
              <w:ind w:left="0" w:leftChars="0" w:firstLine="0" w:firstLineChars="0"/>
              <w:rPr>
                <w:color w:val="auto"/>
              </w:rPr>
            </w:pPr>
            <w:r>
              <w:rPr>
                <w:color w:val="auto"/>
              </w:rPr>
              <w:t>墙面</w:t>
            </w:r>
          </w:p>
        </w:tc>
        <w:tc>
          <w:tcPr>
            <w:tcW w:w="467" w:type="pct"/>
            <w:tcBorders>
              <w:tl2br w:val="nil"/>
              <w:tr2bl w:val="nil"/>
            </w:tcBorders>
            <w:noWrap/>
            <w:vAlign w:val="center"/>
          </w:tcPr>
          <w:p w14:paraId="45E7F94C">
            <w:pPr>
              <w:pStyle w:val="12"/>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4F392253">
            <w:pPr>
              <w:pStyle w:val="12"/>
              <w:bidi w:val="0"/>
              <w:ind w:left="0" w:leftChars="0" w:firstLine="0" w:firstLineChars="0"/>
              <w:rPr>
                <w:color w:val="auto"/>
              </w:rPr>
            </w:pPr>
            <w:r>
              <w:rPr>
                <w:color w:val="auto"/>
              </w:rPr>
              <w:t>墙面</w:t>
            </w:r>
          </w:p>
        </w:tc>
        <w:tc>
          <w:tcPr>
            <w:tcW w:w="703" w:type="pct"/>
            <w:tcBorders>
              <w:tl2br w:val="nil"/>
              <w:tr2bl w:val="nil"/>
            </w:tcBorders>
            <w:noWrap/>
            <w:vAlign w:val="center"/>
          </w:tcPr>
          <w:p w14:paraId="344AE613">
            <w:pPr>
              <w:pStyle w:val="12"/>
              <w:bidi w:val="0"/>
              <w:rPr>
                <w:rFonts w:hint="eastAsia"/>
                <w:color w:val="auto"/>
                <w:lang w:val="en-US" w:eastAsia="zh-CN"/>
              </w:rPr>
            </w:pPr>
            <w:r>
              <w:rPr>
                <w:rFonts w:hint="default"/>
                <w:color w:val="auto"/>
                <w:lang w:val="en-US" w:eastAsia="zh-CN"/>
              </w:rPr>
              <w:t>90.21</w:t>
            </w:r>
          </w:p>
        </w:tc>
        <w:tc>
          <w:tcPr>
            <w:tcW w:w="1057" w:type="pct"/>
            <w:vMerge w:val="continue"/>
            <w:tcBorders>
              <w:tl2br w:val="nil"/>
              <w:tr2bl w:val="nil"/>
            </w:tcBorders>
            <w:noWrap/>
            <w:vAlign w:val="center"/>
          </w:tcPr>
          <w:p w14:paraId="5D4B5601">
            <w:pPr>
              <w:pStyle w:val="12"/>
              <w:bidi w:val="0"/>
              <w:rPr>
                <w:color w:val="auto"/>
              </w:rPr>
            </w:pPr>
          </w:p>
        </w:tc>
        <w:tc>
          <w:tcPr>
            <w:tcW w:w="847" w:type="pct"/>
            <w:vMerge w:val="continue"/>
            <w:tcBorders>
              <w:tl2br w:val="nil"/>
              <w:tr2bl w:val="nil"/>
            </w:tcBorders>
            <w:noWrap/>
            <w:vAlign w:val="center"/>
          </w:tcPr>
          <w:p w14:paraId="669A620C">
            <w:pPr>
              <w:pStyle w:val="12"/>
              <w:bidi w:val="0"/>
              <w:rPr>
                <w:color w:val="auto"/>
              </w:rPr>
            </w:pPr>
          </w:p>
        </w:tc>
      </w:tr>
      <w:tr w14:paraId="559331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60EEEE03">
            <w:pPr>
              <w:pStyle w:val="12"/>
              <w:bidi w:val="0"/>
              <w:rPr>
                <w:color w:val="auto"/>
              </w:rPr>
            </w:pPr>
          </w:p>
        </w:tc>
        <w:tc>
          <w:tcPr>
            <w:tcW w:w="507" w:type="pct"/>
            <w:tcBorders>
              <w:left w:val="single" w:color="auto" w:sz="4" w:space="0"/>
              <w:tl2br w:val="nil"/>
              <w:tr2bl w:val="nil"/>
            </w:tcBorders>
            <w:noWrap w:val="0"/>
            <w:vAlign w:val="center"/>
          </w:tcPr>
          <w:p w14:paraId="65507C3B">
            <w:pPr>
              <w:pStyle w:val="12"/>
              <w:bidi w:val="0"/>
              <w:ind w:left="0" w:leftChars="0" w:firstLine="0" w:firstLineChars="0"/>
              <w:rPr>
                <w:color w:val="auto"/>
              </w:rPr>
            </w:pPr>
            <w:r>
              <w:rPr>
                <w:color w:val="auto"/>
              </w:rPr>
              <w:t>地面</w:t>
            </w:r>
          </w:p>
        </w:tc>
        <w:tc>
          <w:tcPr>
            <w:tcW w:w="467" w:type="pct"/>
            <w:tcBorders>
              <w:tl2br w:val="nil"/>
              <w:tr2bl w:val="nil"/>
            </w:tcBorders>
            <w:noWrap/>
            <w:vAlign w:val="center"/>
          </w:tcPr>
          <w:p w14:paraId="55E7674E">
            <w:pPr>
              <w:pStyle w:val="12"/>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7B1D848A">
            <w:pPr>
              <w:pStyle w:val="12"/>
              <w:bidi w:val="0"/>
              <w:ind w:left="0" w:leftChars="0" w:firstLine="0" w:firstLineChars="0"/>
              <w:rPr>
                <w:color w:val="auto"/>
              </w:rPr>
            </w:pPr>
            <w:r>
              <w:rPr>
                <w:color w:val="auto"/>
              </w:rPr>
              <w:t>地面</w:t>
            </w:r>
          </w:p>
        </w:tc>
        <w:tc>
          <w:tcPr>
            <w:tcW w:w="703" w:type="pct"/>
            <w:tcBorders>
              <w:tl2br w:val="nil"/>
              <w:tr2bl w:val="nil"/>
            </w:tcBorders>
            <w:noWrap/>
            <w:vAlign w:val="center"/>
          </w:tcPr>
          <w:p w14:paraId="22F4BEE4">
            <w:pPr>
              <w:pStyle w:val="12"/>
              <w:bidi w:val="0"/>
              <w:rPr>
                <w:rFonts w:hint="eastAsia"/>
                <w:color w:val="auto"/>
                <w:lang w:val="en-US" w:eastAsia="zh-CN"/>
              </w:rPr>
            </w:pPr>
            <w:r>
              <w:rPr>
                <w:rFonts w:hint="default"/>
                <w:color w:val="auto"/>
                <w:lang w:val="en-US" w:eastAsia="zh-CN"/>
              </w:rPr>
              <w:t>38.8</w:t>
            </w:r>
          </w:p>
        </w:tc>
        <w:tc>
          <w:tcPr>
            <w:tcW w:w="1057" w:type="pct"/>
            <w:vMerge w:val="continue"/>
            <w:tcBorders>
              <w:tl2br w:val="nil"/>
              <w:tr2bl w:val="nil"/>
            </w:tcBorders>
            <w:noWrap/>
            <w:vAlign w:val="center"/>
          </w:tcPr>
          <w:p w14:paraId="4AF5B854">
            <w:pPr>
              <w:pStyle w:val="12"/>
              <w:bidi w:val="0"/>
              <w:rPr>
                <w:color w:val="auto"/>
              </w:rPr>
            </w:pPr>
          </w:p>
        </w:tc>
        <w:tc>
          <w:tcPr>
            <w:tcW w:w="847" w:type="pct"/>
            <w:vMerge w:val="continue"/>
            <w:tcBorders>
              <w:tl2br w:val="nil"/>
              <w:tr2bl w:val="nil"/>
            </w:tcBorders>
            <w:noWrap/>
            <w:vAlign w:val="center"/>
          </w:tcPr>
          <w:p w14:paraId="31A7D9EE">
            <w:pPr>
              <w:pStyle w:val="12"/>
              <w:bidi w:val="0"/>
              <w:rPr>
                <w:color w:val="auto"/>
              </w:rPr>
            </w:pPr>
          </w:p>
        </w:tc>
      </w:tr>
    </w:tbl>
    <w:p w14:paraId="4867816F">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声源处于半自由声场，按如下公式计算。</w:t>
      </w:r>
    </w:p>
    <w:p w14:paraId="45B7A60B">
      <w:pPr>
        <w:adjustRightInd w:val="0"/>
        <w:snapToGrid w:val="0"/>
        <w:spacing w:before="48" w:beforeLines="20" w:after="48" w:afterLines="20" w:line="360" w:lineRule="auto"/>
        <w:jc w:val="center"/>
        <w:rPr>
          <w:color w:val="auto"/>
          <w:sz w:val="24"/>
        </w:rPr>
      </w:pPr>
      <w:r>
        <w:rPr>
          <w:i/>
          <w:color w:val="auto"/>
          <w:position w:val="2"/>
          <w:sz w:val="24"/>
        </w:rPr>
        <w:t>L</w:t>
      </w:r>
      <w:r>
        <w:rPr>
          <w:rFonts w:hint="eastAsia"/>
          <w:iCs/>
          <w:color w:val="auto"/>
          <w:position w:val="-4"/>
          <w:sz w:val="24"/>
          <w:vertAlign w:val="subscript"/>
        </w:rPr>
        <w:t>A</w:t>
      </w:r>
      <w:r>
        <w:rPr>
          <w:rFonts w:ascii="Symbol" w:hAnsi="Symbol"/>
          <w:color w:val="auto"/>
          <w:sz w:val="24"/>
        </w:rPr>
        <w:t></w:t>
      </w:r>
      <w:r>
        <w:rPr>
          <w:i/>
          <w:color w:val="auto"/>
          <w:position w:val="2"/>
          <w:sz w:val="24"/>
        </w:rPr>
        <w:t>r</w:t>
      </w:r>
      <w:r>
        <w:rPr>
          <w:rFonts w:ascii="Symbol" w:hAnsi="Symbol"/>
          <w:color w:val="auto"/>
          <w:sz w:val="24"/>
        </w:rPr>
        <w:t></w:t>
      </w:r>
      <w:r>
        <w:rPr>
          <w:rFonts w:ascii="Symbol" w:hAnsi="Symbol"/>
          <w:color w:val="auto"/>
          <w:position w:val="2"/>
          <w:sz w:val="24"/>
        </w:rPr>
        <w:t></w:t>
      </w:r>
      <w:r>
        <w:rPr>
          <w:i/>
          <w:color w:val="auto"/>
          <w:position w:val="2"/>
          <w:sz w:val="24"/>
        </w:rPr>
        <w:t>L</w:t>
      </w:r>
      <w:r>
        <w:rPr>
          <w:rFonts w:hint="eastAsia"/>
          <w:iCs/>
          <w:color w:val="auto"/>
          <w:position w:val="-4"/>
          <w:sz w:val="24"/>
          <w:vertAlign w:val="subscript"/>
        </w:rPr>
        <w:t>A</w:t>
      </w:r>
      <w:r>
        <w:rPr>
          <w:i/>
          <w:color w:val="auto"/>
          <w:position w:val="-4"/>
          <w:sz w:val="24"/>
        </w:rPr>
        <w:t>w</w:t>
      </w:r>
      <w:r>
        <w:rPr>
          <w:rFonts w:ascii="Symbol" w:hAnsi="Symbol"/>
          <w:color w:val="auto"/>
          <w:position w:val="2"/>
          <w:sz w:val="24"/>
        </w:rPr>
        <w:t></w:t>
      </w:r>
      <w:r>
        <w:rPr>
          <w:color w:val="auto"/>
          <w:position w:val="2"/>
          <w:sz w:val="24"/>
        </w:rPr>
        <w:t>20lg</w:t>
      </w:r>
      <w:r>
        <w:rPr>
          <w:i/>
          <w:color w:val="auto"/>
          <w:position w:val="2"/>
          <w:sz w:val="24"/>
        </w:rPr>
        <w:t>r</w:t>
      </w:r>
      <w:r>
        <w:rPr>
          <w:rFonts w:ascii="Symbol" w:hAnsi="Symbol"/>
          <w:color w:val="auto"/>
          <w:position w:val="2"/>
          <w:sz w:val="24"/>
        </w:rPr>
        <w:t></w:t>
      </w:r>
      <w:r>
        <w:rPr>
          <w:color w:val="auto"/>
          <w:position w:val="2"/>
          <w:sz w:val="24"/>
        </w:rPr>
        <w:t>8</w:t>
      </w:r>
    </w:p>
    <w:p w14:paraId="5A5AEC7D">
      <w:pPr>
        <w:bidi w:val="0"/>
        <w:rPr>
          <w:color w:val="auto"/>
        </w:rPr>
      </w:pPr>
      <w:r>
        <w:rPr>
          <w:rFonts w:hint="eastAsia"/>
          <w:color w:val="auto"/>
        </w:rPr>
        <w:t>式中：</w:t>
      </w:r>
      <w:r>
        <w:rPr>
          <w:color w:val="auto"/>
        </w:rPr>
        <w:t>LA</w:t>
      </w:r>
      <w:r>
        <w:rPr>
          <w:rFonts w:hint="eastAsia"/>
          <w:color w:val="auto"/>
          <w:lang w:eastAsia="zh-CN"/>
        </w:rPr>
        <w:t>（</w:t>
      </w:r>
      <w:r>
        <w:rPr>
          <w:color w:val="auto"/>
        </w:rPr>
        <w:t>r</w:t>
      </w:r>
      <w:r>
        <w:rPr>
          <w:rFonts w:hint="eastAsia"/>
          <w:color w:val="auto"/>
          <w:lang w:eastAsia="zh-CN"/>
        </w:rPr>
        <w:t>）</w:t>
      </w:r>
      <w:r>
        <w:rPr>
          <w:color w:val="auto"/>
        </w:rPr>
        <w:t>——距声源r处的A声级，dB</w:t>
      </w:r>
      <w:r>
        <w:rPr>
          <w:rFonts w:hint="eastAsia"/>
          <w:color w:val="auto"/>
          <w:lang w:eastAsia="zh-CN"/>
        </w:rPr>
        <w:t>（</w:t>
      </w:r>
      <w:r>
        <w:rPr>
          <w:color w:val="auto"/>
        </w:rPr>
        <w:t>A</w:t>
      </w:r>
      <w:r>
        <w:rPr>
          <w:rFonts w:hint="eastAsia"/>
          <w:color w:val="auto"/>
          <w:lang w:eastAsia="zh-CN"/>
        </w:rPr>
        <w:t>）</w:t>
      </w:r>
      <w:r>
        <w:rPr>
          <w:color w:val="auto"/>
        </w:rPr>
        <w:t>；</w:t>
      </w:r>
    </w:p>
    <w:p w14:paraId="20BE28E0">
      <w:pPr>
        <w:bidi w:val="0"/>
        <w:ind w:firstLine="1200" w:firstLineChars="500"/>
        <w:rPr>
          <w:color w:val="auto"/>
        </w:rPr>
      </w:pPr>
      <w:r>
        <w:rPr>
          <w:color w:val="auto"/>
        </w:rPr>
        <w:t>LAw——点声源A计权声功率级，dB；</w:t>
      </w:r>
    </w:p>
    <w:p w14:paraId="118F909C">
      <w:pPr>
        <w:bidi w:val="0"/>
        <w:ind w:firstLine="1200" w:firstLineChars="500"/>
        <w:rPr>
          <w:color w:val="auto"/>
        </w:rPr>
      </w:pPr>
      <w:r>
        <w:rPr>
          <w:color w:val="auto"/>
        </w:rPr>
        <w:t>r——预测点距声源的距离。</w:t>
      </w:r>
    </w:p>
    <w:p w14:paraId="5B034409">
      <w:pPr>
        <w:bidi w:val="0"/>
        <w:rPr>
          <w:b/>
          <w:bCs/>
          <w:color w:val="auto"/>
        </w:rPr>
      </w:pPr>
      <w:r>
        <w:rPr>
          <w:rFonts w:hint="eastAsia"/>
          <w:b/>
          <w:bCs/>
          <w:color w:val="auto"/>
        </w:rPr>
        <w:t>②建筑物外噪声计算</w:t>
      </w:r>
    </w:p>
    <w:p w14:paraId="428A98F3">
      <w:pPr>
        <w:bidi w:val="0"/>
        <w:rPr>
          <w:color w:val="auto"/>
        </w:rPr>
      </w:pPr>
      <w:r>
        <w:rPr>
          <w:rFonts w:hint="eastAsia"/>
          <w:color w:val="auto"/>
        </w:rPr>
        <w:t>根据《环境影响评价技术导则 声环境》（HJ2.4-2021）附录B.1.3室内声源等效室外声源声功率级计算方法，按下式计算出靠近室外围挡结构处的声压级。</w:t>
      </w:r>
    </w:p>
    <w:p w14:paraId="1575E73F">
      <w:pPr>
        <w:pStyle w:val="189"/>
        <w:spacing w:line="360" w:lineRule="auto"/>
        <w:ind w:firstLine="0" w:firstLineChars="0"/>
        <w:jc w:val="center"/>
        <w:textAlignment w:val="baseline"/>
        <w:rPr>
          <w:rFonts w:hint="default" w:ascii="Times New Roman" w:hAnsi="Times New Roman" w:eastAsia="宋体" w:cs="Times New Roman"/>
          <w:snapToGrid w:val="0"/>
          <w:color w:val="auto"/>
          <w:sz w:val="24"/>
        </w:rPr>
      </w:pPr>
      <w:r>
        <w:rPr>
          <w:rFonts w:hint="default" w:ascii="Times New Roman" w:hAnsi="Times New Roman" w:eastAsia="宋体" w:cs="Times New Roman"/>
          <w:i/>
          <w:iCs/>
          <w:snapToGrid w:val="0"/>
          <w:color w:val="auto"/>
          <w:sz w:val="24"/>
        </w:rPr>
        <w:t>Lp</w:t>
      </w:r>
      <w:r>
        <w:rPr>
          <w:rFonts w:hint="default" w:ascii="Times New Roman" w:hAnsi="Times New Roman" w:eastAsia="宋体" w:cs="Times New Roman"/>
          <w:i/>
          <w:iCs/>
          <w:snapToGrid w:val="0"/>
          <w:color w:val="auto"/>
          <w:sz w:val="24"/>
          <w:vertAlign w:val="subscript"/>
        </w:rPr>
        <w:t>2i</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snapToGrid w:val="0"/>
          <w:color w:val="auto"/>
          <w:sz w:val="24"/>
        </w:rPr>
        <w:t>=</w:t>
      </w:r>
      <w:r>
        <w:rPr>
          <w:rFonts w:hint="default" w:ascii="Times New Roman" w:hAnsi="Times New Roman" w:eastAsia="宋体" w:cs="Times New Roman"/>
          <w:i/>
          <w:iCs/>
          <w:snapToGrid w:val="0"/>
          <w:color w:val="auto"/>
          <w:sz w:val="24"/>
        </w:rPr>
        <w:t>Lp</w:t>
      </w:r>
      <w:r>
        <w:rPr>
          <w:rFonts w:hint="default" w:ascii="Times New Roman" w:hAnsi="Times New Roman" w:eastAsia="宋体" w:cs="Times New Roman"/>
          <w:i/>
          <w:iCs/>
          <w:snapToGrid w:val="0"/>
          <w:color w:val="auto"/>
          <w:sz w:val="24"/>
          <w:vertAlign w:val="subscript"/>
        </w:rPr>
        <w:t>1i</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snapToGrid w:val="0"/>
          <w:color w:val="auto"/>
          <w:sz w:val="24"/>
        </w:rPr>
        <w:t>-（</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i/>
          <w:iCs/>
          <w:snapToGrid w:val="0"/>
          <w:color w:val="auto"/>
          <w:sz w:val="24"/>
          <w:vertAlign w:val="subscript"/>
        </w:rPr>
        <w:t>L</w:t>
      </w:r>
      <w:r>
        <w:rPr>
          <w:rFonts w:hint="default" w:ascii="Times New Roman" w:hAnsi="Times New Roman" w:eastAsia="宋体" w:cs="Times New Roman"/>
          <w:snapToGrid w:val="0"/>
          <w:color w:val="auto"/>
          <w:sz w:val="24"/>
        </w:rPr>
        <w:t>+6）</w:t>
      </w:r>
    </w:p>
    <w:p w14:paraId="0E5B5A15">
      <w:pPr>
        <w:bidi w:val="0"/>
        <w:rPr>
          <w:color w:val="auto"/>
        </w:rPr>
      </w:pPr>
      <w:r>
        <w:rPr>
          <w:rFonts w:hint="eastAsia"/>
          <w:color w:val="auto"/>
        </w:rPr>
        <w:t>式中：</w:t>
      </w:r>
    </w:p>
    <w:p w14:paraId="7CF2B9B0">
      <w:pPr>
        <w:bidi w:val="0"/>
        <w:rPr>
          <w:color w:val="auto"/>
        </w:rPr>
      </w:pPr>
      <w:r>
        <w:rPr>
          <w:rFonts w:hint="eastAsia"/>
          <w:color w:val="auto"/>
        </w:rPr>
        <w:t>L</w:t>
      </w:r>
      <w:r>
        <w:rPr>
          <w:rFonts w:hint="eastAsia"/>
          <w:color w:val="auto"/>
          <w:vertAlign w:val="subscript"/>
        </w:rPr>
        <w:t>P</w:t>
      </w:r>
      <w:r>
        <w:rPr>
          <w:color w:val="auto"/>
          <w:vertAlign w:val="subscript"/>
        </w:rPr>
        <w:t>2</w:t>
      </w:r>
      <w:r>
        <w:rPr>
          <w:rFonts w:hint="eastAsia"/>
          <w:color w:val="auto"/>
          <w:vertAlign w:val="subscript"/>
        </w:rPr>
        <w:t>i</w:t>
      </w:r>
      <w:r>
        <w:rPr>
          <w:rFonts w:hint="eastAsia"/>
          <w:color w:val="auto"/>
        </w:rPr>
        <w:t>（T）—</w:t>
      </w:r>
      <w:r>
        <w:rPr>
          <w:color w:val="auto"/>
        </w:rPr>
        <w:t>靠近围护结构处室</w:t>
      </w:r>
      <w:r>
        <w:rPr>
          <w:rFonts w:hint="eastAsia"/>
          <w:color w:val="auto"/>
        </w:rPr>
        <w:t>外</w:t>
      </w:r>
      <w:r>
        <w:rPr>
          <w:color w:val="auto"/>
        </w:rPr>
        <w:t>N个声源i倍频带的叠加声压级，dB；</w:t>
      </w:r>
    </w:p>
    <w:p w14:paraId="4569922C">
      <w:pPr>
        <w:bidi w:val="0"/>
        <w:rPr>
          <w:color w:val="auto"/>
        </w:rPr>
      </w:pPr>
      <w:r>
        <w:rPr>
          <w:color w:val="auto"/>
        </w:rPr>
        <w:t>L</w:t>
      </w:r>
      <w:r>
        <w:rPr>
          <w:color w:val="auto"/>
          <w:vertAlign w:val="subscript"/>
        </w:rPr>
        <w:t>P1i</w:t>
      </w:r>
      <w:r>
        <w:rPr>
          <w:rFonts w:hint="eastAsia"/>
          <w:color w:val="auto"/>
          <w:lang w:eastAsia="zh-CN"/>
        </w:rPr>
        <w:t>（</w:t>
      </w:r>
      <w:r>
        <w:rPr>
          <w:color w:val="auto"/>
        </w:rPr>
        <w:t>T</w:t>
      </w:r>
      <w:r>
        <w:rPr>
          <w:rFonts w:hint="eastAsia"/>
          <w:color w:val="auto"/>
          <w:lang w:eastAsia="zh-CN"/>
        </w:rPr>
        <w:t>）</w:t>
      </w:r>
      <w:r>
        <w:rPr>
          <w:color w:val="auto"/>
        </w:rPr>
        <w:t>—靠近围护结构处室内N个声源i倍频带的叠加声压级，dB；</w:t>
      </w:r>
    </w:p>
    <w:p w14:paraId="50508954">
      <w:pPr>
        <w:bidi w:val="0"/>
        <w:rPr>
          <w:rFonts w:hint="eastAsia" w:eastAsia="宋体"/>
          <w:color w:val="auto"/>
          <w:lang w:eastAsia="zh-CN"/>
        </w:rPr>
      </w:pPr>
      <w:r>
        <w:rPr>
          <w:rFonts w:hint="eastAsia"/>
          <w:color w:val="auto"/>
          <w:vertAlign w:val="baseline"/>
        </w:rPr>
        <w:t>T</w:t>
      </w:r>
      <w:r>
        <w:rPr>
          <w:rFonts w:hint="eastAsia"/>
          <w:color w:val="auto"/>
          <w:vertAlign w:val="subscript"/>
        </w:rPr>
        <w:t>Li</w:t>
      </w:r>
      <w:r>
        <w:rPr>
          <w:rFonts w:hint="eastAsia"/>
          <w:color w:val="auto"/>
        </w:rPr>
        <w:t>—围挡结构隔声量，dB</w:t>
      </w:r>
      <w:r>
        <w:rPr>
          <w:rFonts w:hint="eastAsia"/>
          <w:color w:val="auto"/>
          <w:lang w:eastAsia="zh-CN"/>
        </w:rPr>
        <w:t>。</w:t>
      </w:r>
    </w:p>
    <w:p w14:paraId="3A0E373A">
      <w:pPr>
        <w:bidi w:val="0"/>
        <w:rPr>
          <w:b/>
          <w:bCs/>
          <w:color w:val="auto"/>
        </w:rPr>
      </w:pPr>
      <w:r>
        <w:rPr>
          <w:rFonts w:hint="eastAsia"/>
          <w:b/>
          <w:bCs/>
          <w:color w:val="auto"/>
        </w:rPr>
        <w:t>③建筑隔声量取值</w:t>
      </w:r>
    </w:p>
    <w:p w14:paraId="07BD4B00">
      <w:pPr>
        <w:bidi w:val="0"/>
        <w:rPr>
          <w:color w:val="auto"/>
        </w:rPr>
      </w:pPr>
      <w:r>
        <w:rPr>
          <w:rFonts w:hint="eastAsia" w:cs="Times New Roman"/>
          <w:bCs/>
          <w:color w:val="auto"/>
          <w:sz w:val="24"/>
          <w:lang w:val="en-US" w:eastAsia="zh-CN"/>
        </w:rPr>
        <w:t>根据计算，本项目建筑物四周均为混凝土墙体，安装有钢门，根据《环境工程手册 环境噪声控制卷》（郑长聚/2000年/高等教育出版社）中表4-14可知，75厚加气混凝土墙（砌块两面抹灰），墙体隔声量平均值为</w:t>
      </w:r>
      <w:r>
        <w:rPr>
          <w:rFonts w:hint="eastAsia"/>
          <w:color w:val="auto"/>
          <w:kern w:val="21"/>
          <w:sz w:val="24"/>
          <w:lang w:val="en-US" w:eastAsia="zh-CN"/>
        </w:rPr>
        <w:t>38.8</w:t>
      </w:r>
      <w:r>
        <w:rPr>
          <w:rFonts w:hint="eastAsia"/>
          <w:color w:val="auto"/>
          <w:kern w:val="21"/>
          <w:sz w:val="24"/>
        </w:rPr>
        <w:t>dB</w:t>
      </w:r>
      <w:r>
        <w:rPr>
          <w:rFonts w:hint="eastAsia"/>
          <w:color w:val="auto"/>
          <w:kern w:val="21"/>
          <w:sz w:val="24"/>
          <w:lang w:eastAsia="zh-CN"/>
        </w:rPr>
        <w:t>。</w:t>
      </w:r>
    </w:p>
    <w:p w14:paraId="5F4C9B02">
      <w:pPr>
        <w:bidi w:val="0"/>
        <w:rPr>
          <w:color w:val="auto"/>
        </w:rPr>
      </w:pPr>
      <w:r>
        <w:rPr>
          <w:color w:val="auto"/>
        </w:rPr>
        <w:t>本项目噪声主要来源于各类泵、风机、电机，噪声多为中低频，声级值范围75~95dB</w:t>
      </w:r>
      <w:r>
        <w:rPr>
          <w:rFonts w:hint="eastAsia"/>
          <w:color w:val="auto"/>
          <w:lang w:eastAsia="zh-CN"/>
        </w:rPr>
        <w:t>（</w:t>
      </w:r>
      <w:r>
        <w:rPr>
          <w:color w:val="auto"/>
        </w:rPr>
        <w:t>Α</w:t>
      </w:r>
      <w:r>
        <w:rPr>
          <w:rFonts w:hint="eastAsia"/>
          <w:color w:val="auto"/>
          <w:lang w:eastAsia="zh-CN"/>
        </w:rPr>
        <w:t>）</w:t>
      </w:r>
      <w:r>
        <w:rPr>
          <w:color w:val="auto"/>
        </w:rPr>
        <w:t>。拟采取消、隔声、减振及优化总图布置的方式来确保厂界达标。项目设备噪声源强及降噪措施见</w:t>
      </w:r>
      <w:r>
        <w:rPr>
          <w:rFonts w:hint="eastAsia"/>
          <w:color w:val="auto"/>
          <w:lang w:val="en-US" w:eastAsia="zh-CN"/>
        </w:rPr>
        <w:t>表2.5-5和表2.5-6</w:t>
      </w:r>
      <w:r>
        <w:rPr>
          <w:color w:val="auto"/>
        </w:rPr>
        <w:t>。</w:t>
      </w:r>
    </w:p>
    <w:p w14:paraId="1B7C4A15">
      <w:pPr>
        <w:bidi w:val="0"/>
        <w:rPr>
          <w:b/>
          <w:bCs/>
          <w:color w:val="auto"/>
        </w:rPr>
      </w:pPr>
      <w:r>
        <w:rPr>
          <w:rFonts w:hint="eastAsia"/>
          <w:b/>
          <w:bCs/>
          <w:color w:val="auto"/>
          <w:lang w:val="en-US" w:eastAsia="zh-CN"/>
        </w:rPr>
        <w:t>2、</w:t>
      </w:r>
      <w:r>
        <w:rPr>
          <w:rFonts w:hint="eastAsia"/>
          <w:b/>
          <w:bCs/>
          <w:color w:val="auto"/>
        </w:rPr>
        <w:t>噪声影响估算</w:t>
      </w:r>
    </w:p>
    <w:p w14:paraId="589B7978">
      <w:pPr>
        <w:adjustRightInd w:val="0"/>
        <w:snapToGrid w:val="0"/>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color w:val="auto"/>
          <w:sz w:val="24"/>
        </w:rPr>
        <w:t>为了解本项目建成</w:t>
      </w:r>
      <w:r>
        <w:rPr>
          <w:rFonts w:hint="default" w:ascii="Times New Roman" w:hAnsi="Times New Roman" w:cs="Times New Roman"/>
          <w:color w:val="auto"/>
          <w:sz w:val="24"/>
          <w:lang w:eastAsia="zh-CN"/>
        </w:rPr>
        <w:t>运营</w:t>
      </w:r>
      <w:r>
        <w:rPr>
          <w:rFonts w:hint="default" w:ascii="Times New Roman" w:hAnsi="Times New Roman" w:cs="Times New Roman"/>
          <w:color w:val="auto"/>
          <w:sz w:val="24"/>
        </w:rPr>
        <w:t>后对周边环境影响，本项目参考</w:t>
      </w:r>
      <w:r>
        <w:rPr>
          <w:rFonts w:hint="default" w:ascii="Times New Roman" w:hAnsi="Times New Roman" w:cs="Times New Roman"/>
          <w:snapToGrid w:val="0"/>
          <w:color w:val="auto"/>
          <w:sz w:val="24"/>
        </w:rPr>
        <w:t>《环境影响评价技术导则 声环境》（HJ2.4-2021）推荐的噪声传播衰减模式预测项目噪声对周边环境影响。</w:t>
      </w:r>
    </w:p>
    <w:p w14:paraId="56E0AF6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snapToGrid w:val="0"/>
          <w:color w:val="auto"/>
          <w:sz w:val="24"/>
        </w:rPr>
        <w:t>1）预测模式</w:t>
      </w:r>
    </w:p>
    <w:p w14:paraId="65B984CC">
      <w:pPr>
        <w:pStyle w:val="189"/>
        <w:spacing w:line="360" w:lineRule="auto"/>
        <w:ind w:left="0" w:leftChars="0" w:firstLine="482" w:firstLineChars="200"/>
        <w:textAlignment w:val="baseline"/>
        <w:rPr>
          <w:rFonts w:hint="default" w:ascii="Times New Roman" w:hAnsi="Times New Roman" w:eastAsia="宋体" w:cs="Times New Roman"/>
          <w:b/>
          <w:bCs/>
          <w:snapToGrid w:val="0"/>
          <w:color w:val="auto"/>
          <w:sz w:val="24"/>
          <w:szCs w:val="24"/>
        </w:rPr>
      </w:pPr>
      <w:r>
        <w:rPr>
          <w:rFonts w:hint="default" w:ascii="Times New Roman" w:hAnsi="Times New Roman" w:eastAsia="宋体" w:cs="Times New Roman"/>
          <w:b/>
          <w:bCs/>
          <w:snapToGrid w:val="0"/>
          <w:color w:val="auto"/>
          <w:sz w:val="24"/>
          <w:szCs w:val="24"/>
        </w:rPr>
        <w:t>室内声源等效室外声源声功率级计算方法：</w:t>
      </w:r>
    </w:p>
    <w:p w14:paraId="2F4BB0EF">
      <w:pPr>
        <w:pStyle w:val="189"/>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设靠近开口处（或窗户）室内、室外某倍频带的声压级或A声级分别为Lp1和Lp2。若声源所在室内声场为近似扩散声场，则室外的倍频带声压级可按式（B.1）近似求出：</w:t>
      </w:r>
    </w:p>
    <w:p w14:paraId="4610992D">
      <w:pPr>
        <w:pStyle w:val="189"/>
        <w:spacing w:line="360" w:lineRule="auto"/>
        <w:ind w:firstLine="480"/>
        <w:jc w:val="center"/>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2229485" cy="338455"/>
            <wp:effectExtent l="0" t="0" r="18415" b="4445"/>
            <wp:docPr id="6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pic:cNvPicPr>
                      <a:picLocks noChangeAspect="1"/>
                    </pic:cNvPicPr>
                  </pic:nvPicPr>
                  <pic:blipFill>
                    <a:blip r:embed="rId73"/>
                    <a:stretch>
                      <a:fillRect/>
                    </a:stretch>
                  </pic:blipFill>
                  <pic:spPr>
                    <a:xfrm>
                      <a:off x="0" y="0"/>
                      <a:ext cx="2229485" cy="338455"/>
                    </a:xfrm>
                    <a:prstGeom prst="rect">
                      <a:avLst/>
                    </a:prstGeom>
                    <a:noFill/>
                    <a:ln>
                      <a:noFill/>
                    </a:ln>
                  </pic:spPr>
                </pic:pic>
              </a:graphicData>
            </a:graphic>
          </wp:inline>
        </w:drawing>
      </w:r>
    </w:p>
    <w:p w14:paraId="2B26631F">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w:t>
      </w:r>
      <w:r>
        <w:rPr>
          <w:rFonts w:hint="default" w:ascii="Times New Roman" w:hAnsi="Times New Roman" w:eastAsia="宋体" w:cs="Times New Roman"/>
          <w:snapToGrid w:val="0"/>
          <w:color w:val="auto"/>
          <w:sz w:val="24"/>
          <w:szCs w:val="24"/>
          <w:vertAlign w:val="subscript"/>
          <w:lang w:val="en-US" w:eastAsia="zh-CN"/>
        </w:rPr>
        <w:t>1</w:t>
      </w:r>
      <w:r>
        <w:rPr>
          <w:rFonts w:hint="default"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靠近开口处（或窗户）室内某倍频带的声压级或A声级，dB；</w:t>
      </w:r>
    </w:p>
    <w:p w14:paraId="79AF2372">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p2</w:t>
      </w:r>
      <w:r>
        <w:rPr>
          <w:rFonts w:hint="default" w:ascii="Times New Roman" w:hAnsi="Times New Roman" w:eastAsia="宋体" w:cs="Times New Roman"/>
          <w:snapToGrid w:val="0"/>
          <w:color w:val="auto"/>
          <w:sz w:val="24"/>
          <w:szCs w:val="24"/>
        </w:rPr>
        <w:t>——靠近开口处（或窗户）室外某倍频带的声压级或A声级，dB；</w:t>
      </w:r>
    </w:p>
    <w:p w14:paraId="3CF78AF9">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TL——隔墙（或窗户）倍频带或A声级的隔声量，dB。</w:t>
      </w:r>
    </w:p>
    <w:p w14:paraId="2A80728E">
      <w:pPr>
        <w:pStyle w:val="189"/>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也可按式（B.2）计算某一室内声源靠近围护结构处产生的倍频带声压级或A声级：</w:t>
      </w:r>
    </w:p>
    <w:p w14:paraId="04AE70A0">
      <w:pPr>
        <w:pStyle w:val="189"/>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w:t>
      </w:r>
      <w:r>
        <w:rPr>
          <w:rFonts w:hint="default" w:ascii="Times New Roman" w:hAnsi="Times New Roman" w:cs="Times New Roman"/>
          <w:color w:val="auto"/>
          <w:sz w:val="24"/>
          <w:szCs w:val="24"/>
        </w:rPr>
        <w:drawing>
          <wp:inline distT="0" distB="0" distL="114300" distR="114300">
            <wp:extent cx="2667000" cy="485775"/>
            <wp:effectExtent l="0" t="0" r="0" b="9525"/>
            <wp:docPr id="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pic:cNvPicPr>
                      <a:picLocks noChangeAspect="1"/>
                    </pic:cNvPicPr>
                  </pic:nvPicPr>
                  <pic:blipFill>
                    <a:blip r:embed="rId74"/>
                    <a:stretch>
                      <a:fillRect/>
                    </a:stretch>
                  </pic:blipFill>
                  <pic:spPr>
                    <a:xfrm>
                      <a:off x="0" y="0"/>
                      <a:ext cx="2667000" cy="485775"/>
                    </a:xfrm>
                    <a:prstGeom prst="rect">
                      <a:avLst/>
                    </a:prstGeom>
                    <a:noFill/>
                    <a:ln>
                      <a:noFill/>
                    </a:ln>
                  </pic:spPr>
                </pic:pic>
              </a:graphicData>
            </a:graphic>
          </wp:inline>
        </w:drawing>
      </w:r>
    </w:p>
    <w:p w14:paraId="4F4EFF4F">
      <w:pPr>
        <w:pStyle w:val="189"/>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w:t>
      </w:r>
      <w:r>
        <w:rPr>
          <w:rFonts w:hint="default" w:ascii="Times New Roman" w:hAnsi="Times New Roman" w:eastAsia="宋体" w:cs="Times New Roman"/>
          <w:snapToGrid w:val="0"/>
          <w:color w:val="auto"/>
          <w:sz w:val="24"/>
          <w:szCs w:val="24"/>
          <w:vertAlign w:val="subscript"/>
          <w:lang w:val="en-US" w:eastAsia="zh-CN"/>
        </w:rPr>
        <w:t>1</w:t>
      </w:r>
      <w:r>
        <w:rPr>
          <w:rFonts w:hint="default" w:ascii="Times New Roman" w:hAnsi="Times New Roman" w:eastAsia="宋体" w:cs="Times New Roman"/>
          <w:snapToGrid w:val="0"/>
          <w:color w:val="auto"/>
          <w:sz w:val="24"/>
          <w:szCs w:val="24"/>
        </w:rPr>
        <w:t>——靠近开口处（或窗户）室内某倍频带的声压级或A声级，dB；</w:t>
      </w:r>
    </w:p>
    <w:p w14:paraId="72965E59">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Lw——点声源声功率级（A计权或倍频带），dB；</w:t>
      </w:r>
    </w:p>
    <w:p w14:paraId="68A372E9">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Q——指向性因数；通常对无指向性声源，当声源放在房间中心时，Q=1；当放在一面墙的中心时，Q=2；当放在两面墙夹角处时，Q=4；当放在三面墙夹角处时，Q=8；</w:t>
      </w:r>
    </w:p>
    <w:p w14:paraId="623171B8">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R——房间常数；R=Sα/（1—</w:t>
      </w:r>
      <w:r>
        <w:rPr>
          <w:rFonts w:hint="default" w:ascii="Times New Roman" w:hAnsi="Times New Roman" w:eastAsia="宋体" w:cs="Times New Roman"/>
          <w:i/>
          <w:iCs/>
          <w:color w:val="auto"/>
          <w:kern w:val="0"/>
          <w:sz w:val="24"/>
          <w:szCs w:val="24"/>
          <w:lang w:val="en-US" w:eastAsia="zh-CN" w:bidi="ar"/>
        </w:rPr>
        <w:t>α</w:t>
      </w:r>
      <w:r>
        <w:rPr>
          <w:rFonts w:hint="default" w:ascii="Times New Roman" w:hAnsi="Times New Roman" w:eastAsia="宋体" w:cs="Times New Roman"/>
          <w:snapToGrid w:val="0"/>
          <w:color w:val="auto"/>
          <w:sz w:val="24"/>
          <w:szCs w:val="24"/>
        </w:rPr>
        <w:t>），S为房间内表面面积，</w:t>
      </w:r>
      <w:r>
        <w:rPr>
          <w:rFonts w:hint="default" w:ascii="Times New Roman" w:hAnsi="Times New Roman" w:cs="Times New Roman"/>
          <w:snapToGrid w:val="0"/>
          <w:color w:val="auto"/>
          <w:sz w:val="24"/>
          <w:szCs w:val="24"/>
          <w:lang w:eastAsia="zh-CN"/>
        </w:rPr>
        <w:t>m²</w:t>
      </w:r>
      <w:r>
        <w:rPr>
          <w:rFonts w:hint="default" w:ascii="Times New Roman" w:hAnsi="Times New Roman" w:eastAsia="宋体" w:cs="Times New Roman"/>
          <w:snapToGrid w:val="0"/>
          <w:color w:val="auto"/>
          <w:sz w:val="24"/>
          <w:szCs w:val="24"/>
        </w:rPr>
        <w:t>；</w:t>
      </w:r>
      <w:r>
        <w:rPr>
          <w:rFonts w:hint="default" w:ascii="Times New Roman" w:hAnsi="Times New Roman" w:eastAsia="宋体" w:cs="Times New Roman"/>
          <w:i/>
          <w:iCs/>
          <w:color w:val="auto"/>
          <w:kern w:val="0"/>
          <w:sz w:val="24"/>
          <w:szCs w:val="24"/>
          <w:lang w:val="en-US" w:eastAsia="zh-CN" w:bidi="ar"/>
        </w:rPr>
        <w:t>α</w:t>
      </w:r>
      <w:r>
        <w:rPr>
          <w:rFonts w:hint="default" w:ascii="Times New Roman" w:hAnsi="Times New Roman" w:eastAsia="宋体" w:cs="Times New Roman"/>
          <w:snapToGrid w:val="0"/>
          <w:color w:val="auto"/>
          <w:sz w:val="24"/>
          <w:szCs w:val="24"/>
        </w:rPr>
        <w:t>为平均吸声系数；</w:t>
      </w:r>
    </w:p>
    <w:p w14:paraId="7825C0D0">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r——声源到靠近围护结构某点处的距离，m。</w:t>
      </w:r>
    </w:p>
    <w:p w14:paraId="52D732E4">
      <w:pPr>
        <w:pStyle w:val="189"/>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然后按式（B.3）计算出所有室内声源在围护结构处产生的i倍频带叠加声压级：</w:t>
      </w:r>
    </w:p>
    <w:p w14:paraId="6A22C2D9">
      <w:pPr>
        <w:pStyle w:val="189"/>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495550" cy="469265"/>
            <wp:effectExtent l="0" t="0" r="0" b="6985"/>
            <wp:docPr id="6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1"/>
                    <pic:cNvPicPr>
                      <a:picLocks noChangeAspect="1"/>
                    </pic:cNvPicPr>
                  </pic:nvPicPr>
                  <pic:blipFill>
                    <a:blip r:embed="rId75"/>
                    <a:stretch>
                      <a:fillRect/>
                    </a:stretch>
                  </pic:blipFill>
                  <pic:spPr>
                    <a:xfrm>
                      <a:off x="0" y="0"/>
                      <a:ext cx="2495550" cy="469265"/>
                    </a:xfrm>
                    <a:prstGeom prst="rect">
                      <a:avLst/>
                    </a:prstGeom>
                    <a:noFill/>
                    <a:ln>
                      <a:noFill/>
                    </a:ln>
                  </pic:spPr>
                </pic:pic>
              </a:graphicData>
            </a:graphic>
          </wp:inline>
        </w:drawing>
      </w:r>
    </w:p>
    <w:p w14:paraId="4F61C1A9">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式中：LP1i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——靠近围护结构处室内N个声源i倍频带的叠加声压级，dB；</w:t>
      </w:r>
    </w:p>
    <w:p w14:paraId="49E3ED24">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LP1ij——室内j声源i倍频带的声压级，dB；</w:t>
      </w:r>
    </w:p>
    <w:p w14:paraId="3670FB83">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N——室内声源总数。</w:t>
      </w:r>
    </w:p>
    <w:p w14:paraId="5543F7F6">
      <w:pPr>
        <w:pStyle w:val="189"/>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在室内近似为扩散声场时，按式（B.4）计算出靠近室外围护结构处的声压级：</w:t>
      </w:r>
    </w:p>
    <w:p w14:paraId="392B636A">
      <w:pPr>
        <w:pStyle w:val="189"/>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572385" cy="267970"/>
            <wp:effectExtent l="0" t="0" r="18415" b="17780"/>
            <wp:docPr id="6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2"/>
                    <pic:cNvPicPr>
                      <a:picLocks noChangeAspect="1"/>
                    </pic:cNvPicPr>
                  </pic:nvPicPr>
                  <pic:blipFill>
                    <a:blip r:embed="rId76"/>
                    <a:stretch>
                      <a:fillRect/>
                    </a:stretch>
                  </pic:blipFill>
                  <pic:spPr>
                    <a:xfrm>
                      <a:off x="0" y="0"/>
                      <a:ext cx="2572385" cy="267970"/>
                    </a:xfrm>
                    <a:prstGeom prst="rect">
                      <a:avLst/>
                    </a:prstGeom>
                    <a:noFill/>
                    <a:ln>
                      <a:noFill/>
                    </a:ln>
                  </pic:spPr>
                </pic:pic>
              </a:graphicData>
            </a:graphic>
          </wp:inline>
        </w:drawing>
      </w:r>
    </w:p>
    <w:p w14:paraId="434A578F">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P2</w:t>
      </w:r>
      <w:r>
        <w:rPr>
          <w:rFonts w:hint="default" w:ascii="Times New Roman" w:hAnsi="Times New Roman" w:eastAsia="宋体" w:cs="Times New Roman"/>
          <w:snapToGrid w:val="0"/>
          <w:color w:val="auto"/>
          <w:sz w:val="24"/>
          <w:szCs w:val="24"/>
        </w:rPr>
        <w:t>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——靠近围护结构处室外N个声源i倍频带的叠加声压级，</w:t>
      </w:r>
    </w:p>
    <w:p w14:paraId="3075902B">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dB；</w:t>
      </w:r>
    </w:p>
    <w:p w14:paraId="0B346C47">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P1i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——靠近围护结构处室内N个声源i倍频带的叠加声压级，dB；</w:t>
      </w:r>
    </w:p>
    <w:p w14:paraId="2916EC60">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TL</w:t>
      </w:r>
      <w:r>
        <w:rPr>
          <w:rFonts w:hint="default" w:ascii="Times New Roman" w:hAnsi="Times New Roman" w:eastAsia="宋体" w:cs="Times New Roman"/>
          <w:snapToGrid w:val="0"/>
          <w:color w:val="auto"/>
          <w:sz w:val="24"/>
          <w:szCs w:val="24"/>
          <w:vertAlign w:val="subscript"/>
        </w:rPr>
        <w:t>i</w:t>
      </w:r>
      <w:r>
        <w:rPr>
          <w:rFonts w:hint="default" w:ascii="Times New Roman" w:hAnsi="Times New Roman" w:eastAsia="宋体" w:cs="Times New Roman"/>
          <w:snapToGrid w:val="0"/>
          <w:color w:val="auto"/>
          <w:sz w:val="24"/>
          <w:szCs w:val="24"/>
        </w:rPr>
        <w:t>——围护结构i倍频带的隔声量，dB。</w:t>
      </w:r>
    </w:p>
    <w:p w14:paraId="4FB2D633">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然后按式（B.5）将室外声源的声压级和透过面积换算成等效的室外声源，</w:t>
      </w:r>
    </w:p>
    <w:p w14:paraId="76C82362">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计算出中心位置位于透声面积（S）处的等效声源的倍频带声功率级。</w:t>
      </w:r>
    </w:p>
    <w:p w14:paraId="1ACFE32F">
      <w:pPr>
        <w:pStyle w:val="189"/>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495550" cy="342900"/>
            <wp:effectExtent l="0" t="0" r="0" b="0"/>
            <wp:docPr id="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3"/>
                    <pic:cNvPicPr>
                      <a:picLocks noChangeAspect="1"/>
                    </pic:cNvPicPr>
                  </pic:nvPicPr>
                  <pic:blipFill>
                    <a:blip r:embed="rId77"/>
                    <a:stretch>
                      <a:fillRect/>
                    </a:stretch>
                  </pic:blipFill>
                  <pic:spPr>
                    <a:xfrm>
                      <a:off x="0" y="0"/>
                      <a:ext cx="2495550" cy="342900"/>
                    </a:xfrm>
                    <a:prstGeom prst="rect">
                      <a:avLst/>
                    </a:prstGeom>
                    <a:noFill/>
                    <a:ln>
                      <a:noFill/>
                    </a:ln>
                  </pic:spPr>
                </pic:pic>
              </a:graphicData>
            </a:graphic>
          </wp:inline>
        </w:drawing>
      </w:r>
    </w:p>
    <w:p w14:paraId="4DE35EAF">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W</w:t>
      </w:r>
      <w:r>
        <w:rPr>
          <w:rFonts w:hint="default" w:ascii="Times New Roman" w:hAnsi="Times New Roman" w:eastAsia="宋体" w:cs="Times New Roman"/>
          <w:snapToGrid w:val="0"/>
          <w:color w:val="auto"/>
          <w:sz w:val="24"/>
          <w:szCs w:val="24"/>
        </w:rPr>
        <w:t>——中心位置位于透声面积</w:t>
      </w:r>
      <w:r>
        <w:rPr>
          <w:rFonts w:hint="default"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S）处的等效声源的倍频带声功率级，dB；</w:t>
      </w:r>
    </w:p>
    <w:p w14:paraId="6FDC2294">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P2</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——靠近围护结构处室外声源的声压级，dB；</w:t>
      </w:r>
    </w:p>
    <w:p w14:paraId="068A17DA">
      <w:pPr>
        <w:pStyle w:val="189"/>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S——透声面积，</w:t>
      </w:r>
      <w:r>
        <w:rPr>
          <w:rFonts w:hint="default" w:ascii="Times New Roman" w:hAnsi="Times New Roman" w:eastAsia="宋体" w:cs="Times New Roman"/>
          <w:snapToGrid w:val="0"/>
          <w:color w:val="auto"/>
          <w:sz w:val="24"/>
          <w:szCs w:val="24"/>
          <w:lang w:eastAsia="zh-CN"/>
        </w:rPr>
        <w:t>m²</w:t>
      </w:r>
      <w:r>
        <w:rPr>
          <w:rFonts w:hint="default" w:ascii="Times New Roman" w:hAnsi="Times New Roman" w:eastAsia="宋体" w:cs="Times New Roman"/>
          <w:snapToGrid w:val="0"/>
          <w:color w:val="auto"/>
          <w:sz w:val="24"/>
          <w:szCs w:val="24"/>
        </w:rPr>
        <w:t>。</w:t>
      </w:r>
    </w:p>
    <w:p w14:paraId="45EDF1E2">
      <w:pPr>
        <w:pStyle w:val="189"/>
        <w:spacing w:line="360" w:lineRule="auto"/>
        <w:ind w:firstLine="480"/>
        <w:jc w:val="left"/>
        <w:textAlignment w:val="baseline"/>
        <w:rPr>
          <w:rFonts w:hint="default" w:ascii="Times New Roman" w:hAnsi="Times New Roman" w:eastAsia="宋体" w:cs="Times New Roman"/>
          <w:b/>
          <w:bCs/>
          <w:snapToGrid w:val="0"/>
          <w:color w:val="auto"/>
          <w:sz w:val="24"/>
          <w:szCs w:val="24"/>
          <w:lang w:eastAsia="zh-CN"/>
        </w:rPr>
      </w:pPr>
      <w:r>
        <w:rPr>
          <w:rFonts w:hint="default" w:ascii="Times New Roman" w:hAnsi="Times New Roman" w:eastAsia="宋体" w:cs="Times New Roman"/>
          <w:b/>
          <w:bCs/>
          <w:snapToGrid w:val="0"/>
          <w:color w:val="auto"/>
          <w:sz w:val="24"/>
          <w:szCs w:val="24"/>
          <w:lang w:eastAsia="zh-CN"/>
        </w:rPr>
        <w:t>户外</w:t>
      </w:r>
      <w:r>
        <w:rPr>
          <w:rFonts w:hint="default" w:ascii="Times New Roman" w:hAnsi="Times New Roman" w:eastAsia="宋体" w:cs="Times New Roman"/>
          <w:b/>
          <w:bCs/>
          <w:snapToGrid w:val="0"/>
          <w:color w:val="auto"/>
          <w:sz w:val="24"/>
          <w:szCs w:val="24"/>
        </w:rPr>
        <w:t>点声源几何发散衰减公式</w:t>
      </w:r>
      <w:r>
        <w:rPr>
          <w:rFonts w:hint="default" w:ascii="Times New Roman" w:hAnsi="Times New Roman" w:eastAsia="宋体" w:cs="Times New Roman"/>
          <w:b/>
          <w:bCs/>
          <w:snapToGrid w:val="0"/>
          <w:color w:val="auto"/>
          <w:sz w:val="24"/>
          <w:szCs w:val="24"/>
          <w:lang w:eastAsia="zh-CN"/>
        </w:rPr>
        <w:t>：</w:t>
      </w:r>
    </w:p>
    <w:p w14:paraId="7FA970F7">
      <w:pPr>
        <w:pStyle w:val="189"/>
        <w:spacing w:line="360" w:lineRule="auto"/>
        <w:ind w:firstLine="480"/>
        <w:jc w:val="left"/>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本次评价拟采用《环境影响评价技术导则 声环境》（HJ2.4-2021）点声源几何发散衰减公式进行预测，预测模式如下。</w:t>
      </w:r>
    </w:p>
    <w:p w14:paraId="185443A1">
      <w:pPr>
        <w:spacing w:line="360" w:lineRule="auto"/>
        <w:ind w:firstLine="480" w:firstLineChars="20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drawing>
          <wp:inline distT="0" distB="0" distL="114300" distR="114300">
            <wp:extent cx="1581150" cy="245745"/>
            <wp:effectExtent l="0" t="0" r="0" b="1905"/>
            <wp:docPr id="7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
                    <pic:cNvPicPr>
                      <a:picLocks noChangeAspect="1"/>
                    </pic:cNvPicPr>
                  </pic:nvPicPr>
                  <pic:blipFill>
                    <a:blip r:embed="rId78"/>
                    <a:stretch>
                      <a:fillRect/>
                    </a:stretch>
                  </pic:blipFill>
                  <pic:spPr>
                    <a:xfrm>
                      <a:off x="0" y="0"/>
                      <a:ext cx="1581150" cy="245745"/>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t xml:space="preserve">   </w:t>
      </w:r>
      <w:r>
        <w:rPr>
          <w:rFonts w:hint="default" w:ascii="Times New Roman" w:hAnsi="Times New Roman" w:eastAsia="宋体" w:cs="Times New Roman"/>
          <w:color w:val="auto"/>
          <w:kern w:val="0"/>
          <w:sz w:val="24"/>
          <w:szCs w:val="24"/>
          <w:lang w:val="en-US" w:eastAsia="zh-CN" w:bidi="ar"/>
        </w:rPr>
        <w:t>（A.5）</w:t>
      </w:r>
    </w:p>
    <w:p w14:paraId="39CA1907">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Lp</w:t>
      </w:r>
      <w:r>
        <w:rPr>
          <w:rFonts w:hint="eastAsia"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r</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——预测点处声压级，dB；</w:t>
      </w:r>
    </w:p>
    <w:p w14:paraId="67B35F99">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Lp</w:t>
      </w:r>
      <w:r>
        <w:rPr>
          <w:rFonts w:hint="eastAsia"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——参考位置</w:t>
      </w: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处的声压级，dB；</w:t>
      </w:r>
    </w:p>
    <w:p w14:paraId="0CEA7D02">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w:t>
      </w:r>
    </w:p>
    <w:p w14:paraId="672427A5">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——参考位置距声源的距离。</w:t>
      </w:r>
    </w:p>
    <w:p w14:paraId="04FFAE7F">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式（A.5）中第二项表示了点声源的几何发散衰减：</w:t>
      </w:r>
    </w:p>
    <w:p w14:paraId="217B9188">
      <w:pPr>
        <w:pStyle w:val="189"/>
        <w:spacing w:line="360" w:lineRule="auto"/>
        <w:ind w:firstLine="480"/>
        <w:jc w:val="center"/>
        <w:textAlignment w:val="baseline"/>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drawing>
          <wp:inline distT="0" distB="0" distL="114300" distR="114300">
            <wp:extent cx="1019810" cy="260350"/>
            <wp:effectExtent l="0" t="0" r="8890" b="6350"/>
            <wp:docPr id="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
                    <pic:cNvPicPr>
                      <a:picLocks noChangeAspect="1"/>
                    </pic:cNvPicPr>
                  </pic:nvPicPr>
                  <pic:blipFill>
                    <a:blip r:embed="rId79"/>
                    <a:stretch>
                      <a:fillRect/>
                    </a:stretch>
                  </pic:blipFill>
                  <pic:spPr>
                    <a:xfrm>
                      <a:off x="0" y="0"/>
                      <a:ext cx="1019810" cy="260350"/>
                    </a:xfrm>
                    <a:prstGeom prst="rect">
                      <a:avLst/>
                    </a:prstGeom>
                    <a:noFill/>
                    <a:ln>
                      <a:noFill/>
                    </a:ln>
                  </pic:spPr>
                </pic:pic>
              </a:graphicData>
            </a:graphic>
          </wp:inline>
        </w:drawing>
      </w:r>
    </w:p>
    <w:p w14:paraId="296DF948">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vertAlign w:val="subscript"/>
          <w:lang w:val="en-US" w:eastAsia="zh-CN" w:bidi="ar"/>
        </w:rPr>
        <w:t>div</w:t>
      </w:r>
      <w:r>
        <w:rPr>
          <w:rFonts w:hint="default" w:ascii="Times New Roman" w:hAnsi="Times New Roman" w:eastAsia="宋体" w:cs="Times New Roman"/>
          <w:color w:val="auto"/>
          <w:kern w:val="0"/>
          <w:sz w:val="24"/>
          <w:szCs w:val="24"/>
          <w:lang w:val="en-US" w:eastAsia="zh-CN" w:bidi="ar"/>
        </w:rPr>
        <w:t>——几何发散引起的衰减，dB；</w:t>
      </w:r>
    </w:p>
    <w:p w14:paraId="78772952">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w:t>
      </w:r>
    </w:p>
    <w:p w14:paraId="26DA8195">
      <w:pPr>
        <w:pStyle w:val="708"/>
        <w:snapToGrid w:val="0"/>
        <w:ind w:firstLine="480" w:firstLineChars="200"/>
        <w:rPr>
          <w:rFonts w:hint="default" w:ascii="Times New Roman" w:hAnsi="Times New Roman" w:cs="Times New Roman"/>
          <w:snapToGrid w:val="0"/>
          <w:color w:val="auto"/>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——参考位置距声源的距离。</w:t>
      </w:r>
    </w:p>
    <w:p w14:paraId="59AB71A5">
      <w:pPr>
        <w:numPr>
          <w:ilvl w:val="0"/>
          <w:numId w:val="23"/>
        </w:numPr>
        <w:spacing w:line="360" w:lineRule="auto"/>
        <w:ind w:left="0" w:leftChars="0" w:firstLine="482" w:firstLineChars="200"/>
        <w:rPr>
          <w:rFonts w:hint="eastAsia"/>
          <w:b/>
          <w:bCs/>
          <w:color w:val="auto"/>
          <w:lang w:val="en-US" w:eastAsia="zh-CN"/>
        </w:rPr>
      </w:pPr>
      <w:r>
        <w:rPr>
          <w:rFonts w:hint="eastAsia"/>
          <w:b/>
          <w:bCs/>
          <w:color w:val="auto"/>
          <w:lang w:val="en-US" w:eastAsia="zh-CN"/>
        </w:rPr>
        <w:t>预测结果</w:t>
      </w:r>
    </w:p>
    <w:p w14:paraId="598BE8D0">
      <w:pPr>
        <w:pStyle w:val="189"/>
        <w:spacing w:line="360" w:lineRule="auto"/>
        <w:ind w:firstLine="480"/>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根据预测模式计算各厂界噪声值，本项目建成后各方向厂界</w:t>
      </w:r>
      <w:r>
        <w:rPr>
          <w:rFonts w:hint="default" w:ascii="Times New Roman" w:hAnsi="Times New Roman" w:eastAsia="宋体" w:cs="Times New Roman"/>
          <w:color w:val="auto"/>
          <w:sz w:val="24"/>
          <w:lang w:eastAsia="zh-CN"/>
        </w:rPr>
        <w:t>和最近居民处</w:t>
      </w:r>
      <w:r>
        <w:rPr>
          <w:rFonts w:hint="default" w:ascii="Times New Roman" w:hAnsi="Times New Roman" w:eastAsia="宋体" w:cs="Times New Roman"/>
          <w:color w:val="auto"/>
          <w:sz w:val="24"/>
        </w:rPr>
        <w:t>噪声值如下所示。</w:t>
      </w:r>
    </w:p>
    <w:p w14:paraId="25C8F4AD">
      <w:pPr>
        <w:pStyle w:val="15"/>
        <w:numPr>
          <w:ilvl w:val="0"/>
          <w:numId w:val="31"/>
        </w:numPr>
        <w:bidi w:val="0"/>
        <w:ind w:left="0" w:leftChars="0" w:firstLine="0" w:firstLineChars="0"/>
        <w:rPr>
          <w:rFonts w:hint="default"/>
          <w:color w:val="auto"/>
          <w:lang w:val="en-US" w:eastAsia="zh-CN"/>
        </w:rPr>
      </w:pPr>
      <w:r>
        <w:rPr>
          <w:rFonts w:hint="default"/>
          <w:color w:val="auto"/>
          <w:lang w:val="en-US" w:eastAsia="zh-CN"/>
        </w:rPr>
        <w:t>主要噪声源强与各厂界</w:t>
      </w:r>
      <w:r>
        <w:rPr>
          <w:rFonts w:hint="eastAsia"/>
          <w:color w:val="auto"/>
          <w:lang w:val="en-US" w:eastAsia="zh-CN"/>
        </w:rPr>
        <w:t>声源叠加后</w:t>
      </w:r>
      <w:r>
        <w:rPr>
          <w:rFonts w:hint="default"/>
          <w:color w:val="auto"/>
          <w:lang w:val="en-US" w:eastAsia="zh-CN"/>
        </w:rPr>
        <w:t>的预测结果   噪声值dB（A）</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700"/>
        <w:gridCol w:w="1064"/>
        <w:gridCol w:w="914"/>
        <w:gridCol w:w="2667"/>
        <w:gridCol w:w="1154"/>
        <w:gridCol w:w="1442"/>
      </w:tblGrid>
      <w:tr w14:paraId="67BBC9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noWrap w:val="0"/>
            <w:vAlign w:val="center"/>
          </w:tcPr>
          <w:p w14:paraId="78262B09">
            <w:pPr>
              <w:pStyle w:val="12"/>
              <w:bidi w:val="0"/>
              <w:rPr>
                <w:rFonts w:hint="default"/>
                <w:b/>
                <w:bCs/>
                <w:color w:val="auto"/>
                <w:lang w:eastAsia="zh-CN"/>
              </w:rPr>
            </w:pPr>
            <w:r>
              <w:rPr>
                <w:rFonts w:hint="default"/>
                <w:b/>
                <w:bCs/>
                <w:color w:val="auto"/>
                <w:lang w:eastAsia="zh-CN"/>
              </w:rPr>
              <w:t>方位</w:t>
            </w:r>
          </w:p>
        </w:tc>
        <w:tc>
          <w:tcPr>
            <w:tcW w:w="595" w:type="pct"/>
            <w:noWrap w:val="0"/>
            <w:vAlign w:val="center"/>
          </w:tcPr>
          <w:p w14:paraId="5AA3A40F">
            <w:pPr>
              <w:pStyle w:val="12"/>
              <w:bidi w:val="0"/>
              <w:rPr>
                <w:rFonts w:hint="default"/>
                <w:b/>
                <w:bCs/>
                <w:color w:val="auto"/>
                <w:lang w:eastAsia="zh-CN"/>
              </w:rPr>
            </w:pPr>
            <w:r>
              <w:rPr>
                <w:rFonts w:hint="default"/>
                <w:b/>
                <w:bCs/>
                <w:color w:val="auto"/>
                <w:lang w:eastAsia="zh-CN"/>
              </w:rPr>
              <w:t>时段</w:t>
            </w:r>
          </w:p>
        </w:tc>
        <w:tc>
          <w:tcPr>
            <w:tcW w:w="511" w:type="pct"/>
            <w:noWrap w:val="0"/>
            <w:vAlign w:val="center"/>
          </w:tcPr>
          <w:p w14:paraId="18B0F1EF">
            <w:pPr>
              <w:pStyle w:val="12"/>
              <w:bidi w:val="0"/>
              <w:rPr>
                <w:rFonts w:hint="eastAsia" w:eastAsia="宋体"/>
                <w:b/>
                <w:bCs/>
                <w:color w:val="auto"/>
                <w:lang w:val="en-US" w:eastAsia="zh-CN"/>
              </w:rPr>
            </w:pPr>
            <w:r>
              <w:rPr>
                <w:rFonts w:hint="eastAsia"/>
                <w:b/>
                <w:bCs/>
                <w:color w:val="auto"/>
                <w:lang w:val="en-US" w:eastAsia="zh-CN"/>
              </w:rPr>
              <w:t>背景值</w:t>
            </w:r>
          </w:p>
        </w:tc>
        <w:tc>
          <w:tcPr>
            <w:tcW w:w="1491" w:type="pct"/>
            <w:noWrap w:val="0"/>
            <w:vAlign w:val="center"/>
          </w:tcPr>
          <w:p w14:paraId="5070524F">
            <w:pPr>
              <w:pStyle w:val="12"/>
              <w:bidi w:val="0"/>
              <w:rPr>
                <w:rFonts w:hint="eastAsia" w:eastAsia="宋体"/>
                <w:b/>
                <w:bCs/>
                <w:color w:val="auto"/>
                <w:lang w:val="en-US" w:eastAsia="zh-CN"/>
              </w:rPr>
            </w:pPr>
            <w:r>
              <w:rPr>
                <w:rFonts w:hint="default"/>
                <w:b/>
                <w:bCs/>
                <w:color w:val="auto"/>
              </w:rPr>
              <w:t>最大</w:t>
            </w:r>
            <w:r>
              <w:rPr>
                <w:rFonts w:hint="eastAsia"/>
                <w:b/>
                <w:bCs/>
                <w:color w:val="auto"/>
                <w:lang w:val="en-US" w:eastAsia="zh-CN"/>
              </w:rPr>
              <w:t>叠加</w:t>
            </w:r>
            <w:r>
              <w:rPr>
                <w:rFonts w:hint="default"/>
                <w:b/>
                <w:bCs/>
                <w:color w:val="auto"/>
                <w:lang w:eastAsia="zh-CN"/>
              </w:rPr>
              <w:t>预测值</w:t>
            </w:r>
            <w:r>
              <w:rPr>
                <w:rFonts w:hint="default"/>
                <w:b/>
                <w:bCs/>
                <w:color w:val="auto"/>
              </w:rPr>
              <w:t>dB</w:t>
            </w:r>
            <w:r>
              <w:rPr>
                <w:rFonts w:hint="eastAsia"/>
                <w:b/>
                <w:bCs/>
                <w:color w:val="auto"/>
                <w:lang w:eastAsia="zh-CN"/>
              </w:rPr>
              <w:t>（</w:t>
            </w:r>
            <w:r>
              <w:rPr>
                <w:rFonts w:hint="default"/>
                <w:b/>
                <w:bCs/>
                <w:color w:val="auto"/>
              </w:rPr>
              <w:t>A</w:t>
            </w:r>
            <w:r>
              <w:rPr>
                <w:rFonts w:hint="eastAsia"/>
                <w:b/>
                <w:bCs/>
                <w:color w:val="auto"/>
                <w:lang w:eastAsia="zh-CN"/>
              </w:rPr>
              <w:t>）</w:t>
            </w:r>
          </w:p>
        </w:tc>
        <w:tc>
          <w:tcPr>
            <w:tcW w:w="645" w:type="pct"/>
            <w:noWrap w:val="0"/>
            <w:vAlign w:val="center"/>
          </w:tcPr>
          <w:p w14:paraId="2C701657">
            <w:pPr>
              <w:pStyle w:val="12"/>
              <w:bidi w:val="0"/>
              <w:rPr>
                <w:rFonts w:hint="default"/>
                <w:b/>
                <w:bCs/>
                <w:color w:val="auto"/>
                <w:lang w:val="en-US" w:eastAsia="zh-CN"/>
              </w:rPr>
            </w:pPr>
            <w:r>
              <w:rPr>
                <w:rFonts w:hint="eastAsia"/>
                <w:b/>
                <w:bCs/>
                <w:color w:val="auto"/>
                <w:lang w:val="en-US" w:eastAsia="zh-CN"/>
              </w:rPr>
              <w:t>标准值</w:t>
            </w:r>
          </w:p>
        </w:tc>
        <w:tc>
          <w:tcPr>
            <w:tcW w:w="806" w:type="pct"/>
            <w:noWrap w:val="0"/>
            <w:vAlign w:val="center"/>
          </w:tcPr>
          <w:p w14:paraId="6CB8B434">
            <w:pPr>
              <w:pStyle w:val="12"/>
              <w:bidi w:val="0"/>
              <w:rPr>
                <w:rFonts w:hint="default"/>
                <w:b/>
                <w:bCs/>
                <w:color w:val="auto"/>
                <w:lang w:val="en-US" w:eastAsia="zh-CN"/>
              </w:rPr>
            </w:pPr>
            <w:r>
              <w:rPr>
                <w:rFonts w:hint="eastAsia"/>
                <w:b/>
                <w:bCs/>
                <w:color w:val="auto"/>
                <w:lang w:val="en-US" w:eastAsia="zh-CN"/>
              </w:rPr>
              <w:t>达标情况</w:t>
            </w:r>
          </w:p>
        </w:tc>
      </w:tr>
      <w:tr w14:paraId="2B44E39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24F232A5">
            <w:pPr>
              <w:pStyle w:val="12"/>
              <w:bidi w:val="0"/>
              <w:rPr>
                <w:rFonts w:hint="default"/>
                <w:color w:val="auto"/>
              </w:rPr>
            </w:pPr>
            <w:r>
              <w:rPr>
                <w:rFonts w:hint="eastAsia"/>
                <w:color w:val="auto"/>
                <w:lang w:val="en-US" w:eastAsia="zh-CN"/>
              </w:rPr>
              <w:t>东</w:t>
            </w:r>
            <w:r>
              <w:rPr>
                <w:rFonts w:hint="default"/>
                <w:color w:val="auto"/>
              </w:rPr>
              <w:t>侧</w:t>
            </w:r>
          </w:p>
        </w:tc>
        <w:tc>
          <w:tcPr>
            <w:tcW w:w="595" w:type="pct"/>
            <w:noWrap w:val="0"/>
            <w:vAlign w:val="center"/>
          </w:tcPr>
          <w:p w14:paraId="616DA329">
            <w:pPr>
              <w:pStyle w:val="12"/>
              <w:bidi w:val="0"/>
              <w:rPr>
                <w:rFonts w:hint="default"/>
                <w:color w:val="auto"/>
              </w:rPr>
            </w:pPr>
            <w:r>
              <w:rPr>
                <w:rFonts w:hint="default"/>
                <w:color w:val="auto"/>
              </w:rPr>
              <w:t>昼间</w:t>
            </w:r>
          </w:p>
        </w:tc>
        <w:tc>
          <w:tcPr>
            <w:tcW w:w="511" w:type="pct"/>
            <w:noWrap w:val="0"/>
            <w:vAlign w:val="center"/>
          </w:tcPr>
          <w:p w14:paraId="350516F8">
            <w:pPr>
              <w:pStyle w:val="12"/>
              <w:bidi w:val="0"/>
              <w:rPr>
                <w:rFonts w:hint="default"/>
                <w:color w:val="auto"/>
                <w:lang w:val="en-US" w:eastAsia="zh-CN"/>
              </w:rPr>
            </w:pPr>
            <w:r>
              <w:rPr>
                <w:rFonts w:hint="eastAsia"/>
                <w:color w:val="auto"/>
                <w:lang w:val="en-US" w:eastAsia="zh-CN"/>
              </w:rPr>
              <w:t>56</w:t>
            </w:r>
          </w:p>
        </w:tc>
        <w:tc>
          <w:tcPr>
            <w:tcW w:w="1491" w:type="pct"/>
            <w:noWrap w:val="0"/>
            <w:vAlign w:val="center"/>
          </w:tcPr>
          <w:p w14:paraId="46F4F4D9">
            <w:pPr>
              <w:pStyle w:val="12"/>
              <w:bidi w:val="0"/>
              <w:rPr>
                <w:rFonts w:hint="default"/>
                <w:color w:val="auto"/>
                <w:lang w:val="en-US" w:eastAsia="zh-CN"/>
              </w:rPr>
            </w:pPr>
            <w:r>
              <w:rPr>
                <w:rFonts w:hint="eastAsia"/>
                <w:color w:val="auto"/>
                <w:lang w:val="en-US" w:eastAsia="zh-CN"/>
              </w:rPr>
              <w:t>56</w:t>
            </w:r>
          </w:p>
        </w:tc>
        <w:tc>
          <w:tcPr>
            <w:tcW w:w="645" w:type="pct"/>
            <w:noWrap w:val="0"/>
            <w:vAlign w:val="center"/>
          </w:tcPr>
          <w:p w14:paraId="7D287944">
            <w:pPr>
              <w:pStyle w:val="12"/>
              <w:bidi w:val="0"/>
              <w:rPr>
                <w:rFonts w:hint="default"/>
                <w:color w:val="auto"/>
                <w:lang w:val="en-US" w:eastAsia="zh-CN"/>
              </w:rPr>
            </w:pPr>
            <w:r>
              <w:rPr>
                <w:rFonts w:hint="eastAsia"/>
                <w:color w:val="auto"/>
                <w:lang w:val="en-US" w:eastAsia="zh-CN"/>
              </w:rPr>
              <w:t>60</w:t>
            </w:r>
          </w:p>
        </w:tc>
        <w:tc>
          <w:tcPr>
            <w:tcW w:w="806" w:type="pct"/>
            <w:noWrap w:val="0"/>
            <w:vAlign w:val="center"/>
          </w:tcPr>
          <w:p w14:paraId="4B2B60B4">
            <w:pPr>
              <w:pStyle w:val="12"/>
              <w:bidi w:val="0"/>
              <w:rPr>
                <w:rFonts w:hint="default"/>
                <w:color w:val="auto"/>
                <w:lang w:val="en-US" w:eastAsia="zh-CN"/>
              </w:rPr>
            </w:pPr>
            <w:r>
              <w:rPr>
                <w:rFonts w:hint="eastAsia"/>
                <w:color w:val="auto"/>
                <w:lang w:val="en-US" w:eastAsia="zh-CN"/>
              </w:rPr>
              <w:t>达标</w:t>
            </w:r>
          </w:p>
        </w:tc>
      </w:tr>
      <w:tr w14:paraId="6B85390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40E12580">
            <w:pPr>
              <w:pStyle w:val="12"/>
              <w:bidi w:val="0"/>
              <w:rPr>
                <w:rFonts w:hint="default"/>
                <w:color w:val="auto"/>
              </w:rPr>
            </w:pPr>
          </w:p>
        </w:tc>
        <w:tc>
          <w:tcPr>
            <w:tcW w:w="595" w:type="pct"/>
            <w:noWrap w:val="0"/>
            <w:vAlign w:val="center"/>
          </w:tcPr>
          <w:p w14:paraId="2023C9CF">
            <w:pPr>
              <w:pStyle w:val="12"/>
              <w:bidi w:val="0"/>
              <w:rPr>
                <w:rFonts w:hint="default"/>
                <w:color w:val="auto"/>
              </w:rPr>
            </w:pPr>
            <w:r>
              <w:rPr>
                <w:rFonts w:hint="default"/>
                <w:color w:val="auto"/>
              </w:rPr>
              <w:t>夜间</w:t>
            </w:r>
          </w:p>
        </w:tc>
        <w:tc>
          <w:tcPr>
            <w:tcW w:w="511" w:type="pct"/>
            <w:noWrap w:val="0"/>
            <w:vAlign w:val="center"/>
          </w:tcPr>
          <w:p w14:paraId="3446864F">
            <w:pPr>
              <w:pStyle w:val="12"/>
              <w:bidi w:val="0"/>
              <w:rPr>
                <w:rFonts w:hint="default"/>
                <w:color w:val="auto"/>
                <w:lang w:val="en-US" w:eastAsia="zh-CN"/>
              </w:rPr>
            </w:pPr>
            <w:r>
              <w:rPr>
                <w:rFonts w:hint="eastAsia"/>
                <w:color w:val="auto"/>
                <w:lang w:val="en-US" w:eastAsia="zh-CN"/>
              </w:rPr>
              <w:t>49</w:t>
            </w:r>
          </w:p>
        </w:tc>
        <w:tc>
          <w:tcPr>
            <w:tcW w:w="1491" w:type="pct"/>
            <w:noWrap w:val="0"/>
            <w:vAlign w:val="center"/>
          </w:tcPr>
          <w:p w14:paraId="304CF387">
            <w:pPr>
              <w:pStyle w:val="12"/>
              <w:bidi w:val="0"/>
              <w:rPr>
                <w:rFonts w:hint="default"/>
                <w:color w:val="auto"/>
                <w:lang w:val="en-US" w:eastAsia="zh-CN"/>
              </w:rPr>
            </w:pPr>
            <w:r>
              <w:rPr>
                <w:rFonts w:hint="eastAsia"/>
                <w:color w:val="auto"/>
                <w:lang w:val="en-US" w:eastAsia="zh-CN"/>
              </w:rPr>
              <w:t>49.01</w:t>
            </w:r>
          </w:p>
        </w:tc>
        <w:tc>
          <w:tcPr>
            <w:tcW w:w="645" w:type="pct"/>
            <w:noWrap w:val="0"/>
            <w:vAlign w:val="center"/>
          </w:tcPr>
          <w:p w14:paraId="6A8ECA5E">
            <w:pPr>
              <w:pStyle w:val="12"/>
              <w:bidi w:val="0"/>
              <w:rPr>
                <w:rFonts w:hint="default"/>
                <w:color w:val="auto"/>
                <w:lang w:val="en-US" w:eastAsia="zh-CN"/>
              </w:rPr>
            </w:pPr>
            <w:r>
              <w:rPr>
                <w:rFonts w:hint="eastAsia"/>
                <w:color w:val="auto"/>
                <w:lang w:val="en-US" w:eastAsia="zh-CN"/>
              </w:rPr>
              <w:t>50</w:t>
            </w:r>
          </w:p>
        </w:tc>
        <w:tc>
          <w:tcPr>
            <w:tcW w:w="806" w:type="pct"/>
            <w:noWrap w:val="0"/>
            <w:vAlign w:val="center"/>
          </w:tcPr>
          <w:p w14:paraId="0572A207">
            <w:pPr>
              <w:pStyle w:val="12"/>
              <w:bidi w:val="0"/>
              <w:rPr>
                <w:rFonts w:hint="eastAsia"/>
                <w:color w:val="auto"/>
                <w:lang w:val="en-US" w:eastAsia="zh-CN"/>
              </w:rPr>
            </w:pPr>
            <w:r>
              <w:rPr>
                <w:rFonts w:hint="eastAsia"/>
                <w:color w:val="auto"/>
                <w:lang w:val="en-US" w:eastAsia="zh-CN"/>
              </w:rPr>
              <w:t>达标</w:t>
            </w:r>
          </w:p>
        </w:tc>
      </w:tr>
      <w:tr w14:paraId="738568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2AA8D7B4">
            <w:pPr>
              <w:pStyle w:val="12"/>
              <w:bidi w:val="0"/>
              <w:rPr>
                <w:rFonts w:hint="default"/>
                <w:color w:val="auto"/>
              </w:rPr>
            </w:pPr>
            <w:r>
              <w:rPr>
                <w:rFonts w:hint="eastAsia"/>
                <w:color w:val="auto"/>
                <w:lang w:val="en-US" w:eastAsia="zh-CN"/>
              </w:rPr>
              <w:t>南</w:t>
            </w:r>
            <w:r>
              <w:rPr>
                <w:rFonts w:hint="default"/>
                <w:color w:val="auto"/>
              </w:rPr>
              <w:t>侧</w:t>
            </w:r>
          </w:p>
        </w:tc>
        <w:tc>
          <w:tcPr>
            <w:tcW w:w="595" w:type="pct"/>
            <w:noWrap w:val="0"/>
            <w:vAlign w:val="center"/>
          </w:tcPr>
          <w:p w14:paraId="60069644">
            <w:pPr>
              <w:pStyle w:val="12"/>
              <w:bidi w:val="0"/>
              <w:rPr>
                <w:rFonts w:hint="default"/>
                <w:color w:val="auto"/>
              </w:rPr>
            </w:pPr>
            <w:r>
              <w:rPr>
                <w:rFonts w:hint="default"/>
                <w:color w:val="auto"/>
              </w:rPr>
              <w:t>昼间</w:t>
            </w:r>
          </w:p>
        </w:tc>
        <w:tc>
          <w:tcPr>
            <w:tcW w:w="511" w:type="pct"/>
            <w:noWrap w:val="0"/>
            <w:vAlign w:val="center"/>
          </w:tcPr>
          <w:p w14:paraId="3ED9C90A">
            <w:pPr>
              <w:pStyle w:val="12"/>
              <w:bidi w:val="0"/>
              <w:rPr>
                <w:rFonts w:hint="default"/>
                <w:color w:val="auto"/>
                <w:lang w:val="en-US" w:eastAsia="zh-CN"/>
              </w:rPr>
            </w:pPr>
            <w:r>
              <w:rPr>
                <w:rFonts w:hint="eastAsia"/>
                <w:color w:val="auto"/>
                <w:lang w:val="en-US" w:eastAsia="zh-CN"/>
              </w:rPr>
              <w:t>56</w:t>
            </w:r>
          </w:p>
        </w:tc>
        <w:tc>
          <w:tcPr>
            <w:tcW w:w="1491" w:type="pct"/>
            <w:noWrap w:val="0"/>
            <w:vAlign w:val="center"/>
          </w:tcPr>
          <w:p w14:paraId="7E7178AB">
            <w:pPr>
              <w:pStyle w:val="12"/>
              <w:bidi w:val="0"/>
              <w:rPr>
                <w:rFonts w:hint="default"/>
                <w:color w:val="auto"/>
                <w:lang w:val="en-US" w:eastAsia="zh-CN"/>
              </w:rPr>
            </w:pPr>
            <w:r>
              <w:rPr>
                <w:rFonts w:hint="eastAsia"/>
                <w:color w:val="auto"/>
                <w:lang w:val="en-US" w:eastAsia="zh-CN"/>
              </w:rPr>
              <w:t>56</w:t>
            </w:r>
          </w:p>
        </w:tc>
        <w:tc>
          <w:tcPr>
            <w:tcW w:w="645" w:type="pct"/>
            <w:noWrap w:val="0"/>
            <w:vAlign w:val="center"/>
          </w:tcPr>
          <w:p w14:paraId="20C1B22B">
            <w:pPr>
              <w:pStyle w:val="12"/>
              <w:bidi w:val="0"/>
              <w:rPr>
                <w:rFonts w:hint="default"/>
                <w:color w:val="auto"/>
                <w:lang w:val="en-US" w:eastAsia="zh-CN"/>
              </w:rPr>
            </w:pPr>
            <w:r>
              <w:rPr>
                <w:rFonts w:hint="eastAsia"/>
                <w:color w:val="auto"/>
                <w:lang w:val="en-US" w:eastAsia="zh-CN"/>
              </w:rPr>
              <w:t>70</w:t>
            </w:r>
          </w:p>
        </w:tc>
        <w:tc>
          <w:tcPr>
            <w:tcW w:w="806" w:type="pct"/>
            <w:noWrap w:val="0"/>
            <w:vAlign w:val="center"/>
          </w:tcPr>
          <w:p w14:paraId="6DFE518C">
            <w:pPr>
              <w:pStyle w:val="12"/>
              <w:bidi w:val="0"/>
              <w:rPr>
                <w:rFonts w:hint="eastAsia"/>
                <w:color w:val="auto"/>
                <w:lang w:val="en-US" w:eastAsia="zh-CN"/>
              </w:rPr>
            </w:pPr>
            <w:r>
              <w:rPr>
                <w:rFonts w:hint="eastAsia"/>
                <w:color w:val="auto"/>
                <w:lang w:val="en-US" w:eastAsia="zh-CN"/>
              </w:rPr>
              <w:t>达标</w:t>
            </w:r>
          </w:p>
        </w:tc>
      </w:tr>
      <w:tr w14:paraId="74941D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4973C9AE">
            <w:pPr>
              <w:pStyle w:val="12"/>
              <w:bidi w:val="0"/>
              <w:rPr>
                <w:rFonts w:hint="default"/>
                <w:color w:val="auto"/>
              </w:rPr>
            </w:pPr>
          </w:p>
        </w:tc>
        <w:tc>
          <w:tcPr>
            <w:tcW w:w="595" w:type="pct"/>
            <w:noWrap w:val="0"/>
            <w:vAlign w:val="center"/>
          </w:tcPr>
          <w:p w14:paraId="7EA601F4">
            <w:pPr>
              <w:pStyle w:val="12"/>
              <w:bidi w:val="0"/>
              <w:rPr>
                <w:rFonts w:hint="default"/>
                <w:color w:val="auto"/>
              </w:rPr>
            </w:pPr>
            <w:r>
              <w:rPr>
                <w:rFonts w:hint="default"/>
                <w:color w:val="auto"/>
              </w:rPr>
              <w:t>夜间</w:t>
            </w:r>
          </w:p>
        </w:tc>
        <w:tc>
          <w:tcPr>
            <w:tcW w:w="511" w:type="pct"/>
            <w:noWrap w:val="0"/>
            <w:vAlign w:val="center"/>
          </w:tcPr>
          <w:p w14:paraId="0AAA2C86">
            <w:pPr>
              <w:pStyle w:val="12"/>
              <w:bidi w:val="0"/>
              <w:rPr>
                <w:rFonts w:hint="default"/>
                <w:color w:val="auto"/>
                <w:lang w:val="en-US" w:eastAsia="zh-CN"/>
              </w:rPr>
            </w:pPr>
            <w:r>
              <w:rPr>
                <w:rFonts w:hint="eastAsia"/>
                <w:color w:val="auto"/>
                <w:lang w:val="en-US" w:eastAsia="zh-CN"/>
              </w:rPr>
              <w:t>48</w:t>
            </w:r>
          </w:p>
        </w:tc>
        <w:tc>
          <w:tcPr>
            <w:tcW w:w="1491" w:type="pct"/>
            <w:noWrap w:val="0"/>
            <w:vAlign w:val="center"/>
          </w:tcPr>
          <w:p w14:paraId="6EB97757">
            <w:pPr>
              <w:pStyle w:val="12"/>
              <w:bidi w:val="0"/>
              <w:rPr>
                <w:rFonts w:hint="default"/>
                <w:color w:val="auto"/>
                <w:lang w:val="en-US" w:eastAsia="zh-CN"/>
              </w:rPr>
            </w:pPr>
            <w:r>
              <w:rPr>
                <w:rFonts w:hint="eastAsia"/>
                <w:color w:val="auto"/>
                <w:lang w:val="en-US" w:eastAsia="zh-CN"/>
              </w:rPr>
              <w:t>48.02</w:t>
            </w:r>
          </w:p>
        </w:tc>
        <w:tc>
          <w:tcPr>
            <w:tcW w:w="645" w:type="pct"/>
            <w:noWrap w:val="0"/>
            <w:vAlign w:val="center"/>
          </w:tcPr>
          <w:p w14:paraId="519B4F6B">
            <w:pPr>
              <w:pStyle w:val="12"/>
              <w:bidi w:val="0"/>
              <w:rPr>
                <w:rFonts w:hint="default"/>
                <w:color w:val="auto"/>
                <w:lang w:val="en-US" w:eastAsia="zh-CN"/>
              </w:rPr>
            </w:pPr>
            <w:r>
              <w:rPr>
                <w:rFonts w:hint="eastAsia"/>
                <w:color w:val="auto"/>
                <w:lang w:val="en-US" w:eastAsia="zh-CN"/>
              </w:rPr>
              <w:t>55</w:t>
            </w:r>
          </w:p>
        </w:tc>
        <w:tc>
          <w:tcPr>
            <w:tcW w:w="806" w:type="pct"/>
            <w:noWrap w:val="0"/>
            <w:vAlign w:val="center"/>
          </w:tcPr>
          <w:p w14:paraId="6228F6E1">
            <w:pPr>
              <w:pStyle w:val="12"/>
              <w:bidi w:val="0"/>
              <w:rPr>
                <w:rFonts w:hint="eastAsia"/>
                <w:color w:val="auto"/>
                <w:lang w:val="en-US" w:eastAsia="zh-CN"/>
              </w:rPr>
            </w:pPr>
            <w:r>
              <w:rPr>
                <w:rFonts w:hint="eastAsia"/>
                <w:color w:val="auto"/>
                <w:lang w:val="en-US" w:eastAsia="zh-CN"/>
              </w:rPr>
              <w:t>达标</w:t>
            </w:r>
          </w:p>
        </w:tc>
      </w:tr>
      <w:tr w14:paraId="1E30683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37501919">
            <w:pPr>
              <w:pStyle w:val="12"/>
              <w:bidi w:val="0"/>
              <w:rPr>
                <w:rFonts w:hint="default"/>
                <w:color w:val="auto"/>
              </w:rPr>
            </w:pPr>
            <w:r>
              <w:rPr>
                <w:rFonts w:hint="eastAsia"/>
                <w:color w:val="auto"/>
                <w:lang w:val="en-US" w:eastAsia="zh-CN"/>
              </w:rPr>
              <w:t>西</w:t>
            </w:r>
            <w:r>
              <w:rPr>
                <w:rFonts w:hint="default"/>
                <w:color w:val="auto"/>
              </w:rPr>
              <w:t>侧</w:t>
            </w:r>
          </w:p>
        </w:tc>
        <w:tc>
          <w:tcPr>
            <w:tcW w:w="595" w:type="pct"/>
            <w:noWrap w:val="0"/>
            <w:vAlign w:val="center"/>
          </w:tcPr>
          <w:p w14:paraId="77FB0FD2">
            <w:pPr>
              <w:pStyle w:val="12"/>
              <w:bidi w:val="0"/>
              <w:rPr>
                <w:rFonts w:hint="default"/>
                <w:color w:val="auto"/>
              </w:rPr>
            </w:pPr>
            <w:r>
              <w:rPr>
                <w:rFonts w:hint="default"/>
                <w:color w:val="auto"/>
              </w:rPr>
              <w:t>昼间</w:t>
            </w:r>
          </w:p>
        </w:tc>
        <w:tc>
          <w:tcPr>
            <w:tcW w:w="511" w:type="pct"/>
            <w:noWrap w:val="0"/>
            <w:vAlign w:val="center"/>
          </w:tcPr>
          <w:p w14:paraId="25866A20">
            <w:pPr>
              <w:pStyle w:val="12"/>
              <w:bidi w:val="0"/>
              <w:rPr>
                <w:rFonts w:hint="default"/>
                <w:color w:val="auto"/>
                <w:lang w:val="en-US" w:eastAsia="zh-CN"/>
              </w:rPr>
            </w:pPr>
            <w:r>
              <w:rPr>
                <w:rFonts w:hint="eastAsia"/>
                <w:color w:val="auto"/>
                <w:lang w:val="en-US" w:eastAsia="zh-CN"/>
              </w:rPr>
              <w:t>56</w:t>
            </w:r>
          </w:p>
        </w:tc>
        <w:tc>
          <w:tcPr>
            <w:tcW w:w="1491" w:type="pct"/>
            <w:noWrap w:val="0"/>
            <w:vAlign w:val="center"/>
          </w:tcPr>
          <w:p w14:paraId="612551A8">
            <w:pPr>
              <w:pStyle w:val="12"/>
              <w:bidi w:val="0"/>
              <w:rPr>
                <w:rFonts w:hint="default"/>
                <w:color w:val="auto"/>
                <w:lang w:val="en-US" w:eastAsia="zh-CN"/>
              </w:rPr>
            </w:pPr>
            <w:r>
              <w:rPr>
                <w:rFonts w:hint="eastAsia"/>
                <w:color w:val="auto"/>
                <w:lang w:val="en-US" w:eastAsia="zh-CN"/>
              </w:rPr>
              <w:t>56</w:t>
            </w:r>
          </w:p>
        </w:tc>
        <w:tc>
          <w:tcPr>
            <w:tcW w:w="645" w:type="pct"/>
            <w:noWrap w:val="0"/>
            <w:vAlign w:val="center"/>
          </w:tcPr>
          <w:p w14:paraId="568B65FE">
            <w:pPr>
              <w:pStyle w:val="12"/>
              <w:bidi w:val="0"/>
              <w:rPr>
                <w:rFonts w:hint="default"/>
                <w:color w:val="auto"/>
                <w:lang w:val="en-US" w:eastAsia="zh-CN"/>
              </w:rPr>
            </w:pPr>
            <w:r>
              <w:rPr>
                <w:rFonts w:hint="eastAsia"/>
                <w:color w:val="auto"/>
                <w:lang w:val="en-US" w:eastAsia="zh-CN"/>
              </w:rPr>
              <w:t>60</w:t>
            </w:r>
          </w:p>
        </w:tc>
        <w:tc>
          <w:tcPr>
            <w:tcW w:w="806" w:type="pct"/>
            <w:noWrap w:val="0"/>
            <w:vAlign w:val="center"/>
          </w:tcPr>
          <w:p w14:paraId="6011895E">
            <w:pPr>
              <w:pStyle w:val="12"/>
              <w:bidi w:val="0"/>
              <w:rPr>
                <w:rFonts w:hint="eastAsia"/>
                <w:color w:val="auto"/>
                <w:lang w:val="en-US" w:eastAsia="zh-CN"/>
              </w:rPr>
            </w:pPr>
            <w:r>
              <w:rPr>
                <w:rFonts w:hint="eastAsia"/>
                <w:color w:val="auto"/>
                <w:lang w:val="en-US" w:eastAsia="zh-CN"/>
              </w:rPr>
              <w:t>达标</w:t>
            </w:r>
          </w:p>
        </w:tc>
      </w:tr>
      <w:tr w14:paraId="10E4B80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6C36A45B">
            <w:pPr>
              <w:pStyle w:val="12"/>
              <w:bidi w:val="0"/>
              <w:rPr>
                <w:rFonts w:hint="default"/>
                <w:color w:val="auto"/>
              </w:rPr>
            </w:pPr>
          </w:p>
        </w:tc>
        <w:tc>
          <w:tcPr>
            <w:tcW w:w="595" w:type="pct"/>
            <w:noWrap w:val="0"/>
            <w:vAlign w:val="center"/>
          </w:tcPr>
          <w:p w14:paraId="2A585DBD">
            <w:pPr>
              <w:pStyle w:val="12"/>
              <w:bidi w:val="0"/>
              <w:rPr>
                <w:rFonts w:hint="default"/>
                <w:color w:val="auto"/>
              </w:rPr>
            </w:pPr>
            <w:r>
              <w:rPr>
                <w:rFonts w:hint="default"/>
                <w:color w:val="auto"/>
              </w:rPr>
              <w:t>夜间</w:t>
            </w:r>
          </w:p>
        </w:tc>
        <w:tc>
          <w:tcPr>
            <w:tcW w:w="511" w:type="pct"/>
            <w:noWrap w:val="0"/>
            <w:vAlign w:val="center"/>
          </w:tcPr>
          <w:p w14:paraId="3D35E65E">
            <w:pPr>
              <w:pStyle w:val="12"/>
              <w:bidi w:val="0"/>
              <w:rPr>
                <w:rFonts w:hint="default"/>
                <w:color w:val="auto"/>
                <w:lang w:val="en-US" w:eastAsia="zh-CN"/>
              </w:rPr>
            </w:pPr>
            <w:r>
              <w:rPr>
                <w:rFonts w:hint="eastAsia"/>
                <w:color w:val="auto"/>
                <w:lang w:val="en-US" w:eastAsia="zh-CN"/>
              </w:rPr>
              <w:t>48</w:t>
            </w:r>
          </w:p>
        </w:tc>
        <w:tc>
          <w:tcPr>
            <w:tcW w:w="1491" w:type="pct"/>
            <w:noWrap w:val="0"/>
            <w:vAlign w:val="center"/>
          </w:tcPr>
          <w:p w14:paraId="2A2FF6D2">
            <w:pPr>
              <w:pStyle w:val="12"/>
              <w:bidi w:val="0"/>
              <w:rPr>
                <w:rFonts w:hint="default"/>
                <w:color w:val="auto"/>
                <w:lang w:val="en-US" w:eastAsia="zh-CN"/>
              </w:rPr>
            </w:pPr>
            <w:r>
              <w:rPr>
                <w:rFonts w:hint="eastAsia"/>
                <w:color w:val="auto"/>
                <w:lang w:val="en-US" w:eastAsia="zh-CN"/>
              </w:rPr>
              <w:t>48.02</w:t>
            </w:r>
          </w:p>
        </w:tc>
        <w:tc>
          <w:tcPr>
            <w:tcW w:w="645" w:type="pct"/>
            <w:noWrap w:val="0"/>
            <w:vAlign w:val="center"/>
          </w:tcPr>
          <w:p w14:paraId="762F64E1">
            <w:pPr>
              <w:pStyle w:val="12"/>
              <w:bidi w:val="0"/>
              <w:rPr>
                <w:rFonts w:hint="default"/>
                <w:color w:val="auto"/>
                <w:lang w:val="en-US" w:eastAsia="zh-CN"/>
              </w:rPr>
            </w:pPr>
            <w:r>
              <w:rPr>
                <w:rFonts w:hint="eastAsia"/>
                <w:color w:val="auto"/>
                <w:lang w:val="en-US" w:eastAsia="zh-CN"/>
              </w:rPr>
              <w:t>50</w:t>
            </w:r>
          </w:p>
        </w:tc>
        <w:tc>
          <w:tcPr>
            <w:tcW w:w="806" w:type="pct"/>
            <w:noWrap w:val="0"/>
            <w:vAlign w:val="center"/>
          </w:tcPr>
          <w:p w14:paraId="517D0042">
            <w:pPr>
              <w:pStyle w:val="12"/>
              <w:bidi w:val="0"/>
              <w:rPr>
                <w:rFonts w:hint="eastAsia"/>
                <w:color w:val="auto"/>
                <w:lang w:val="en-US" w:eastAsia="zh-CN"/>
              </w:rPr>
            </w:pPr>
            <w:r>
              <w:rPr>
                <w:rFonts w:hint="eastAsia"/>
                <w:color w:val="auto"/>
                <w:lang w:val="en-US" w:eastAsia="zh-CN"/>
              </w:rPr>
              <w:t>达标</w:t>
            </w:r>
          </w:p>
        </w:tc>
      </w:tr>
      <w:tr w14:paraId="1437CE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7C5C88CD">
            <w:pPr>
              <w:pStyle w:val="12"/>
              <w:bidi w:val="0"/>
              <w:rPr>
                <w:rFonts w:hint="default"/>
                <w:color w:val="auto"/>
              </w:rPr>
            </w:pPr>
            <w:r>
              <w:rPr>
                <w:rFonts w:hint="default"/>
                <w:color w:val="auto"/>
              </w:rPr>
              <w:t>北侧</w:t>
            </w:r>
          </w:p>
        </w:tc>
        <w:tc>
          <w:tcPr>
            <w:tcW w:w="595" w:type="pct"/>
            <w:noWrap w:val="0"/>
            <w:vAlign w:val="center"/>
          </w:tcPr>
          <w:p w14:paraId="78177116">
            <w:pPr>
              <w:pStyle w:val="12"/>
              <w:bidi w:val="0"/>
              <w:rPr>
                <w:rFonts w:hint="default"/>
                <w:color w:val="auto"/>
              </w:rPr>
            </w:pPr>
            <w:r>
              <w:rPr>
                <w:rFonts w:hint="default"/>
                <w:color w:val="auto"/>
              </w:rPr>
              <w:t>昼间</w:t>
            </w:r>
          </w:p>
        </w:tc>
        <w:tc>
          <w:tcPr>
            <w:tcW w:w="511" w:type="pct"/>
            <w:noWrap w:val="0"/>
            <w:vAlign w:val="center"/>
          </w:tcPr>
          <w:p w14:paraId="6872072B">
            <w:pPr>
              <w:pStyle w:val="12"/>
              <w:bidi w:val="0"/>
              <w:rPr>
                <w:rFonts w:hint="default"/>
                <w:color w:val="auto"/>
                <w:lang w:val="en-US" w:eastAsia="zh-CN"/>
              </w:rPr>
            </w:pPr>
            <w:r>
              <w:rPr>
                <w:rFonts w:hint="eastAsia"/>
                <w:color w:val="auto"/>
                <w:lang w:val="en-US" w:eastAsia="zh-CN"/>
              </w:rPr>
              <w:t>58</w:t>
            </w:r>
          </w:p>
        </w:tc>
        <w:tc>
          <w:tcPr>
            <w:tcW w:w="1491" w:type="pct"/>
            <w:noWrap w:val="0"/>
            <w:vAlign w:val="center"/>
          </w:tcPr>
          <w:p w14:paraId="36EC21B6">
            <w:pPr>
              <w:pStyle w:val="12"/>
              <w:bidi w:val="0"/>
              <w:rPr>
                <w:rFonts w:hint="default"/>
                <w:color w:val="auto"/>
                <w:lang w:val="en-US" w:eastAsia="zh-CN"/>
              </w:rPr>
            </w:pPr>
            <w:r>
              <w:rPr>
                <w:rFonts w:hint="eastAsia"/>
                <w:color w:val="auto"/>
                <w:lang w:val="en-US" w:eastAsia="zh-CN"/>
              </w:rPr>
              <w:t>58</w:t>
            </w:r>
          </w:p>
        </w:tc>
        <w:tc>
          <w:tcPr>
            <w:tcW w:w="645" w:type="pct"/>
            <w:noWrap w:val="0"/>
            <w:vAlign w:val="center"/>
          </w:tcPr>
          <w:p w14:paraId="13D98754">
            <w:pPr>
              <w:pStyle w:val="12"/>
              <w:bidi w:val="0"/>
              <w:rPr>
                <w:rFonts w:hint="eastAsia"/>
                <w:color w:val="auto"/>
                <w:lang w:val="en-US" w:eastAsia="zh-CN"/>
              </w:rPr>
            </w:pPr>
            <w:r>
              <w:rPr>
                <w:rFonts w:hint="eastAsia"/>
                <w:color w:val="auto"/>
                <w:lang w:val="en-US" w:eastAsia="zh-CN"/>
              </w:rPr>
              <w:t>60</w:t>
            </w:r>
          </w:p>
        </w:tc>
        <w:tc>
          <w:tcPr>
            <w:tcW w:w="806" w:type="pct"/>
            <w:noWrap w:val="0"/>
            <w:vAlign w:val="center"/>
          </w:tcPr>
          <w:p w14:paraId="22F0CE9D">
            <w:pPr>
              <w:pStyle w:val="12"/>
              <w:bidi w:val="0"/>
              <w:rPr>
                <w:rFonts w:hint="eastAsia"/>
                <w:color w:val="auto"/>
                <w:lang w:val="en-US" w:eastAsia="zh-CN"/>
              </w:rPr>
            </w:pPr>
            <w:r>
              <w:rPr>
                <w:rFonts w:hint="eastAsia"/>
                <w:color w:val="auto"/>
                <w:lang w:val="en-US" w:eastAsia="zh-CN"/>
              </w:rPr>
              <w:t>达标</w:t>
            </w:r>
          </w:p>
        </w:tc>
      </w:tr>
      <w:tr w14:paraId="622554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5C159E11">
            <w:pPr>
              <w:pStyle w:val="12"/>
              <w:bidi w:val="0"/>
              <w:rPr>
                <w:rFonts w:hint="default"/>
                <w:color w:val="auto"/>
              </w:rPr>
            </w:pPr>
          </w:p>
        </w:tc>
        <w:tc>
          <w:tcPr>
            <w:tcW w:w="595" w:type="pct"/>
            <w:noWrap w:val="0"/>
            <w:vAlign w:val="center"/>
          </w:tcPr>
          <w:p w14:paraId="172A3954">
            <w:pPr>
              <w:pStyle w:val="12"/>
              <w:bidi w:val="0"/>
              <w:rPr>
                <w:rFonts w:hint="default"/>
                <w:color w:val="auto"/>
              </w:rPr>
            </w:pPr>
            <w:r>
              <w:rPr>
                <w:rFonts w:hint="default"/>
                <w:color w:val="auto"/>
              </w:rPr>
              <w:t>夜间</w:t>
            </w:r>
          </w:p>
        </w:tc>
        <w:tc>
          <w:tcPr>
            <w:tcW w:w="511" w:type="pct"/>
            <w:noWrap w:val="0"/>
            <w:vAlign w:val="center"/>
          </w:tcPr>
          <w:p w14:paraId="3F37A844">
            <w:pPr>
              <w:pStyle w:val="12"/>
              <w:bidi w:val="0"/>
              <w:rPr>
                <w:rFonts w:hint="default"/>
                <w:color w:val="auto"/>
                <w:lang w:val="en-US" w:eastAsia="zh-CN"/>
              </w:rPr>
            </w:pPr>
            <w:r>
              <w:rPr>
                <w:rFonts w:hint="eastAsia"/>
                <w:color w:val="auto"/>
                <w:lang w:val="en-US" w:eastAsia="zh-CN"/>
              </w:rPr>
              <w:t>46</w:t>
            </w:r>
          </w:p>
        </w:tc>
        <w:tc>
          <w:tcPr>
            <w:tcW w:w="1491" w:type="pct"/>
            <w:noWrap w:val="0"/>
            <w:vAlign w:val="center"/>
          </w:tcPr>
          <w:p w14:paraId="6A5CF44B">
            <w:pPr>
              <w:pStyle w:val="12"/>
              <w:bidi w:val="0"/>
              <w:rPr>
                <w:rFonts w:hint="default"/>
                <w:color w:val="auto"/>
                <w:lang w:val="en-US" w:eastAsia="zh-CN"/>
              </w:rPr>
            </w:pPr>
            <w:r>
              <w:rPr>
                <w:rFonts w:hint="eastAsia"/>
                <w:color w:val="auto"/>
                <w:lang w:val="en-US" w:eastAsia="zh-CN"/>
              </w:rPr>
              <w:t>46</w:t>
            </w:r>
          </w:p>
        </w:tc>
        <w:tc>
          <w:tcPr>
            <w:tcW w:w="645" w:type="pct"/>
            <w:noWrap w:val="0"/>
            <w:vAlign w:val="center"/>
          </w:tcPr>
          <w:p w14:paraId="2B5D191A">
            <w:pPr>
              <w:pStyle w:val="12"/>
              <w:bidi w:val="0"/>
              <w:rPr>
                <w:rFonts w:hint="eastAsia"/>
                <w:color w:val="auto"/>
                <w:lang w:val="en-US" w:eastAsia="zh-CN"/>
              </w:rPr>
            </w:pPr>
            <w:r>
              <w:rPr>
                <w:rFonts w:hint="eastAsia"/>
                <w:color w:val="auto"/>
                <w:lang w:val="en-US" w:eastAsia="zh-CN"/>
              </w:rPr>
              <w:t>50</w:t>
            </w:r>
          </w:p>
        </w:tc>
        <w:tc>
          <w:tcPr>
            <w:tcW w:w="806" w:type="pct"/>
            <w:noWrap w:val="0"/>
            <w:vAlign w:val="center"/>
          </w:tcPr>
          <w:p w14:paraId="4C16CC55">
            <w:pPr>
              <w:pStyle w:val="12"/>
              <w:bidi w:val="0"/>
              <w:rPr>
                <w:rFonts w:hint="eastAsia"/>
                <w:color w:val="auto"/>
                <w:lang w:val="en-US" w:eastAsia="zh-CN"/>
              </w:rPr>
            </w:pPr>
            <w:r>
              <w:rPr>
                <w:rFonts w:hint="eastAsia"/>
                <w:color w:val="auto"/>
                <w:lang w:val="en-US" w:eastAsia="zh-CN"/>
              </w:rPr>
              <w:t>达标</w:t>
            </w:r>
          </w:p>
        </w:tc>
      </w:tr>
      <w:tr w14:paraId="1D47F37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137E730B">
            <w:pPr>
              <w:pStyle w:val="12"/>
              <w:bidi w:val="0"/>
              <w:rPr>
                <w:rFonts w:hint="default"/>
                <w:color w:val="auto"/>
                <w:lang w:val="en-US" w:eastAsia="zh-CN"/>
              </w:rPr>
            </w:pPr>
            <w:r>
              <w:rPr>
                <w:rFonts w:hint="eastAsia"/>
                <w:color w:val="auto"/>
                <w:lang w:val="en-US" w:eastAsia="zh-CN"/>
              </w:rPr>
              <w:t>东侧最近居民</w:t>
            </w:r>
          </w:p>
        </w:tc>
        <w:tc>
          <w:tcPr>
            <w:tcW w:w="595" w:type="pct"/>
            <w:noWrap w:val="0"/>
            <w:vAlign w:val="center"/>
          </w:tcPr>
          <w:p w14:paraId="1AFB9C19">
            <w:pPr>
              <w:pStyle w:val="12"/>
              <w:bidi w:val="0"/>
              <w:rPr>
                <w:rFonts w:hint="default"/>
                <w:color w:val="auto"/>
              </w:rPr>
            </w:pPr>
            <w:r>
              <w:rPr>
                <w:rFonts w:hint="default"/>
                <w:color w:val="auto"/>
              </w:rPr>
              <w:t>昼间</w:t>
            </w:r>
          </w:p>
        </w:tc>
        <w:tc>
          <w:tcPr>
            <w:tcW w:w="511" w:type="pct"/>
            <w:noWrap w:val="0"/>
            <w:vAlign w:val="center"/>
          </w:tcPr>
          <w:p w14:paraId="46C05439">
            <w:pPr>
              <w:pStyle w:val="12"/>
              <w:bidi w:val="0"/>
              <w:rPr>
                <w:rFonts w:hint="default"/>
                <w:color w:val="auto"/>
                <w:lang w:val="en-US" w:eastAsia="zh-CN"/>
              </w:rPr>
            </w:pPr>
            <w:r>
              <w:rPr>
                <w:rFonts w:hint="eastAsia"/>
                <w:color w:val="auto"/>
                <w:lang w:val="en-US" w:eastAsia="zh-CN"/>
              </w:rPr>
              <w:t>57</w:t>
            </w:r>
          </w:p>
        </w:tc>
        <w:tc>
          <w:tcPr>
            <w:tcW w:w="1491" w:type="pct"/>
            <w:noWrap w:val="0"/>
            <w:vAlign w:val="center"/>
          </w:tcPr>
          <w:p w14:paraId="49227DF8">
            <w:pPr>
              <w:pStyle w:val="12"/>
              <w:bidi w:val="0"/>
              <w:rPr>
                <w:rFonts w:hint="default"/>
                <w:color w:val="auto"/>
                <w:lang w:val="en-US" w:eastAsia="zh-CN"/>
              </w:rPr>
            </w:pPr>
            <w:r>
              <w:rPr>
                <w:rFonts w:hint="eastAsia"/>
                <w:color w:val="auto"/>
                <w:lang w:val="en-US" w:eastAsia="zh-CN"/>
              </w:rPr>
              <w:t>57</w:t>
            </w:r>
          </w:p>
        </w:tc>
        <w:tc>
          <w:tcPr>
            <w:tcW w:w="645" w:type="pct"/>
            <w:noWrap w:val="0"/>
            <w:vAlign w:val="center"/>
          </w:tcPr>
          <w:p w14:paraId="3EFE98F7">
            <w:pPr>
              <w:pStyle w:val="12"/>
              <w:bidi w:val="0"/>
              <w:rPr>
                <w:rFonts w:hint="eastAsia"/>
                <w:color w:val="auto"/>
                <w:lang w:val="en-US" w:eastAsia="zh-CN"/>
              </w:rPr>
            </w:pPr>
            <w:r>
              <w:rPr>
                <w:rFonts w:hint="eastAsia"/>
                <w:color w:val="auto"/>
                <w:lang w:val="en-US" w:eastAsia="zh-CN"/>
              </w:rPr>
              <w:t>60</w:t>
            </w:r>
          </w:p>
        </w:tc>
        <w:tc>
          <w:tcPr>
            <w:tcW w:w="806" w:type="pct"/>
            <w:noWrap w:val="0"/>
            <w:vAlign w:val="center"/>
          </w:tcPr>
          <w:p w14:paraId="74E42494">
            <w:pPr>
              <w:pStyle w:val="12"/>
              <w:bidi w:val="0"/>
              <w:rPr>
                <w:rFonts w:hint="eastAsia"/>
                <w:color w:val="auto"/>
                <w:lang w:val="en-US" w:eastAsia="zh-CN"/>
              </w:rPr>
            </w:pPr>
            <w:r>
              <w:rPr>
                <w:rFonts w:hint="eastAsia"/>
                <w:color w:val="auto"/>
                <w:lang w:val="en-US" w:eastAsia="zh-CN"/>
              </w:rPr>
              <w:t>达标</w:t>
            </w:r>
          </w:p>
        </w:tc>
      </w:tr>
      <w:tr w14:paraId="178453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35580565">
            <w:pPr>
              <w:pStyle w:val="12"/>
              <w:bidi w:val="0"/>
              <w:rPr>
                <w:rFonts w:hint="eastAsia"/>
                <w:color w:val="auto"/>
                <w:lang w:eastAsia="zh-CN"/>
              </w:rPr>
            </w:pPr>
          </w:p>
        </w:tc>
        <w:tc>
          <w:tcPr>
            <w:tcW w:w="595" w:type="pct"/>
            <w:noWrap w:val="0"/>
            <w:vAlign w:val="center"/>
          </w:tcPr>
          <w:p w14:paraId="4B12587D">
            <w:pPr>
              <w:pStyle w:val="12"/>
              <w:bidi w:val="0"/>
              <w:rPr>
                <w:rFonts w:hint="default"/>
                <w:color w:val="auto"/>
              </w:rPr>
            </w:pPr>
            <w:r>
              <w:rPr>
                <w:rFonts w:hint="default"/>
                <w:color w:val="auto"/>
              </w:rPr>
              <w:t>夜间</w:t>
            </w:r>
          </w:p>
        </w:tc>
        <w:tc>
          <w:tcPr>
            <w:tcW w:w="511" w:type="pct"/>
            <w:noWrap w:val="0"/>
            <w:vAlign w:val="center"/>
          </w:tcPr>
          <w:p w14:paraId="7151251B">
            <w:pPr>
              <w:pStyle w:val="12"/>
              <w:bidi w:val="0"/>
              <w:rPr>
                <w:rFonts w:hint="default"/>
                <w:color w:val="auto"/>
                <w:lang w:val="en-US" w:eastAsia="zh-CN"/>
              </w:rPr>
            </w:pPr>
            <w:r>
              <w:rPr>
                <w:rFonts w:hint="eastAsia"/>
                <w:color w:val="auto"/>
                <w:lang w:val="en-US" w:eastAsia="zh-CN"/>
              </w:rPr>
              <w:t>44</w:t>
            </w:r>
          </w:p>
        </w:tc>
        <w:tc>
          <w:tcPr>
            <w:tcW w:w="1491" w:type="pct"/>
            <w:noWrap w:val="0"/>
            <w:vAlign w:val="center"/>
          </w:tcPr>
          <w:p w14:paraId="5021D9F5">
            <w:pPr>
              <w:pStyle w:val="12"/>
              <w:bidi w:val="0"/>
              <w:rPr>
                <w:rFonts w:hint="default"/>
                <w:color w:val="auto"/>
                <w:lang w:val="en-US" w:eastAsia="zh-CN"/>
              </w:rPr>
            </w:pPr>
            <w:r>
              <w:rPr>
                <w:rFonts w:hint="eastAsia"/>
                <w:color w:val="auto"/>
                <w:lang w:val="en-US" w:eastAsia="zh-CN"/>
              </w:rPr>
              <w:t>44.02</w:t>
            </w:r>
          </w:p>
        </w:tc>
        <w:tc>
          <w:tcPr>
            <w:tcW w:w="645" w:type="pct"/>
            <w:noWrap w:val="0"/>
            <w:vAlign w:val="center"/>
          </w:tcPr>
          <w:p w14:paraId="4FAD2459">
            <w:pPr>
              <w:pStyle w:val="12"/>
              <w:bidi w:val="0"/>
              <w:rPr>
                <w:rFonts w:hint="eastAsia"/>
                <w:color w:val="auto"/>
                <w:lang w:val="en-US" w:eastAsia="zh-CN"/>
              </w:rPr>
            </w:pPr>
            <w:r>
              <w:rPr>
                <w:rFonts w:hint="eastAsia"/>
                <w:color w:val="auto"/>
                <w:lang w:val="en-US" w:eastAsia="zh-CN"/>
              </w:rPr>
              <w:t>50</w:t>
            </w:r>
          </w:p>
        </w:tc>
        <w:tc>
          <w:tcPr>
            <w:tcW w:w="806" w:type="pct"/>
            <w:noWrap w:val="0"/>
            <w:vAlign w:val="center"/>
          </w:tcPr>
          <w:p w14:paraId="72596638">
            <w:pPr>
              <w:pStyle w:val="12"/>
              <w:bidi w:val="0"/>
              <w:rPr>
                <w:rFonts w:hint="eastAsia"/>
                <w:color w:val="auto"/>
                <w:lang w:val="en-US" w:eastAsia="zh-CN"/>
              </w:rPr>
            </w:pPr>
            <w:r>
              <w:rPr>
                <w:rFonts w:hint="eastAsia"/>
                <w:color w:val="auto"/>
                <w:lang w:val="en-US" w:eastAsia="zh-CN"/>
              </w:rPr>
              <w:t>达标</w:t>
            </w:r>
          </w:p>
        </w:tc>
      </w:tr>
      <w:tr w14:paraId="5C6F3F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restart"/>
            <w:noWrap w:val="0"/>
            <w:vAlign w:val="center"/>
          </w:tcPr>
          <w:p w14:paraId="7E421979">
            <w:pPr>
              <w:pStyle w:val="12"/>
              <w:bidi w:val="0"/>
              <w:rPr>
                <w:rFonts w:hint="default"/>
                <w:color w:val="auto"/>
                <w:lang w:val="en-US" w:eastAsia="zh-CN"/>
              </w:rPr>
            </w:pPr>
            <w:r>
              <w:rPr>
                <w:rFonts w:hint="eastAsia"/>
                <w:color w:val="auto"/>
                <w:lang w:val="en-US" w:eastAsia="zh-CN"/>
              </w:rPr>
              <w:t>北侧最近居民</w:t>
            </w:r>
          </w:p>
        </w:tc>
        <w:tc>
          <w:tcPr>
            <w:tcW w:w="595" w:type="pct"/>
            <w:noWrap w:val="0"/>
            <w:vAlign w:val="center"/>
          </w:tcPr>
          <w:p w14:paraId="5DF3E9F1">
            <w:pPr>
              <w:pStyle w:val="12"/>
              <w:bidi w:val="0"/>
              <w:rPr>
                <w:rFonts w:hint="default"/>
                <w:color w:val="auto"/>
              </w:rPr>
            </w:pPr>
            <w:r>
              <w:rPr>
                <w:rFonts w:hint="default"/>
                <w:color w:val="auto"/>
              </w:rPr>
              <w:t>昼间</w:t>
            </w:r>
          </w:p>
        </w:tc>
        <w:tc>
          <w:tcPr>
            <w:tcW w:w="511" w:type="pct"/>
            <w:noWrap w:val="0"/>
            <w:vAlign w:val="center"/>
          </w:tcPr>
          <w:p w14:paraId="08999452">
            <w:pPr>
              <w:pStyle w:val="12"/>
              <w:bidi w:val="0"/>
              <w:rPr>
                <w:rFonts w:hint="default"/>
                <w:color w:val="auto"/>
                <w:lang w:val="en-US" w:eastAsia="zh-CN"/>
              </w:rPr>
            </w:pPr>
            <w:r>
              <w:rPr>
                <w:rFonts w:hint="eastAsia"/>
                <w:color w:val="auto"/>
                <w:lang w:val="en-US" w:eastAsia="zh-CN"/>
              </w:rPr>
              <w:t>56</w:t>
            </w:r>
          </w:p>
        </w:tc>
        <w:tc>
          <w:tcPr>
            <w:tcW w:w="1491" w:type="pct"/>
            <w:noWrap w:val="0"/>
            <w:vAlign w:val="center"/>
          </w:tcPr>
          <w:p w14:paraId="6DEDEE5E">
            <w:pPr>
              <w:pStyle w:val="12"/>
              <w:bidi w:val="0"/>
              <w:rPr>
                <w:rFonts w:hint="default"/>
                <w:color w:val="auto"/>
                <w:lang w:val="en-US" w:eastAsia="zh-CN"/>
              </w:rPr>
            </w:pPr>
            <w:r>
              <w:rPr>
                <w:rFonts w:hint="eastAsia"/>
                <w:color w:val="auto"/>
                <w:lang w:val="en-US" w:eastAsia="zh-CN"/>
              </w:rPr>
              <w:t>56</w:t>
            </w:r>
          </w:p>
        </w:tc>
        <w:tc>
          <w:tcPr>
            <w:tcW w:w="645" w:type="pct"/>
            <w:noWrap w:val="0"/>
            <w:vAlign w:val="center"/>
          </w:tcPr>
          <w:p w14:paraId="1D04D0D4">
            <w:pPr>
              <w:pStyle w:val="12"/>
              <w:bidi w:val="0"/>
              <w:rPr>
                <w:rFonts w:hint="eastAsia"/>
                <w:color w:val="auto"/>
                <w:lang w:val="en-US" w:eastAsia="zh-CN"/>
              </w:rPr>
            </w:pPr>
            <w:r>
              <w:rPr>
                <w:rFonts w:hint="eastAsia"/>
                <w:color w:val="auto"/>
                <w:lang w:val="en-US" w:eastAsia="zh-CN"/>
              </w:rPr>
              <w:t>60</w:t>
            </w:r>
          </w:p>
        </w:tc>
        <w:tc>
          <w:tcPr>
            <w:tcW w:w="806" w:type="pct"/>
            <w:noWrap w:val="0"/>
            <w:vAlign w:val="center"/>
          </w:tcPr>
          <w:p w14:paraId="3F533FB9">
            <w:pPr>
              <w:pStyle w:val="12"/>
              <w:bidi w:val="0"/>
              <w:rPr>
                <w:rFonts w:hint="eastAsia"/>
                <w:color w:val="auto"/>
                <w:lang w:val="en-US" w:eastAsia="zh-CN"/>
              </w:rPr>
            </w:pPr>
            <w:r>
              <w:rPr>
                <w:rFonts w:hint="eastAsia"/>
                <w:color w:val="auto"/>
                <w:lang w:val="en-US" w:eastAsia="zh-CN"/>
              </w:rPr>
              <w:t>达标</w:t>
            </w:r>
          </w:p>
        </w:tc>
      </w:tr>
      <w:tr w14:paraId="070E35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50" w:type="pct"/>
            <w:vMerge w:val="continue"/>
            <w:noWrap w:val="0"/>
            <w:vAlign w:val="center"/>
          </w:tcPr>
          <w:p w14:paraId="5BA63B8E">
            <w:pPr>
              <w:pStyle w:val="12"/>
              <w:bidi w:val="0"/>
              <w:rPr>
                <w:rFonts w:hint="eastAsia"/>
                <w:color w:val="auto"/>
                <w:lang w:eastAsia="zh-CN"/>
              </w:rPr>
            </w:pPr>
          </w:p>
        </w:tc>
        <w:tc>
          <w:tcPr>
            <w:tcW w:w="595" w:type="pct"/>
            <w:noWrap w:val="0"/>
            <w:vAlign w:val="center"/>
          </w:tcPr>
          <w:p w14:paraId="195D1630">
            <w:pPr>
              <w:pStyle w:val="12"/>
              <w:bidi w:val="0"/>
              <w:rPr>
                <w:rFonts w:hint="default"/>
                <w:color w:val="auto"/>
              </w:rPr>
            </w:pPr>
            <w:r>
              <w:rPr>
                <w:rFonts w:hint="default"/>
                <w:color w:val="auto"/>
              </w:rPr>
              <w:t>夜间</w:t>
            </w:r>
          </w:p>
        </w:tc>
        <w:tc>
          <w:tcPr>
            <w:tcW w:w="511" w:type="pct"/>
            <w:noWrap w:val="0"/>
            <w:vAlign w:val="center"/>
          </w:tcPr>
          <w:p w14:paraId="400B2044">
            <w:pPr>
              <w:pStyle w:val="12"/>
              <w:bidi w:val="0"/>
              <w:rPr>
                <w:rFonts w:hint="default"/>
                <w:color w:val="auto"/>
                <w:lang w:val="en-US" w:eastAsia="zh-CN"/>
              </w:rPr>
            </w:pPr>
            <w:r>
              <w:rPr>
                <w:rFonts w:hint="eastAsia"/>
                <w:color w:val="auto"/>
                <w:lang w:val="en-US" w:eastAsia="zh-CN"/>
              </w:rPr>
              <w:t>43</w:t>
            </w:r>
          </w:p>
        </w:tc>
        <w:tc>
          <w:tcPr>
            <w:tcW w:w="1491" w:type="pct"/>
            <w:noWrap w:val="0"/>
            <w:vAlign w:val="center"/>
          </w:tcPr>
          <w:p w14:paraId="794C237D">
            <w:pPr>
              <w:pStyle w:val="12"/>
              <w:bidi w:val="0"/>
              <w:rPr>
                <w:rFonts w:hint="default"/>
                <w:color w:val="auto"/>
                <w:lang w:val="en-US" w:eastAsia="zh-CN"/>
              </w:rPr>
            </w:pPr>
            <w:r>
              <w:rPr>
                <w:rFonts w:hint="eastAsia"/>
                <w:color w:val="auto"/>
                <w:lang w:val="en-US" w:eastAsia="zh-CN"/>
              </w:rPr>
              <w:t>43.02</w:t>
            </w:r>
          </w:p>
        </w:tc>
        <w:tc>
          <w:tcPr>
            <w:tcW w:w="645" w:type="pct"/>
            <w:noWrap w:val="0"/>
            <w:vAlign w:val="center"/>
          </w:tcPr>
          <w:p w14:paraId="7DA3C92A">
            <w:pPr>
              <w:pStyle w:val="12"/>
              <w:bidi w:val="0"/>
              <w:rPr>
                <w:rFonts w:hint="eastAsia"/>
                <w:color w:val="auto"/>
                <w:lang w:val="en-US" w:eastAsia="zh-CN"/>
              </w:rPr>
            </w:pPr>
            <w:r>
              <w:rPr>
                <w:rFonts w:hint="eastAsia"/>
                <w:color w:val="auto"/>
                <w:lang w:val="en-US" w:eastAsia="zh-CN"/>
              </w:rPr>
              <w:t>50</w:t>
            </w:r>
          </w:p>
        </w:tc>
        <w:tc>
          <w:tcPr>
            <w:tcW w:w="806" w:type="pct"/>
            <w:noWrap w:val="0"/>
            <w:vAlign w:val="center"/>
          </w:tcPr>
          <w:p w14:paraId="2B1D5F96">
            <w:pPr>
              <w:pStyle w:val="12"/>
              <w:bidi w:val="0"/>
              <w:rPr>
                <w:rFonts w:hint="eastAsia"/>
                <w:color w:val="auto"/>
                <w:lang w:val="en-US" w:eastAsia="zh-CN"/>
              </w:rPr>
            </w:pPr>
            <w:r>
              <w:rPr>
                <w:rFonts w:hint="eastAsia"/>
                <w:color w:val="auto"/>
                <w:lang w:val="en-US" w:eastAsia="zh-CN"/>
              </w:rPr>
              <w:t>达标</w:t>
            </w:r>
          </w:p>
        </w:tc>
      </w:tr>
    </w:tbl>
    <w:p w14:paraId="203D26D5">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rPr>
      </w:pPr>
      <w:r>
        <w:rPr>
          <w:rFonts w:hint="default"/>
          <w:color w:val="auto"/>
        </w:rPr>
        <w:t>由上表可见，厂界昼间能满足《工业企业厂界环境噪声排放标准》</w:t>
      </w:r>
      <w:r>
        <w:rPr>
          <w:rFonts w:hint="eastAsia"/>
          <w:color w:val="auto"/>
          <w:lang w:eastAsia="zh-CN"/>
        </w:rPr>
        <w:t>（</w:t>
      </w:r>
      <w:r>
        <w:rPr>
          <w:rFonts w:hint="default"/>
          <w:color w:val="auto"/>
        </w:rPr>
        <w:t>GB12348-2008</w:t>
      </w:r>
      <w:r>
        <w:rPr>
          <w:rFonts w:hint="eastAsia"/>
          <w:color w:val="auto"/>
          <w:lang w:eastAsia="zh-CN"/>
        </w:rPr>
        <w:t>）</w:t>
      </w:r>
      <w:r>
        <w:rPr>
          <w:rFonts w:hint="default"/>
          <w:color w:val="auto"/>
        </w:rPr>
        <w:t>中2类</w:t>
      </w:r>
      <w:r>
        <w:rPr>
          <w:rFonts w:hint="eastAsia"/>
          <w:color w:val="auto"/>
          <w:lang w:val="en-US" w:eastAsia="zh-CN"/>
        </w:rPr>
        <w:t>和4类（临路侧）</w:t>
      </w:r>
      <w:r>
        <w:rPr>
          <w:rFonts w:hint="default"/>
          <w:color w:val="auto"/>
        </w:rPr>
        <w:t>排放标准限值要求，同时敏感点能满足《声环境质量标准》（GB3096-2008）2类限值要求。</w:t>
      </w:r>
    </w:p>
    <w:p w14:paraId="2A168FE9">
      <w:pPr>
        <w:pStyle w:val="5"/>
        <w:pageBreakBefore w:val="0"/>
        <w:wordWrap/>
        <w:bidi w:val="0"/>
        <w:adjustRightInd/>
        <w:snapToGrid/>
        <w:spacing w:before="48" w:after="48"/>
        <w:ind w:left="0"/>
        <w:rPr>
          <w:rFonts w:eastAsia="宋体"/>
          <w:color w:val="auto"/>
        </w:rPr>
      </w:pPr>
      <w:bookmarkStart w:id="184" w:name="_Toc4756"/>
      <w:bookmarkStart w:id="185" w:name="_Toc374627798"/>
      <w:r>
        <w:rPr>
          <w:rFonts w:hint="eastAsia" w:eastAsia="宋体"/>
          <w:color w:val="auto"/>
        </w:rPr>
        <w:t xml:space="preserve"> </w:t>
      </w:r>
      <w:r>
        <w:rPr>
          <w:rFonts w:eastAsia="宋体"/>
          <w:color w:val="auto"/>
        </w:rPr>
        <w:t>营运期固体废物</w:t>
      </w:r>
      <w:bookmarkEnd w:id="184"/>
      <w:bookmarkEnd w:id="185"/>
      <w:r>
        <w:rPr>
          <w:rFonts w:eastAsia="宋体"/>
          <w:color w:val="auto"/>
        </w:rPr>
        <w:t>环境影响预测与评价</w:t>
      </w:r>
    </w:p>
    <w:p w14:paraId="6B7DE5C4">
      <w:pPr>
        <w:pageBreakBefore w:val="0"/>
        <w:tabs>
          <w:tab w:val="left" w:pos="423"/>
          <w:tab w:val="left" w:pos="611"/>
        </w:tabs>
        <w:wordWrap/>
        <w:bidi w:val="0"/>
        <w:adjustRightInd/>
        <w:snapToGrid/>
        <w:ind w:firstLine="480"/>
        <w:rPr>
          <w:color w:val="auto"/>
        </w:rPr>
      </w:pPr>
      <w:bookmarkStart w:id="186" w:name="_Toc362082747"/>
      <w:bookmarkStart w:id="187" w:name="_Toc374627799"/>
      <w:r>
        <w:rPr>
          <w:color w:val="auto"/>
        </w:rPr>
        <w:tab/>
      </w:r>
      <w:r>
        <w:rPr>
          <w:color w:val="auto"/>
        </w:rPr>
        <w:t>1、固废产生及处置情况</w:t>
      </w:r>
    </w:p>
    <w:p w14:paraId="3A0096E8">
      <w:pPr>
        <w:pageBreakBefore w:val="0"/>
        <w:tabs>
          <w:tab w:val="left" w:pos="611"/>
        </w:tabs>
        <w:wordWrap/>
        <w:bidi w:val="0"/>
        <w:adjustRightInd/>
        <w:snapToGrid/>
        <w:ind w:firstLine="480"/>
        <w:rPr>
          <w:color w:val="auto"/>
        </w:rPr>
        <w:sectPr>
          <w:headerReference r:id="rId22" w:type="default"/>
          <w:footerReference r:id="rId23" w:type="default"/>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r>
        <w:rPr>
          <w:color w:val="auto"/>
        </w:rPr>
        <w:t>本项目固体废物产生量</w:t>
      </w:r>
      <w:r>
        <w:rPr>
          <w:rFonts w:hint="eastAsia"/>
          <w:color w:val="auto"/>
          <w:lang w:val="en-US" w:eastAsia="zh-CN"/>
        </w:rPr>
        <w:t>624.405</w:t>
      </w:r>
      <w:r>
        <w:rPr>
          <w:color w:val="auto"/>
        </w:rPr>
        <w:t>t/a，包括一般固废、危险固废，固废去向合理明确，不会造成二次污染。</w:t>
      </w:r>
    </w:p>
    <w:p w14:paraId="21ABF08D">
      <w:pPr>
        <w:pStyle w:val="15"/>
        <w:numPr>
          <w:ilvl w:val="0"/>
          <w:numId w:val="31"/>
        </w:numPr>
        <w:bidi w:val="0"/>
        <w:ind w:left="0" w:leftChars="0" w:firstLine="0" w:firstLineChars="0"/>
        <w:rPr>
          <w:color w:val="auto"/>
        </w:rPr>
      </w:pPr>
      <w:r>
        <w:rPr>
          <w:color w:val="auto"/>
        </w:rPr>
        <w:t>项目固废利用处置方式评价表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27"/>
        <w:gridCol w:w="1202"/>
        <w:gridCol w:w="1253"/>
        <w:gridCol w:w="1094"/>
        <w:gridCol w:w="1295"/>
        <w:gridCol w:w="727"/>
        <w:gridCol w:w="1011"/>
        <w:gridCol w:w="1374"/>
        <w:gridCol w:w="828"/>
        <w:gridCol w:w="769"/>
        <w:gridCol w:w="2042"/>
        <w:gridCol w:w="2042"/>
      </w:tblGrid>
      <w:tr w14:paraId="004FA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517BE3CB">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编号</w:t>
            </w:r>
          </w:p>
        </w:tc>
        <w:tc>
          <w:tcPr>
            <w:tcW w:w="427" w:type="pct"/>
            <w:tcBorders>
              <w:tl2br w:val="nil"/>
              <w:tr2bl w:val="nil"/>
            </w:tcBorders>
            <w:noWrap w:val="0"/>
            <w:vAlign w:val="center"/>
          </w:tcPr>
          <w:p w14:paraId="5558D087">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名称</w:t>
            </w:r>
          </w:p>
        </w:tc>
        <w:tc>
          <w:tcPr>
            <w:tcW w:w="445" w:type="pct"/>
            <w:tcBorders>
              <w:tl2br w:val="nil"/>
              <w:tr2bl w:val="nil"/>
            </w:tcBorders>
            <w:noWrap w:val="0"/>
            <w:vAlign w:val="center"/>
          </w:tcPr>
          <w:p w14:paraId="72032959">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废物类别</w:t>
            </w:r>
          </w:p>
        </w:tc>
        <w:tc>
          <w:tcPr>
            <w:tcW w:w="388" w:type="pct"/>
            <w:tcBorders>
              <w:tl2br w:val="nil"/>
              <w:tr2bl w:val="nil"/>
            </w:tcBorders>
            <w:noWrap w:val="0"/>
            <w:vAlign w:val="center"/>
          </w:tcPr>
          <w:p w14:paraId="099BA39C">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废物代码</w:t>
            </w:r>
          </w:p>
        </w:tc>
        <w:tc>
          <w:tcPr>
            <w:tcW w:w="460" w:type="pct"/>
            <w:tcBorders>
              <w:tl2br w:val="nil"/>
              <w:tr2bl w:val="nil"/>
            </w:tcBorders>
            <w:noWrap w:val="0"/>
            <w:vAlign w:val="center"/>
          </w:tcPr>
          <w:p w14:paraId="506ECAB3">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主要成分</w:t>
            </w:r>
          </w:p>
        </w:tc>
        <w:tc>
          <w:tcPr>
            <w:tcW w:w="258" w:type="pct"/>
            <w:tcBorders>
              <w:tl2br w:val="nil"/>
              <w:tr2bl w:val="nil"/>
            </w:tcBorders>
            <w:noWrap w:val="0"/>
            <w:vAlign w:val="center"/>
          </w:tcPr>
          <w:p w14:paraId="33CB3E85">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性状</w:t>
            </w:r>
          </w:p>
        </w:tc>
        <w:tc>
          <w:tcPr>
            <w:tcW w:w="359" w:type="pct"/>
            <w:tcBorders>
              <w:tl2br w:val="nil"/>
              <w:tr2bl w:val="nil"/>
            </w:tcBorders>
            <w:noWrap w:val="0"/>
            <w:vAlign w:val="center"/>
          </w:tcPr>
          <w:p w14:paraId="6D020FA3">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产生数量（t/a）</w:t>
            </w:r>
          </w:p>
        </w:tc>
        <w:tc>
          <w:tcPr>
            <w:tcW w:w="488" w:type="pct"/>
            <w:tcBorders>
              <w:tl2br w:val="nil"/>
              <w:tr2bl w:val="nil"/>
            </w:tcBorders>
            <w:noWrap w:val="0"/>
            <w:vAlign w:val="center"/>
          </w:tcPr>
          <w:p w14:paraId="779DF0F2">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产生工序及装置</w:t>
            </w:r>
          </w:p>
        </w:tc>
        <w:tc>
          <w:tcPr>
            <w:tcW w:w="294" w:type="pct"/>
            <w:tcBorders>
              <w:tl2br w:val="nil"/>
              <w:tr2bl w:val="nil"/>
            </w:tcBorders>
            <w:noWrap w:val="0"/>
            <w:vAlign w:val="center"/>
          </w:tcPr>
          <w:p w14:paraId="7AE92DCA">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产生周期</w:t>
            </w:r>
          </w:p>
        </w:tc>
        <w:tc>
          <w:tcPr>
            <w:tcW w:w="273" w:type="pct"/>
            <w:tcBorders>
              <w:tl2br w:val="nil"/>
              <w:tr2bl w:val="nil"/>
            </w:tcBorders>
            <w:noWrap w:val="0"/>
            <w:vAlign w:val="center"/>
          </w:tcPr>
          <w:p w14:paraId="07994B6F">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危险特性</w:t>
            </w:r>
          </w:p>
        </w:tc>
        <w:tc>
          <w:tcPr>
            <w:tcW w:w="725" w:type="pct"/>
            <w:tcBorders>
              <w:tl2br w:val="nil"/>
              <w:tr2bl w:val="nil"/>
            </w:tcBorders>
            <w:noWrap w:val="0"/>
            <w:vAlign w:val="center"/>
          </w:tcPr>
          <w:p w14:paraId="2093BBE0">
            <w:pPr>
              <w:pStyle w:val="495"/>
              <w:pageBreakBefore w:val="0"/>
              <w:wordWrap/>
              <w:bidi w:val="0"/>
              <w:adjustRightInd/>
              <w:snapToGrid/>
              <w:ind w:firstLine="0" w:firstLineChars="0"/>
              <w:jc w:val="center"/>
              <w:rPr>
                <w:b/>
                <w:bCs w:val="0"/>
                <w:color w:val="auto"/>
                <w:sz w:val="21"/>
                <w:szCs w:val="21"/>
              </w:rPr>
            </w:pPr>
            <w:r>
              <w:rPr>
                <w:b/>
                <w:bCs w:val="0"/>
                <w:color w:val="auto"/>
                <w:sz w:val="21"/>
                <w:szCs w:val="21"/>
              </w:rPr>
              <w:t>处置方式</w:t>
            </w:r>
          </w:p>
        </w:tc>
        <w:tc>
          <w:tcPr>
            <w:tcW w:w="725" w:type="pct"/>
            <w:tcBorders>
              <w:tl2br w:val="nil"/>
              <w:tr2bl w:val="nil"/>
            </w:tcBorders>
            <w:noWrap w:val="0"/>
            <w:vAlign w:val="center"/>
          </w:tcPr>
          <w:p w14:paraId="5C176321">
            <w:pPr>
              <w:pStyle w:val="495"/>
              <w:pageBreakBefore w:val="0"/>
              <w:wordWrap/>
              <w:bidi w:val="0"/>
              <w:adjustRightInd/>
              <w:snapToGrid/>
              <w:ind w:firstLine="0" w:firstLineChars="0"/>
              <w:jc w:val="center"/>
              <w:rPr>
                <w:rFonts w:hint="default" w:eastAsia="宋体"/>
                <w:b/>
                <w:bCs w:val="0"/>
                <w:color w:val="auto"/>
                <w:sz w:val="21"/>
                <w:szCs w:val="21"/>
                <w:lang w:val="en-US" w:eastAsia="zh-CN"/>
              </w:rPr>
            </w:pPr>
            <w:r>
              <w:rPr>
                <w:rFonts w:hint="eastAsia"/>
                <w:b/>
                <w:bCs w:val="0"/>
                <w:color w:val="auto"/>
                <w:sz w:val="21"/>
                <w:szCs w:val="21"/>
                <w:lang w:val="en-US" w:eastAsia="zh-CN"/>
              </w:rPr>
              <w:t>是否符合环保要求</w:t>
            </w:r>
          </w:p>
        </w:tc>
      </w:tr>
      <w:tr w14:paraId="18E4A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69A3E10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427" w:type="pct"/>
            <w:tcBorders>
              <w:tl2br w:val="nil"/>
              <w:tr2bl w:val="nil"/>
            </w:tcBorders>
            <w:noWrap w:val="0"/>
            <w:vAlign w:val="center"/>
          </w:tcPr>
          <w:p w14:paraId="079C492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445" w:type="pct"/>
            <w:tcBorders>
              <w:tl2br w:val="nil"/>
              <w:tr2bl w:val="nil"/>
            </w:tcBorders>
            <w:noWrap w:val="0"/>
            <w:vAlign w:val="center"/>
          </w:tcPr>
          <w:p w14:paraId="53050252">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388" w:type="pct"/>
            <w:tcBorders>
              <w:tl2br w:val="nil"/>
              <w:tr2bl w:val="nil"/>
            </w:tcBorders>
            <w:noWrap w:val="0"/>
            <w:vAlign w:val="center"/>
          </w:tcPr>
          <w:p w14:paraId="09AE9690">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6B806E7A">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5FD296D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18840858">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3.285</w:t>
            </w:r>
          </w:p>
        </w:tc>
        <w:tc>
          <w:tcPr>
            <w:tcW w:w="488" w:type="pct"/>
            <w:tcBorders>
              <w:tl2br w:val="nil"/>
              <w:tr2bl w:val="nil"/>
            </w:tcBorders>
            <w:noWrap w:val="0"/>
            <w:vAlign w:val="center"/>
          </w:tcPr>
          <w:p w14:paraId="6F61602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员工办公生活</w:t>
            </w:r>
          </w:p>
        </w:tc>
        <w:tc>
          <w:tcPr>
            <w:tcW w:w="294" w:type="pct"/>
            <w:tcBorders>
              <w:tl2br w:val="nil"/>
              <w:tr2bl w:val="nil"/>
            </w:tcBorders>
            <w:noWrap w:val="0"/>
            <w:vAlign w:val="center"/>
          </w:tcPr>
          <w:p w14:paraId="5537BA3D">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26B1D21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142E4666">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环卫清运</w:t>
            </w:r>
          </w:p>
        </w:tc>
        <w:tc>
          <w:tcPr>
            <w:tcW w:w="725" w:type="pct"/>
            <w:tcBorders>
              <w:tl2br w:val="nil"/>
              <w:tr2bl w:val="nil"/>
            </w:tcBorders>
            <w:noWrap w:val="0"/>
            <w:vAlign w:val="center"/>
          </w:tcPr>
          <w:p w14:paraId="207E4E8F">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符合</w:t>
            </w:r>
          </w:p>
        </w:tc>
      </w:tr>
      <w:tr w14:paraId="42CC2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5AFFFE45">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w:t>
            </w:r>
          </w:p>
        </w:tc>
        <w:tc>
          <w:tcPr>
            <w:tcW w:w="427" w:type="pct"/>
            <w:tcBorders>
              <w:tl2br w:val="nil"/>
              <w:tr2bl w:val="nil"/>
            </w:tcBorders>
            <w:noWrap w:val="0"/>
            <w:vAlign w:val="center"/>
          </w:tcPr>
          <w:p w14:paraId="12222DA6">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食堂餐厨垃圾</w:t>
            </w:r>
          </w:p>
        </w:tc>
        <w:tc>
          <w:tcPr>
            <w:tcW w:w="445" w:type="pct"/>
            <w:tcBorders>
              <w:tl2br w:val="nil"/>
              <w:tr2bl w:val="nil"/>
            </w:tcBorders>
            <w:noWrap w:val="0"/>
            <w:vAlign w:val="center"/>
          </w:tcPr>
          <w:p w14:paraId="001C9A8F">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生活垃圾</w:t>
            </w:r>
          </w:p>
        </w:tc>
        <w:tc>
          <w:tcPr>
            <w:tcW w:w="388" w:type="pct"/>
            <w:tcBorders>
              <w:tl2br w:val="nil"/>
              <w:tr2bl w:val="nil"/>
            </w:tcBorders>
            <w:noWrap w:val="0"/>
            <w:vAlign w:val="center"/>
          </w:tcPr>
          <w:p w14:paraId="4152B445">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460" w:type="pct"/>
            <w:tcBorders>
              <w:tl2br w:val="nil"/>
              <w:tr2bl w:val="nil"/>
            </w:tcBorders>
            <w:noWrap w:val="0"/>
            <w:vAlign w:val="center"/>
          </w:tcPr>
          <w:p w14:paraId="2E3D2A9C">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5366658A">
            <w:pPr>
              <w:pStyle w:val="495"/>
              <w:pageBreakBefore w:val="0"/>
              <w:wordWrap/>
              <w:bidi w:val="0"/>
              <w:adjustRightInd/>
              <w:snapToGrid/>
              <w:ind w:firstLine="0" w:firstLineChars="0"/>
              <w:jc w:val="center"/>
              <w:rPr>
                <w:color w:val="auto"/>
                <w:sz w:val="21"/>
                <w:szCs w:val="21"/>
              </w:rPr>
            </w:pPr>
            <w:r>
              <w:rPr>
                <w:color w:val="auto"/>
                <w:sz w:val="21"/>
                <w:szCs w:val="21"/>
              </w:rPr>
              <w:t>固态</w:t>
            </w:r>
          </w:p>
        </w:tc>
        <w:tc>
          <w:tcPr>
            <w:tcW w:w="359" w:type="pct"/>
            <w:tcBorders>
              <w:tl2br w:val="nil"/>
              <w:tr2bl w:val="nil"/>
            </w:tcBorders>
            <w:noWrap w:val="0"/>
            <w:vAlign w:val="center"/>
          </w:tcPr>
          <w:p w14:paraId="6F168E77">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1.314</w:t>
            </w:r>
          </w:p>
        </w:tc>
        <w:tc>
          <w:tcPr>
            <w:tcW w:w="488" w:type="pct"/>
            <w:tcBorders>
              <w:tl2br w:val="nil"/>
              <w:tr2bl w:val="nil"/>
            </w:tcBorders>
            <w:noWrap w:val="0"/>
            <w:vAlign w:val="center"/>
          </w:tcPr>
          <w:p w14:paraId="256CD18C">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食堂</w:t>
            </w:r>
          </w:p>
        </w:tc>
        <w:tc>
          <w:tcPr>
            <w:tcW w:w="294" w:type="pct"/>
            <w:tcBorders>
              <w:tl2br w:val="nil"/>
              <w:tr2bl w:val="nil"/>
            </w:tcBorders>
            <w:noWrap w:val="0"/>
            <w:vAlign w:val="center"/>
          </w:tcPr>
          <w:p w14:paraId="42EBF72C">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0557E09E">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725" w:type="pct"/>
            <w:tcBorders>
              <w:tl2br w:val="nil"/>
              <w:tr2bl w:val="nil"/>
            </w:tcBorders>
            <w:noWrap w:val="0"/>
            <w:vAlign w:val="center"/>
          </w:tcPr>
          <w:p w14:paraId="49EF9741">
            <w:pPr>
              <w:pStyle w:val="495"/>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c>
          <w:tcPr>
            <w:tcW w:w="725" w:type="pct"/>
            <w:tcBorders>
              <w:tl2br w:val="nil"/>
              <w:tr2bl w:val="nil"/>
            </w:tcBorders>
            <w:noWrap w:val="0"/>
            <w:vAlign w:val="center"/>
          </w:tcPr>
          <w:p w14:paraId="3E513E86">
            <w:pPr>
              <w:pStyle w:val="495"/>
              <w:pageBreakBefore w:val="0"/>
              <w:wordWrap/>
              <w:bidi w:val="0"/>
              <w:adjustRightInd/>
              <w:snapToGrid/>
              <w:ind w:firstLine="0" w:firstLineChars="0"/>
              <w:jc w:val="center"/>
              <w:rPr>
                <w:rFonts w:hint="eastAsia"/>
                <w:color w:val="auto"/>
                <w:sz w:val="21"/>
                <w:szCs w:val="21"/>
              </w:rPr>
            </w:pPr>
            <w:r>
              <w:rPr>
                <w:rFonts w:hint="eastAsia"/>
                <w:color w:val="auto"/>
                <w:sz w:val="21"/>
                <w:szCs w:val="21"/>
                <w:lang w:val="en-US" w:eastAsia="zh-CN"/>
              </w:rPr>
              <w:t>符合</w:t>
            </w:r>
          </w:p>
        </w:tc>
      </w:tr>
      <w:tr w14:paraId="57EF6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3459A76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3</w:t>
            </w:r>
          </w:p>
        </w:tc>
        <w:tc>
          <w:tcPr>
            <w:tcW w:w="427" w:type="pct"/>
            <w:tcBorders>
              <w:tl2br w:val="nil"/>
              <w:tr2bl w:val="nil"/>
            </w:tcBorders>
            <w:noWrap w:val="0"/>
            <w:vAlign w:val="center"/>
          </w:tcPr>
          <w:p w14:paraId="561E6EC8">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废包装材料</w:t>
            </w:r>
          </w:p>
        </w:tc>
        <w:tc>
          <w:tcPr>
            <w:tcW w:w="445" w:type="pct"/>
            <w:tcBorders>
              <w:tl2br w:val="nil"/>
              <w:tr2bl w:val="nil"/>
            </w:tcBorders>
            <w:noWrap w:val="0"/>
            <w:vAlign w:val="center"/>
          </w:tcPr>
          <w:p w14:paraId="17D67191">
            <w:pPr>
              <w:pStyle w:val="495"/>
              <w:pageBreakBefore w:val="0"/>
              <w:wordWrap/>
              <w:bidi w:val="0"/>
              <w:adjustRightInd/>
              <w:snapToGrid/>
              <w:ind w:firstLine="0" w:firstLineChars="0"/>
              <w:jc w:val="center"/>
              <w:rPr>
                <w:color w:val="auto"/>
                <w:sz w:val="21"/>
                <w:szCs w:val="21"/>
              </w:rPr>
            </w:pPr>
            <w:r>
              <w:rPr>
                <w:color w:val="auto"/>
                <w:sz w:val="21"/>
                <w:szCs w:val="21"/>
              </w:rPr>
              <w:t>一般工业固废</w:t>
            </w:r>
          </w:p>
        </w:tc>
        <w:tc>
          <w:tcPr>
            <w:tcW w:w="388" w:type="pct"/>
            <w:tcBorders>
              <w:tl2br w:val="nil"/>
              <w:tr2bl w:val="nil"/>
            </w:tcBorders>
            <w:noWrap w:val="0"/>
            <w:vAlign w:val="center"/>
          </w:tcPr>
          <w:p w14:paraId="052DE547">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460" w:type="pct"/>
            <w:tcBorders>
              <w:tl2br w:val="nil"/>
              <w:tr2bl w:val="nil"/>
            </w:tcBorders>
            <w:noWrap w:val="0"/>
            <w:vAlign w:val="center"/>
          </w:tcPr>
          <w:p w14:paraId="4ECD61F9">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1E2F5196">
            <w:pPr>
              <w:pStyle w:val="495"/>
              <w:pageBreakBefore w:val="0"/>
              <w:wordWrap/>
              <w:bidi w:val="0"/>
              <w:adjustRightInd/>
              <w:snapToGrid/>
              <w:ind w:firstLine="0" w:firstLineChars="0"/>
              <w:jc w:val="center"/>
              <w:rPr>
                <w:color w:val="auto"/>
                <w:sz w:val="21"/>
                <w:szCs w:val="21"/>
              </w:rPr>
            </w:pPr>
            <w:r>
              <w:rPr>
                <w:color w:val="auto"/>
                <w:sz w:val="21"/>
                <w:szCs w:val="21"/>
              </w:rPr>
              <w:t>固态</w:t>
            </w:r>
          </w:p>
        </w:tc>
        <w:tc>
          <w:tcPr>
            <w:tcW w:w="359" w:type="pct"/>
            <w:tcBorders>
              <w:tl2br w:val="nil"/>
              <w:tr2bl w:val="nil"/>
            </w:tcBorders>
            <w:noWrap w:val="0"/>
            <w:vAlign w:val="center"/>
          </w:tcPr>
          <w:p w14:paraId="0387BBCA">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488" w:type="pct"/>
            <w:tcBorders>
              <w:tl2br w:val="nil"/>
              <w:tr2bl w:val="nil"/>
            </w:tcBorders>
            <w:noWrap w:val="0"/>
            <w:vAlign w:val="center"/>
          </w:tcPr>
          <w:p w14:paraId="7D8BA34E">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加药间等</w:t>
            </w:r>
          </w:p>
        </w:tc>
        <w:tc>
          <w:tcPr>
            <w:tcW w:w="294" w:type="pct"/>
            <w:tcBorders>
              <w:tl2br w:val="nil"/>
              <w:tr2bl w:val="nil"/>
            </w:tcBorders>
            <w:noWrap w:val="0"/>
            <w:vAlign w:val="center"/>
          </w:tcPr>
          <w:p w14:paraId="60D31D79">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7ECCE9A9">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725" w:type="pct"/>
            <w:tcBorders>
              <w:tl2br w:val="nil"/>
              <w:tr2bl w:val="nil"/>
            </w:tcBorders>
            <w:noWrap w:val="0"/>
            <w:vAlign w:val="center"/>
          </w:tcPr>
          <w:p w14:paraId="2BAD3A33">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外售废品回收站</w:t>
            </w:r>
          </w:p>
        </w:tc>
        <w:tc>
          <w:tcPr>
            <w:tcW w:w="725" w:type="pct"/>
            <w:tcBorders>
              <w:tl2br w:val="nil"/>
              <w:tr2bl w:val="nil"/>
            </w:tcBorders>
            <w:noWrap w:val="0"/>
            <w:vAlign w:val="center"/>
          </w:tcPr>
          <w:p w14:paraId="5D3F29EF">
            <w:pPr>
              <w:pStyle w:val="495"/>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符合</w:t>
            </w:r>
          </w:p>
        </w:tc>
      </w:tr>
      <w:tr w14:paraId="3422A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4F91C6FF">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427" w:type="pct"/>
            <w:tcBorders>
              <w:tl2br w:val="nil"/>
              <w:tr2bl w:val="nil"/>
            </w:tcBorders>
            <w:noWrap w:val="0"/>
            <w:vAlign w:val="center"/>
          </w:tcPr>
          <w:p w14:paraId="03CFD0E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栅渣</w:t>
            </w:r>
          </w:p>
        </w:tc>
        <w:tc>
          <w:tcPr>
            <w:tcW w:w="445" w:type="pct"/>
            <w:tcBorders>
              <w:tl2br w:val="nil"/>
              <w:tr2bl w:val="nil"/>
            </w:tcBorders>
            <w:noWrap w:val="0"/>
            <w:vAlign w:val="center"/>
          </w:tcPr>
          <w:p w14:paraId="726A0FA4">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388" w:type="pct"/>
            <w:tcBorders>
              <w:tl2br w:val="nil"/>
              <w:tr2bl w:val="nil"/>
            </w:tcBorders>
            <w:noWrap w:val="0"/>
            <w:vAlign w:val="center"/>
          </w:tcPr>
          <w:p w14:paraId="420F2C1E">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05D9DFCA">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190B169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1A4C105F">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31.536</w:t>
            </w:r>
          </w:p>
        </w:tc>
        <w:tc>
          <w:tcPr>
            <w:tcW w:w="488" w:type="pct"/>
            <w:tcBorders>
              <w:tl2br w:val="nil"/>
              <w:tr2bl w:val="nil"/>
            </w:tcBorders>
            <w:noWrap w:val="0"/>
            <w:vAlign w:val="center"/>
          </w:tcPr>
          <w:p w14:paraId="3FDA6A36">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格栅</w:t>
            </w:r>
          </w:p>
        </w:tc>
        <w:tc>
          <w:tcPr>
            <w:tcW w:w="294" w:type="pct"/>
            <w:tcBorders>
              <w:tl2br w:val="nil"/>
              <w:tr2bl w:val="nil"/>
            </w:tcBorders>
            <w:noWrap w:val="0"/>
            <w:vAlign w:val="center"/>
          </w:tcPr>
          <w:p w14:paraId="796A8C5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10C5032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63D6503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环卫部门清运</w:t>
            </w:r>
          </w:p>
        </w:tc>
        <w:tc>
          <w:tcPr>
            <w:tcW w:w="725" w:type="pct"/>
            <w:tcBorders>
              <w:tl2br w:val="nil"/>
              <w:tr2bl w:val="nil"/>
            </w:tcBorders>
            <w:noWrap w:val="0"/>
            <w:vAlign w:val="center"/>
          </w:tcPr>
          <w:p w14:paraId="6906EDAE">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7E599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1F4A0469">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427" w:type="pct"/>
            <w:tcBorders>
              <w:tl2br w:val="nil"/>
              <w:tr2bl w:val="nil"/>
            </w:tcBorders>
            <w:noWrap w:val="0"/>
            <w:vAlign w:val="center"/>
          </w:tcPr>
          <w:p w14:paraId="53386D50">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污泥</w:t>
            </w:r>
          </w:p>
        </w:tc>
        <w:tc>
          <w:tcPr>
            <w:tcW w:w="445" w:type="pct"/>
            <w:tcBorders>
              <w:tl2br w:val="nil"/>
              <w:tr2bl w:val="nil"/>
            </w:tcBorders>
            <w:noWrap w:val="0"/>
            <w:vAlign w:val="center"/>
          </w:tcPr>
          <w:p w14:paraId="0D2F29B1">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根据鉴定结果判别</w:t>
            </w:r>
          </w:p>
        </w:tc>
        <w:tc>
          <w:tcPr>
            <w:tcW w:w="388" w:type="pct"/>
            <w:tcBorders>
              <w:tl2br w:val="nil"/>
              <w:tr2bl w:val="nil"/>
            </w:tcBorders>
            <w:noWrap w:val="0"/>
            <w:vAlign w:val="center"/>
          </w:tcPr>
          <w:p w14:paraId="31600B93">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7605556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064C458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060A8C95">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582.54</w:t>
            </w:r>
          </w:p>
        </w:tc>
        <w:tc>
          <w:tcPr>
            <w:tcW w:w="488" w:type="pct"/>
            <w:tcBorders>
              <w:tl2br w:val="nil"/>
              <w:tr2bl w:val="nil"/>
            </w:tcBorders>
            <w:noWrap w:val="0"/>
            <w:vAlign w:val="center"/>
          </w:tcPr>
          <w:p w14:paraId="29DE724C">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294" w:type="pct"/>
            <w:tcBorders>
              <w:tl2br w:val="nil"/>
              <w:tr2bl w:val="nil"/>
            </w:tcBorders>
            <w:noWrap w:val="0"/>
            <w:vAlign w:val="center"/>
          </w:tcPr>
          <w:p w14:paraId="07680D9A">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2780AA79">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4E29CC7B">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73AC76B7">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若属危废→危废处置单位；若不属 </w:t>
            </w:r>
          </w:p>
          <w:p w14:paraId="0D2EA276">
            <w:pPr>
              <w:pageBreakBefore w:val="0"/>
              <w:widowControl/>
              <w:wordWrap/>
              <w:bidi w:val="0"/>
              <w:adjustRightInd/>
              <w:snapToGrid/>
              <w:spacing w:line="240" w:lineRule="auto"/>
              <w:ind w:firstLine="0" w:firstLineChars="0"/>
              <w:jc w:val="left"/>
              <w:rPr>
                <w:rFonts w:ascii="Times New Roman" w:hAnsi="Times New Roman" w:eastAsia="宋体" w:cs="Times New Roman"/>
                <w:color w:val="auto"/>
                <w:kern w:val="2"/>
                <w:sz w:val="21"/>
                <w:szCs w:val="21"/>
                <w:lang w:val="en-US" w:eastAsia="zh-CN" w:bidi="ar-SA"/>
              </w:rPr>
            </w:pPr>
            <w:r>
              <w:rPr>
                <w:color w:val="auto"/>
                <w:kern w:val="0"/>
                <w:sz w:val="21"/>
                <w:szCs w:val="21"/>
                <w:lang w:bidi="ar"/>
              </w:rPr>
              <w:t>危废→其他第三方专业机构处置。</w:t>
            </w:r>
          </w:p>
        </w:tc>
        <w:tc>
          <w:tcPr>
            <w:tcW w:w="725" w:type="pct"/>
            <w:tcBorders>
              <w:tl2br w:val="nil"/>
              <w:tr2bl w:val="nil"/>
            </w:tcBorders>
            <w:noWrap w:val="0"/>
            <w:vAlign w:val="center"/>
          </w:tcPr>
          <w:p w14:paraId="6CB3C753">
            <w:pPr>
              <w:pageBreakBefore w:val="0"/>
              <w:widowControl/>
              <w:wordWrap/>
              <w:bidi w:val="0"/>
              <w:adjustRightInd/>
              <w:snapToGrid/>
              <w:spacing w:line="240" w:lineRule="auto"/>
              <w:ind w:firstLine="0" w:firstLineChars="0"/>
              <w:jc w:val="center"/>
              <w:rPr>
                <w:color w:val="auto"/>
                <w:kern w:val="0"/>
                <w:sz w:val="21"/>
                <w:szCs w:val="21"/>
                <w:lang w:bidi="ar"/>
              </w:rPr>
            </w:pPr>
            <w:r>
              <w:rPr>
                <w:rFonts w:hint="eastAsia"/>
                <w:color w:val="auto"/>
                <w:sz w:val="21"/>
                <w:szCs w:val="21"/>
                <w:lang w:val="en-US" w:eastAsia="zh-CN"/>
              </w:rPr>
              <w:t>符合</w:t>
            </w:r>
          </w:p>
        </w:tc>
      </w:tr>
      <w:tr w14:paraId="3DA3F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24CAFB27">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427" w:type="pct"/>
            <w:tcBorders>
              <w:tl2br w:val="nil"/>
              <w:tr2bl w:val="nil"/>
            </w:tcBorders>
            <w:noWrap w:val="0"/>
            <w:vAlign w:val="center"/>
          </w:tcPr>
          <w:p w14:paraId="316D750E">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生物除臭系统废弃填料</w:t>
            </w:r>
          </w:p>
        </w:tc>
        <w:tc>
          <w:tcPr>
            <w:tcW w:w="445" w:type="pct"/>
            <w:tcBorders>
              <w:tl2br w:val="nil"/>
              <w:tr2bl w:val="nil"/>
            </w:tcBorders>
            <w:noWrap w:val="0"/>
            <w:vAlign w:val="center"/>
          </w:tcPr>
          <w:p w14:paraId="4F03B49B">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388" w:type="pct"/>
            <w:tcBorders>
              <w:tl2br w:val="nil"/>
              <w:tr2bl w:val="nil"/>
            </w:tcBorders>
            <w:noWrap w:val="0"/>
            <w:vAlign w:val="center"/>
          </w:tcPr>
          <w:p w14:paraId="02A6342D">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661D41EE">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165588C0">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0C5E0E9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4.6</w:t>
            </w:r>
          </w:p>
        </w:tc>
        <w:tc>
          <w:tcPr>
            <w:tcW w:w="488" w:type="pct"/>
            <w:tcBorders>
              <w:tl2br w:val="nil"/>
              <w:tr2bl w:val="nil"/>
            </w:tcBorders>
            <w:noWrap w:val="0"/>
            <w:vAlign w:val="center"/>
          </w:tcPr>
          <w:p w14:paraId="431697B0">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w:t>
            </w:r>
          </w:p>
        </w:tc>
        <w:tc>
          <w:tcPr>
            <w:tcW w:w="294" w:type="pct"/>
            <w:tcBorders>
              <w:tl2br w:val="nil"/>
              <w:tr2bl w:val="nil"/>
            </w:tcBorders>
            <w:noWrap w:val="0"/>
            <w:vAlign w:val="center"/>
          </w:tcPr>
          <w:p w14:paraId="52BE95E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7A88C96A">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4AA78C17">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厂家回收</w:t>
            </w:r>
          </w:p>
        </w:tc>
        <w:tc>
          <w:tcPr>
            <w:tcW w:w="725" w:type="pct"/>
            <w:tcBorders>
              <w:tl2br w:val="nil"/>
              <w:tr2bl w:val="nil"/>
            </w:tcBorders>
            <w:noWrap w:val="0"/>
            <w:vAlign w:val="center"/>
          </w:tcPr>
          <w:p w14:paraId="23A4BB89">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22550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0B45D534">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427" w:type="pct"/>
            <w:tcBorders>
              <w:tl2br w:val="nil"/>
              <w:tr2bl w:val="nil"/>
            </w:tcBorders>
            <w:noWrap w:val="0"/>
            <w:vAlign w:val="center"/>
          </w:tcPr>
          <w:p w14:paraId="5B9002B1">
            <w:pPr>
              <w:pStyle w:val="495"/>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废机油</w:t>
            </w:r>
          </w:p>
        </w:tc>
        <w:tc>
          <w:tcPr>
            <w:tcW w:w="445" w:type="pct"/>
            <w:tcBorders>
              <w:tl2br w:val="nil"/>
              <w:tr2bl w:val="nil"/>
            </w:tcBorders>
            <w:noWrap w:val="0"/>
            <w:vAlign w:val="center"/>
          </w:tcPr>
          <w:p w14:paraId="4330E878">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HW08</w:t>
            </w:r>
          </w:p>
        </w:tc>
        <w:tc>
          <w:tcPr>
            <w:tcW w:w="388" w:type="pct"/>
            <w:tcBorders>
              <w:tl2br w:val="nil"/>
              <w:tr2bl w:val="nil"/>
            </w:tcBorders>
            <w:noWrap w:val="0"/>
            <w:vAlign w:val="center"/>
          </w:tcPr>
          <w:p w14:paraId="04C7DB1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900-2</w:t>
            </w:r>
            <w:r>
              <w:rPr>
                <w:rFonts w:hint="eastAsia"/>
                <w:color w:val="auto"/>
                <w:sz w:val="21"/>
                <w:szCs w:val="21"/>
                <w:lang w:val="en-US" w:eastAsia="zh-CN"/>
              </w:rPr>
              <w:t>14</w:t>
            </w:r>
            <w:r>
              <w:rPr>
                <w:color w:val="auto"/>
                <w:sz w:val="21"/>
                <w:szCs w:val="21"/>
              </w:rPr>
              <w:t>-08</w:t>
            </w:r>
          </w:p>
        </w:tc>
        <w:tc>
          <w:tcPr>
            <w:tcW w:w="460" w:type="pct"/>
            <w:tcBorders>
              <w:tl2br w:val="nil"/>
              <w:tr2bl w:val="nil"/>
            </w:tcBorders>
            <w:noWrap w:val="0"/>
            <w:vAlign w:val="center"/>
          </w:tcPr>
          <w:p w14:paraId="2C0C684A">
            <w:pPr>
              <w:pStyle w:val="495"/>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矿物油</w:t>
            </w:r>
          </w:p>
        </w:tc>
        <w:tc>
          <w:tcPr>
            <w:tcW w:w="258" w:type="pct"/>
            <w:tcBorders>
              <w:tl2br w:val="nil"/>
              <w:tr2bl w:val="nil"/>
            </w:tcBorders>
            <w:noWrap w:val="0"/>
            <w:vAlign w:val="center"/>
          </w:tcPr>
          <w:p w14:paraId="53948229">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液态</w:t>
            </w:r>
          </w:p>
        </w:tc>
        <w:tc>
          <w:tcPr>
            <w:tcW w:w="359" w:type="pct"/>
            <w:tcBorders>
              <w:tl2br w:val="nil"/>
              <w:tr2bl w:val="nil"/>
            </w:tcBorders>
            <w:noWrap w:val="0"/>
            <w:vAlign w:val="center"/>
          </w:tcPr>
          <w:p w14:paraId="588486EE">
            <w:pPr>
              <w:pStyle w:val="495"/>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0.01</w:t>
            </w:r>
          </w:p>
        </w:tc>
        <w:tc>
          <w:tcPr>
            <w:tcW w:w="488" w:type="pct"/>
            <w:tcBorders>
              <w:tl2br w:val="nil"/>
              <w:tr2bl w:val="nil"/>
            </w:tcBorders>
            <w:noWrap w:val="0"/>
            <w:vAlign w:val="center"/>
          </w:tcPr>
          <w:p w14:paraId="1C1AFC7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设备维护</w:t>
            </w:r>
          </w:p>
        </w:tc>
        <w:tc>
          <w:tcPr>
            <w:tcW w:w="294" w:type="pct"/>
            <w:tcBorders>
              <w:tl2br w:val="nil"/>
              <w:tr2bl w:val="nil"/>
            </w:tcBorders>
            <w:noWrap w:val="0"/>
            <w:vAlign w:val="center"/>
          </w:tcPr>
          <w:p w14:paraId="198D68A6">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351D4B4F">
            <w:pPr>
              <w:pStyle w:val="495"/>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T/I</w:t>
            </w:r>
          </w:p>
        </w:tc>
        <w:tc>
          <w:tcPr>
            <w:tcW w:w="725" w:type="pct"/>
            <w:vMerge w:val="restart"/>
            <w:tcBorders>
              <w:tl2br w:val="nil"/>
              <w:tr2bl w:val="nil"/>
            </w:tcBorders>
            <w:noWrap w:val="0"/>
            <w:vAlign w:val="center"/>
          </w:tcPr>
          <w:p w14:paraId="13C0C52C">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725" w:type="pct"/>
            <w:tcBorders>
              <w:tl2br w:val="nil"/>
              <w:tr2bl w:val="nil"/>
            </w:tcBorders>
            <w:noWrap w:val="0"/>
            <w:vAlign w:val="center"/>
          </w:tcPr>
          <w:p w14:paraId="62347F02">
            <w:pPr>
              <w:pStyle w:val="495"/>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符合</w:t>
            </w:r>
          </w:p>
        </w:tc>
      </w:tr>
      <w:tr w14:paraId="603B4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3B88211A">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427" w:type="pct"/>
            <w:tcBorders>
              <w:tl2br w:val="nil"/>
              <w:tr2bl w:val="nil"/>
            </w:tcBorders>
            <w:noWrap w:val="0"/>
            <w:vAlign w:val="center"/>
          </w:tcPr>
          <w:p w14:paraId="7F1A1E9D">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废机油桶</w:t>
            </w:r>
          </w:p>
        </w:tc>
        <w:tc>
          <w:tcPr>
            <w:tcW w:w="445" w:type="pct"/>
            <w:tcBorders>
              <w:tl2br w:val="nil"/>
              <w:tr2bl w:val="nil"/>
            </w:tcBorders>
            <w:noWrap w:val="0"/>
            <w:vAlign w:val="center"/>
          </w:tcPr>
          <w:p w14:paraId="28980282">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HW08</w:t>
            </w:r>
          </w:p>
        </w:tc>
        <w:tc>
          <w:tcPr>
            <w:tcW w:w="388" w:type="pct"/>
            <w:tcBorders>
              <w:tl2br w:val="nil"/>
              <w:tr2bl w:val="nil"/>
            </w:tcBorders>
            <w:noWrap w:val="0"/>
            <w:vAlign w:val="center"/>
          </w:tcPr>
          <w:p w14:paraId="629B33B8">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900-249-08</w:t>
            </w:r>
          </w:p>
        </w:tc>
        <w:tc>
          <w:tcPr>
            <w:tcW w:w="460" w:type="pct"/>
            <w:tcBorders>
              <w:tl2br w:val="nil"/>
              <w:tr2bl w:val="nil"/>
            </w:tcBorders>
            <w:noWrap w:val="0"/>
            <w:vAlign w:val="center"/>
          </w:tcPr>
          <w:p w14:paraId="04C69944">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20396F65">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314EC246">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488" w:type="pct"/>
            <w:tcBorders>
              <w:tl2br w:val="nil"/>
              <w:tr2bl w:val="nil"/>
            </w:tcBorders>
            <w:noWrap w:val="0"/>
            <w:vAlign w:val="center"/>
          </w:tcPr>
          <w:p w14:paraId="1E092119">
            <w:pPr>
              <w:pStyle w:val="495"/>
              <w:pageBreakBefore w:val="0"/>
              <w:wordWrap/>
              <w:bidi w:val="0"/>
              <w:adjustRightInd/>
              <w:snapToGrid/>
              <w:ind w:firstLine="0" w:firstLineChars="0"/>
              <w:jc w:val="center"/>
              <w:rPr>
                <w:color w:val="auto"/>
                <w:sz w:val="21"/>
                <w:szCs w:val="21"/>
              </w:rPr>
            </w:pPr>
            <w:r>
              <w:rPr>
                <w:color w:val="auto"/>
                <w:sz w:val="21"/>
                <w:szCs w:val="21"/>
              </w:rPr>
              <w:t>设备维护</w:t>
            </w:r>
          </w:p>
        </w:tc>
        <w:tc>
          <w:tcPr>
            <w:tcW w:w="294" w:type="pct"/>
            <w:tcBorders>
              <w:tl2br w:val="nil"/>
              <w:tr2bl w:val="nil"/>
            </w:tcBorders>
            <w:noWrap w:val="0"/>
            <w:vAlign w:val="center"/>
          </w:tcPr>
          <w:p w14:paraId="1AC3BC06">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469F0A52">
            <w:pPr>
              <w:pStyle w:val="495"/>
              <w:pageBreakBefore w:val="0"/>
              <w:wordWrap/>
              <w:bidi w:val="0"/>
              <w:adjustRightInd/>
              <w:snapToGrid/>
              <w:ind w:firstLine="0" w:firstLineChars="0"/>
              <w:jc w:val="center"/>
              <w:rPr>
                <w:color w:val="auto"/>
                <w:sz w:val="21"/>
                <w:szCs w:val="21"/>
              </w:rPr>
            </w:pPr>
            <w:r>
              <w:rPr>
                <w:color w:val="auto"/>
                <w:sz w:val="21"/>
                <w:szCs w:val="21"/>
              </w:rPr>
              <w:t>T/I</w:t>
            </w:r>
          </w:p>
        </w:tc>
        <w:tc>
          <w:tcPr>
            <w:tcW w:w="725" w:type="pct"/>
            <w:vMerge w:val="continue"/>
            <w:tcBorders>
              <w:tl2br w:val="nil"/>
              <w:tr2bl w:val="nil"/>
            </w:tcBorders>
            <w:noWrap w:val="0"/>
            <w:vAlign w:val="center"/>
          </w:tcPr>
          <w:p w14:paraId="6E1381BD">
            <w:pPr>
              <w:pStyle w:val="495"/>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655AF560">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5C967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774DA583">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427" w:type="pct"/>
            <w:tcBorders>
              <w:tl2br w:val="nil"/>
              <w:tr2bl w:val="nil"/>
            </w:tcBorders>
            <w:noWrap w:val="0"/>
            <w:vAlign w:val="center"/>
          </w:tcPr>
          <w:p w14:paraId="60F903F5">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含油棉纱手套</w:t>
            </w:r>
          </w:p>
        </w:tc>
        <w:tc>
          <w:tcPr>
            <w:tcW w:w="445" w:type="pct"/>
            <w:tcBorders>
              <w:tl2br w:val="nil"/>
              <w:tr2bl w:val="nil"/>
            </w:tcBorders>
            <w:noWrap w:val="0"/>
            <w:vAlign w:val="center"/>
          </w:tcPr>
          <w:p w14:paraId="0B0CA87C">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388" w:type="pct"/>
            <w:tcBorders>
              <w:tl2br w:val="nil"/>
              <w:tr2bl w:val="nil"/>
            </w:tcBorders>
            <w:noWrap w:val="0"/>
            <w:vAlign w:val="center"/>
          </w:tcPr>
          <w:p w14:paraId="4E7CA782">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460" w:type="pct"/>
            <w:tcBorders>
              <w:tl2br w:val="nil"/>
              <w:tr2bl w:val="nil"/>
            </w:tcBorders>
            <w:noWrap w:val="0"/>
            <w:vAlign w:val="center"/>
          </w:tcPr>
          <w:p w14:paraId="4B8497DA">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6EAA7F7B">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3C1D21F4">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488" w:type="pct"/>
            <w:tcBorders>
              <w:tl2br w:val="nil"/>
              <w:tr2bl w:val="nil"/>
            </w:tcBorders>
            <w:noWrap w:val="0"/>
            <w:vAlign w:val="center"/>
          </w:tcPr>
          <w:p w14:paraId="04A7C197">
            <w:pPr>
              <w:pStyle w:val="495"/>
              <w:pageBreakBefore w:val="0"/>
              <w:wordWrap/>
              <w:bidi w:val="0"/>
              <w:adjustRightInd/>
              <w:snapToGrid/>
              <w:ind w:firstLine="0" w:firstLineChars="0"/>
              <w:jc w:val="center"/>
              <w:rPr>
                <w:color w:val="auto"/>
                <w:sz w:val="21"/>
                <w:szCs w:val="21"/>
              </w:rPr>
            </w:pPr>
            <w:r>
              <w:rPr>
                <w:color w:val="auto"/>
                <w:sz w:val="21"/>
                <w:szCs w:val="21"/>
              </w:rPr>
              <w:t>设备维护</w:t>
            </w:r>
          </w:p>
        </w:tc>
        <w:tc>
          <w:tcPr>
            <w:tcW w:w="294" w:type="pct"/>
            <w:tcBorders>
              <w:tl2br w:val="nil"/>
              <w:tr2bl w:val="nil"/>
            </w:tcBorders>
            <w:noWrap w:val="0"/>
            <w:vAlign w:val="center"/>
          </w:tcPr>
          <w:p w14:paraId="62D131B6">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1F866EF1">
            <w:pPr>
              <w:pStyle w:val="495"/>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725" w:type="pct"/>
            <w:vMerge w:val="continue"/>
            <w:tcBorders>
              <w:tl2br w:val="nil"/>
              <w:tr2bl w:val="nil"/>
            </w:tcBorders>
            <w:noWrap w:val="0"/>
            <w:vAlign w:val="center"/>
          </w:tcPr>
          <w:p w14:paraId="0D2B9B6F">
            <w:pPr>
              <w:pStyle w:val="495"/>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1B25BD3F">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4105B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56B11B72">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427" w:type="pct"/>
            <w:tcBorders>
              <w:tl2br w:val="nil"/>
              <w:tr2bl w:val="nil"/>
            </w:tcBorders>
            <w:noWrap w:val="0"/>
            <w:vAlign w:val="center"/>
          </w:tcPr>
          <w:p w14:paraId="523EF64E">
            <w:pPr>
              <w:pStyle w:val="495"/>
              <w:pageBreakBefore w:val="0"/>
              <w:wordWrap/>
              <w:bidi w:val="0"/>
              <w:adjustRightInd/>
              <w:snapToGrid/>
              <w:ind w:firstLine="0" w:firstLineChars="0"/>
              <w:jc w:val="center"/>
              <w:rPr>
                <w:color w:val="auto"/>
                <w:sz w:val="21"/>
                <w:szCs w:val="21"/>
              </w:rPr>
            </w:pPr>
            <w:r>
              <w:rPr>
                <w:color w:val="auto"/>
                <w:sz w:val="21"/>
                <w:szCs w:val="21"/>
              </w:rPr>
              <w:t>化验废液</w:t>
            </w:r>
          </w:p>
        </w:tc>
        <w:tc>
          <w:tcPr>
            <w:tcW w:w="445" w:type="pct"/>
            <w:tcBorders>
              <w:tl2br w:val="nil"/>
              <w:tr2bl w:val="nil"/>
            </w:tcBorders>
            <w:noWrap w:val="0"/>
            <w:vAlign w:val="center"/>
          </w:tcPr>
          <w:p w14:paraId="7DA74F19">
            <w:pPr>
              <w:pStyle w:val="495"/>
              <w:pageBreakBefore w:val="0"/>
              <w:wordWrap/>
              <w:bidi w:val="0"/>
              <w:adjustRightInd/>
              <w:snapToGrid/>
              <w:ind w:firstLine="0" w:firstLineChars="0"/>
              <w:jc w:val="center"/>
              <w:rPr>
                <w:color w:val="auto"/>
                <w:sz w:val="21"/>
                <w:szCs w:val="21"/>
              </w:rPr>
            </w:pPr>
            <w:r>
              <w:rPr>
                <w:color w:val="auto"/>
                <w:sz w:val="21"/>
                <w:szCs w:val="21"/>
              </w:rPr>
              <w:t>HW49</w:t>
            </w:r>
          </w:p>
        </w:tc>
        <w:tc>
          <w:tcPr>
            <w:tcW w:w="388" w:type="pct"/>
            <w:tcBorders>
              <w:tl2br w:val="nil"/>
              <w:tr2bl w:val="nil"/>
            </w:tcBorders>
            <w:noWrap w:val="0"/>
            <w:vAlign w:val="center"/>
          </w:tcPr>
          <w:p w14:paraId="3A64D35F">
            <w:pPr>
              <w:pStyle w:val="495"/>
              <w:pageBreakBefore w:val="0"/>
              <w:wordWrap/>
              <w:bidi w:val="0"/>
              <w:adjustRightInd/>
              <w:snapToGrid/>
              <w:ind w:firstLine="0" w:firstLineChars="0"/>
              <w:jc w:val="center"/>
              <w:rPr>
                <w:color w:val="auto"/>
                <w:sz w:val="21"/>
                <w:szCs w:val="21"/>
              </w:rPr>
            </w:pPr>
            <w:r>
              <w:rPr>
                <w:color w:val="auto"/>
                <w:sz w:val="21"/>
                <w:szCs w:val="21"/>
              </w:rPr>
              <w:t>900-047-49</w:t>
            </w:r>
          </w:p>
        </w:tc>
        <w:tc>
          <w:tcPr>
            <w:tcW w:w="460" w:type="pct"/>
            <w:tcBorders>
              <w:tl2br w:val="nil"/>
              <w:tr2bl w:val="nil"/>
            </w:tcBorders>
            <w:noWrap w:val="0"/>
            <w:vAlign w:val="center"/>
          </w:tcPr>
          <w:p w14:paraId="56A8540A">
            <w:pPr>
              <w:pStyle w:val="495"/>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4D0BD19C">
            <w:pPr>
              <w:pStyle w:val="495"/>
              <w:pageBreakBefore w:val="0"/>
              <w:wordWrap/>
              <w:bidi w:val="0"/>
              <w:adjustRightInd/>
              <w:snapToGrid/>
              <w:ind w:firstLine="0" w:firstLineChars="0"/>
              <w:jc w:val="center"/>
              <w:rPr>
                <w:color w:val="auto"/>
                <w:sz w:val="21"/>
                <w:szCs w:val="21"/>
              </w:rPr>
            </w:pPr>
            <w:r>
              <w:rPr>
                <w:color w:val="auto"/>
                <w:sz w:val="21"/>
                <w:szCs w:val="21"/>
              </w:rPr>
              <w:t>液态</w:t>
            </w:r>
          </w:p>
        </w:tc>
        <w:tc>
          <w:tcPr>
            <w:tcW w:w="359" w:type="pct"/>
            <w:tcBorders>
              <w:tl2br w:val="nil"/>
              <w:tr2bl w:val="nil"/>
            </w:tcBorders>
            <w:noWrap w:val="0"/>
            <w:vAlign w:val="center"/>
          </w:tcPr>
          <w:p w14:paraId="708C18EC">
            <w:pPr>
              <w:pStyle w:val="495"/>
              <w:pageBreakBefore w:val="0"/>
              <w:wordWrap/>
              <w:bidi w:val="0"/>
              <w:adjustRightInd/>
              <w:snapToGrid/>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1</w:t>
            </w:r>
          </w:p>
        </w:tc>
        <w:tc>
          <w:tcPr>
            <w:tcW w:w="488" w:type="pct"/>
            <w:tcBorders>
              <w:tl2br w:val="nil"/>
              <w:tr2bl w:val="nil"/>
            </w:tcBorders>
            <w:noWrap w:val="0"/>
            <w:vAlign w:val="center"/>
          </w:tcPr>
          <w:p w14:paraId="313CCBCB">
            <w:pPr>
              <w:pStyle w:val="495"/>
              <w:pageBreakBefore w:val="0"/>
              <w:wordWrap/>
              <w:bidi w:val="0"/>
              <w:adjustRightInd/>
              <w:snapToGrid/>
              <w:ind w:firstLine="0" w:firstLineChars="0"/>
              <w:jc w:val="center"/>
              <w:rPr>
                <w:rFonts w:hint="eastAsia" w:eastAsia="宋体"/>
                <w:color w:val="auto"/>
                <w:sz w:val="21"/>
                <w:szCs w:val="21"/>
                <w:lang w:eastAsia="zh-CN"/>
              </w:rPr>
            </w:pPr>
            <w:r>
              <w:rPr>
                <w:rFonts w:hint="eastAsia"/>
                <w:color w:val="auto"/>
                <w:sz w:val="21"/>
                <w:szCs w:val="21"/>
                <w:lang w:val="en-US" w:eastAsia="zh-CN"/>
              </w:rPr>
              <w:t>化验室</w:t>
            </w:r>
          </w:p>
        </w:tc>
        <w:tc>
          <w:tcPr>
            <w:tcW w:w="294" w:type="pct"/>
            <w:tcBorders>
              <w:tl2br w:val="nil"/>
              <w:tr2bl w:val="nil"/>
            </w:tcBorders>
            <w:noWrap w:val="0"/>
            <w:vAlign w:val="center"/>
          </w:tcPr>
          <w:p w14:paraId="662059DA">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1BF0600B">
            <w:pPr>
              <w:pStyle w:val="495"/>
              <w:pageBreakBefore w:val="0"/>
              <w:wordWrap/>
              <w:bidi w:val="0"/>
              <w:adjustRightInd/>
              <w:snapToGrid/>
              <w:ind w:firstLine="0" w:firstLineChars="0"/>
              <w:jc w:val="center"/>
              <w:rPr>
                <w:color w:val="auto"/>
                <w:sz w:val="21"/>
                <w:szCs w:val="21"/>
              </w:rPr>
            </w:pPr>
            <w:r>
              <w:rPr>
                <w:rFonts w:hint="eastAsia"/>
                <w:color w:val="auto"/>
                <w:sz w:val="21"/>
                <w:szCs w:val="21"/>
              </w:rPr>
              <w:t>T/C/I/R</w:t>
            </w:r>
          </w:p>
        </w:tc>
        <w:tc>
          <w:tcPr>
            <w:tcW w:w="725" w:type="pct"/>
            <w:vMerge w:val="continue"/>
            <w:tcBorders>
              <w:tl2br w:val="nil"/>
              <w:tr2bl w:val="nil"/>
            </w:tcBorders>
            <w:noWrap w:val="0"/>
            <w:vAlign w:val="center"/>
          </w:tcPr>
          <w:p w14:paraId="625766DE">
            <w:pPr>
              <w:pStyle w:val="495"/>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5D9B0DEB">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0AF666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 w:type="pct"/>
            <w:tcBorders>
              <w:tl2br w:val="nil"/>
              <w:tr2bl w:val="nil"/>
            </w:tcBorders>
            <w:noWrap w:val="0"/>
            <w:vAlign w:val="center"/>
          </w:tcPr>
          <w:p w14:paraId="112B994D">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427" w:type="pct"/>
            <w:tcBorders>
              <w:tl2br w:val="nil"/>
              <w:tr2bl w:val="nil"/>
            </w:tcBorders>
            <w:noWrap w:val="0"/>
            <w:vAlign w:val="center"/>
          </w:tcPr>
          <w:p w14:paraId="5C27AF41">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废化学试剂瓶</w:t>
            </w:r>
          </w:p>
        </w:tc>
        <w:tc>
          <w:tcPr>
            <w:tcW w:w="445" w:type="pct"/>
            <w:tcBorders>
              <w:tl2br w:val="nil"/>
              <w:tr2bl w:val="nil"/>
            </w:tcBorders>
            <w:noWrap w:val="0"/>
            <w:vAlign w:val="center"/>
          </w:tcPr>
          <w:p w14:paraId="3CE2BBC6">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388" w:type="pct"/>
            <w:tcBorders>
              <w:tl2br w:val="nil"/>
              <w:tr2bl w:val="nil"/>
            </w:tcBorders>
            <w:noWrap w:val="0"/>
            <w:vAlign w:val="center"/>
          </w:tcPr>
          <w:p w14:paraId="734650FF">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460" w:type="pct"/>
            <w:tcBorders>
              <w:tl2br w:val="nil"/>
              <w:tr2bl w:val="nil"/>
            </w:tcBorders>
            <w:noWrap w:val="0"/>
            <w:vAlign w:val="center"/>
          </w:tcPr>
          <w:p w14:paraId="6EE6AA9E">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726BB809">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52ECDBB0">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488" w:type="pct"/>
            <w:tcBorders>
              <w:tl2br w:val="nil"/>
              <w:tr2bl w:val="nil"/>
            </w:tcBorders>
            <w:noWrap w:val="0"/>
            <w:vAlign w:val="center"/>
          </w:tcPr>
          <w:p w14:paraId="5968BE32">
            <w:pPr>
              <w:pStyle w:val="495"/>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化验室</w:t>
            </w:r>
          </w:p>
        </w:tc>
        <w:tc>
          <w:tcPr>
            <w:tcW w:w="294" w:type="pct"/>
            <w:tcBorders>
              <w:tl2br w:val="nil"/>
              <w:tr2bl w:val="nil"/>
            </w:tcBorders>
            <w:noWrap w:val="0"/>
            <w:vAlign w:val="center"/>
          </w:tcPr>
          <w:p w14:paraId="2947D1B3">
            <w:pPr>
              <w:pStyle w:val="495"/>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1FAB4B9E">
            <w:pPr>
              <w:pStyle w:val="495"/>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725" w:type="pct"/>
            <w:vMerge w:val="continue"/>
            <w:tcBorders>
              <w:tl2br w:val="nil"/>
              <w:tr2bl w:val="nil"/>
            </w:tcBorders>
            <w:noWrap w:val="0"/>
            <w:vAlign w:val="center"/>
          </w:tcPr>
          <w:p w14:paraId="105FCF67">
            <w:pPr>
              <w:pStyle w:val="495"/>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76C101E5">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bl>
    <w:p w14:paraId="3ED24546">
      <w:pPr>
        <w:pageBreakBefore w:val="0"/>
        <w:numPr>
          <w:ilvl w:val="0"/>
          <w:numId w:val="0"/>
        </w:numPr>
        <w:wordWrap/>
        <w:bidi w:val="0"/>
        <w:adjustRightInd/>
        <w:snapToGrid/>
        <w:spacing w:before="120" w:beforeLines="50"/>
        <w:rPr>
          <w:b/>
          <w:bCs/>
          <w:color w:val="auto"/>
        </w:rPr>
        <w:sectPr>
          <w:pgSz w:w="16838" w:h="11906" w:orient="landscape"/>
          <w:pgMar w:top="1588" w:right="1440" w:bottom="1588" w:left="1440" w:header="1134" w:footer="992" w:gutter="0"/>
          <w:pgBorders>
            <w:top w:val="none" w:sz="0" w:space="0"/>
            <w:left w:val="none" w:sz="0" w:space="0"/>
            <w:bottom w:val="none" w:sz="0" w:space="0"/>
            <w:right w:val="none" w:sz="0" w:space="0"/>
          </w:pgBorders>
          <w:pgNumType w:fmt="decimal"/>
          <w:cols w:space="720" w:num="1"/>
          <w:docGrid w:linePitch="312" w:charSpace="0"/>
        </w:sectPr>
      </w:pPr>
    </w:p>
    <w:p w14:paraId="0D37BED2">
      <w:pPr>
        <w:bidi w:val="0"/>
        <w:rPr>
          <w:b/>
          <w:bCs/>
          <w:color w:val="auto"/>
        </w:rPr>
      </w:pPr>
      <w:r>
        <w:rPr>
          <w:rFonts w:hint="eastAsia"/>
          <w:b/>
          <w:bCs/>
          <w:color w:val="auto"/>
          <w:lang w:val="en-US" w:eastAsia="zh-CN"/>
        </w:rPr>
        <w:t>1、</w:t>
      </w:r>
      <w:r>
        <w:rPr>
          <w:b/>
          <w:bCs/>
          <w:color w:val="auto"/>
        </w:rPr>
        <w:t>固废管理措施</w:t>
      </w:r>
    </w:p>
    <w:p w14:paraId="1B156B8E">
      <w:pPr>
        <w:ind w:firstLine="480"/>
        <w:rPr>
          <w:color w:val="auto"/>
        </w:rPr>
      </w:pPr>
      <w:r>
        <w:rPr>
          <w:color w:val="auto"/>
        </w:rPr>
        <w:t>项目设置一般固废暂存区和危险废物暂存间，用于上述废物的收集与暂存，同时严格按照工业固体废物申报登记制度，对固废产生种类、产生量、处置去向进行记录和申报。为了进一步确保项目产生的固体废物得到合理有效的收集处理，避免造成环境二次污染，项目拟按以下要求，完善固废管理措施：</w:t>
      </w:r>
    </w:p>
    <w:p w14:paraId="06BD1391">
      <w:pPr>
        <w:ind w:firstLine="482"/>
        <w:rPr>
          <w:b/>
          <w:bCs/>
          <w:color w:val="auto"/>
          <w:u w:val="single"/>
        </w:rPr>
      </w:pPr>
      <w:r>
        <w:rPr>
          <w:b/>
          <w:bCs/>
          <w:color w:val="auto"/>
          <w:u w:val="single"/>
        </w:rPr>
        <w:t>一般固废管理与暂存要求：</w:t>
      </w:r>
    </w:p>
    <w:p w14:paraId="352EAFAE">
      <w:pPr>
        <w:ind w:firstLine="480"/>
        <w:rPr>
          <w:color w:val="auto"/>
        </w:rPr>
      </w:pPr>
      <w:r>
        <w:rPr>
          <w:color w:val="auto"/>
        </w:rPr>
        <w:t>本项目</w:t>
      </w:r>
      <w:r>
        <w:rPr>
          <w:rFonts w:hint="eastAsia"/>
          <w:color w:val="auto"/>
          <w:lang w:val="en-US" w:eastAsia="zh-CN"/>
        </w:rPr>
        <w:t>新建一个</w:t>
      </w:r>
      <w:r>
        <w:rPr>
          <w:color w:val="auto"/>
        </w:rPr>
        <w:t>一般固废暂存间，评价要求采取以下措施加强固废治理：</w:t>
      </w:r>
    </w:p>
    <w:p w14:paraId="1DD93E08">
      <w:pPr>
        <w:ind w:firstLine="480"/>
        <w:rPr>
          <w:color w:val="auto"/>
        </w:rPr>
      </w:pPr>
      <w:r>
        <w:rPr>
          <w:rFonts w:hint="eastAsia" w:ascii="宋体" w:hAnsi="宋体" w:cs="宋体"/>
          <w:color w:val="auto"/>
        </w:rPr>
        <w:t>①</w:t>
      </w:r>
      <w:r>
        <w:rPr>
          <w:color w:val="auto"/>
        </w:rPr>
        <w:t>建设单位对项目产生的固体废物进行分类收集和暂存，设置垃圾桶对厂区生活垃圾进行收集。</w:t>
      </w:r>
    </w:p>
    <w:p w14:paraId="7E113921">
      <w:pPr>
        <w:ind w:firstLine="480"/>
        <w:rPr>
          <w:color w:val="auto"/>
        </w:rPr>
      </w:pPr>
      <w:r>
        <w:rPr>
          <w:rFonts w:hint="eastAsia" w:ascii="宋体" w:hAnsi="宋体" w:cs="宋体"/>
          <w:color w:val="auto"/>
        </w:rPr>
        <w:t>②</w:t>
      </w:r>
      <w:r>
        <w:rPr>
          <w:color w:val="auto"/>
        </w:rPr>
        <w:t>车间地面应收拾干净，各工段产生的废弃物应及时分类收集，不得外溢，及时转运。废弃物转运时，运输车辆需密闭，严禁泄漏。</w:t>
      </w:r>
    </w:p>
    <w:p w14:paraId="295E4DFF">
      <w:pPr>
        <w:ind w:firstLine="480"/>
        <w:rPr>
          <w:color w:val="auto"/>
        </w:rPr>
      </w:pPr>
      <w:r>
        <w:rPr>
          <w:rFonts w:hint="eastAsia" w:ascii="宋体" w:hAnsi="宋体" w:cs="宋体"/>
          <w:color w:val="auto"/>
        </w:rPr>
        <w:t>③</w:t>
      </w:r>
      <w:r>
        <w:rPr>
          <w:color w:val="auto"/>
        </w:rPr>
        <w:t>运输路线避免经过居民集中区和饮用水源地，运输途中防止扬尘、洒落和</w:t>
      </w:r>
      <w:r>
        <w:rPr>
          <w:rFonts w:hint="eastAsia"/>
          <w:color w:val="auto"/>
        </w:rPr>
        <w:t>泄漏</w:t>
      </w:r>
      <w:r>
        <w:rPr>
          <w:color w:val="auto"/>
        </w:rPr>
        <w:t>造成严重污染。环评要求建设单位必须符合《一般工业固体废物贮存和填埋污染控制标准》（GB18599-2020）的要求，设置的一般固废暂存区用于各处固废的收集运输，并有运输通道与厂外连接。另外，一般固废间应有完善的防风、防雨、防晒措施，分类堆放，设标识牌。</w:t>
      </w:r>
    </w:p>
    <w:p w14:paraId="4C7FE2FF">
      <w:pPr>
        <w:widowControl/>
        <w:ind w:firstLine="482"/>
        <w:jc w:val="left"/>
        <w:rPr>
          <w:b/>
          <w:bCs/>
          <w:color w:val="auto"/>
          <w:szCs w:val="32"/>
          <w:u w:val="single"/>
        </w:rPr>
      </w:pPr>
      <w:r>
        <w:rPr>
          <w:b/>
          <w:bCs/>
          <w:color w:val="auto"/>
          <w:szCs w:val="32"/>
          <w:u w:val="single"/>
        </w:rPr>
        <w:t>危险废物具体要求：</w:t>
      </w:r>
    </w:p>
    <w:p w14:paraId="1363EFD8">
      <w:pPr>
        <w:ind w:firstLine="482"/>
        <w:rPr>
          <w:b/>
          <w:color w:val="auto"/>
        </w:rPr>
      </w:pPr>
      <w:r>
        <w:rPr>
          <w:b/>
          <w:color w:val="auto"/>
          <w:spacing w:val="-10"/>
        </w:rPr>
        <w:fldChar w:fldCharType="begin"/>
      </w:r>
      <w:r>
        <w:rPr>
          <w:b/>
          <w:color w:val="auto"/>
          <w:spacing w:val="-10"/>
        </w:rPr>
        <w:instrText xml:space="preserve"> </w:instrText>
      </w:r>
      <w:r>
        <w:rPr>
          <w:rFonts w:hint="eastAsia"/>
          <w:b/>
          <w:color w:val="auto"/>
          <w:spacing w:val="-10"/>
        </w:rPr>
        <w:instrText xml:space="preserve">= 1 \* GB3</w:instrText>
      </w:r>
      <w:r>
        <w:rPr>
          <w:b/>
          <w:color w:val="auto"/>
          <w:spacing w:val="-10"/>
        </w:rPr>
        <w:instrText xml:space="preserve"> </w:instrText>
      </w:r>
      <w:r>
        <w:rPr>
          <w:b/>
          <w:color w:val="auto"/>
          <w:spacing w:val="-10"/>
        </w:rPr>
        <w:fldChar w:fldCharType="separate"/>
      </w:r>
      <w:r>
        <w:rPr>
          <w:rFonts w:hint="eastAsia"/>
          <w:b/>
          <w:color w:val="auto"/>
          <w:spacing w:val="-10"/>
        </w:rPr>
        <w:t>①</w:t>
      </w:r>
      <w:r>
        <w:rPr>
          <w:b/>
          <w:color w:val="auto"/>
          <w:spacing w:val="-10"/>
        </w:rPr>
        <w:fldChar w:fldCharType="end"/>
      </w:r>
      <w:r>
        <w:rPr>
          <w:b/>
          <w:color w:val="auto"/>
          <w:kern w:val="0"/>
          <w:lang w:bidi="ar"/>
        </w:rPr>
        <w:t>危险废物收集、贮存、运输的一般要求</w:t>
      </w:r>
    </w:p>
    <w:p w14:paraId="2EC97D0F">
      <w:pPr>
        <w:ind w:firstLine="480"/>
        <w:rPr>
          <w:color w:val="auto"/>
        </w:rPr>
      </w:pPr>
      <w:r>
        <w:rPr>
          <w:rFonts w:hint="eastAsia" w:ascii="宋体" w:hAnsi="宋体" w:cs="宋体"/>
          <w:color w:val="auto"/>
        </w:rPr>
        <w:t>A.</w:t>
      </w:r>
      <w:r>
        <w:rPr>
          <w:color w:val="auto"/>
        </w:rPr>
        <w:t>危险废物的收集、贮存、运输活动应遵照国家相关管理规定，建立健全规章制度及操作流程，确保该过程的安全、可靠。</w:t>
      </w:r>
    </w:p>
    <w:p w14:paraId="606AC160">
      <w:pPr>
        <w:ind w:firstLine="480"/>
        <w:rPr>
          <w:color w:val="auto"/>
        </w:rPr>
      </w:pPr>
      <w:r>
        <w:rPr>
          <w:rFonts w:hint="eastAsia" w:ascii="宋体" w:hAnsi="宋体" w:cs="宋体"/>
          <w:color w:val="auto"/>
        </w:rPr>
        <w:t>B.</w:t>
      </w:r>
      <w:r>
        <w:rPr>
          <w:color w:val="auto"/>
        </w:rPr>
        <w:t>危险废物收集、贮存、运输时应按危险特性对危险废物进行分类、包装并设置相应的标志及标签。</w:t>
      </w:r>
    </w:p>
    <w:p w14:paraId="2E2FE64B">
      <w:pPr>
        <w:ind w:firstLine="480"/>
        <w:rPr>
          <w:color w:val="auto"/>
        </w:rPr>
      </w:pPr>
      <w:r>
        <w:rPr>
          <w:rFonts w:hint="eastAsia" w:ascii="宋体" w:hAnsi="宋体" w:cs="宋体"/>
          <w:color w:val="auto"/>
        </w:rPr>
        <w:t>C.</w:t>
      </w:r>
      <w:r>
        <w:rPr>
          <w:color w:val="auto"/>
        </w:rPr>
        <w:t>危险废物转移过程应按《危险废物转移联单管理办法》执行。</w:t>
      </w:r>
    </w:p>
    <w:p w14:paraId="05E31A26">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2 \* GB3</w:instrText>
      </w:r>
      <w:r>
        <w:rPr>
          <w:b/>
          <w:bCs/>
          <w:color w:val="auto"/>
        </w:rPr>
        <w:instrText xml:space="preserve"> </w:instrText>
      </w:r>
      <w:r>
        <w:rPr>
          <w:b/>
          <w:bCs/>
          <w:color w:val="auto"/>
        </w:rPr>
        <w:fldChar w:fldCharType="separate"/>
      </w:r>
      <w:r>
        <w:rPr>
          <w:rFonts w:hint="eastAsia"/>
          <w:b/>
          <w:bCs/>
          <w:color w:val="auto"/>
        </w:rPr>
        <w:t>②</w:t>
      </w:r>
      <w:r>
        <w:rPr>
          <w:b/>
          <w:bCs/>
          <w:color w:val="auto"/>
        </w:rPr>
        <w:fldChar w:fldCharType="end"/>
      </w:r>
      <w:r>
        <w:rPr>
          <w:b/>
          <w:bCs/>
          <w:color w:val="auto"/>
        </w:rPr>
        <w:t>危险废物收集污染防治措施</w:t>
      </w:r>
    </w:p>
    <w:p w14:paraId="67DF94EA">
      <w:pPr>
        <w:ind w:firstLine="480"/>
        <w:rPr>
          <w:color w:val="auto"/>
        </w:rPr>
      </w:pPr>
      <w:r>
        <w:rPr>
          <w:color w:val="auto"/>
        </w:rPr>
        <w:t>项目危险废物的收集包括两个方面，一是在危险废物产生节点将危险废物集中到包装桶或包装袋中，二是将已包装的危险废物集中到危废暂存间内。在危险废物的收集过程中，项目应采取如下污染防治措施：</w:t>
      </w:r>
    </w:p>
    <w:p w14:paraId="1A80A08B">
      <w:pPr>
        <w:ind w:firstLine="480"/>
        <w:rPr>
          <w:color w:val="auto"/>
        </w:rPr>
      </w:pPr>
      <w:r>
        <w:rPr>
          <w:rFonts w:hint="eastAsia" w:ascii="宋体" w:hAnsi="宋体" w:cs="宋体"/>
          <w:color w:val="auto"/>
        </w:rPr>
        <w:t>A.</w:t>
      </w:r>
      <w:r>
        <w:rPr>
          <w:color w:val="auto"/>
        </w:rPr>
        <w:t>危险废物的收集应根据危险废物产生工艺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13EAF64E">
      <w:pPr>
        <w:ind w:firstLine="480"/>
        <w:rPr>
          <w:color w:val="auto"/>
        </w:rPr>
      </w:pPr>
      <w:r>
        <w:rPr>
          <w:rFonts w:hint="eastAsia" w:ascii="宋体" w:hAnsi="宋体" w:cs="宋体"/>
          <w:color w:val="auto"/>
        </w:rPr>
        <w:t>B.</w:t>
      </w:r>
      <w:r>
        <w:rPr>
          <w:color w:val="auto"/>
        </w:rPr>
        <w:t>危险废物的收集应制定详细的操作规程，内容至少应包括适用范围、操作程序和方法、专用设备和工具、转移和交接、安全保障和应急防护等。</w:t>
      </w:r>
    </w:p>
    <w:p w14:paraId="3FDB0137">
      <w:pPr>
        <w:ind w:firstLine="480"/>
        <w:rPr>
          <w:color w:val="auto"/>
        </w:rPr>
      </w:pPr>
      <w:r>
        <w:rPr>
          <w:rFonts w:hint="eastAsia" w:ascii="宋体" w:hAnsi="宋体" w:cs="宋体"/>
          <w:color w:val="auto"/>
        </w:rPr>
        <w:t>C.</w:t>
      </w:r>
      <w:r>
        <w:rPr>
          <w:color w:val="auto"/>
        </w:rPr>
        <w:t>危险废物收集和转运作业人员应根据工作需要配备必要的个人防护装备，如手套等。</w:t>
      </w:r>
    </w:p>
    <w:p w14:paraId="09036ACC">
      <w:pPr>
        <w:ind w:firstLine="480"/>
        <w:rPr>
          <w:color w:val="auto"/>
        </w:rPr>
      </w:pPr>
      <w:r>
        <w:rPr>
          <w:rFonts w:hint="eastAsia"/>
          <w:color w:val="auto"/>
        </w:rPr>
        <w:t>D.</w:t>
      </w:r>
      <w:r>
        <w:rPr>
          <w:color w:val="auto"/>
        </w:rPr>
        <w:t>危险废物应存放于符合国家标准的容器中，贮存容器必须具有耐腐蚀、耐压、密封和不与所贮存的废物发生反应等特性，贮存容器应保证完好无损并具有明显标志。液体危险废物可注入开孔直径不超过70毫米并有放气孔的桶中，并留有10mm空余空间。</w:t>
      </w:r>
    </w:p>
    <w:p w14:paraId="3BF1BFFF">
      <w:pPr>
        <w:ind w:firstLine="480"/>
        <w:rPr>
          <w:color w:val="auto"/>
        </w:rPr>
      </w:pPr>
      <w:r>
        <w:rPr>
          <w:rFonts w:hint="eastAsia" w:ascii="宋体" w:hAnsi="宋体" w:cs="宋体"/>
          <w:color w:val="auto"/>
        </w:rPr>
        <w:t>E.</w:t>
      </w:r>
      <w:r>
        <w:rPr>
          <w:color w:val="auto"/>
        </w:rPr>
        <w:t>应根据收集设备、转运车辆以及现场人员等实际情况确定相应作业区域，同时要设置作业界限标志和警示牌；作业区域内应设置危险废物收集专用通道和人员避险通道；收集时应配备必要的收集工具和包装物，以及必要的应急监测设备及应急装备；应填写记录表，并将记录表作为危险废物管理的重要档案妥善保存；收集结束后应清理和恢复收集作业区域，确保作业区域环境整洁安全；收集过危险废物的容器、设备、设施、场所及其他物品转作</w:t>
      </w:r>
      <w:r>
        <w:rPr>
          <w:rFonts w:hint="eastAsia"/>
          <w:color w:val="auto"/>
        </w:rPr>
        <w:t>他</w:t>
      </w:r>
      <w:r>
        <w:rPr>
          <w:color w:val="auto"/>
        </w:rPr>
        <w:t>用时，应消除污染，确保其使用安全。</w:t>
      </w:r>
    </w:p>
    <w:p w14:paraId="5EB5C8A6">
      <w:pPr>
        <w:ind w:firstLine="480"/>
        <w:rPr>
          <w:color w:val="auto"/>
        </w:rPr>
      </w:pPr>
      <w:r>
        <w:rPr>
          <w:rFonts w:hint="eastAsia" w:ascii="宋体" w:hAnsi="宋体" w:cs="宋体"/>
          <w:color w:val="auto"/>
        </w:rPr>
        <w:t>F.</w:t>
      </w:r>
      <w:r>
        <w:rPr>
          <w:color w:val="auto"/>
        </w:rPr>
        <w:t>危险废物内部转运应综合考虑厂区的实际情况确定转运路线，尽量避开办公区和生活区；应采用专用的工具，并填写厂内转运记录表；转运结束后，应对转运路线进行检查和清理，确保无危险废物遗失在转运路线上，并对转运工具进行清洗。</w:t>
      </w:r>
    </w:p>
    <w:p w14:paraId="26EEFF20">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3 \* GB3</w:instrText>
      </w:r>
      <w:r>
        <w:rPr>
          <w:b/>
          <w:bCs/>
          <w:color w:val="auto"/>
        </w:rPr>
        <w:instrText xml:space="preserve"> </w:instrText>
      </w:r>
      <w:r>
        <w:rPr>
          <w:b/>
          <w:bCs/>
          <w:color w:val="auto"/>
        </w:rPr>
        <w:fldChar w:fldCharType="separate"/>
      </w:r>
      <w:r>
        <w:rPr>
          <w:rFonts w:hint="eastAsia"/>
          <w:b/>
          <w:bCs/>
          <w:color w:val="auto"/>
        </w:rPr>
        <w:t>③</w:t>
      </w:r>
      <w:r>
        <w:rPr>
          <w:b/>
          <w:bCs/>
          <w:color w:val="auto"/>
        </w:rPr>
        <w:fldChar w:fldCharType="end"/>
      </w:r>
      <w:r>
        <w:rPr>
          <w:b/>
          <w:bCs/>
          <w:color w:val="auto"/>
        </w:rPr>
        <w:t>危险废物贮存污染防治措施</w:t>
      </w:r>
    </w:p>
    <w:p w14:paraId="1C5E01F4">
      <w:pPr>
        <w:ind w:firstLine="480"/>
        <w:rPr>
          <w:color w:val="auto"/>
        </w:rPr>
      </w:pPr>
      <w:r>
        <w:rPr>
          <w:rFonts w:hint="eastAsia" w:ascii="宋体" w:hAnsi="宋体" w:cs="宋体"/>
          <w:color w:val="auto"/>
        </w:rPr>
        <w:t>A.</w:t>
      </w:r>
      <w:r>
        <w:rPr>
          <w:color w:val="auto"/>
        </w:rPr>
        <w:t>厂区内所有危废收集后应暂存于危废暂存间内。</w:t>
      </w:r>
    </w:p>
    <w:p w14:paraId="1818FE8A">
      <w:pPr>
        <w:ind w:firstLine="480"/>
        <w:rPr>
          <w:color w:val="auto"/>
        </w:rPr>
      </w:pPr>
      <w:r>
        <w:rPr>
          <w:rFonts w:hint="eastAsia" w:ascii="宋体" w:hAnsi="宋体" w:cs="宋体"/>
          <w:color w:val="auto"/>
        </w:rPr>
        <w:t>B.</w:t>
      </w:r>
      <w:r>
        <w:rPr>
          <w:color w:val="auto"/>
        </w:rPr>
        <w:t>装载液态、半固态危险废物的容器内必须留足足够空间，容器顶部与液体表面之间留足100mm以上的空间。</w:t>
      </w:r>
    </w:p>
    <w:p w14:paraId="79E13D5D">
      <w:pPr>
        <w:ind w:firstLine="480"/>
        <w:rPr>
          <w:color w:val="auto"/>
        </w:rPr>
      </w:pPr>
      <w:r>
        <w:rPr>
          <w:rFonts w:hint="eastAsia" w:ascii="宋体" w:hAnsi="宋体" w:cs="宋体"/>
          <w:color w:val="auto"/>
        </w:rPr>
        <w:t>C.</w:t>
      </w:r>
      <w:r>
        <w:rPr>
          <w:color w:val="auto"/>
        </w:rPr>
        <w:t>贮存危险废物时应按危险废物的种类和特性进行分区贮存，每个贮存区域之间宜设置挡墙间隔，危险废物应储存在危废存放设施内，并设置警示标志。性质不相容危废不能混放，应单独分区存放。</w:t>
      </w:r>
    </w:p>
    <w:p w14:paraId="4CB39105">
      <w:pPr>
        <w:ind w:firstLine="480"/>
        <w:rPr>
          <w:color w:val="auto"/>
        </w:rPr>
      </w:pPr>
      <w:r>
        <w:rPr>
          <w:rFonts w:hint="eastAsia" w:ascii="宋体" w:hAnsi="宋体" w:cs="宋体"/>
          <w:color w:val="auto"/>
        </w:rPr>
        <w:t>D.</w:t>
      </w:r>
      <w:r>
        <w:rPr>
          <w:color w:val="auto"/>
        </w:rPr>
        <w:t>危险废物贮存设施内应设置照明</w:t>
      </w:r>
      <w:r>
        <w:rPr>
          <w:rFonts w:hint="eastAsia"/>
          <w:color w:val="auto"/>
        </w:rPr>
        <w:t>设施</w:t>
      </w:r>
      <w:r>
        <w:rPr>
          <w:color w:val="auto"/>
        </w:rPr>
        <w:t>和观察口。</w:t>
      </w:r>
    </w:p>
    <w:p w14:paraId="41C15C1A">
      <w:pPr>
        <w:ind w:firstLine="480"/>
        <w:rPr>
          <w:color w:val="auto"/>
        </w:rPr>
      </w:pPr>
      <w:r>
        <w:rPr>
          <w:rFonts w:hint="eastAsia" w:ascii="宋体" w:hAnsi="宋体" w:cs="宋体"/>
          <w:color w:val="auto"/>
        </w:rPr>
        <w:t>E.</w:t>
      </w:r>
      <w:r>
        <w:rPr>
          <w:color w:val="auto"/>
        </w:rPr>
        <w:t>危险废物存放间做好防雨、防风、防晒措施。地面不得有裂纹，对危废暂存间地面进行重点防渗，渗透系数K≤1×10</w:t>
      </w:r>
      <w:r>
        <w:rPr>
          <w:color w:val="auto"/>
          <w:vertAlign w:val="superscript"/>
        </w:rPr>
        <w:t>-10</w:t>
      </w:r>
      <w:r>
        <w:rPr>
          <w:color w:val="auto"/>
        </w:rPr>
        <w:t>cm/s，达到危废存放防渗要求。</w:t>
      </w:r>
    </w:p>
    <w:p w14:paraId="6BBE3E5F">
      <w:pPr>
        <w:ind w:firstLine="480"/>
        <w:rPr>
          <w:color w:val="auto"/>
        </w:rPr>
      </w:pPr>
      <w:r>
        <w:rPr>
          <w:rFonts w:hint="eastAsia" w:ascii="宋体" w:hAnsi="宋体" w:cs="宋体"/>
          <w:color w:val="auto"/>
        </w:rPr>
        <w:t>F.</w:t>
      </w:r>
      <w:r>
        <w:rPr>
          <w:color w:val="auto"/>
        </w:rPr>
        <w:t>应建立危险废物贮存的台账制度，做好危险废物出入库交接记录。</w:t>
      </w:r>
    </w:p>
    <w:p w14:paraId="24AD5736">
      <w:pPr>
        <w:ind w:firstLine="480"/>
        <w:rPr>
          <w:color w:val="auto"/>
        </w:rPr>
      </w:pPr>
      <w:r>
        <w:rPr>
          <w:rFonts w:hint="eastAsia"/>
          <w:color w:val="auto"/>
        </w:rPr>
        <w:t>G.</w:t>
      </w:r>
      <w:r>
        <w:rPr>
          <w:color w:val="auto"/>
        </w:rPr>
        <w:t>危险废物贮存设施应根据贮存的废物种类和特性设置标志。</w:t>
      </w:r>
    </w:p>
    <w:p w14:paraId="2F1AF5C7">
      <w:pPr>
        <w:ind w:firstLine="480"/>
        <w:rPr>
          <w:color w:val="auto"/>
        </w:rPr>
      </w:pPr>
      <w:r>
        <w:rPr>
          <w:rFonts w:hint="eastAsia" w:ascii="宋体" w:hAnsi="宋体" w:cs="宋体"/>
          <w:color w:val="auto"/>
        </w:rPr>
        <w:t>H.</w:t>
      </w:r>
      <w:r>
        <w:rPr>
          <w:color w:val="auto"/>
        </w:rPr>
        <w:t>危险废物贮存期限应符合《中华人民共和国固体废物污染环境防治法》的有关规定。</w:t>
      </w:r>
    </w:p>
    <w:p w14:paraId="1C15B25E">
      <w:pPr>
        <w:ind w:firstLine="480"/>
        <w:rPr>
          <w:color w:val="auto"/>
        </w:rPr>
      </w:pPr>
      <w:r>
        <w:rPr>
          <w:rFonts w:hint="eastAsia" w:ascii="宋体" w:hAnsi="宋体" w:cs="宋体"/>
          <w:color w:val="auto"/>
        </w:rPr>
        <w:t>I.</w:t>
      </w:r>
      <w:r>
        <w:rPr>
          <w:color w:val="auto"/>
        </w:rPr>
        <w:t>定期对危废包装容器及暂存设施进行检查，发现破损、应及时采取措施清理更换。</w:t>
      </w:r>
    </w:p>
    <w:p w14:paraId="55FF2DF9">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4 \* GB3</w:instrText>
      </w:r>
      <w:r>
        <w:rPr>
          <w:b/>
          <w:bCs/>
          <w:color w:val="auto"/>
        </w:rPr>
        <w:instrText xml:space="preserve"> </w:instrText>
      </w:r>
      <w:r>
        <w:rPr>
          <w:b/>
          <w:bCs/>
          <w:color w:val="auto"/>
        </w:rPr>
        <w:fldChar w:fldCharType="separate"/>
      </w:r>
      <w:r>
        <w:rPr>
          <w:rFonts w:hint="eastAsia"/>
          <w:b/>
          <w:bCs/>
          <w:color w:val="auto"/>
        </w:rPr>
        <w:t>④</w:t>
      </w:r>
      <w:r>
        <w:rPr>
          <w:b/>
          <w:bCs/>
          <w:color w:val="auto"/>
        </w:rPr>
        <w:fldChar w:fldCharType="end"/>
      </w:r>
      <w:r>
        <w:rPr>
          <w:b/>
          <w:bCs/>
          <w:color w:val="auto"/>
        </w:rPr>
        <w:t>危险废物运输污染防治措施</w:t>
      </w:r>
    </w:p>
    <w:p w14:paraId="1CFF235C">
      <w:pPr>
        <w:ind w:firstLine="480"/>
        <w:rPr>
          <w:color w:val="auto"/>
        </w:rPr>
      </w:pPr>
      <w:r>
        <w:rPr>
          <w:rFonts w:hint="eastAsia" w:ascii="宋体" w:hAnsi="宋体" w:cs="宋体"/>
          <w:color w:val="auto"/>
        </w:rPr>
        <w:t>A.</w:t>
      </w:r>
      <w:r>
        <w:rPr>
          <w:color w:val="auto"/>
        </w:rPr>
        <w:t>危险废物运输由持有危险废物经营许可证的单位按照其许可证的经营范围组织实施，承担危险废物运输的单位应获得交通运输部门颁发的危险货物运输资质。</w:t>
      </w:r>
    </w:p>
    <w:p w14:paraId="47870A62">
      <w:pPr>
        <w:ind w:firstLine="480"/>
        <w:rPr>
          <w:color w:val="auto"/>
        </w:rPr>
      </w:pPr>
      <w:r>
        <w:rPr>
          <w:rFonts w:hint="eastAsia" w:ascii="宋体" w:hAnsi="宋体" w:cs="宋体"/>
          <w:color w:val="auto"/>
        </w:rPr>
        <w:t>B.</w:t>
      </w:r>
      <w:r>
        <w:rPr>
          <w:color w:val="auto"/>
        </w:rPr>
        <w:t>运输单位承运危险废物时，应在危险废物包装上设置标志。</w:t>
      </w:r>
    </w:p>
    <w:p w14:paraId="098C69BC">
      <w:pPr>
        <w:ind w:firstLine="480"/>
        <w:rPr>
          <w:rFonts w:eastAsia="黑体"/>
          <w:b/>
          <w:color w:val="auto"/>
        </w:rPr>
      </w:pPr>
      <w:r>
        <w:rPr>
          <w:rFonts w:hint="eastAsia" w:ascii="宋体" w:hAnsi="宋体" w:cs="宋体"/>
          <w:color w:val="auto"/>
        </w:rPr>
        <w:t>C.</w:t>
      </w:r>
      <w:r>
        <w:rPr>
          <w:color w:val="auto"/>
        </w:rPr>
        <w:t>危险废物运输时的中转、装卸过程应遵守如下技术要求：工作人员应熟悉废物</w:t>
      </w:r>
      <w:r>
        <w:rPr>
          <w:rFonts w:ascii="宋体" w:hAnsi="宋体" w:cs="宋体"/>
          <w:color w:val="auto"/>
        </w:rPr>
        <w:t>的危险特性，并配备适当个人防护装备；配备必要消防设备和设施，并设置明显的指示标志；危险废物装卸区应设置隔离设施。</w:t>
      </w:r>
    </w:p>
    <w:p w14:paraId="07C7F79E">
      <w:pPr>
        <w:bidi w:val="0"/>
        <w:rPr>
          <w:color w:val="auto"/>
        </w:rPr>
      </w:pPr>
      <w:r>
        <w:rPr>
          <w:color w:val="auto"/>
        </w:rPr>
        <w:t>综上，项目采取以上固废处置措施后，可避免固废二次污染。</w:t>
      </w:r>
    </w:p>
    <w:p w14:paraId="3809128D">
      <w:pPr>
        <w:pStyle w:val="5"/>
        <w:bidi w:val="0"/>
        <w:rPr>
          <w:color w:val="auto"/>
        </w:rPr>
      </w:pPr>
      <w:r>
        <w:rPr>
          <w:rFonts w:hint="eastAsia"/>
          <w:color w:val="auto"/>
        </w:rPr>
        <w:t xml:space="preserve"> </w:t>
      </w:r>
      <w:r>
        <w:rPr>
          <w:color w:val="auto"/>
        </w:rPr>
        <w:t>营运期地下水环境</w:t>
      </w:r>
      <w:r>
        <w:rPr>
          <w:rFonts w:hint="eastAsia"/>
          <w:color w:val="auto"/>
          <w:lang w:val="en-US" w:eastAsia="zh-CN"/>
        </w:rPr>
        <w:t>影响分析</w:t>
      </w:r>
    </w:p>
    <w:p w14:paraId="4927A113">
      <w:pPr>
        <w:pStyle w:val="6"/>
        <w:bidi w:val="0"/>
        <w:rPr>
          <w:color w:val="auto"/>
        </w:rPr>
      </w:pPr>
      <w:r>
        <w:rPr>
          <w:color w:val="auto"/>
        </w:rPr>
        <w:t>预测原则</w:t>
      </w:r>
    </w:p>
    <w:p w14:paraId="105B3F41">
      <w:pPr>
        <w:ind w:firstLine="480"/>
        <w:rPr>
          <w:rFonts w:cs="Times New Roman"/>
          <w:color w:val="auto"/>
        </w:rPr>
      </w:pPr>
      <w:bookmarkStart w:id="188" w:name="_Toc317876370"/>
      <w:bookmarkStart w:id="189" w:name="_Toc317876296"/>
      <w:bookmarkStart w:id="190" w:name="_Toc317974810"/>
      <w:bookmarkStart w:id="191" w:name="_Toc317876444"/>
      <w:bookmarkStart w:id="192" w:name="_Toc317876115"/>
      <w:r>
        <w:rPr>
          <w:rFonts w:cs="Times New Roman"/>
          <w:color w:val="auto"/>
        </w:rPr>
        <w:t>本项目地下水环境影响预测原则为：</w:t>
      </w:r>
    </w:p>
    <w:p w14:paraId="179662ED">
      <w:pPr>
        <w:ind w:firstLine="480"/>
        <w:rPr>
          <w:rFonts w:cs="Times New Roman"/>
          <w:color w:val="auto"/>
        </w:rPr>
      </w:pPr>
      <w:r>
        <w:rPr>
          <w:rFonts w:cs="Times New Roman"/>
          <w:color w:val="auto"/>
        </w:rPr>
        <w:t>（1）考虑到地下水环境污染的隐蔽性和难恢复性，遵循环境安全性原则，为评价各方案的环境安全和环境保护措施的合理性提供依据。</w:t>
      </w:r>
    </w:p>
    <w:p w14:paraId="7F5DEE6B">
      <w:pPr>
        <w:ind w:firstLine="480"/>
        <w:rPr>
          <w:rFonts w:cs="Times New Roman"/>
          <w:color w:val="auto"/>
        </w:rPr>
      </w:pPr>
      <w:r>
        <w:rPr>
          <w:rFonts w:cs="Times New Roman"/>
          <w:color w:val="auto"/>
        </w:rPr>
        <w:t>（2）预测的范围、时段、内容和方法根据评价工作等级、工程特征与环境特征，结合当地环境功能和环保要求确定，以拟建项目对地下水水质的影响及由此而产生的主要环境水文地质问题为重点。</w:t>
      </w:r>
    </w:p>
    <w:p w14:paraId="51907448">
      <w:pPr>
        <w:pStyle w:val="6"/>
        <w:bidi w:val="0"/>
        <w:rPr>
          <w:color w:val="auto"/>
        </w:rPr>
      </w:pPr>
      <w:r>
        <w:rPr>
          <w:color w:val="auto"/>
        </w:rPr>
        <w:t>模型概化范围及时段</w:t>
      </w:r>
    </w:p>
    <w:p w14:paraId="2DC9E046">
      <w:pPr>
        <w:ind w:firstLine="480"/>
        <w:rPr>
          <w:rFonts w:hint="default" w:ascii="Times New Roman" w:hAnsi="Times New Roman" w:cs="Times New Roman"/>
          <w:color w:val="auto"/>
        </w:rPr>
      </w:pPr>
      <w:r>
        <w:rPr>
          <w:rFonts w:hint="default" w:ascii="Times New Roman" w:hAnsi="Times New Roman" w:cs="Times New Roman"/>
          <w:color w:val="auto"/>
        </w:rPr>
        <w:t>（1）模型概化范围</w:t>
      </w:r>
    </w:p>
    <w:p w14:paraId="0B329EB9">
      <w:pPr>
        <w:ind w:firstLine="480"/>
        <w:rPr>
          <w:rFonts w:hint="default" w:ascii="Times New Roman" w:hAnsi="Times New Roman" w:cs="Times New Roman"/>
          <w:color w:val="auto"/>
        </w:rPr>
      </w:pPr>
      <w:r>
        <w:rPr>
          <w:rFonts w:hint="default" w:ascii="Times New Roman" w:hAnsi="Times New Roman" w:cs="Times New Roman"/>
          <w:color w:val="auto"/>
        </w:rPr>
        <w:t>本项目模型范围与调查评价范围相一致：</w:t>
      </w:r>
      <w:r>
        <w:rPr>
          <w:rFonts w:hint="default" w:ascii="Times New Roman" w:hAnsi="Times New Roman" w:eastAsia="宋体" w:cs="Times New Roman"/>
          <w:color w:val="auto"/>
          <w:szCs w:val="24"/>
        </w:rPr>
        <w:t>项目区西侧以巴河支流小河沟为界，东南侧以店子河为边界，南侧下游以当地最低侵蚀基准面巴河为界</w:t>
      </w:r>
      <w:r>
        <w:rPr>
          <w:rFonts w:hint="default" w:ascii="Times New Roman" w:hAnsi="Times New Roman" w:cs="Times New Roman"/>
          <w:color w:val="auto"/>
        </w:rPr>
        <w:t>，北西侧以小河沟与店子河之间的山脊线为界，北东侧以店子河及其支流间的山脊线为界。本项目地下水环境影响预测范围约0.49 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0548DBAB">
      <w:pPr>
        <w:ind w:firstLine="480"/>
        <w:rPr>
          <w:rFonts w:hint="default" w:ascii="Times New Roman" w:hAnsi="Times New Roman" w:cs="Times New Roman"/>
          <w:color w:val="auto"/>
        </w:rPr>
      </w:pPr>
      <w:r>
        <w:rPr>
          <w:rFonts w:hint="default" w:ascii="Times New Roman" w:hAnsi="Times New Roman" w:cs="Times New Roman"/>
          <w:color w:val="auto"/>
        </w:rPr>
        <w:t>（2）预测时段</w:t>
      </w:r>
    </w:p>
    <w:p w14:paraId="571FDD47">
      <w:pPr>
        <w:ind w:firstLine="480"/>
        <w:rPr>
          <w:rFonts w:hint="default" w:ascii="Times New Roman" w:hAnsi="Times New Roman" w:cs="Times New Roman"/>
          <w:color w:val="auto"/>
        </w:rPr>
      </w:pPr>
      <w:bookmarkStart w:id="193" w:name="_Toc320481665"/>
      <w:bookmarkStart w:id="194" w:name="_Toc327221744"/>
      <w:bookmarkStart w:id="195" w:name="_Toc306736283"/>
      <w:r>
        <w:rPr>
          <w:rFonts w:hint="default" w:ascii="Times New Roman" w:hAnsi="Times New Roman" w:cs="Times New Roman"/>
          <w:color w:val="auto"/>
        </w:rPr>
        <w:t>针对本项目产污特征，本次预测时段为非正常状况发生后0～30 a。</w:t>
      </w:r>
    </w:p>
    <w:bookmarkEnd w:id="193"/>
    <w:bookmarkEnd w:id="194"/>
    <w:bookmarkEnd w:id="195"/>
    <w:p w14:paraId="7C78C26F">
      <w:pPr>
        <w:pStyle w:val="6"/>
        <w:bidi w:val="0"/>
        <w:rPr>
          <w:color w:val="auto"/>
        </w:rPr>
      </w:pPr>
      <w:r>
        <w:rPr>
          <w:color w:val="auto"/>
        </w:rPr>
        <w:t>预测因子</w:t>
      </w:r>
    </w:p>
    <w:bookmarkEnd w:id="188"/>
    <w:bookmarkEnd w:id="189"/>
    <w:bookmarkEnd w:id="190"/>
    <w:bookmarkEnd w:id="191"/>
    <w:bookmarkEnd w:id="192"/>
    <w:p w14:paraId="47F89B4D">
      <w:pPr>
        <w:ind w:firstLine="480"/>
        <w:rPr>
          <w:rFonts w:hint="default" w:ascii="Times New Roman" w:hAnsi="Times New Roman" w:cs="Times New Roman"/>
          <w:color w:val="auto"/>
        </w:rPr>
      </w:pPr>
      <w:bookmarkStart w:id="196" w:name="_Toc339908708"/>
      <w:bookmarkStart w:id="197" w:name="_Toc365818164"/>
      <w:r>
        <w:rPr>
          <w:rFonts w:hint="default" w:ascii="Times New Roman" w:hAnsi="Times New Roman" w:cs="Times New Roman"/>
          <w:color w:val="auto"/>
        </w:rPr>
        <w:t>根据潜在污染源和污染途径分析，本项目可能对地下水环境产生影响的构筑物主要包括：</w:t>
      </w:r>
    </w:p>
    <w:p w14:paraId="276AA780">
      <w:pPr>
        <w:ind w:firstLine="480"/>
        <w:rPr>
          <w:rFonts w:hint="default" w:ascii="Times New Roman" w:hAnsi="Times New Roman" w:cs="Times New Roman"/>
          <w:color w:val="auto"/>
        </w:rPr>
      </w:pPr>
      <w:r>
        <w:rPr>
          <w:rFonts w:hint="default" w:ascii="Times New Roman" w:hAnsi="Times New Roman" w:cs="Times New Roman"/>
          <w:color w:val="auto"/>
        </w:rPr>
        <w:t>①主体工程</w:t>
      </w:r>
    </w:p>
    <w:p w14:paraId="41A89AC3">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一级处理单元：超细格栅池</w:t>
      </w:r>
      <w:r>
        <w:rPr>
          <w:rFonts w:hint="default" w:ascii="Times New Roman" w:hAnsi="Times New Roman" w:cs="Times New Roman"/>
          <w:color w:val="auto"/>
        </w:rPr>
        <w:t>、</w:t>
      </w:r>
      <w:r>
        <w:rPr>
          <w:rFonts w:hint="default" w:ascii="Times New Roman" w:hAnsi="Times New Roman" w:eastAsia="宋体" w:cs="Times New Roman"/>
          <w:color w:val="auto"/>
        </w:rPr>
        <w:t>调节池、水解酸化池；</w:t>
      </w:r>
    </w:p>
    <w:p w14:paraId="7C460CB1">
      <w:pPr>
        <w:ind w:firstLine="480"/>
        <w:rPr>
          <w:rFonts w:hint="default" w:ascii="Times New Roman" w:hAnsi="Times New Roman" w:cs="Times New Roman"/>
          <w:color w:val="auto"/>
        </w:rPr>
      </w:pPr>
      <w:r>
        <w:rPr>
          <w:rFonts w:hint="default" w:ascii="Times New Roman" w:hAnsi="Times New Roman" w:eastAsia="宋体" w:cs="Times New Roman"/>
          <w:color w:val="auto"/>
        </w:rPr>
        <w:t>二级处理单元：微氧低循环生化池</w:t>
      </w:r>
      <w:r>
        <w:rPr>
          <w:rFonts w:hint="default" w:ascii="Times New Roman" w:hAnsi="Times New Roman" w:cs="Times New Roman"/>
          <w:color w:val="auto"/>
        </w:rPr>
        <w:t>、反硝化深床滤池；</w:t>
      </w:r>
    </w:p>
    <w:p w14:paraId="2661EB0C">
      <w:pPr>
        <w:ind w:firstLine="480"/>
        <w:rPr>
          <w:rFonts w:hint="default" w:ascii="Times New Roman" w:hAnsi="Times New Roman" w:eastAsia="宋体" w:cs="Times New Roman"/>
          <w:color w:val="auto"/>
        </w:rPr>
      </w:pPr>
      <w:r>
        <w:rPr>
          <w:rFonts w:hint="default" w:ascii="Times New Roman" w:hAnsi="Times New Roman" w:cs="Times New Roman"/>
          <w:color w:val="auto"/>
        </w:rPr>
        <w:t>深度处理单元：高级氧化撬装设备；</w:t>
      </w:r>
    </w:p>
    <w:p w14:paraId="1582F1DF">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②配套工程</w:t>
      </w:r>
    </w:p>
    <w:p w14:paraId="5B85A890">
      <w:pPr>
        <w:ind w:firstLine="480"/>
        <w:rPr>
          <w:rFonts w:hint="default" w:ascii="Times New Roman" w:hAnsi="Times New Roman" w:cs="Times New Roman"/>
          <w:color w:val="auto"/>
        </w:rPr>
      </w:pPr>
      <w:r>
        <w:rPr>
          <w:rFonts w:hint="default" w:ascii="Times New Roman" w:hAnsi="Times New Roman" w:cs="Times New Roman"/>
          <w:color w:val="auto"/>
        </w:rPr>
        <w:t>污泥处理单元：磁混凝沉淀池、污泥池。</w:t>
      </w:r>
    </w:p>
    <w:p w14:paraId="31A09120">
      <w:pPr>
        <w:ind w:firstLine="480"/>
        <w:rPr>
          <w:rFonts w:hint="default" w:ascii="Times New Roman" w:hAnsi="Times New Roman" w:eastAsia="宋体" w:cs="Times New Roman"/>
          <w:color w:val="auto"/>
        </w:rPr>
      </w:pPr>
      <w:r>
        <w:rPr>
          <w:rFonts w:hint="default" w:ascii="Times New Roman" w:hAnsi="Times New Roman" w:cs="Times New Roman"/>
          <w:color w:val="auto"/>
        </w:rPr>
        <w:t>根据《环境影响评价技术导则—地下水环境》（HJ610-2016）及《危险废物贮存污染控制标准》（GB18597），以上构筑物均需进行一般或重点防渗。在采取防渗措施后，正常状况，以上构筑物运行过程中对地下水环境影响较小。</w:t>
      </w:r>
      <w:r>
        <w:rPr>
          <w:rFonts w:hint="default" w:ascii="Times New Roman" w:hAnsi="Times New Roman" w:cs="Times New Roman"/>
          <w:color w:val="auto"/>
          <w:kern w:val="0"/>
        </w:rPr>
        <w:t>非正常运行状态下，受池体老化、沉陷及防渗系统腐蚀等因素影响，本项目废水泄漏并部分入渗含水层，将会对区内地下水水质造成影响。</w:t>
      </w:r>
    </w:p>
    <w:p w14:paraId="362328FF">
      <w:pPr>
        <w:ind w:firstLine="480"/>
        <w:rPr>
          <w:rFonts w:hint="default" w:ascii="Times New Roman" w:hAnsi="Times New Roman" w:cs="Times New Roman"/>
          <w:color w:val="auto"/>
        </w:rPr>
      </w:pPr>
      <w:r>
        <w:rPr>
          <w:rFonts w:hint="default" w:ascii="Times New Roman" w:hAnsi="Times New Roman" w:cs="Times New Roman"/>
          <w:color w:val="auto"/>
        </w:rPr>
        <w:t>非正常运行状况，根据产污环节分析，本项目主要地下水污染源为处理的工业废水。保守起见，各池体泄露的废水水质按照最大不利浓度即污水处理厂设计进水浓度考虑。本次选取污水处理厂进水水质特征污染因子中污染物产生量大、毒性较强、占标率较高的COD</w:t>
      </w:r>
      <w:r>
        <w:rPr>
          <w:rFonts w:hint="default" w:ascii="Times New Roman" w:hAnsi="Times New Roman" w:cs="Times New Roman"/>
          <w:color w:val="auto"/>
          <w:vertAlign w:val="subscript"/>
        </w:rPr>
        <w:t>Mn</w:t>
      </w:r>
      <w:r>
        <w:rPr>
          <w:rFonts w:hint="default" w:ascii="Times New Roman" w:hAnsi="Times New Roman" w:cs="Times New Roman"/>
          <w:color w:val="auto"/>
        </w:rPr>
        <w:t>、氨氮、总磷、苯、甲醛、石油类作为预测因子。</w:t>
      </w:r>
    </w:p>
    <w:bookmarkEnd w:id="196"/>
    <w:bookmarkEnd w:id="197"/>
    <w:p w14:paraId="15775E3A">
      <w:pPr>
        <w:pStyle w:val="6"/>
        <w:bidi w:val="0"/>
        <w:rPr>
          <w:color w:val="auto"/>
        </w:rPr>
      </w:pPr>
      <w:bookmarkStart w:id="198" w:name="_Toc339908709"/>
      <w:bookmarkStart w:id="199" w:name="_Toc365818165"/>
      <w:r>
        <w:rPr>
          <w:color w:val="auto"/>
        </w:rPr>
        <w:t>下水环境影响预测与评价</w:t>
      </w:r>
    </w:p>
    <w:p w14:paraId="1F668E5F">
      <w:pPr>
        <w:ind w:firstLine="482"/>
        <w:rPr>
          <w:rFonts w:hint="default" w:ascii="Times New Roman" w:hAnsi="Times New Roman" w:cs="Times New Roman"/>
          <w:b/>
          <w:color w:val="auto"/>
        </w:rPr>
      </w:pPr>
      <w:r>
        <w:rPr>
          <w:rFonts w:cs="Times New Roman"/>
          <w:b/>
          <w:color w:val="auto"/>
        </w:rPr>
        <w:t>（</w:t>
      </w:r>
      <w:r>
        <w:rPr>
          <w:rFonts w:hint="default" w:ascii="Times New Roman" w:hAnsi="Times New Roman" w:cs="Times New Roman"/>
          <w:b/>
          <w:color w:val="auto"/>
        </w:rPr>
        <w:t>1）预测方法</w:t>
      </w:r>
    </w:p>
    <w:p w14:paraId="3C7087F0">
      <w:pPr>
        <w:ind w:firstLine="480"/>
        <w:rPr>
          <w:rFonts w:hint="default" w:ascii="Times New Roman" w:hAnsi="Times New Roman" w:cs="Times New Roman"/>
          <w:color w:val="auto"/>
        </w:rPr>
      </w:pPr>
      <w:r>
        <w:rPr>
          <w:rFonts w:hint="default" w:ascii="Times New Roman" w:hAnsi="Times New Roman" w:cs="Times New Roman"/>
          <w:color w:val="auto"/>
        </w:rPr>
        <w:t>基于资料收集和现场调查，分析并掌握项目区的环境和水文地质特征，建立地下水流动的污染物迁移的数学模型，根据工程分析确定各状况下的污染源强及预测参数，建立以Visual MODFLOW数值计算的水量和水质预测模型，针对本项目运行期非正常状况可能对地下水环境产生的影响进行预测。</w:t>
      </w:r>
    </w:p>
    <w:p w14:paraId="441BC938">
      <w:pPr>
        <w:ind w:firstLine="482"/>
        <w:rPr>
          <w:rFonts w:hint="default" w:ascii="Times New Roman" w:hAnsi="Times New Roman" w:cs="Times New Roman"/>
          <w:b/>
          <w:color w:val="auto"/>
        </w:rPr>
      </w:pPr>
      <w:r>
        <w:rPr>
          <w:rFonts w:hint="default" w:ascii="Times New Roman" w:hAnsi="Times New Roman" w:cs="Times New Roman"/>
          <w:b/>
          <w:color w:val="auto"/>
        </w:rPr>
        <w:t>（2）地下水流场数值模拟</w:t>
      </w:r>
    </w:p>
    <w:p w14:paraId="79034AAC">
      <w:pPr>
        <w:ind w:firstLine="480"/>
        <w:rPr>
          <w:rFonts w:hint="default" w:ascii="Times New Roman" w:hAnsi="Times New Roman" w:cs="Times New Roman"/>
          <w:color w:val="auto"/>
        </w:rPr>
      </w:pPr>
      <w:r>
        <w:rPr>
          <w:rFonts w:hint="default" w:ascii="Times New Roman" w:hAnsi="Times New Roman" w:cs="Times New Roman"/>
          <w:color w:val="auto"/>
        </w:rPr>
        <w:t>1）数学模型</w:t>
      </w:r>
    </w:p>
    <w:p w14:paraId="0E54A6D1">
      <w:pPr>
        <w:ind w:firstLine="480"/>
        <w:rPr>
          <w:rFonts w:hint="default" w:ascii="Times New Roman" w:hAnsi="Times New Roman" w:cs="Times New Roman"/>
          <w:color w:val="auto"/>
        </w:rPr>
      </w:pPr>
      <w:r>
        <w:rPr>
          <w:rFonts w:hint="default" w:ascii="Times New Roman" w:hAnsi="Times New Roman" w:cs="Times New Roman"/>
          <w:color w:val="auto"/>
        </w:rPr>
        <w:t>地下水流模拟采用分块均质、各向异性、非稳定三维分布参数地下水流数学模型，其数学表达形式如下：</w:t>
      </w:r>
    </w:p>
    <w:p w14:paraId="60905CFE">
      <w:pPr>
        <w:ind w:firstLine="480"/>
        <w:rPr>
          <w:rFonts w:hint="default" w:ascii="Times New Roman" w:hAnsi="Times New Roman" w:cs="Times New Roman"/>
          <w:color w:val="auto"/>
        </w:rPr>
      </w:pPr>
      <w:r>
        <w:rPr>
          <w:rFonts w:hint="default" w:ascii="Times New Roman" w:hAnsi="Times New Roman" w:cs="Times New Roman"/>
          <w:color w:val="auto"/>
          <w:position w:val="-112"/>
          <w:szCs w:val="24"/>
        </w:rPr>
        <w:drawing>
          <wp:inline distT="0" distB="0" distL="0" distR="0">
            <wp:extent cx="4823460" cy="1264920"/>
            <wp:effectExtent l="0" t="0" r="15240" b="11430"/>
            <wp:docPr id="7189" name="图片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图片 718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823460" cy="1264920"/>
                    </a:xfrm>
                    <a:prstGeom prst="rect">
                      <a:avLst/>
                    </a:prstGeom>
                    <a:noFill/>
                    <a:ln>
                      <a:noFill/>
                    </a:ln>
                  </pic:spPr>
                </pic:pic>
              </a:graphicData>
            </a:graphic>
          </wp:inline>
        </w:drawing>
      </w:r>
    </w:p>
    <w:p w14:paraId="1D4C578A">
      <w:pPr>
        <w:ind w:firstLine="482"/>
        <w:rPr>
          <w:rFonts w:hint="default" w:ascii="Times New Roman" w:hAnsi="Times New Roman" w:cs="Times New Roman"/>
          <w:b/>
          <w:color w:val="auto"/>
        </w:rPr>
      </w:pPr>
      <w:r>
        <w:rPr>
          <w:rFonts w:hint="default" w:ascii="Times New Roman" w:hAnsi="Times New Roman" w:cs="Times New Roman"/>
          <w:b/>
          <w:color w:val="auto"/>
        </w:rPr>
        <w:t>式中：</w:t>
      </w:r>
    </w:p>
    <w:p w14:paraId="14C705C1">
      <w:pPr>
        <w:ind w:firstLine="480"/>
        <w:rPr>
          <w:rFonts w:hint="default" w:ascii="Times New Roman" w:hAnsi="Times New Roman" w:cs="Times New Roman"/>
          <w:color w:val="auto"/>
        </w:rPr>
      </w:pPr>
      <w:r>
        <w:rPr>
          <w:rFonts w:hint="default" w:ascii="Times New Roman" w:hAnsi="Times New Roman" w:cs="Times New Roman"/>
          <w:color w:val="auto"/>
        </w:rPr>
        <w:t>H（x，y，z，t）表示模拟区任一点（x，y，z）任一时刻t的水头值（m）；</w:t>
      </w:r>
    </w:p>
    <w:p w14:paraId="32346E91">
      <w:pPr>
        <w:ind w:firstLine="480"/>
        <w:rPr>
          <w:rFonts w:hint="default" w:ascii="Times New Roman" w:hAnsi="Times New Roman" w:cs="Times New Roman"/>
          <w:color w:val="auto"/>
        </w:rPr>
      </w:pPr>
      <w:r>
        <w:rPr>
          <w:rFonts w:hint="default" w:ascii="Times New Roman" w:hAnsi="Times New Roman" w:cs="Times New Roman"/>
          <w:color w:val="auto"/>
        </w:rPr>
        <w:t>Ω表示地下水渗流区域；</w:t>
      </w:r>
    </w:p>
    <w:p w14:paraId="20828605">
      <w:pPr>
        <w:ind w:firstLine="480"/>
        <w:rPr>
          <w:rFonts w:hint="default" w:ascii="Times New Roman" w:hAnsi="Times New Roman" w:cs="Times New Roman"/>
          <w:color w:val="auto"/>
        </w:rPr>
      </w:pPr>
      <w:r>
        <w:rPr>
          <w:rFonts w:hint="default" w:ascii="Times New Roman" w:hAnsi="Times New Roman" w:cs="Times New Roman"/>
          <w:color w:val="auto"/>
        </w:rPr>
        <w:t>S1为模型的第一类边界；</w:t>
      </w:r>
    </w:p>
    <w:p w14:paraId="4A5C4362">
      <w:pPr>
        <w:ind w:firstLine="480"/>
        <w:rPr>
          <w:rFonts w:hint="default" w:ascii="Times New Roman" w:hAnsi="Times New Roman" w:cs="Times New Roman"/>
          <w:color w:val="auto"/>
        </w:rPr>
      </w:pPr>
      <w:r>
        <w:rPr>
          <w:rFonts w:hint="default" w:ascii="Times New Roman" w:hAnsi="Times New Roman" w:cs="Times New Roman"/>
          <w:color w:val="auto"/>
        </w:rPr>
        <w:t>S2为模型的第二类边界；</w:t>
      </w:r>
    </w:p>
    <w:p w14:paraId="5091F113">
      <w:pPr>
        <w:ind w:firstLine="480"/>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bscript"/>
        </w:rPr>
        <w:t>xx</w:t>
      </w:r>
      <w:r>
        <w:rPr>
          <w:rFonts w:hint="default" w:ascii="Times New Roman" w:hAnsi="Times New Roman" w:cs="Times New Roman"/>
          <w:color w:val="auto"/>
        </w:rPr>
        <w:t>，K</w:t>
      </w:r>
      <w:r>
        <w:rPr>
          <w:rFonts w:hint="default" w:ascii="Times New Roman" w:hAnsi="Times New Roman" w:cs="Times New Roman"/>
          <w:color w:val="auto"/>
          <w:vertAlign w:val="subscript"/>
        </w:rPr>
        <w:t>yy</w:t>
      </w:r>
      <w:r>
        <w:rPr>
          <w:rFonts w:hint="default" w:ascii="Times New Roman" w:hAnsi="Times New Roman" w:cs="Times New Roman"/>
          <w:color w:val="auto"/>
        </w:rPr>
        <w:t>，K</w:t>
      </w:r>
      <w:r>
        <w:rPr>
          <w:rFonts w:hint="default" w:ascii="Times New Roman" w:hAnsi="Times New Roman" w:cs="Times New Roman"/>
          <w:color w:val="auto"/>
          <w:vertAlign w:val="subscript"/>
        </w:rPr>
        <w:t>zz</w:t>
      </w:r>
      <w:r>
        <w:rPr>
          <w:rFonts w:hint="default" w:ascii="Times New Roman" w:hAnsi="Times New Roman" w:cs="Times New Roman"/>
          <w:color w:val="auto"/>
        </w:rPr>
        <w:t>分别表示x，y，z主方向的渗透系数（m/d）。</w:t>
      </w:r>
    </w:p>
    <w:p w14:paraId="09DA4404">
      <w:pPr>
        <w:ind w:firstLine="480"/>
        <w:rPr>
          <w:rFonts w:hint="default" w:ascii="Times New Roman" w:hAnsi="Times New Roman" w:cs="Times New Roman"/>
          <w:color w:val="auto"/>
        </w:rPr>
      </w:pPr>
      <w:r>
        <w:rPr>
          <w:rFonts w:hint="default" w:ascii="Times New Roman" w:hAnsi="Times New Roman" w:cs="Times New Roman"/>
          <w:color w:val="auto"/>
        </w:rPr>
        <w:t>w表示源汇项，包括降水入渗补给、蒸发、井的抽水量和泉的排泄量（d</w:t>
      </w:r>
      <w:r>
        <w:rPr>
          <w:rFonts w:hint="default" w:ascii="Times New Roman" w:hAnsi="Times New Roman" w:cs="Times New Roman"/>
          <w:color w:val="auto"/>
          <w:vertAlign w:val="superscript"/>
        </w:rPr>
        <w:t>-1</w:t>
      </w:r>
      <w:r>
        <w:rPr>
          <w:rFonts w:hint="default" w:ascii="Times New Roman" w:hAnsi="Times New Roman" w:cs="Times New Roman"/>
          <w:color w:val="auto"/>
        </w:rPr>
        <w:t>）；</w:t>
      </w:r>
    </w:p>
    <w:p w14:paraId="15700654">
      <w:pPr>
        <w:ind w:firstLine="480"/>
        <w:rPr>
          <w:rFonts w:hint="default" w:ascii="Times New Roman" w:hAnsi="Times New Roman" w:cs="Times New Roman"/>
          <w:color w:val="auto"/>
        </w:rPr>
      </w:pPr>
      <w:r>
        <w:rPr>
          <w:rFonts w:hint="default" w:ascii="Times New Roman" w:hAnsi="Times New Roman" w:cs="Times New Roman"/>
          <w:color w:val="auto"/>
        </w:rPr>
        <w:t>μ</w:t>
      </w:r>
      <w:r>
        <w:rPr>
          <w:rFonts w:hint="default" w:ascii="Times New Roman" w:hAnsi="Times New Roman" w:cs="Times New Roman"/>
          <w:color w:val="auto"/>
          <w:vertAlign w:val="subscript"/>
        </w:rPr>
        <w:t>s</w:t>
      </w:r>
      <w:r>
        <w:rPr>
          <w:rFonts w:hint="default" w:ascii="Times New Roman" w:hAnsi="Times New Roman" w:cs="Times New Roman"/>
          <w:color w:val="auto"/>
        </w:rPr>
        <w:t>表示单位贮水率；</w:t>
      </w:r>
    </w:p>
    <w:p w14:paraId="05AF72D3">
      <w:pPr>
        <w:ind w:firstLine="480"/>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0</w:t>
      </w:r>
      <w:r>
        <w:rPr>
          <w:rFonts w:hint="default" w:ascii="Times New Roman" w:hAnsi="Times New Roman" w:cs="Times New Roman"/>
          <w:color w:val="auto"/>
        </w:rPr>
        <w:t>（x，y，z）表示初始地下水水头函数（m）；</w:t>
      </w:r>
    </w:p>
    <w:p w14:paraId="36D4C5DF">
      <w:pPr>
        <w:ind w:firstLine="480"/>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1</w:t>
      </w:r>
      <w:r>
        <w:rPr>
          <w:rFonts w:hint="default" w:ascii="Times New Roman" w:hAnsi="Times New Roman" w:cs="Times New Roman"/>
          <w:color w:val="auto"/>
        </w:rPr>
        <w:t>（x，y，z）为第一类边界</w:t>
      </w:r>
      <w:r>
        <w:rPr>
          <w:rFonts w:hint="eastAsia" w:cs="Times New Roman"/>
          <w:color w:val="auto"/>
          <w:lang w:eastAsia="zh-CN"/>
        </w:rPr>
        <w:t>已知</w:t>
      </w:r>
      <w:r>
        <w:rPr>
          <w:rFonts w:hint="default" w:ascii="Times New Roman" w:hAnsi="Times New Roman" w:cs="Times New Roman"/>
          <w:color w:val="auto"/>
        </w:rPr>
        <w:t>地下水水头函数（m）；</w:t>
      </w:r>
    </w:p>
    <w:p w14:paraId="1BB7BEDA">
      <w:pPr>
        <w:ind w:firstLine="480"/>
        <w:rPr>
          <w:rFonts w:hint="default" w:ascii="Times New Roman" w:hAnsi="Times New Roman" w:cs="Times New Roman"/>
          <w:color w:val="auto"/>
        </w:rPr>
      </w:pPr>
      <w:r>
        <w:rPr>
          <w:rFonts w:hint="default" w:ascii="Times New Roman" w:hAnsi="Times New Roman" w:cs="Times New Roman"/>
          <w:color w:val="auto"/>
        </w:rPr>
        <w:t>Q（x，y，z，t）为第二类边界</w:t>
      </w:r>
      <w:r>
        <w:rPr>
          <w:rFonts w:hint="eastAsia" w:cs="Times New Roman"/>
          <w:color w:val="auto"/>
          <w:lang w:eastAsia="zh-CN"/>
        </w:rPr>
        <w:t>已知</w:t>
      </w:r>
      <w:r>
        <w:rPr>
          <w:rFonts w:hint="default" w:ascii="Times New Roman" w:hAnsi="Times New Roman" w:cs="Times New Roman"/>
          <w:color w:val="auto"/>
        </w:rPr>
        <w:t>单位面积流量或单宽流量函数（m</w:t>
      </w:r>
      <w:r>
        <w:rPr>
          <w:rFonts w:hint="default" w:ascii="Times New Roman" w:hAnsi="Times New Roman" w:cs="Times New Roman"/>
          <w:color w:val="auto"/>
          <w:vertAlign w:val="superscript"/>
        </w:rPr>
        <w:t>3</w:t>
      </w:r>
      <w:r>
        <w:rPr>
          <w:rFonts w:hint="default" w:ascii="Times New Roman" w:hAnsi="Times New Roman" w:cs="Times New Roman"/>
          <w:color w:val="auto"/>
        </w:rPr>
        <w:t>/d·m</w:t>
      </w:r>
      <w:r>
        <w:rPr>
          <w:rFonts w:hint="default" w:ascii="Times New Roman" w:hAnsi="Times New Roman" w:cs="Times New Roman"/>
          <w:color w:val="auto"/>
          <w:vertAlign w:val="superscript"/>
        </w:rPr>
        <w:t>2</w:t>
      </w:r>
      <w:r>
        <w:rPr>
          <w:rFonts w:hint="default" w:ascii="Times New Roman" w:hAnsi="Times New Roman" w:cs="Times New Roman"/>
          <w:color w:val="auto"/>
        </w:rPr>
        <w:t>），零流量边界或隔水边界q=0。</w:t>
      </w:r>
    </w:p>
    <w:p w14:paraId="73216591">
      <w:pPr>
        <w:ind w:firstLine="480"/>
        <w:rPr>
          <w:rFonts w:hint="default" w:ascii="Times New Roman" w:hAnsi="Times New Roman" w:cs="Times New Roman"/>
          <w:color w:val="auto"/>
        </w:rPr>
      </w:pPr>
      <w:r>
        <w:rPr>
          <w:rFonts w:hint="default" w:ascii="Times New Roman" w:hAnsi="Times New Roman" w:cs="Times New Roman"/>
          <w:color w:val="auto"/>
        </w:rPr>
        <w:t>2）预测软件</w:t>
      </w:r>
    </w:p>
    <w:p w14:paraId="63426A9A">
      <w:pPr>
        <w:ind w:firstLine="480"/>
        <w:rPr>
          <w:rFonts w:hint="default" w:ascii="Times New Roman" w:hAnsi="Times New Roman" w:cs="Times New Roman"/>
          <w:color w:val="auto"/>
        </w:rPr>
      </w:pPr>
      <w:r>
        <w:rPr>
          <w:rFonts w:hint="default" w:ascii="Times New Roman" w:hAnsi="Times New Roman" w:cs="Times New Roman"/>
          <w:color w:val="auto"/>
        </w:rPr>
        <w:t>MODFLOW是Visual MODFLOW软件中的模块之一，它是美国地质调查局于80年代开发出的一套专门用于地下水流动的三维有限差分数值模拟软件。MODFLOW自问世以来，由于其程序结构的模块化、离散方法的简单化和求解方法的多样化等优点，已被广泛用来模拟</w:t>
      </w:r>
      <w:r>
        <w:rPr>
          <w:rFonts w:hint="eastAsia" w:cs="Times New Roman"/>
          <w:color w:val="auto"/>
          <w:lang w:eastAsia="zh-CN"/>
        </w:rPr>
        <w:t>径流</w:t>
      </w:r>
      <w:r>
        <w:rPr>
          <w:rFonts w:hint="default" w:ascii="Times New Roman" w:hAnsi="Times New Roman" w:cs="Times New Roman"/>
          <w:color w:val="auto"/>
        </w:rPr>
        <w:t>、河流、排泄、蒸发和补给对非均质和复杂边界条件的水流系统的影响。本次数值模拟计算采用Visual MODFLOW中的MODFLOW模块模拟项目所在区域地下水流场。</w:t>
      </w:r>
    </w:p>
    <w:p w14:paraId="06008AC3">
      <w:pPr>
        <w:ind w:firstLine="480"/>
        <w:rPr>
          <w:rFonts w:hint="default" w:ascii="Times New Roman" w:hAnsi="Times New Roman" w:cs="Times New Roman"/>
          <w:color w:val="auto"/>
        </w:rPr>
      </w:pPr>
      <w:r>
        <w:rPr>
          <w:rFonts w:hint="default" w:ascii="Times New Roman" w:hAnsi="Times New Roman" w:cs="Times New Roman"/>
          <w:color w:val="auto"/>
        </w:rPr>
        <w:t>3）地下水概念模型的概化、离散及边界条件设置</w:t>
      </w:r>
    </w:p>
    <w:p w14:paraId="177337A0">
      <w:pPr>
        <w:ind w:firstLine="480"/>
        <w:rPr>
          <w:rFonts w:hint="default" w:ascii="Times New Roman" w:hAnsi="Times New Roman" w:cs="Times New Roman"/>
          <w:color w:val="auto"/>
        </w:rPr>
      </w:pPr>
      <w:r>
        <w:rPr>
          <w:rFonts w:hint="default" w:ascii="Times New Roman" w:hAnsi="Times New Roman" w:cs="Times New Roman"/>
          <w:color w:val="auto"/>
        </w:rPr>
        <w:t>本项目地处巴中市巴州区巴河左岸的河流阶地上，模拟区关注的浅层地下水类型包括第四系松散岩类孔隙水和基岩裂隙水，其中松散岩类孔隙水赋存于第四系冲积层（Q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）及第四系上更新冲积层上段（Q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）冲积层孔隙中，基岩裂隙水赋存于白垩系下统白龙组（K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b）浅层裂隙带中。模拟区地下水主要来源于大气降水、地表水及侧向补给，接受补给后，地下水北东向南西径流，最终或以蒸发排泄，或以隐流形式排泄至巴河中。</w:t>
      </w:r>
    </w:p>
    <w:p w14:paraId="3A29A046">
      <w:pPr>
        <w:ind w:firstLine="480"/>
        <w:rPr>
          <w:rFonts w:hint="default" w:ascii="Times New Roman" w:hAnsi="Times New Roman" w:cs="Times New Roman"/>
          <w:color w:val="auto"/>
        </w:rPr>
      </w:pPr>
      <w:r>
        <w:rPr>
          <w:rFonts w:hint="default" w:ascii="Times New Roman" w:hAnsi="Times New Roman" w:cs="Times New Roman"/>
          <w:color w:val="auto"/>
        </w:rPr>
        <w:t>模型以东西向为x轴方向，长度90 m，每10 m划分一个网格；南北向作为模型的y轴方向，宽1100 m，每10 m划分一个网格；垂直于xy平面向上为模型的z轴正方向，模拟范围地面高程305～380 m，垂向上概化为3层，上部为第四系含水层，中部为白垩系下统白龙组（K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b）砂岩裂隙含水层，下部白垩系下统白龙组（K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b）裂隙不发育地层为相对隔水层。</w:t>
      </w:r>
    </w:p>
    <w:p w14:paraId="7D803B85">
      <w:pPr>
        <w:ind w:firstLine="480"/>
        <w:rPr>
          <w:rFonts w:hint="default" w:ascii="Times New Roman" w:hAnsi="Times New Roman" w:cs="Times New Roman"/>
          <w:color w:val="auto"/>
        </w:rPr>
      </w:pPr>
      <w:r>
        <w:rPr>
          <w:rFonts w:hint="default" w:ascii="Times New Roman" w:hAnsi="Times New Roman" w:cs="Times New Roman"/>
          <w:color w:val="auto"/>
        </w:rPr>
        <w:t>Modflow将计算单元分成了三大类：定水头单元、无效单元和变水头单元。模拟区巴河距离较短且水力坡度不大设置为定水头边界；巴河支流店子河、小河沟设置为河流边界；模型区北西及北东侧山脊线设定为零通量边界。巴河右岸、店子河左岸、小河沟右岸及北西、北东侧山脊线以外非本次模拟区设置为无效单元格。其余网格为计算单元格。模型网格划分见</w:t>
      </w:r>
      <w:r>
        <w:rPr>
          <w:rFonts w:hint="eastAsia" w:ascii="Times New Roman" w:hAnsi="Times New Roman" w:cs="Times New Roman"/>
          <w:color w:val="auto"/>
          <w:lang w:val="en-US" w:eastAsia="zh-CN"/>
        </w:rPr>
        <w:t>下图</w:t>
      </w:r>
      <w:r>
        <w:rPr>
          <w:rFonts w:hint="default" w:ascii="Times New Roman" w:hAnsi="Times New Roman" w:cs="Times New Roman"/>
          <w:color w:val="auto"/>
        </w:rPr>
        <w:t>。</w:t>
      </w:r>
    </w:p>
    <w:tbl>
      <w:tblPr>
        <w:tblStyle w:val="48"/>
        <w:tblW w:w="5000" w:type="pct"/>
        <w:tblInd w:w="0" w:type="dxa"/>
        <w:tblLayout w:type="autofit"/>
        <w:tblCellMar>
          <w:top w:w="0" w:type="dxa"/>
          <w:left w:w="108" w:type="dxa"/>
          <w:bottom w:w="0" w:type="dxa"/>
          <w:right w:w="108" w:type="dxa"/>
        </w:tblCellMar>
      </w:tblPr>
      <w:tblGrid>
        <w:gridCol w:w="8522"/>
      </w:tblGrid>
      <w:tr w14:paraId="45A0BF77">
        <w:tblPrEx>
          <w:tblCellMar>
            <w:top w:w="0" w:type="dxa"/>
            <w:left w:w="108" w:type="dxa"/>
            <w:bottom w:w="0" w:type="dxa"/>
            <w:right w:w="108" w:type="dxa"/>
          </w:tblCellMar>
        </w:tblPrEx>
        <w:trPr>
          <w:trHeight w:val="57" w:hRule="atLeast"/>
        </w:trPr>
        <w:tc>
          <w:tcPr>
            <w:tcW w:w="5000" w:type="pct"/>
            <w:shd w:val="clear" w:color="auto" w:fill="auto"/>
          </w:tcPr>
          <w:p w14:paraId="701DE32A">
            <w:pPr>
              <w:pStyle w:val="711"/>
              <w:rPr>
                <w:rFonts w:cs="Times New Roman"/>
                <w:color w:val="auto"/>
              </w:rPr>
            </w:pPr>
            <w:r>
              <w:rPr>
                <w:color w:val="auto"/>
              </w:rPr>
              <w:drawing>
                <wp:inline distT="0" distB="0" distL="0" distR="0">
                  <wp:extent cx="5136515" cy="5919470"/>
                  <wp:effectExtent l="0" t="0" r="6985" b="5080"/>
                  <wp:docPr id="1869939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9406" name="图片 1"/>
                          <pic:cNvPicPr>
                            <a:picLocks noChangeAspect="1"/>
                          </pic:cNvPicPr>
                        </pic:nvPicPr>
                        <pic:blipFill>
                          <a:blip r:embed="rId81"/>
                          <a:stretch>
                            <a:fillRect/>
                          </a:stretch>
                        </pic:blipFill>
                        <pic:spPr>
                          <a:xfrm>
                            <a:off x="0" y="0"/>
                            <a:ext cx="5137654" cy="5921354"/>
                          </a:xfrm>
                          <a:prstGeom prst="rect">
                            <a:avLst/>
                          </a:prstGeom>
                        </pic:spPr>
                      </pic:pic>
                    </a:graphicData>
                  </a:graphic>
                </wp:inline>
              </w:drawing>
            </w:r>
          </w:p>
        </w:tc>
      </w:tr>
    </w:tbl>
    <w:p w14:paraId="42DDFFCA">
      <w:pPr>
        <w:pStyle w:val="15"/>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4.2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w:t>
      </w:r>
      <w:r>
        <w:rPr>
          <w:color w:val="auto"/>
        </w:rPr>
        <w:t>模型边界条件设置</w:t>
      </w:r>
    </w:p>
    <w:p w14:paraId="69FB778F">
      <w:pPr>
        <w:ind w:firstLine="480"/>
        <w:rPr>
          <w:rFonts w:hint="default" w:ascii="Times New Roman" w:hAnsi="Times New Roman" w:cs="Times New Roman"/>
          <w:color w:val="auto"/>
        </w:rPr>
      </w:pPr>
      <w:r>
        <w:rPr>
          <w:rFonts w:hint="default" w:ascii="Times New Roman" w:hAnsi="Times New Roman" w:cs="Times New Roman"/>
          <w:color w:val="auto"/>
        </w:rPr>
        <w:t>4）模型参数赋值</w:t>
      </w:r>
    </w:p>
    <w:p w14:paraId="71049849">
      <w:pPr>
        <w:ind w:firstLine="482"/>
        <w:rPr>
          <w:rFonts w:hint="default" w:ascii="Times New Roman" w:hAnsi="Times New Roman" w:cs="Times New Roman"/>
          <w:color w:val="auto"/>
        </w:rPr>
      </w:pPr>
      <w:r>
        <w:rPr>
          <w:rFonts w:hint="default" w:ascii="Times New Roman" w:hAnsi="Times New Roman" w:eastAsia="宋体" w:cs="Times New Roman"/>
          <w:b/>
          <w:color w:val="auto"/>
        </w:rPr>
        <w:t>渗透系数：</w:t>
      </w:r>
      <w:r>
        <w:rPr>
          <w:rFonts w:hint="default" w:ascii="Times New Roman" w:hAnsi="Times New Roman" w:cs="Times New Roman"/>
          <w:color w:val="auto"/>
        </w:rPr>
        <w:t>本项所在评价区关注的浅层地下水含水层可概化为第四系冲积层（Q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）孔隙含水层、白垩系下统白龙组（K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b）砂岩裂隙含水层。根据收集的评价区所在区域水文地质抽水试验资料，结合模型水位校验成果，模拟的松散岩类孔隙含水层水平渗透系数取6.20 m/d，垂向渗透系数0.62 m/d；白垩系下统白龙组（K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b）砂岩裂隙含水层水平渗透系数取1.75 m/d，垂向渗透系数0.17 m/d；根据项目岩土工程勘察报告，白垩系下统白龙组（K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b）砂岩裂隙不发育的相对隔水层水平渗透系数取0.03 m/d，垂向渗透系数0.003 m/d。</w:t>
      </w:r>
    </w:p>
    <w:p w14:paraId="70357EBC">
      <w:pPr>
        <w:pStyle w:val="15"/>
        <w:numPr>
          <w:ilvl w:val="0"/>
          <w:numId w:val="31"/>
        </w:numPr>
        <w:bidi w:val="0"/>
        <w:ind w:left="0" w:leftChars="0" w:firstLine="0" w:firstLineChars="0"/>
        <w:rPr>
          <w:rFonts w:cs="Times New Roman"/>
          <w:color w:val="auto"/>
        </w:rPr>
      </w:pPr>
      <w:r>
        <w:rPr>
          <w:rFonts w:cs="Times New Roman"/>
          <w:color w:val="auto"/>
        </w:rPr>
        <w:t>本次模型渗透系数取值</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17"/>
        <w:gridCol w:w="1986"/>
        <w:gridCol w:w="2319"/>
      </w:tblGrid>
      <w:tr w14:paraId="399798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4F4BE589">
            <w:pPr>
              <w:pStyle w:val="711"/>
              <w:rPr>
                <w:b/>
                <w:bCs/>
                <w:color w:val="auto"/>
              </w:rPr>
            </w:pPr>
            <w:r>
              <w:rPr>
                <w:b/>
                <w:bCs/>
                <w:color w:val="auto"/>
              </w:rPr>
              <w:t>介质分类</w:t>
            </w:r>
          </w:p>
        </w:tc>
        <w:tc>
          <w:tcPr>
            <w:tcW w:w="1165" w:type="pct"/>
            <w:tcBorders>
              <w:tl2br w:val="nil"/>
              <w:tr2bl w:val="nil"/>
            </w:tcBorders>
            <w:vAlign w:val="center"/>
          </w:tcPr>
          <w:p w14:paraId="2DB1A0B2">
            <w:pPr>
              <w:pStyle w:val="711"/>
              <w:rPr>
                <w:b/>
                <w:bCs/>
                <w:color w:val="auto"/>
              </w:rPr>
            </w:pPr>
            <w:r>
              <w:rPr>
                <w:b/>
                <w:bCs/>
                <w:color w:val="auto"/>
              </w:rPr>
              <w:t>Kx，Ky（m/d）</w:t>
            </w:r>
          </w:p>
        </w:tc>
        <w:tc>
          <w:tcPr>
            <w:tcW w:w="1360" w:type="pct"/>
            <w:tcBorders>
              <w:tl2br w:val="nil"/>
              <w:tr2bl w:val="nil"/>
            </w:tcBorders>
            <w:vAlign w:val="center"/>
          </w:tcPr>
          <w:p w14:paraId="126EA409">
            <w:pPr>
              <w:pStyle w:val="711"/>
              <w:rPr>
                <w:b/>
                <w:bCs/>
                <w:color w:val="auto"/>
              </w:rPr>
            </w:pPr>
            <w:r>
              <w:rPr>
                <w:b/>
                <w:bCs/>
                <w:color w:val="auto"/>
              </w:rPr>
              <w:t>Kz（m/d）</w:t>
            </w:r>
          </w:p>
        </w:tc>
      </w:tr>
      <w:tr w14:paraId="47923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07CDDEC5">
            <w:pPr>
              <w:pStyle w:val="711"/>
              <w:rPr>
                <w:color w:val="auto"/>
              </w:rPr>
            </w:pPr>
            <w:r>
              <w:rPr>
                <w:color w:val="auto"/>
              </w:rPr>
              <w:t>第四系全新统冲积层（Q</w:t>
            </w:r>
            <w:r>
              <w:rPr>
                <w:color w:val="auto"/>
                <w:vertAlign w:val="subscript"/>
              </w:rPr>
              <w:t>4</w:t>
            </w:r>
            <w:r>
              <w:rPr>
                <w:color w:val="auto"/>
                <w:vertAlign w:val="superscript"/>
              </w:rPr>
              <w:t>al</w:t>
            </w:r>
            <w:r>
              <w:rPr>
                <w:color w:val="auto"/>
              </w:rPr>
              <w:t>）及第四系上更新统冲积层上段（Q</w:t>
            </w:r>
            <w:r>
              <w:rPr>
                <w:color w:val="auto"/>
                <w:vertAlign w:val="subscript"/>
              </w:rPr>
              <w:t>3</w:t>
            </w:r>
            <w:r>
              <w:rPr>
                <w:color w:val="auto"/>
                <w:vertAlign w:val="superscript"/>
              </w:rPr>
              <w:t>al</w:t>
            </w:r>
            <w:r>
              <w:rPr>
                <w:color w:val="auto"/>
              </w:rPr>
              <w:t>）孔隙含水层</w:t>
            </w:r>
          </w:p>
        </w:tc>
        <w:tc>
          <w:tcPr>
            <w:tcW w:w="1165" w:type="pct"/>
            <w:tcBorders>
              <w:tl2br w:val="nil"/>
              <w:tr2bl w:val="nil"/>
            </w:tcBorders>
            <w:vAlign w:val="center"/>
          </w:tcPr>
          <w:p w14:paraId="7FE7ED6D">
            <w:pPr>
              <w:pStyle w:val="711"/>
              <w:rPr>
                <w:color w:val="auto"/>
              </w:rPr>
            </w:pPr>
            <w:r>
              <w:rPr>
                <w:rFonts w:hint="eastAsia"/>
                <w:color w:val="auto"/>
              </w:rPr>
              <w:t>6.20</w:t>
            </w:r>
          </w:p>
        </w:tc>
        <w:tc>
          <w:tcPr>
            <w:tcW w:w="1360" w:type="pct"/>
            <w:tcBorders>
              <w:tl2br w:val="nil"/>
              <w:tr2bl w:val="nil"/>
            </w:tcBorders>
            <w:vAlign w:val="center"/>
          </w:tcPr>
          <w:p w14:paraId="7F8C61D5">
            <w:pPr>
              <w:pStyle w:val="711"/>
              <w:rPr>
                <w:color w:val="auto"/>
              </w:rPr>
            </w:pPr>
            <w:r>
              <w:rPr>
                <w:rFonts w:hint="eastAsia"/>
                <w:color w:val="auto"/>
              </w:rPr>
              <w:t>0.62</w:t>
            </w:r>
          </w:p>
        </w:tc>
      </w:tr>
      <w:tr w14:paraId="1385D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4F481590">
            <w:pPr>
              <w:pStyle w:val="711"/>
              <w:rPr>
                <w:color w:val="auto"/>
              </w:rPr>
            </w:pPr>
            <w:r>
              <w:rPr>
                <w:rFonts w:hint="eastAsia" w:cs="Times New Roman"/>
                <w:color w:val="auto"/>
              </w:rPr>
              <w:t>白垩系下统白龙组（K</w:t>
            </w:r>
            <w:r>
              <w:rPr>
                <w:rFonts w:hint="eastAsia" w:cs="Times New Roman"/>
                <w:color w:val="auto"/>
                <w:vertAlign w:val="subscript"/>
              </w:rPr>
              <w:t>1</w:t>
            </w:r>
            <w:r>
              <w:rPr>
                <w:rFonts w:hint="eastAsia" w:cs="Times New Roman"/>
                <w:color w:val="auto"/>
              </w:rPr>
              <w:t>b）砂岩裂隙含水层</w:t>
            </w:r>
          </w:p>
        </w:tc>
        <w:tc>
          <w:tcPr>
            <w:tcW w:w="1165" w:type="pct"/>
            <w:tcBorders>
              <w:tl2br w:val="nil"/>
              <w:tr2bl w:val="nil"/>
            </w:tcBorders>
            <w:vAlign w:val="center"/>
          </w:tcPr>
          <w:p w14:paraId="1B700E2E">
            <w:pPr>
              <w:pStyle w:val="711"/>
              <w:rPr>
                <w:color w:val="auto"/>
              </w:rPr>
            </w:pPr>
            <w:r>
              <w:rPr>
                <w:rFonts w:hint="eastAsia"/>
                <w:color w:val="auto"/>
              </w:rPr>
              <w:t>1.72</w:t>
            </w:r>
          </w:p>
        </w:tc>
        <w:tc>
          <w:tcPr>
            <w:tcW w:w="1360" w:type="pct"/>
            <w:tcBorders>
              <w:tl2br w:val="nil"/>
              <w:tr2bl w:val="nil"/>
            </w:tcBorders>
            <w:vAlign w:val="center"/>
          </w:tcPr>
          <w:p w14:paraId="34DCBE86">
            <w:pPr>
              <w:pStyle w:val="711"/>
              <w:rPr>
                <w:color w:val="auto"/>
              </w:rPr>
            </w:pPr>
            <w:r>
              <w:rPr>
                <w:color w:val="auto"/>
              </w:rPr>
              <w:t>0.</w:t>
            </w:r>
            <w:r>
              <w:rPr>
                <w:rFonts w:hint="eastAsia"/>
                <w:color w:val="auto"/>
              </w:rPr>
              <w:t>17</w:t>
            </w:r>
          </w:p>
        </w:tc>
      </w:tr>
      <w:tr w14:paraId="4958D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37D6AC2C">
            <w:pPr>
              <w:pStyle w:val="711"/>
              <w:rPr>
                <w:color w:val="auto"/>
              </w:rPr>
            </w:pPr>
            <w:r>
              <w:rPr>
                <w:rFonts w:hint="eastAsia" w:cs="Times New Roman"/>
                <w:color w:val="auto"/>
              </w:rPr>
              <w:t>白垩系下统白龙组（K</w:t>
            </w:r>
            <w:r>
              <w:rPr>
                <w:rFonts w:hint="eastAsia" w:cs="Times New Roman"/>
                <w:color w:val="auto"/>
                <w:vertAlign w:val="subscript"/>
              </w:rPr>
              <w:t>1</w:t>
            </w:r>
            <w:r>
              <w:rPr>
                <w:rFonts w:hint="eastAsia" w:cs="Times New Roman"/>
                <w:color w:val="auto"/>
              </w:rPr>
              <w:t>b）砂岩裂隙不发育的相对隔水层</w:t>
            </w:r>
          </w:p>
        </w:tc>
        <w:tc>
          <w:tcPr>
            <w:tcW w:w="1165" w:type="pct"/>
            <w:tcBorders>
              <w:tl2br w:val="nil"/>
              <w:tr2bl w:val="nil"/>
            </w:tcBorders>
            <w:vAlign w:val="center"/>
          </w:tcPr>
          <w:p w14:paraId="4197E941">
            <w:pPr>
              <w:pStyle w:val="711"/>
              <w:rPr>
                <w:color w:val="auto"/>
              </w:rPr>
            </w:pPr>
            <w:r>
              <w:rPr>
                <w:rFonts w:hint="eastAsia"/>
                <w:color w:val="auto"/>
              </w:rPr>
              <w:t>0.03</w:t>
            </w:r>
          </w:p>
        </w:tc>
        <w:tc>
          <w:tcPr>
            <w:tcW w:w="1360" w:type="pct"/>
            <w:tcBorders>
              <w:tl2br w:val="nil"/>
              <w:tr2bl w:val="nil"/>
            </w:tcBorders>
            <w:vAlign w:val="center"/>
          </w:tcPr>
          <w:p w14:paraId="7BDC3136">
            <w:pPr>
              <w:pStyle w:val="711"/>
              <w:rPr>
                <w:color w:val="auto"/>
              </w:rPr>
            </w:pPr>
            <w:r>
              <w:rPr>
                <w:rFonts w:hint="eastAsia"/>
                <w:color w:val="auto"/>
              </w:rPr>
              <w:t>0.003</w:t>
            </w:r>
          </w:p>
        </w:tc>
      </w:tr>
    </w:tbl>
    <w:p w14:paraId="089D9D42">
      <w:pPr>
        <w:ind w:firstLine="480"/>
        <w:rPr>
          <w:color w:val="auto"/>
        </w:rPr>
      </w:pPr>
      <w:r>
        <w:rPr>
          <w:color w:val="auto"/>
        </w:rPr>
        <w:t>给水度：根据区域水文地质资料及模型参数经验取值，模拟区</w:t>
      </w:r>
      <w:r>
        <w:rPr>
          <w:rFonts w:hint="eastAsia"/>
          <w:color w:val="auto"/>
        </w:rPr>
        <w:t>松散</w:t>
      </w:r>
      <w:r>
        <w:rPr>
          <w:color w:val="auto"/>
        </w:rPr>
        <w:t>岩类孔隙水含水层给水度设置为</w:t>
      </w:r>
      <w:r>
        <w:rPr>
          <w:rFonts w:hint="eastAsia"/>
          <w:color w:val="auto"/>
        </w:rPr>
        <w:t>20</w:t>
      </w:r>
      <w:r>
        <w:rPr>
          <w:color w:val="auto"/>
        </w:rPr>
        <w:t>%</w:t>
      </w:r>
      <w:r>
        <w:rPr>
          <w:rFonts w:hint="eastAsia"/>
          <w:color w:val="auto"/>
        </w:rPr>
        <w:t>；基岩裂隙含水层给水度设置为10%</w:t>
      </w:r>
      <w:r>
        <w:rPr>
          <w:color w:val="auto"/>
        </w:rPr>
        <w:t>。</w:t>
      </w:r>
    </w:p>
    <w:p w14:paraId="21A6B3B6">
      <w:pPr>
        <w:pStyle w:val="15"/>
        <w:numPr>
          <w:ilvl w:val="0"/>
          <w:numId w:val="31"/>
        </w:numPr>
        <w:bidi w:val="0"/>
        <w:ind w:left="0" w:leftChars="0" w:firstLine="0" w:firstLineChars="0"/>
        <w:rPr>
          <w:rFonts w:cs="Times New Roman"/>
          <w:color w:val="auto"/>
        </w:rPr>
      </w:pPr>
      <w:r>
        <w:rPr>
          <w:rFonts w:cs="Times New Roman"/>
          <w:color w:val="auto"/>
        </w:rPr>
        <w:t>给水度经验数据《水文地质手册》</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979"/>
        <w:gridCol w:w="979"/>
        <w:gridCol w:w="982"/>
        <w:gridCol w:w="1485"/>
        <w:gridCol w:w="1011"/>
        <w:gridCol w:w="1011"/>
        <w:gridCol w:w="1008"/>
      </w:tblGrid>
      <w:tr w14:paraId="13F7B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6" w:type="pct"/>
            <w:vMerge w:val="restart"/>
            <w:tcBorders>
              <w:tl2br w:val="nil"/>
              <w:tr2bl w:val="nil"/>
            </w:tcBorders>
            <w:shd w:val="clear" w:color="auto" w:fill="auto"/>
            <w:vAlign w:val="center"/>
          </w:tcPr>
          <w:p w14:paraId="13491294">
            <w:pPr>
              <w:pStyle w:val="711"/>
              <w:rPr>
                <w:rFonts w:cs="Times New Roman"/>
                <w:b/>
                <w:bCs/>
                <w:color w:val="auto"/>
              </w:rPr>
            </w:pPr>
            <w:r>
              <w:rPr>
                <w:rFonts w:cs="Times New Roman"/>
                <w:b/>
                <w:bCs/>
                <w:color w:val="auto"/>
              </w:rPr>
              <w:t>岩石名称</w:t>
            </w:r>
          </w:p>
        </w:tc>
        <w:tc>
          <w:tcPr>
            <w:tcW w:w="1724" w:type="pct"/>
            <w:gridSpan w:val="3"/>
            <w:tcBorders>
              <w:tl2br w:val="nil"/>
              <w:tr2bl w:val="nil"/>
            </w:tcBorders>
            <w:shd w:val="clear" w:color="auto" w:fill="auto"/>
            <w:vAlign w:val="center"/>
          </w:tcPr>
          <w:p w14:paraId="755A79D9">
            <w:pPr>
              <w:pStyle w:val="711"/>
              <w:rPr>
                <w:rFonts w:cs="Times New Roman"/>
                <w:b/>
                <w:bCs/>
                <w:color w:val="auto"/>
              </w:rPr>
            </w:pPr>
            <w:r>
              <w:rPr>
                <w:rFonts w:cs="Times New Roman"/>
                <w:b/>
                <w:bCs/>
                <w:color w:val="auto"/>
              </w:rPr>
              <w:t>给水度（%）</w:t>
            </w:r>
          </w:p>
        </w:tc>
        <w:tc>
          <w:tcPr>
            <w:tcW w:w="871" w:type="pct"/>
            <w:vMerge w:val="restart"/>
            <w:tcBorders>
              <w:tl2br w:val="nil"/>
              <w:tr2bl w:val="nil"/>
            </w:tcBorders>
            <w:vAlign w:val="center"/>
          </w:tcPr>
          <w:p w14:paraId="2B0181FA">
            <w:pPr>
              <w:pStyle w:val="711"/>
              <w:rPr>
                <w:rFonts w:cs="Times New Roman"/>
                <w:b/>
                <w:bCs/>
                <w:color w:val="auto"/>
              </w:rPr>
            </w:pPr>
            <w:r>
              <w:rPr>
                <w:rFonts w:cs="Times New Roman"/>
                <w:b/>
                <w:bCs/>
                <w:color w:val="auto"/>
              </w:rPr>
              <w:t>岩石名称</w:t>
            </w:r>
          </w:p>
        </w:tc>
        <w:tc>
          <w:tcPr>
            <w:tcW w:w="1777" w:type="pct"/>
            <w:gridSpan w:val="3"/>
            <w:tcBorders>
              <w:tl2br w:val="nil"/>
              <w:tr2bl w:val="nil"/>
            </w:tcBorders>
            <w:vAlign w:val="center"/>
          </w:tcPr>
          <w:p w14:paraId="73E42F4E">
            <w:pPr>
              <w:pStyle w:val="711"/>
              <w:rPr>
                <w:rFonts w:cs="Times New Roman"/>
                <w:b/>
                <w:bCs/>
                <w:color w:val="auto"/>
              </w:rPr>
            </w:pPr>
            <w:r>
              <w:rPr>
                <w:rFonts w:cs="Times New Roman"/>
                <w:b/>
                <w:bCs/>
                <w:color w:val="auto"/>
              </w:rPr>
              <w:t>给水度（%）</w:t>
            </w:r>
          </w:p>
        </w:tc>
      </w:tr>
      <w:tr w14:paraId="465316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6" w:type="pct"/>
            <w:vMerge w:val="continue"/>
            <w:tcBorders>
              <w:tl2br w:val="nil"/>
              <w:tr2bl w:val="nil"/>
            </w:tcBorders>
            <w:vAlign w:val="center"/>
          </w:tcPr>
          <w:p w14:paraId="21D64529">
            <w:pPr>
              <w:pStyle w:val="711"/>
              <w:rPr>
                <w:rFonts w:cs="Times New Roman"/>
                <w:b/>
                <w:bCs/>
                <w:color w:val="auto"/>
              </w:rPr>
            </w:pPr>
          </w:p>
        </w:tc>
        <w:tc>
          <w:tcPr>
            <w:tcW w:w="574" w:type="pct"/>
            <w:tcBorders>
              <w:tl2br w:val="nil"/>
              <w:tr2bl w:val="nil"/>
            </w:tcBorders>
            <w:shd w:val="clear" w:color="auto" w:fill="auto"/>
            <w:vAlign w:val="center"/>
          </w:tcPr>
          <w:p w14:paraId="34280C5D">
            <w:pPr>
              <w:pStyle w:val="711"/>
              <w:rPr>
                <w:rFonts w:cs="Times New Roman"/>
                <w:b/>
                <w:bCs/>
                <w:color w:val="auto"/>
              </w:rPr>
            </w:pPr>
            <w:r>
              <w:rPr>
                <w:rFonts w:cs="Times New Roman"/>
                <w:b/>
                <w:bCs/>
                <w:color w:val="auto"/>
              </w:rPr>
              <w:t>最大</w:t>
            </w:r>
          </w:p>
        </w:tc>
        <w:tc>
          <w:tcPr>
            <w:tcW w:w="574" w:type="pct"/>
            <w:tcBorders>
              <w:tl2br w:val="nil"/>
              <w:tr2bl w:val="nil"/>
            </w:tcBorders>
            <w:shd w:val="clear" w:color="auto" w:fill="auto"/>
            <w:vAlign w:val="center"/>
          </w:tcPr>
          <w:p w14:paraId="7F6F16C9">
            <w:pPr>
              <w:pStyle w:val="711"/>
              <w:rPr>
                <w:rFonts w:cs="Times New Roman"/>
                <w:b/>
                <w:bCs/>
                <w:color w:val="auto"/>
              </w:rPr>
            </w:pPr>
            <w:r>
              <w:rPr>
                <w:rFonts w:cs="Times New Roman"/>
                <w:b/>
                <w:bCs/>
                <w:color w:val="auto"/>
              </w:rPr>
              <w:t>最小</w:t>
            </w:r>
          </w:p>
        </w:tc>
        <w:tc>
          <w:tcPr>
            <w:tcW w:w="574" w:type="pct"/>
            <w:tcBorders>
              <w:tl2br w:val="nil"/>
              <w:tr2bl w:val="nil"/>
            </w:tcBorders>
            <w:shd w:val="clear" w:color="auto" w:fill="auto"/>
            <w:vAlign w:val="center"/>
          </w:tcPr>
          <w:p w14:paraId="63CA1667">
            <w:pPr>
              <w:pStyle w:val="711"/>
              <w:rPr>
                <w:rFonts w:cs="Times New Roman"/>
                <w:b/>
                <w:bCs/>
                <w:color w:val="auto"/>
              </w:rPr>
            </w:pPr>
            <w:r>
              <w:rPr>
                <w:rFonts w:cs="Times New Roman"/>
                <w:b/>
                <w:bCs/>
                <w:color w:val="auto"/>
              </w:rPr>
              <w:t>平均</w:t>
            </w:r>
          </w:p>
        </w:tc>
        <w:tc>
          <w:tcPr>
            <w:tcW w:w="871" w:type="pct"/>
            <w:vMerge w:val="continue"/>
            <w:tcBorders>
              <w:tl2br w:val="nil"/>
              <w:tr2bl w:val="nil"/>
            </w:tcBorders>
            <w:vAlign w:val="center"/>
          </w:tcPr>
          <w:p w14:paraId="5ACA5125">
            <w:pPr>
              <w:pStyle w:val="711"/>
              <w:rPr>
                <w:rFonts w:cs="Times New Roman"/>
                <w:b/>
                <w:bCs/>
                <w:color w:val="auto"/>
              </w:rPr>
            </w:pPr>
          </w:p>
        </w:tc>
        <w:tc>
          <w:tcPr>
            <w:tcW w:w="593" w:type="pct"/>
            <w:tcBorders>
              <w:tl2br w:val="nil"/>
              <w:tr2bl w:val="nil"/>
            </w:tcBorders>
            <w:vAlign w:val="center"/>
          </w:tcPr>
          <w:p w14:paraId="1E97EF94">
            <w:pPr>
              <w:pStyle w:val="711"/>
              <w:rPr>
                <w:rFonts w:cs="Times New Roman"/>
                <w:b/>
                <w:bCs/>
                <w:color w:val="auto"/>
              </w:rPr>
            </w:pPr>
            <w:r>
              <w:rPr>
                <w:rFonts w:cs="Times New Roman"/>
                <w:b/>
                <w:bCs/>
                <w:color w:val="auto"/>
              </w:rPr>
              <w:t>最大</w:t>
            </w:r>
          </w:p>
        </w:tc>
        <w:tc>
          <w:tcPr>
            <w:tcW w:w="593" w:type="pct"/>
            <w:tcBorders>
              <w:tl2br w:val="nil"/>
              <w:tr2bl w:val="nil"/>
            </w:tcBorders>
            <w:vAlign w:val="center"/>
          </w:tcPr>
          <w:p w14:paraId="45CED343">
            <w:pPr>
              <w:pStyle w:val="711"/>
              <w:rPr>
                <w:rFonts w:cs="Times New Roman"/>
                <w:b/>
                <w:bCs/>
                <w:color w:val="auto"/>
              </w:rPr>
            </w:pPr>
            <w:r>
              <w:rPr>
                <w:rFonts w:cs="Times New Roman"/>
                <w:b/>
                <w:bCs/>
                <w:color w:val="auto"/>
              </w:rPr>
              <w:t>最小</w:t>
            </w:r>
          </w:p>
        </w:tc>
        <w:tc>
          <w:tcPr>
            <w:tcW w:w="590" w:type="pct"/>
            <w:tcBorders>
              <w:tl2br w:val="nil"/>
              <w:tr2bl w:val="nil"/>
            </w:tcBorders>
            <w:vAlign w:val="center"/>
          </w:tcPr>
          <w:p w14:paraId="2A8B8AA8">
            <w:pPr>
              <w:pStyle w:val="711"/>
              <w:rPr>
                <w:rFonts w:cs="Times New Roman"/>
                <w:b/>
                <w:bCs/>
                <w:color w:val="auto"/>
              </w:rPr>
            </w:pPr>
            <w:r>
              <w:rPr>
                <w:rFonts w:cs="Times New Roman"/>
                <w:b/>
                <w:bCs/>
                <w:color w:val="auto"/>
              </w:rPr>
              <w:t>平均</w:t>
            </w:r>
          </w:p>
        </w:tc>
      </w:tr>
      <w:tr w14:paraId="7B5F9E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7C8AE4C1">
            <w:pPr>
              <w:pStyle w:val="711"/>
              <w:rPr>
                <w:rFonts w:cs="Times New Roman"/>
                <w:color w:val="auto"/>
              </w:rPr>
            </w:pPr>
            <w:r>
              <w:rPr>
                <w:rFonts w:cs="Times New Roman"/>
                <w:color w:val="auto"/>
              </w:rPr>
              <w:t>粘土</w:t>
            </w:r>
          </w:p>
        </w:tc>
        <w:tc>
          <w:tcPr>
            <w:tcW w:w="574" w:type="pct"/>
            <w:tcBorders>
              <w:tl2br w:val="nil"/>
              <w:tr2bl w:val="nil"/>
            </w:tcBorders>
            <w:shd w:val="clear" w:color="auto" w:fill="auto"/>
            <w:vAlign w:val="center"/>
          </w:tcPr>
          <w:p w14:paraId="7776B213">
            <w:pPr>
              <w:pStyle w:val="711"/>
              <w:rPr>
                <w:rFonts w:cs="Times New Roman"/>
                <w:color w:val="auto"/>
              </w:rPr>
            </w:pPr>
            <w:r>
              <w:rPr>
                <w:rFonts w:cs="Times New Roman"/>
                <w:color w:val="auto"/>
              </w:rPr>
              <w:t>5</w:t>
            </w:r>
          </w:p>
        </w:tc>
        <w:tc>
          <w:tcPr>
            <w:tcW w:w="574" w:type="pct"/>
            <w:tcBorders>
              <w:tl2br w:val="nil"/>
              <w:tr2bl w:val="nil"/>
            </w:tcBorders>
            <w:shd w:val="clear" w:color="auto" w:fill="auto"/>
            <w:vAlign w:val="center"/>
          </w:tcPr>
          <w:p w14:paraId="1F9A8DBF">
            <w:pPr>
              <w:pStyle w:val="711"/>
              <w:rPr>
                <w:rFonts w:cs="Times New Roman"/>
                <w:color w:val="auto"/>
              </w:rPr>
            </w:pPr>
            <w:r>
              <w:rPr>
                <w:rFonts w:cs="Times New Roman"/>
                <w:color w:val="auto"/>
              </w:rPr>
              <w:t>0</w:t>
            </w:r>
          </w:p>
        </w:tc>
        <w:tc>
          <w:tcPr>
            <w:tcW w:w="574" w:type="pct"/>
            <w:tcBorders>
              <w:tl2br w:val="nil"/>
              <w:tr2bl w:val="nil"/>
            </w:tcBorders>
            <w:shd w:val="clear" w:color="auto" w:fill="auto"/>
            <w:vAlign w:val="center"/>
          </w:tcPr>
          <w:p w14:paraId="073CA232">
            <w:pPr>
              <w:pStyle w:val="711"/>
              <w:rPr>
                <w:rFonts w:cs="Times New Roman"/>
                <w:color w:val="auto"/>
              </w:rPr>
            </w:pPr>
            <w:r>
              <w:rPr>
                <w:rFonts w:cs="Times New Roman"/>
                <w:color w:val="auto"/>
              </w:rPr>
              <w:t>2</w:t>
            </w:r>
          </w:p>
        </w:tc>
        <w:tc>
          <w:tcPr>
            <w:tcW w:w="871" w:type="pct"/>
            <w:tcBorders>
              <w:tl2br w:val="nil"/>
              <w:tr2bl w:val="nil"/>
            </w:tcBorders>
            <w:vAlign w:val="center"/>
          </w:tcPr>
          <w:p w14:paraId="3C27086B">
            <w:pPr>
              <w:pStyle w:val="711"/>
              <w:rPr>
                <w:rFonts w:cs="Times New Roman"/>
                <w:color w:val="auto"/>
              </w:rPr>
            </w:pPr>
            <w:r>
              <w:rPr>
                <w:rFonts w:cs="Times New Roman"/>
                <w:color w:val="auto"/>
              </w:rPr>
              <w:t>砾砂</w:t>
            </w:r>
          </w:p>
        </w:tc>
        <w:tc>
          <w:tcPr>
            <w:tcW w:w="593" w:type="pct"/>
            <w:tcBorders>
              <w:tl2br w:val="nil"/>
              <w:tr2bl w:val="nil"/>
            </w:tcBorders>
            <w:vAlign w:val="center"/>
          </w:tcPr>
          <w:p w14:paraId="407AC9D0">
            <w:pPr>
              <w:pStyle w:val="711"/>
              <w:rPr>
                <w:rFonts w:cs="Times New Roman"/>
                <w:color w:val="auto"/>
              </w:rPr>
            </w:pPr>
            <w:r>
              <w:rPr>
                <w:rFonts w:cs="Times New Roman"/>
                <w:color w:val="auto"/>
              </w:rPr>
              <w:t>35</w:t>
            </w:r>
          </w:p>
        </w:tc>
        <w:tc>
          <w:tcPr>
            <w:tcW w:w="593" w:type="pct"/>
            <w:tcBorders>
              <w:tl2br w:val="nil"/>
              <w:tr2bl w:val="nil"/>
            </w:tcBorders>
            <w:vAlign w:val="center"/>
          </w:tcPr>
          <w:p w14:paraId="419CFB57">
            <w:pPr>
              <w:pStyle w:val="711"/>
              <w:rPr>
                <w:rFonts w:cs="Times New Roman"/>
                <w:color w:val="auto"/>
              </w:rPr>
            </w:pPr>
            <w:r>
              <w:rPr>
                <w:rFonts w:cs="Times New Roman"/>
                <w:color w:val="auto"/>
              </w:rPr>
              <w:t>20</w:t>
            </w:r>
          </w:p>
        </w:tc>
        <w:tc>
          <w:tcPr>
            <w:tcW w:w="590" w:type="pct"/>
            <w:tcBorders>
              <w:tl2br w:val="nil"/>
              <w:tr2bl w:val="nil"/>
            </w:tcBorders>
            <w:vAlign w:val="center"/>
          </w:tcPr>
          <w:p w14:paraId="3E631D16">
            <w:pPr>
              <w:pStyle w:val="711"/>
              <w:rPr>
                <w:rFonts w:cs="Times New Roman"/>
                <w:color w:val="auto"/>
              </w:rPr>
            </w:pPr>
            <w:r>
              <w:rPr>
                <w:rFonts w:cs="Times New Roman"/>
                <w:color w:val="auto"/>
              </w:rPr>
              <w:t>25</w:t>
            </w:r>
          </w:p>
        </w:tc>
      </w:tr>
      <w:tr w14:paraId="67498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1E58EEDC">
            <w:pPr>
              <w:pStyle w:val="711"/>
              <w:rPr>
                <w:rFonts w:cs="Times New Roman"/>
                <w:color w:val="auto"/>
              </w:rPr>
            </w:pPr>
            <w:r>
              <w:rPr>
                <w:rFonts w:cs="Times New Roman"/>
                <w:color w:val="auto"/>
              </w:rPr>
              <w:t>亚粘土</w:t>
            </w:r>
          </w:p>
        </w:tc>
        <w:tc>
          <w:tcPr>
            <w:tcW w:w="574" w:type="pct"/>
            <w:tcBorders>
              <w:tl2br w:val="nil"/>
              <w:tr2bl w:val="nil"/>
            </w:tcBorders>
            <w:shd w:val="clear" w:color="auto" w:fill="auto"/>
            <w:vAlign w:val="center"/>
          </w:tcPr>
          <w:p w14:paraId="54D024B2">
            <w:pPr>
              <w:pStyle w:val="711"/>
              <w:rPr>
                <w:rFonts w:cs="Times New Roman"/>
                <w:color w:val="auto"/>
              </w:rPr>
            </w:pPr>
            <w:r>
              <w:rPr>
                <w:rFonts w:cs="Times New Roman"/>
                <w:color w:val="auto"/>
              </w:rPr>
              <w:t>12</w:t>
            </w:r>
          </w:p>
        </w:tc>
        <w:tc>
          <w:tcPr>
            <w:tcW w:w="574" w:type="pct"/>
            <w:tcBorders>
              <w:tl2br w:val="nil"/>
              <w:tr2bl w:val="nil"/>
            </w:tcBorders>
            <w:shd w:val="clear" w:color="auto" w:fill="auto"/>
            <w:vAlign w:val="center"/>
          </w:tcPr>
          <w:p w14:paraId="501C9209">
            <w:pPr>
              <w:pStyle w:val="711"/>
              <w:rPr>
                <w:rFonts w:cs="Times New Roman"/>
                <w:color w:val="auto"/>
              </w:rPr>
            </w:pPr>
            <w:r>
              <w:rPr>
                <w:rFonts w:cs="Times New Roman"/>
                <w:color w:val="auto"/>
              </w:rPr>
              <w:t>3</w:t>
            </w:r>
          </w:p>
        </w:tc>
        <w:tc>
          <w:tcPr>
            <w:tcW w:w="574" w:type="pct"/>
            <w:tcBorders>
              <w:tl2br w:val="nil"/>
              <w:tr2bl w:val="nil"/>
            </w:tcBorders>
            <w:shd w:val="clear" w:color="auto" w:fill="auto"/>
            <w:vAlign w:val="center"/>
          </w:tcPr>
          <w:p w14:paraId="731B4725">
            <w:pPr>
              <w:pStyle w:val="711"/>
              <w:rPr>
                <w:rFonts w:cs="Times New Roman"/>
                <w:color w:val="auto"/>
              </w:rPr>
            </w:pPr>
            <w:r>
              <w:rPr>
                <w:rFonts w:cs="Times New Roman"/>
                <w:color w:val="auto"/>
              </w:rPr>
              <w:t>7</w:t>
            </w:r>
          </w:p>
        </w:tc>
        <w:tc>
          <w:tcPr>
            <w:tcW w:w="871" w:type="pct"/>
            <w:tcBorders>
              <w:tl2br w:val="nil"/>
              <w:tr2bl w:val="nil"/>
            </w:tcBorders>
            <w:vAlign w:val="center"/>
          </w:tcPr>
          <w:p w14:paraId="78855B83">
            <w:pPr>
              <w:pStyle w:val="711"/>
              <w:rPr>
                <w:rFonts w:cs="Times New Roman"/>
                <w:color w:val="auto"/>
              </w:rPr>
            </w:pPr>
            <w:r>
              <w:rPr>
                <w:rFonts w:cs="Times New Roman"/>
                <w:color w:val="auto"/>
              </w:rPr>
              <w:t>细砾</w:t>
            </w:r>
          </w:p>
        </w:tc>
        <w:tc>
          <w:tcPr>
            <w:tcW w:w="593" w:type="pct"/>
            <w:tcBorders>
              <w:tl2br w:val="nil"/>
              <w:tr2bl w:val="nil"/>
            </w:tcBorders>
            <w:vAlign w:val="center"/>
          </w:tcPr>
          <w:p w14:paraId="2F14A135">
            <w:pPr>
              <w:pStyle w:val="711"/>
              <w:rPr>
                <w:rFonts w:cs="Times New Roman"/>
                <w:color w:val="auto"/>
              </w:rPr>
            </w:pPr>
            <w:r>
              <w:rPr>
                <w:rFonts w:cs="Times New Roman"/>
                <w:color w:val="auto"/>
              </w:rPr>
              <w:t>35</w:t>
            </w:r>
          </w:p>
        </w:tc>
        <w:tc>
          <w:tcPr>
            <w:tcW w:w="593" w:type="pct"/>
            <w:tcBorders>
              <w:tl2br w:val="nil"/>
              <w:tr2bl w:val="nil"/>
            </w:tcBorders>
            <w:vAlign w:val="center"/>
          </w:tcPr>
          <w:p w14:paraId="45794865">
            <w:pPr>
              <w:pStyle w:val="711"/>
              <w:rPr>
                <w:rFonts w:cs="Times New Roman"/>
                <w:color w:val="auto"/>
              </w:rPr>
            </w:pPr>
            <w:r>
              <w:rPr>
                <w:rFonts w:cs="Times New Roman"/>
                <w:color w:val="auto"/>
              </w:rPr>
              <w:t>21</w:t>
            </w:r>
          </w:p>
        </w:tc>
        <w:tc>
          <w:tcPr>
            <w:tcW w:w="590" w:type="pct"/>
            <w:tcBorders>
              <w:tl2br w:val="nil"/>
              <w:tr2bl w:val="nil"/>
            </w:tcBorders>
            <w:vAlign w:val="center"/>
          </w:tcPr>
          <w:p w14:paraId="58DB11DF">
            <w:pPr>
              <w:pStyle w:val="711"/>
              <w:rPr>
                <w:rFonts w:cs="Times New Roman"/>
                <w:color w:val="auto"/>
              </w:rPr>
            </w:pPr>
            <w:r>
              <w:rPr>
                <w:rFonts w:cs="Times New Roman"/>
                <w:color w:val="auto"/>
              </w:rPr>
              <w:t>25</w:t>
            </w:r>
          </w:p>
        </w:tc>
      </w:tr>
      <w:tr w14:paraId="2241C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0AD7A4E2">
            <w:pPr>
              <w:pStyle w:val="711"/>
              <w:rPr>
                <w:rFonts w:cs="Times New Roman"/>
                <w:color w:val="auto"/>
              </w:rPr>
            </w:pPr>
            <w:r>
              <w:rPr>
                <w:rFonts w:cs="Times New Roman"/>
                <w:color w:val="auto"/>
              </w:rPr>
              <w:t>粉砂</w:t>
            </w:r>
          </w:p>
        </w:tc>
        <w:tc>
          <w:tcPr>
            <w:tcW w:w="574" w:type="pct"/>
            <w:tcBorders>
              <w:tl2br w:val="nil"/>
              <w:tr2bl w:val="nil"/>
            </w:tcBorders>
            <w:shd w:val="clear" w:color="auto" w:fill="auto"/>
            <w:vAlign w:val="center"/>
          </w:tcPr>
          <w:p w14:paraId="0DDD2FC5">
            <w:pPr>
              <w:pStyle w:val="711"/>
              <w:rPr>
                <w:rFonts w:cs="Times New Roman"/>
                <w:color w:val="auto"/>
              </w:rPr>
            </w:pPr>
            <w:r>
              <w:rPr>
                <w:rFonts w:cs="Times New Roman"/>
                <w:color w:val="auto"/>
              </w:rPr>
              <w:t>19</w:t>
            </w:r>
          </w:p>
        </w:tc>
        <w:tc>
          <w:tcPr>
            <w:tcW w:w="574" w:type="pct"/>
            <w:tcBorders>
              <w:tl2br w:val="nil"/>
              <w:tr2bl w:val="nil"/>
            </w:tcBorders>
            <w:shd w:val="clear" w:color="auto" w:fill="auto"/>
            <w:vAlign w:val="center"/>
          </w:tcPr>
          <w:p w14:paraId="797E5ED9">
            <w:pPr>
              <w:pStyle w:val="711"/>
              <w:rPr>
                <w:rFonts w:cs="Times New Roman"/>
                <w:color w:val="auto"/>
              </w:rPr>
            </w:pPr>
            <w:r>
              <w:rPr>
                <w:rFonts w:cs="Times New Roman"/>
                <w:color w:val="auto"/>
              </w:rPr>
              <w:t>3</w:t>
            </w:r>
          </w:p>
        </w:tc>
        <w:tc>
          <w:tcPr>
            <w:tcW w:w="574" w:type="pct"/>
            <w:tcBorders>
              <w:tl2br w:val="nil"/>
              <w:tr2bl w:val="nil"/>
            </w:tcBorders>
            <w:shd w:val="clear" w:color="auto" w:fill="auto"/>
            <w:vAlign w:val="center"/>
          </w:tcPr>
          <w:p w14:paraId="00099336">
            <w:pPr>
              <w:pStyle w:val="711"/>
              <w:rPr>
                <w:rFonts w:cs="Times New Roman"/>
                <w:color w:val="auto"/>
              </w:rPr>
            </w:pPr>
            <w:r>
              <w:rPr>
                <w:rFonts w:cs="Times New Roman"/>
                <w:color w:val="auto"/>
              </w:rPr>
              <w:t>18</w:t>
            </w:r>
          </w:p>
        </w:tc>
        <w:tc>
          <w:tcPr>
            <w:tcW w:w="871" w:type="pct"/>
            <w:tcBorders>
              <w:tl2br w:val="nil"/>
              <w:tr2bl w:val="nil"/>
            </w:tcBorders>
            <w:vAlign w:val="center"/>
          </w:tcPr>
          <w:p w14:paraId="0A613325">
            <w:pPr>
              <w:pStyle w:val="711"/>
              <w:rPr>
                <w:rFonts w:cs="Times New Roman"/>
                <w:color w:val="auto"/>
              </w:rPr>
            </w:pPr>
            <w:r>
              <w:rPr>
                <w:rFonts w:cs="Times New Roman"/>
                <w:color w:val="auto"/>
              </w:rPr>
              <w:t>中砾</w:t>
            </w:r>
          </w:p>
        </w:tc>
        <w:tc>
          <w:tcPr>
            <w:tcW w:w="593" w:type="pct"/>
            <w:tcBorders>
              <w:tl2br w:val="nil"/>
              <w:tr2bl w:val="nil"/>
            </w:tcBorders>
            <w:vAlign w:val="center"/>
          </w:tcPr>
          <w:p w14:paraId="4DF3D295">
            <w:pPr>
              <w:pStyle w:val="711"/>
              <w:rPr>
                <w:rFonts w:cs="Times New Roman"/>
                <w:color w:val="auto"/>
              </w:rPr>
            </w:pPr>
            <w:r>
              <w:rPr>
                <w:rFonts w:cs="Times New Roman"/>
                <w:color w:val="auto"/>
              </w:rPr>
              <w:t>26</w:t>
            </w:r>
          </w:p>
        </w:tc>
        <w:tc>
          <w:tcPr>
            <w:tcW w:w="593" w:type="pct"/>
            <w:tcBorders>
              <w:tl2br w:val="nil"/>
              <w:tr2bl w:val="nil"/>
            </w:tcBorders>
            <w:vAlign w:val="center"/>
          </w:tcPr>
          <w:p w14:paraId="1DE271D8">
            <w:pPr>
              <w:pStyle w:val="711"/>
              <w:rPr>
                <w:rFonts w:cs="Times New Roman"/>
                <w:color w:val="auto"/>
              </w:rPr>
            </w:pPr>
            <w:r>
              <w:rPr>
                <w:rFonts w:cs="Times New Roman"/>
                <w:color w:val="auto"/>
              </w:rPr>
              <w:t>13</w:t>
            </w:r>
          </w:p>
        </w:tc>
        <w:tc>
          <w:tcPr>
            <w:tcW w:w="590" w:type="pct"/>
            <w:tcBorders>
              <w:tl2br w:val="nil"/>
              <w:tr2bl w:val="nil"/>
            </w:tcBorders>
            <w:vAlign w:val="center"/>
          </w:tcPr>
          <w:p w14:paraId="13363953">
            <w:pPr>
              <w:pStyle w:val="711"/>
              <w:rPr>
                <w:rFonts w:cs="Times New Roman"/>
                <w:color w:val="auto"/>
              </w:rPr>
            </w:pPr>
            <w:r>
              <w:rPr>
                <w:rFonts w:cs="Times New Roman"/>
                <w:color w:val="auto"/>
              </w:rPr>
              <w:t>23</w:t>
            </w:r>
          </w:p>
        </w:tc>
      </w:tr>
      <w:tr w14:paraId="64CC6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518B1C65">
            <w:pPr>
              <w:pStyle w:val="711"/>
              <w:rPr>
                <w:rFonts w:cs="Times New Roman"/>
                <w:color w:val="auto"/>
              </w:rPr>
            </w:pPr>
            <w:r>
              <w:rPr>
                <w:rFonts w:cs="Times New Roman"/>
                <w:color w:val="auto"/>
              </w:rPr>
              <w:t>细砂</w:t>
            </w:r>
          </w:p>
        </w:tc>
        <w:tc>
          <w:tcPr>
            <w:tcW w:w="574" w:type="pct"/>
            <w:tcBorders>
              <w:tl2br w:val="nil"/>
              <w:tr2bl w:val="nil"/>
            </w:tcBorders>
            <w:shd w:val="clear" w:color="auto" w:fill="auto"/>
            <w:vAlign w:val="center"/>
          </w:tcPr>
          <w:p w14:paraId="60CD2DB3">
            <w:pPr>
              <w:pStyle w:val="711"/>
              <w:rPr>
                <w:rFonts w:cs="Times New Roman"/>
                <w:color w:val="auto"/>
              </w:rPr>
            </w:pPr>
            <w:r>
              <w:rPr>
                <w:rFonts w:cs="Times New Roman"/>
                <w:color w:val="auto"/>
              </w:rPr>
              <w:t>28</w:t>
            </w:r>
          </w:p>
        </w:tc>
        <w:tc>
          <w:tcPr>
            <w:tcW w:w="574" w:type="pct"/>
            <w:tcBorders>
              <w:tl2br w:val="nil"/>
              <w:tr2bl w:val="nil"/>
            </w:tcBorders>
            <w:shd w:val="clear" w:color="auto" w:fill="auto"/>
            <w:vAlign w:val="center"/>
          </w:tcPr>
          <w:p w14:paraId="3A5F1228">
            <w:pPr>
              <w:pStyle w:val="711"/>
              <w:rPr>
                <w:rFonts w:cs="Times New Roman"/>
                <w:color w:val="auto"/>
              </w:rPr>
            </w:pPr>
            <w:r>
              <w:rPr>
                <w:rFonts w:cs="Times New Roman"/>
                <w:color w:val="auto"/>
              </w:rPr>
              <w:t>10</w:t>
            </w:r>
          </w:p>
        </w:tc>
        <w:tc>
          <w:tcPr>
            <w:tcW w:w="574" w:type="pct"/>
            <w:tcBorders>
              <w:tl2br w:val="nil"/>
              <w:tr2bl w:val="nil"/>
            </w:tcBorders>
            <w:shd w:val="clear" w:color="auto" w:fill="auto"/>
            <w:vAlign w:val="center"/>
          </w:tcPr>
          <w:p w14:paraId="6C48521C">
            <w:pPr>
              <w:pStyle w:val="711"/>
              <w:rPr>
                <w:rFonts w:cs="Times New Roman"/>
                <w:color w:val="auto"/>
              </w:rPr>
            </w:pPr>
            <w:r>
              <w:rPr>
                <w:rFonts w:cs="Times New Roman"/>
                <w:color w:val="auto"/>
              </w:rPr>
              <w:t>21</w:t>
            </w:r>
          </w:p>
        </w:tc>
        <w:tc>
          <w:tcPr>
            <w:tcW w:w="871" w:type="pct"/>
            <w:tcBorders>
              <w:tl2br w:val="nil"/>
              <w:tr2bl w:val="nil"/>
            </w:tcBorders>
            <w:vAlign w:val="center"/>
          </w:tcPr>
          <w:p w14:paraId="2D82E440">
            <w:pPr>
              <w:pStyle w:val="711"/>
              <w:rPr>
                <w:rFonts w:cs="Times New Roman"/>
                <w:color w:val="auto"/>
              </w:rPr>
            </w:pPr>
            <w:r>
              <w:rPr>
                <w:rFonts w:cs="Times New Roman"/>
                <w:color w:val="auto"/>
              </w:rPr>
              <w:t>粗砾</w:t>
            </w:r>
          </w:p>
        </w:tc>
        <w:tc>
          <w:tcPr>
            <w:tcW w:w="593" w:type="pct"/>
            <w:tcBorders>
              <w:tl2br w:val="nil"/>
              <w:tr2bl w:val="nil"/>
            </w:tcBorders>
            <w:vAlign w:val="center"/>
          </w:tcPr>
          <w:p w14:paraId="117B2A45">
            <w:pPr>
              <w:pStyle w:val="711"/>
              <w:rPr>
                <w:rFonts w:cs="Times New Roman"/>
                <w:color w:val="auto"/>
              </w:rPr>
            </w:pPr>
            <w:r>
              <w:rPr>
                <w:rFonts w:cs="Times New Roman"/>
                <w:color w:val="auto"/>
              </w:rPr>
              <w:t>26</w:t>
            </w:r>
          </w:p>
        </w:tc>
        <w:tc>
          <w:tcPr>
            <w:tcW w:w="593" w:type="pct"/>
            <w:tcBorders>
              <w:tl2br w:val="nil"/>
              <w:tr2bl w:val="nil"/>
            </w:tcBorders>
            <w:vAlign w:val="center"/>
          </w:tcPr>
          <w:p w14:paraId="3D114354">
            <w:pPr>
              <w:pStyle w:val="711"/>
              <w:rPr>
                <w:rFonts w:cs="Times New Roman"/>
                <w:color w:val="auto"/>
              </w:rPr>
            </w:pPr>
            <w:r>
              <w:rPr>
                <w:rFonts w:cs="Times New Roman"/>
                <w:color w:val="auto"/>
              </w:rPr>
              <w:t>12</w:t>
            </w:r>
          </w:p>
        </w:tc>
        <w:tc>
          <w:tcPr>
            <w:tcW w:w="590" w:type="pct"/>
            <w:tcBorders>
              <w:tl2br w:val="nil"/>
              <w:tr2bl w:val="nil"/>
            </w:tcBorders>
            <w:vAlign w:val="center"/>
          </w:tcPr>
          <w:p w14:paraId="5A50B213">
            <w:pPr>
              <w:pStyle w:val="711"/>
              <w:rPr>
                <w:rFonts w:cs="Times New Roman"/>
                <w:color w:val="auto"/>
              </w:rPr>
            </w:pPr>
            <w:r>
              <w:rPr>
                <w:rFonts w:cs="Times New Roman"/>
                <w:color w:val="auto"/>
              </w:rPr>
              <w:t>21</w:t>
            </w:r>
          </w:p>
        </w:tc>
      </w:tr>
      <w:tr w14:paraId="0311B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1036C961">
            <w:pPr>
              <w:pStyle w:val="711"/>
              <w:rPr>
                <w:rFonts w:cs="Times New Roman"/>
                <w:color w:val="auto"/>
              </w:rPr>
            </w:pPr>
            <w:r>
              <w:rPr>
                <w:rFonts w:cs="Times New Roman"/>
                <w:color w:val="auto"/>
              </w:rPr>
              <w:t>中砂</w:t>
            </w:r>
          </w:p>
        </w:tc>
        <w:tc>
          <w:tcPr>
            <w:tcW w:w="574" w:type="pct"/>
            <w:tcBorders>
              <w:tl2br w:val="nil"/>
              <w:tr2bl w:val="nil"/>
            </w:tcBorders>
            <w:shd w:val="clear" w:color="auto" w:fill="auto"/>
            <w:vAlign w:val="center"/>
          </w:tcPr>
          <w:p w14:paraId="20D83ECB">
            <w:pPr>
              <w:pStyle w:val="711"/>
              <w:rPr>
                <w:rFonts w:cs="Times New Roman"/>
                <w:color w:val="auto"/>
              </w:rPr>
            </w:pPr>
            <w:r>
              <w:rPr>
                <w:rFonts w:cs="Times New Roman"/>
                <w:color w:val="auto"/>
              </w:rPr>
              <w:t>32</w:t>
            </w:r>
          </w:p>
        </w:tc>
        <w:tc>
          <w:tcPr>
            <w:tcW w:w="574" w:type="pct"/>
            <w:tcBorders>
              <w:tl2br w:val="nil"/>
              <w:tr2bl w:val="nil"/>
            </w:tcBorders>
            <w:shd w:val="clear" w:color="auto" w:fill="auto"/>
            <w:vAlign w:val="center"/>
          </w:tcPr>
          <w:p w14:paraId="22EDC033">
            <w:pPr>
              <w:pStyle w:val="711"/>
              <w:rPr>
                <w:rFonts w:cs="Times New Roman"/>
                <w:color w:val="auto"/>
              </w:rPr>
            </w:pPr>
            <w:r>
              <w:rPr>
                <w:rFonts w:cs="Times New Roman"/>
                <w:color w:val="auto"/>
              </w:rPr>
              <w:t>15</w:t>
            </w:r>
          </w:p>
        </w:tc>
        <w:tc>
          <w:tcPr>
            <w:tcW w:w="574" w:type="pct"/>
            <w:tcBorders>
              <w:tl2br w:val="nil"/>
              <w:tr2bl w:val="nil"/>
            </w:tcBorders>
            <w:shd w:val="clear" w:color="auto" w:fill="auto"/>
            <w:vAlign w:val="center"/>
          </w:tcPr>
          <w:p w14:paraId="15F31ED3">
            <w:pPr>
              <w:pStyle w:val="711"/>
              <w:rPr>
                <w:rFonts w:cs="Times New Roman"/>
                <w:color w:val="auto"/>
              </w:rPr>
            </w:pPr>
            <w:r>
              <w:rPr>
                <w:rFonts w:cs="Times New Roman"/>
                <w:color w:val="auto"/>
              </w:rPr>
              <w:t>26</w:t>
            </w:r>
          </w:p>
        </w:tc>
        <w:tc>
          <w:tcPr>
            <w:tcW w:w="871" w:type="pct"/>
            <w:tcBorders>
              <w:tl2br w:val="nil"/>
              <w:tr2bl w:val="nil"/>
            </w:tcBorders>
            <w:vAlign w:val="center"/>
          </w:tcPr>
          <w:p w14:paraId="2AF24445">
            <w:pPr>
              <w:pStyle w:val="711"/>
              <w:rPr>
                <w:rFonts w:cs="Times New Roman"/>
                <w:color w:val="auto"/>
              </w:rPr>
            </w:pPr>
            <w:r>
              <w:rPr>
                <w:rFonts w:cs="Times New Roman"/>
                <w:color w:val="auto"/>
              </w:rPr>
              <w:t>粘土胶结砂岩</w:t>
            </w:r>
          </w:p>
        </w:tc>
        <w:tc>
          <w:tcPr>
            <w:tcW w:w="593" w:type="pct"/>
            <w:tcBorders>
              <w:tl2br w:val="nil"/>
              <w:tr2bl w:val="nil"/>
            </w:tcBorders>
            <w:vAlign w:val="center"/>
          </w:tcPr>
          <w:p w14:paraId="2B31C6B6">
            <w:pPr>
              <w:pStyle w:val="711"/>
              <w:rPr>
                <w:rFonts w:cs="Times New Roman"/>
                <w:color w:val="auto"/>
              </w:rPr>
            </w:pPr>
            <w:r>
              <w:rPr>
                <w:rFonts w:cs="Times New Roman"/>
                <w:color w:val="auto"/>
              </w:rPr>
              <w:t>3</w:t>
            </w:r>
          </w:p>
        </w:tc>
        <w:tc>
          <w:tcPr>
            <w:tcW w:w="593" w:type="pct"/>
            <w:tcBorders>
              <w:tl2br w:val="nil"/>
              <w:tr2bl w:val="nil"/>
            </w:tcBorders>
            <w:vAlign w:val="center"/>
          </w:tcPr>
          <w:p w14:paraId="2FA0FE13">
            <w:pPr>
              <w:pStyle w:val="711"/>
              <w:rPr>
                <w:rFonts w:cs="Times New Roman"/>
                <w:color w:val="auto"/>
              </w:rPr>
            </w:pPr>
            <w:r>
              <w:rPr>
                <w:rFonts w:cs="Times New Roman"/>
                <w:color w:val="auto"/>
              </w:rPr>
              <w:t>2</w:t>
            </w:r>
          </w:p>
        </w:tc>
        <w:tc>
          <w:tcPr>
            <w:tcW w:w="590" w:type="pct"/>
            <w:tcBorders>
              <w:tl2br w:val="nil"/>
              <w:tr2bl w:val="nil"/>
            </w:tcBorders>
            <w:vAlign w:val="center"/>
          </w:tcPr>
          <w:p w14:paraId="4E3FDD18">
            <w:pPr>
              <w:pStyle w:val="711"/>
              <w:rPr>
                <w:rFonts w:cs="Times New Roman"/>
                <w:color w:val="auto"/>
              </w:rPr>
            </w:pPr>
            <w:r>
              <w:rPr>
                <w:rFonts w:cs="Times New Roman"/>
                <w:color w:val="auto"/>
              </w:rPr>
              <w:t>2.5</w:t>
            </w:r>
          </w:p>
        </w:tc>
      </w:tr>
      <w:tr w14:paraId="49ABC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58F67E66">
            <w:pPr>
              <w:pStyle w:val="711"/>
              <w:rPr>
                <w:rFonts w:cs="Times New Roman"/>
                <w:color w:val="auto"/>
              </w:rPr>
            </w:pPr>
            <w:r>
              <w:rPr>
                <w:rFonts w:cs="Times New Roman"/>
                <w:color w:val="auto"/>
              </w:rPr>
              <w:t>粗砂</w:t>
            </w:r>
          </w:p>
        </w:tc>
        <w:tc>
          <w:tcPr>
            <w:tcW w:w="574" w:type="pct"/>
            <w:tcBorders>
              <w:tl2br w:val="nil"/>
              <w:tr2bl w:val="nil"/>
            </w:tcBorders>
            <w:shd w:val="clear" w:color="auto" w:fill="auto"/>
            <w:vAlign w:val="center"/>
          </w:tcPr>
          <w:p w14:paraId="035BEC7F">
            <w:pPr>
              <w:pStyle w:val="711"/>
              <w:rPr>
                <w:rFonts w:cs="Times New Roman"/>
                <w:color w:val="auto"/>
              </w:rPr>
            </w:pPr>
            <w:r>
              <w:rPr>
                <w:rFonts w:cs="Times New Roman"/>
                <w:color w:val="auto"/>
              </w:rPr>
              <w:t>35</w:t>
            </w:r>
          </w:p>
        </w:tc>
        <w:tc>
          <w:tcPr>
            <w:tcW w:w="574" w:type="pct"/>
            <w:tcBorders>
              <w:tl2br w:val="nil"/>
              <w:tr2bl w:val="nil"/>
            </w:tcBorders>
            <w:shd w:val="clear" w:color="auto" w:fill="auto"/>
            <w:vAlign w:val="center"/>
          </w:tcPr>
          <w:p w14:paraId="788C7BA8">
            <w:pPr>
              <w:pStyle w:val="711"/>
              <w:rPr>
                <w:rFonts w:cs="Times New Roman"/>
                <w:color w:val="auto"/>
              </w:rPr>
            </w:pPr>
            <w:r>
              <w:rPr>
                <w:rFonts w:cs="Times New Roman"/>
                <w:color w:val="auto"/>
              </w:rPr>
              <w:t>20</w:t>
            </w:r>
          </w:p>
        </w:tc>
        <w:tc>
          <w:tcPr>
            <w:tcW w:w="574" w:type="pct"/>
            <w:tcBorders>
              <w:tl2br w:val="nil"/>
              <w:tr2bl w:val="nil"/>
            </w:tcBorders>
            <w:shd w:val="clear" w:color="auto" w:fill="auto"/>
            <w:vAlign w:val="center"/>
          </w:tcPr>
          <w:p w14:paraId="4070CCB9">
            <w:pPr>
              <w:pStyle w:val="711"/>
              <w:rPr>
                <w:rFonts w:cs="Times New Roman"/>
                <w:color w:val="auto"/>
              </w:rPr>
            </w:pPr>
            <w:r>
              <w:rPr>
                <w:rFonts w:cs="Times New Roman"/>
                <w:color w:val="auto"/>
              </w:rPr>
              <w:t>27</w:t>
            </w:r>
          </w:p>
        </w:tc>
        <w:tc>
          <w:tcPr>
            <w:tcW w:w="871" w:type="pct"/>
            <w:tcBorders>
              <w:tl2br w:val="nil"/>
              <w:tr2bl w:val="nil"/>
            </w:tcBorders>
            <w:vAlign w:val="center"/>
          </w:tcPr>
          <w:p w14:paraId="426AB63D">
            <w:pPr>
              <w:pStyle w:val="711"/>
              <w:rPr>
                <w:rFonts w:cs="Times New Roman"/>
                <w:color w:val="auto"/>
              </w:rPr>
            </w:pPr>
            <w:r>
              <w:rPr>
                <w:rFonts w:cs="Times New Roman"/>
                <w:color w:val="auto"/>
              </w:rPr>
              <w:t>裂隙灰岩</w:t>
            </w:r>
          </w:p>
        </w:tc>
        <w:tc>
          <w:tcPr>
            <w:tcW w:w="593" w:type="pct"/>
            <w:tcBorders>
              <w:tl2br w:val="nil"/>
              <w:tr2bl w:val="nil"/>
            </w:tcBorders>
            <w:vAlign w:val="center"/>
          </w:tcPr>
          <w:p w14:paraId="12DE249E">
            <w:pPr>
              <w:pStyle w:val="711"/>
              <w:rPr>
                <w:rFonts w:cs="Times New Roman"/>
                <w:color w:val="auto"/>
              </w:rPr>
            </w:pPr>
            <w:r>
              <w:rPr>
                <w:rFonts w:cs="Times New Roman"/>
                <w:color w:val="auto"/>
              </w:rPr>
              <w:t>0.8</w:t>
            </w:r>
          </w:p>
        </w:tc>
        <w:tc>
          <w:tcPr>
            <w:tcW w:w="593" w:type="pct"/>
            <w:tcBorders>
              <w:tl2br w:val="nil"/>
              <w:tr2bl w:val="nil"/>
            </w:tcBorders>
            <w:vAlign w:val="center"/>
          </w:tcPr>
          <w:p w14:paraId="6F2F8ECC">
            <w:pPr>
              <w:pStyle w:val="711"/>
              <w:rPr>
                <w:rFonts w:cs="Times New Roman"/>
                <w:color w:val="auto"/>
              </w:rPr>
            </w:pPr>
            <w:r>
              <w:rPr>
                <w:rFonts w:cs="Times New Roman"/>
                <w:color w:val="auto"/>
              </w:rPr>
              <w:t>10</w:t>
            </w:r>
          </w:p>
        </w:tc>
        <w:tc>
          <w:tcPr>
            <w:tcW w:w="590" w:type="pct"/>
            <w:tcBorders>
              <w:tl2br w:val="nil"/>
              <w:tr2bl w:val="nil"/>
            </w:tcBorders>
            <w:vAlign w:val="center"/>
          </w:tcPr>
          <w:p w14:paraId="0E861A4E">
            <w:pPr>
              <w:pStyle w:val="711"/>
              <w:rPr>
                <w:rFonts w:cs="Times New Roman"/>
                <w:color w:val="auto"/>
              </w:rPr>
            </w:pPr>
            <w:r>
              <w:rPr>
                <w:rFonts w:cs="Times New Roman"/>
                <w:color w:val="auto"/>
              </w:rPr>
              <w:t>5.4</w:t>
            </w:r>
          </w:p>
        </w:tc>
      </w:tr>
    </w:tbl>
    <w:p w14:paraId="003FBC1B">
      <w:pPr>
        <w:ind w:firstLine="480"/>
        <w:rPr>
          <w:rFonts w:hint="default" w:ascii="Times New Roman" w:hAnsi="Times New Roman" w:cs="Times New Roman"/>
          <w:color w:val="auto"/>
        </w:rPr>
      </w:pPr>
      <w:r>
        <w:rPr>
          <w:rFonts w:hint="default" w:ascii="Times New Roman" w:hAnsi="Times New Roman" w:cs="Times New Roman"/>
          <w:color w:val="auto"/>
        </w:rPr>
        <w:t>补给量：评价区多年平均降雨量1120mm～1161.90mm，本次取1140 mm。依据《铁路工程水文勘测设计规范》（TB 10017-2021）提供的不同含水介质降雨入渗经验值</w:t>
      </w:r>
      <w:r>
        <w:rPr>
          <w:rFonts w:hint="default" w:ascii="Times New Roman" w:hAnsi="Times New Roman" w:cs="Times New Roman"/>
          <w:color w:val="auto"/>
          <w:kern w:val="0"/>
          <w:szCs w:val="24"/>
        </w:rPr>
        <w:t>（表6.4-3），同时结合《四川省巴中市巴州区红层丘陵地区找水打井工程调查和区划报告》，</w:t>
      </w:r>
      <w:r>
        <w:rPr>
          <w:rFonts w:hint="default" w:ascii="Times New Roman" w:hAnsi="Times New Roman" w:cs="Times New Roman"/>
          <w:color w:val="auto"/>
        </w:rPr>
        <w:t>本项目评价区所处的宽缓槽谷区降雨入渗系数取值0.10，降雨补给量Recharge分别设置为114 mm/a。</w:t>
      </w:r>
    </w:p>
    <w:p w14:paraId="6C0C567D">
      <w:pPr>
        <w:pStyle w:val="15"/>
        <w:numPr>
          <w:ilvl w:val="0"/>
          <w:numId w:val="31"/>
        </w:numPr>
        <w:bidi w:val="0"/>
        <w:ind w:left="0" w:leftChars="0" w:firstLine="0" w:firstLineChars="0"/>
        <w:rPr>
          <w:snapToGrid w:val="0"/>
          <w:color w:val="auto"/>
        </w:rPr>
      </w:pPr>
      <w:r>
        <w:rPr>
          <w:snapToGrid w:val="0"/>
          <w:color w:val="auto"/>
        </w:rPr>
        <w:t>降雨入渗系数经验数据</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01"/>
        <w:gridCol w:w="2176"/>
        <w:gridCol w:w="2153"/>
        <w:gridCol w:w="1992"/>
      </w:tblGrid>
      <w:tr w14:paraId="70706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91" w:type="pct"/>
            <w:tcBorders>
              <w:tl2br w:val="nil"/>
              <w:tr2bl w:val="nil"/>
            </w:tcBorders>
            <w:vAlign w:val="center"/>
          </w:tcPr>
          <w:p w14:paraId="305EE216">
            <w:pPr>
              <w:pStyle w:val="711"/>
              <w:rPr>
                <w:b/>
                <w:bCs/>
                <w:color w:val="auto"/>
              </w:rPr>
            </w:pPr>
            <w:r>
              <w:rPr>
                <w:b/>
                <w:bCs/>
                <w:color w:val="auto"/>
              </w:rPr>
              <w:t>含水介质</w:t>
            </w:r>
          </w:p>
        </w:tc>
        <w:tc>
          <w:tcPr>
            <w:tcW w:w="1276" w:type="pct"/>
            <w:tcBorders>
              <w:tl2br w:val="nil"/>
              <w:tr2bl w:val="nil"/>
            </w:tcBorders>
            <w:vAlign w:val="center"/>
          </w:tcPr>
          <w:p w14:paraId="43143664">
            <w:pPr>
              <w:pStyle w:val="711"/>
              <w:rPr>
                <w:b/>
                <w:bCs/>
                <w:color w:val="auto"/>
              </w:rPr>
            </w:pPr>
            <w:r>
              <w:rPr>
                <w:b/>
                <w:bCs/>
                <w:color w:val="auto"/>
              </w:rPr>
              <w:t>λ</w:t>
            </w:r>
          </w:p>
        </w:tc>
        <w:tc>
          <w:tcPr>
            <w:tcW w:w="1263" w:type="pct"/>
            <w:tcBorders>
              <w:tl2br w:val="nil"/>
              <w:tr2bl w:val="nil"/>
            </w:tcBorders>
            <w:vAlign w:val="center"/>
          </w:tcPr>
          <w:p w14:paraId="79777058">
            <w:pPr>
              <w:pStyle w:val="711"/>
              <w:rPr>
                <w:b/>
                <w:bCs/>
                <w:color w:val="auto"/>
              </w:rPr>
            </w:pPr>
            <w:r>
              <w:rPr>
                <w:b/>
                <w:bCs/>
                <w:color w:val="auto"/>
              </w:rPr>
              <w:t>含水介质</w:t>
            </w:r>
          </w:p>
        </w:tc>
        <w:tc>
          <w:tcPr>
            <w:tcW w:w="1168" w:type="pct"/>
            <w:tcBorders>
              <w:tl2br w:val="nil"/>
              <w:tr2bl w:val="nil"/>
            </w:tcBorders>
            <w:vAlign w:val="center"/>
          </w:tcPr>
          <w:p w14:paraId="761DCDE3">
            <w:pPr>
              <w:pStyle w:val="711"/>
              <w:rPr>
                <w:b/>
                <w:bCs/>
                <w:color w:val="auto"/>
              </w:rPr>
            </w:pPr>
            <w:r>
              <w:rPr>
                <w:b/>
                <w:bCs/>
                <w:color w:val="auto"/>
              </w:rPr>
              <w:t>λ</w:t>
            </w:r>
          </w:p>
        </w:tc>
      </w:tr>
      <w:tr w14:paraId="0449F1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2383FE0C">
            <w:pPr>
              <w:pStyle w:val="711"/>
              <w:rPr>
                <w:color w:val="auto"/>
              </w:rPr>
            </w:pPr>
            <w:r>
              <w:rPr>
                <w:color w:val="auto"/>
              </w:rPr>
              <w:t>粉质粘土</w:t>
            </w:r>
          </w:p>
        </w:tc>
        <w:tc>
          <w:tcPr>
            <w:tcW w:w="1276" w:type="pct"/>
            <w:tcBorders>
              <w:tl2br w:val="nil"/>
              <w:tr2bl w:val="nil"/>
            </w:tcBorders>
            <w:vAlign w:val="center"/>
          </w:tcPr>
          <w:p w14:paraId="19B5D4D3">
            <w:pPr>
              <w:pStyle w:val="711"/>
              <w:rPr>
                <w:color w:val="auto"/>
              </w:rPr>
            </w:pPr>
            <w:r>
              <w:rPr>
                <w:color w:val="auto"/>
              </w:rPr>
              <w:t>0.01～0.02</w:t>
            </w:r>
          </w:p>
        </w:tc>
        <w:tc>
          <w:tcPr>
            <w:tcW w:w="1263" w:type="pct"/>
            <w:tcBorders>
              <w:tl2br w:val="nil"/>
              <w:tr2bl w:val="nil"/>
            </w:tcBorders>
            <w:vAlign w:val="center"/>
          </w:tcPr>
          <w:p w14:paraId="6FB25A8C">
            <w:pPr>
              <w:pStyle w:val="711"/>
              <w:rPr>
                <w:color w:val="auto"/>
              </w:rPr>
            </w:pPr>
            <w:r>
              <w:rPr>
                <w:color w:val="auto"/>
              </w:rPr>
              <w:t>较完整岩石</w:t>
            </w:r>
          </w:p>
        </w:tc>
        <w:tc>
          <w:tcPr>
            <w:tcW w:w="1168" w:type="pct"/>
            <w:tcBorders>
              <w:tl2br w:val="nil"/>
              <w:tr2bl w:val="nil"/>
            </w:tcBorders>
            <w:vAlign w:val="center"/>
          </w:tcPr>
          <w:p w14:paraId="28489A08">
            <w:pPr>
              <w:pStyle w:val="711"/>
              <w:rPr>
                <w:color w:val="auto"/>
              </w:rPr>
            </w:pPr>
            <w:r>
              <w:rPr>
                <w:color w:val="auto"/>
              </w:rPr>
              <w:t>0.10～0.15</w:t>
            </w:r>
          </w:p>
        </w:tc>
      </w:tr>
      <w:tr w14:paraId="7AAE4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23BF0E15">
            <w:pPr>
              <w:pStyle w:val="711"/>
              <w:rPr>
                <w:color w:val="auto"/>
              </w:rPr>
            </w:pPr>
            <w:r>
              <w:rPr>
                <w:color w:val="auto"/>
              </w:rPr>
              <w:t>粉土</w:t>
            </w:r>
          </w:p>
        </w:tc>
        <w:tc>
          <w:tcPr>
            <w:tcW w:w="1276" w:type="pct"/>
            <w:tcBorders>
              <w:tl2br w:val="nil"/>
              <w:tr2bl w:val="nil"/>
            </w:tcBorders>
            <w:vAlign w:val="center"/>
          </w:tcPr>
          <w:p w14:paraId="738BF34C">
            <w:pPr>
              <w:pStyle w:val="711"/>
              <w:rPr>
                <w:color w:val="auto"/>
              </w:rPr>
            </w:pPr>
            <w:r>
              <w:rPr>
                <w:color w:val="auto"/>
              </w:rPr>
              <w:t>0.02～0.05</w:t>
            </w:r>
          </w:p>
        </w:tc>
        <w:tc>
          <w:tcPr>
            <w:tcW w:w="1263" w:type="pct"/>
            <w:tcBorders>
              <w:tl2br w:val="nil"/>
              <w:tr2bl w:val="nil"/>
            </w:tcBorders>
            <w:vAlign w:val="center"/>
          </w:tcPr>
          <w:p w14:paraId="5B01A93D">
            <w:pPr>
              <w:pStyle w:val="711"/>
              <w:rPr>
                <w:color w:val="auto"/>
              </w:rPr>
            </w:pPr>
            <w:r>
              <w:rPr>
                <w:color w:val="auto"/>
              </w:rPr>
              <w:t>较破碎岩石</w:t>
            </w:r>
          </w:p>
        </w:tc>
        <w:tc>
          <w:tcPr>
            <w:tcW w:w="1168" w:type="pct"/>
            <w:tcBorders>
              <w:tl2br w:val="nil"/>
              <w:tr2bl w:val="nil"/>
            </w:tcBorders>
            <w:vAlign w:val="center"/>
          </w:tcPr>
          <w:p w14:paraId="69C66219">
            <w:pPr>
              <w:pStyle w:val="711"/>
              <w:rPr>
                <w:color w:val="auto"/>
              </w:rPr>
            </w:pPr>
            <w:r>
              <w:rPr>
                <w:color w:val="auto"/>
              </w:rPr>
              <w:t>0.15～0.18</w:t>
            </w:r>
          </w:p>
        </w:tc>
      </w:tr>
      <w:tr w14:paraId="5DF601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0B625130">
            <w:pPr>
              <w:pStyle w:val="711"/>
              <w:rPr>
                <w:color w:val="auto"/>
              </w:rPr>
            </w:pPr>
            <w:r>
              <w:rPr>
                <w:color w:val="auto"/>
              </w:rPr>
              <w:t>粉砂</w:t>
            </w:r>
          </w:p>
        </w:tc>
        <w:tc>
          <w:tcPr>
            <w:tcW w:w="1276" w:type="pct"/>
            <w:tcBorders>
              <w:tl2br w:val="nil"/>
              <w:tr2bl w:val="nil"/>
            </w:tcBorders>
            <w:vAlign w:val="center"/>
          </w:tcPr>
          <w:p w14:paraId="55D1683E">
            <w:pPr>
              <w:pStyle w:val="711"/>
              <w:rPr>
                <w:color w:val="auto"/>
              </w:rPr>
            </w:pPr>
            <w:r>
              <w:rPr>
                <w:color w:val="auto"/>
              </w:rPr>
              <w:t>0.05～0.08</w:t>
            </w:r>
          </w:p>
        </w:tc>
        <w:tc>
          <w:tcPr>
            <w:tcW w:w="1263" w:type="pct"/>
            <w:tcBorders>
              <w:tl2br w:val="nil"/>
              <w:tr2bl w:val="nil"/>
            </w:tcBorders>
            <w:vAlign w:val="center"/>
          </w:tcPr>
          <w:p w14:paraId="5D98E924">
            <w:pPr>
              <w:pStyle w:val="711"/>
              <w:rPr>
                <w:color w:val="auto"/>
              </w:rPr>
            </w:pPr>
            <w:r>
              <w:rPr>
                <w:color w:val="auto"/>
              </w:rPr>
              <w:t>破碎岩石</w:t>
            </w:r>
          </w:p>
        </w:tc>
        <w:tc>
          <w:tcPr>
            <w:tcW w:w="1168" w:type="pct"/>
            <w:tcBorders>
              <w:tl2br w:val="nil"/>
              <w:tr2bl w:val="nil"/>
            </w:tcBorders>
            <w:vAlign w:val="center"/>
          </w:tcPr>
          <w:p w14:paraId="4E34E304">
            <w:pPr>
              <w:pStyle w:val="711"/>
              <w:rPr>
                <w:color w:val="auto"/>
              </w:rPr>
            </w:pPr>
            <w:r>
              <w:rPr>
                <w:color w:val="auto"/>
              </w:rPr>
              <w:t>0.18～0.20</w:t>
            </w:r>
          </w:p>
        </w:tc>
      </w:tr>
      <w:tr w14:paraId="304A38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41A808B3">
            <w:pPr>
              <w:pStyle w:val="711"/>
              <w:rPr>
                <w:color w:val="auto"/>
              </w:rPr>
            </w:pPr>
            <w:r>
              <w:rPr>
                <w:color w:val="auto"/>
              </w:rPr>
              <w:t>细砂</w:t>
            </w:r>
          </w:p>
        </w:tc>
        <w:tc>
          <w:tcPr>
            <w:tcW w:w="1276" w:type="pct"/>
            <w:tcBorders>
              <w:tl2br w:val="nil"/>
              <w:tr2bl w:val="nil"/>
            </w:tcBorders>
            <w:vAlign w:val="center"/>
          </w:tcPr>
          <w:p w14:paraId="666284C1">
            <w:pPr>
              <w:pStyle w:val="711"/>
              <w:rPr>
                <w:color w:val="auto"/>
              </w:rPr>
            </w:pPr>
            <w:r>
              <w:rPr>
                <w:color w:val="auto"/>
              </w:rPr>
              <w:t>0.08～0.12</w:t>
            </w:r>
          </w:p>
        </w:tc>
        <w:tc>
          <w:tcPr>
            <w:tcW w:w="1263" w:type="pct"/>
            <w:tcBorders>
              <w:tl2br w:val="nil"/>
              <w:tr2bl w:val="nil"/>
            </w:tcBorders>
            <w:vAlign w:val="center"/>
          </w:tcPr>
          <w:p w14:paraId="6C8BD61F">
            <w:pPr>
              <w:pStyle w:val="711"/>
              <w:rPr>
                <w:color w:val="auto"/>
              </w:rPr>
            </w:pPr>
            <w:r>
              <w:rPr>
                <w:color w:val="auto"/>
              </w:rPr>
              <w:t>极破碎岩石</w:t>
            </w:r>
          </w:p>
        </w:tc>
        <w:tc>
          <w:tcPr>
            <w:tcW w:w="1168" w:type="pct"/>
            <w:tcBorders>
              <w:tl2br w:val="nil"/>
              <w:tr2bl w:val="nil"/>
            </w:tcBorders>
            <w:vAlign w:val="center"/>
          </w:tcPr>
          <w:p w14:paraId="4BA266B0">
            <w:pPr>
              <w:pStyle w:val="711"/>
              <w:rPr>
                <w:color w:val="auto"/>
              </w:rPr>
            </w:pPr>
            <w:r>
              <w:rPr>
                <w:color w:val="auto"/>
              </w:rPr>
              <w:t>0.20～0.25</w:t>
            </w:r>
          </w:p>
        </w:tc>
      </w:tr>
      <w:tr w14:paraId="3D9B3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2A660959">
            <w:pPr>
              <w:pStyle w:val="711"/>
              <w:rPr>
                <w:color w:val="auto"/>
              </w:rPr>
            </w:pPr>
            <w:r>
              <w:rPr>
                <w:color w:val="auto"/>
              </w:rPr>
              <w:t>中砂</w:t>
            </w:r>
          </w:p>
        </w:tc>
        <w:tc>
          <w:tcPr>
            <w:tcW w:w="1276" w:type="pct"/>
            <w:tcBorders>
              <w:tl2br w:val="nil"/>
              <w:tr2bl w:val="nil"/>
            </w:tcBorders>
            <w:vAlign w:val="center"/>
          </w:tcPr>
          <w:p w14:paraId="2781716D">
            <w:pPr>
              <w:pStyle w:val="711"/>
              <w:rPr>
                <w:color w:val="auto"/>
              </w:rPr>
            </w:pPr>
            <w:r>
              <w:rPr>
                <w:color w:val="auto"/>
              </w:rPr>
              <w:t>0.12～0.18</w:t>
            </w:r>
          </w:p>
        </w:tc>
        <w:tc>
          <w:tcPr>
            <w:tcW w:w="1263" w:type="pct"/>
            <w:tcBorders>
              <w:tl2br w:val="nil"/>
              <w:tr2bl w:val="nil"/>
            </w:tcBorders>
            <w:vAlign w:val="center"/>
          </w:tcPr>
          <w:p w14:paraId="2BE93120">
            <w:pPr>
              <w:pStyle w:val="711"/>
              <w:rPr>
                <w:color w:val="auto"/>
              </w:rPr>
            </w:pPr>
            <w:r>
              <w:rPr>
                <w:color w:val="auto"/>
              </w:rPr>
              <w:t>岩溶微弱发育</w:t>
            </w:r>
          </w:p>
        </w:tc>
        <w:tc>
          <w:tcPr>
            <w:tcW w:w="1168" w:type="pct"/>
            <w:tcBorders>
              <w:tl2br w:val="nil"/>
              <w:tr2bl w:val="nil"/>
            </w:tcBorders>
            <w:vAlign w:val="center"/>
          </w:tcPr>
          <w:p w14:paraId="2C0E59E4">
            <w:pPr>
              <w:pStyle w:val="711"/>
              <w:rPr>
                <w:color w:val="auto"/>
              </w:rPr>
            </w:pPr>
            <w:r>
              <w:rPr>
                <w:color w:val="auto"/>
              </w:rPr>
              <w:t>0.01～0.10</w:t>
            </w:r>
          </w:p>
        </w:tc>
      </w:tr>
      <w:tr w14:paraId="4F79B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073F9B2C">
            <w:pPr>
              <w:pStyle w:val="711"/>
              <w:rPr>
                <w:color w:val="auto"/>
              </w:rPr>
            </w:pPr>
            <w:r>
              <w:rPr>
                <w:color w:val="auto"/>
              </w:rPr>
              <w:t>粗砂</w:t>
            </w:r>
          </w:p>
        </w:tc>
        <w:tc>
          <w:tcPr>
            <w:tcW w:w="1276" w:type="pct"/>
            <w:tcBorders>
              <w:tl2br w:val="nil"/>
              <w:tr2bl w:val="nil"/>
            </w:tcBorders>
            <w:vAlign w:val="center"/>
          </w:tcPr>
          <w:p w14:paraId="2E30AD6B">
            <w:pPr>
              <w:pStyle w:val="711"/>
              <w:rPr>
                <w:color w:val="auto"/>
              </w:rPr>
            </w:pPr>
            <w:r>
              <w:rPr>
                <w:color w:val="auto"/>
              </w:rPr>
              <w:t>0.18～0.24</w:t>
            </w:r>
          </w:p>
        </w:tc>
        <w:tc>
          <w:tcPr>
            <w:tcW w:w="1263" w:type="pct"/>
            <w:tcBorders>
              <w:tl2br w:val="nil"/>
              <w:tr2bl w:val="nil"/>
            </w:tcBorders>
            <w:vAlign w:val="center"/>
          </w:tcPr>
          <w:p w14:paraId="1C79B1D2">
            <w:pPr>
              <w:pStyle w:val="711"/>
              <w:rPr>
                <w:color w:val="auto"/>
              </w:rPr>
            </w:pPr>
            <w:r>
              <w:rPr>
                <w:color w:val="auto"/>
              </w:rPr>
              <w:t>岩溶弱发育</w:t>
            </w:r>
          </w:p>
        </w:tc>
        <w:tc>
          <w:tcPr>
            <w:tcW w:w="1168" w:type="pct"/>
            <w:tcBorders>
              <w:tl2br w:val="nil"/>
              <w:tr2bl w:val="nil"/>
            </w:tcBorders>
            <w:vAlign w:val="center"/>
          </w:tcPr>
          <w:p w14:paraId="03A797DD">
            <w:pPr>
              <w:pStyle w:val="711"/>
              <w:rPr>
                <w:color w:val="auto"/>
              </w:rPr>
            </w:pPr>
            <w:r>
              <w:rPr>
                <w:color w:val="auto"/>
              </w:rPr>
              <w:t>0.10～0.15</w:t>
            </w:r>
          </w:p>
        </w:tc>
      </w:tr>
      <w:tr w14:paraId="0DC49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0ADCBB65">
            <w:pPr>
              <w:pStyle w:val="711"/>
              <w:rPr>
                <w:color w:val="auto"/>
              </w:rPr>
            </w:pPr>
            <w:r>
              <w:rPr>
                <w:color w:val="auto"/>
              </w:rPr>
              <w:t>圆砾（夹砂）</w:t>
            </w:r>
          </w:p>
        </w:tc>
        <w:tc>
          <w:tcPr>
            <w:tcW w:w="1276" w:type="pct"/>
            <w:tcBorders>
              <w:tl2br w:val="nil"/>
              <w:tr2bl w:val="nil"/>
            </w:tcBorders>
            <w:vAlign w:val="center"/>
          </w:tcPr>
          <w:p w14:paraId="510DBB93">
            <w:pPr>
              <w:pStyle w:val="711"/>
              <w:rPr>
                <w:color w:val="auto"/>
              </w:rPr>
            </w:pPr>
            <w:r>
              <w:rPr>
                <w:color w:val="auto"/>
              </w:rPr>
              <w:t>0.24～0.30</w:t>
            </w:r>
          </w:p>
        </w:tc>
        <w:tc>
          <w:tcPr>
            <w:tcW w:w="1263" w:type="pct"/>
            <w:tcBorders>
              <w:tl2br w:val="nil"/>
              <w:tr2bl w:val="nil"/>
            </w:tcBorders>
            <w:vAlign w:val="center"/>
          </w:tcPr>
          <w:p w14:paraId="16E1E4D9">
            <w:pPr>
              <w:pStyle w:val="711"/>
              <w:rPr>
                <w:color w:val="auto"/>
              </w:rPr>
            </w:pPr>
            <w:r>
              <w:rPr>
                <w:color w:val="auto"/>
              </w:rPr>
              <w:t>岩溶中等发育</w:t>
            </w:r>
          </w:p>
        </w:tc>
        <w:tc>
          <w:tcPr>
            <w:tcW w:w="1168" w:type="pct"/>
            <w:tcBorders>
              <w:tl2br w:val="nil"/>
              <w:tr2bl w:val="nil"/>
            </w:tcBorders>
            <w:vAlign w:val="center"/>
          </w:tcPr>
          <w:p w14:paraId="731528A1">
            <w:pPr>
              <w:pStyle w:val="711"/>
              <w:rPr>
                <w:color w:val="auto"/>
              </w:rPr>
            </w:pPr>
            <w:r>
              <w:rPr>
                <w:color w:val="auto"/>
              </w:rPr>
              <w:t>0.15～0.20</w:t>
            </w:r>
          </w:p>
        </w:tc>
      </w:tr>
      <w:tr w14:paraId="18902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495AE492">
            <w:pPr>
              <w:pStyle w:val="711"/>
              <w:rPr>
                <w:color w:val="auto"/>
              </w:rPr>
            </w:pPr>
            <w:r>
              <w:rPr>
                <w:color w:val="auto"/>
              </w:rPr>
              <w:t>卵石（夹砂）</w:t>
            </w:r>
          </w:p>
        </w:tc>
        <w:tc>
          <w:tcPr>
            <w:tcW w:w="1276" w:type="pct"/>
            <w:tcBorders>
              <w:tl2br w:val="nil"/>
              <w:tr2bl w:val="nil"/>
            </w:tcBorders>
            <w:vAlign w:val="center"/>
          </w:tcPr>
          <w:p w14:paraId="3EFF9DCA">
            <w:pPr>
              <w:pStyle w:val="711"/>
              <w:rPr>
                <w:color w:val="auto"/>
              </w:rPr>
            </w:pPr>
            <w:r>
              <w:rPr>
                <w:color w:val="auto"/>
              </w:rPr>
              <w:t>0.30～0.35</w:t>
            </w:r>
          </w:p>
        </w:tc>
        <w:tc>
          <w:tcPr>
            <w:tcW w:w="1263" w:type="pct"/>
            <w:tcBorders>
              <w:tl2br w:val="nil"/>
              <w:tr2bl w:val="nil"/>
            </w:tcBorders>
            <w:vAlign w:val="center"/>
          </w:tcPr>
          <w:p w14:paraId="6F5525AC">
            <w:pPr>
              <w:pStyle w:val="711"/>
              <w:rPr>
                <w:color w:val="auto"/>
              </w:rPr>
            </w:pPr>
            <w:r>
              <w:rPr>
                <w:color w:val="auto"/>
              </w:rPr>
              <w:t>岩溶强烈发育</w:t>
            </w:r>
          </w:p>
        </w:tc>
        <w:tc>
          <w:tcPr>
            <w:tcW w:w="1168" w:type="pct"/>
            <w:tcBorders>
              <w:tl2br w:val="nil"/>
              <w:tr2bl w:val="nil"/>
            </w:tcBorders>
            <w:vAlign w:val="center"/>
          </w:tcPr>
          <w:p w14:paraId="309328C7">
            <w:pPr>
              <w:pStyle w:val="711"/>
              <w:rPr>
                <w:color w:val="auto"/>
              </w:rPr>
            </w:pPr>
            <w:r>
              <w:rPr>
                <w:color w:val="auto"/>
              </w:rPr>
              <w:t>0.20～0.50</w:t>
            </w:r>
          </w:p>
        </w:tc>
      </w:tr>
      <w:tr w14:paraId="77078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6D1BE5D1">
            <w:pPr>
              <w:pStyle w:val="711"/>
              <w:rPr>
                <w:color w:val="auto"/>
              </w:rPr>
            </w:pPr>
            <w:r>
              <w:rPr>
                <w:color w:val="auto"/>
              </w:rPr>
              <w:t>完整岩石</w:t>
            </w:r>
          </w:p>
        </w:tc>
        <w:tc>
          <w:tcPr>
            <w:tcW w:w="1276" w:type="pct"/>
            <w:tcBorders>
              <w:tl2br w:val="nil"/>
              <w:tr2bl w:val="nil"/>
            </w:tcBorders>
            <w:vAlign w:val="center"/>
          </w:tcPr>
          <w:p w14:paraId="624C79AF">
            <w:pPr>
              <w:pStyle w:val="711"/>
              <w:rPr>
                <w:color w:val="auto"/>
              </w:rPr>
            </w:pPr>
            <w:r>
              <w:rPr>
                <w:color w:val="auto"/>
              </w:rPr>
              <w:t>0.01～0.10</w:t>
            </w:r>
          </w:p>
        </w:tc>
        <w:tc>
          <w:tcPr>
            <w:tcW w:w="1263" w:type="pct"/>
            <w:tcBorders>
              <w:tl2br w:val="nil"/>
              <w:tr2bl w:val="nil"/>
            </w:tcBorders>
            <w:vAlign w:val="center"/>
          </w:tcPr>
          <w:p w14:paraId="2AE52B08">
            <w:pPr>
              <w:pStyle w:val="711"/>
              <w:rPr>
                <w:color w:val="auto"/>
              </w:rPr>
            </w:pPr>
          </w:p>
        </w:tc>
        <w:tc>
          <w:tcPr>
            <w:tcW w:w="1168" w:type="pct"/>
            <w:tcBorders>
              <w:tl2br w:val="nil"/>
              <w:tr2bl w:val="nil"/>
            </w:tcBorders>
            <w:vAlign w:val="center"/>
          </w:tcPr>
          <w:p w14:paraId="34B0A06F">
            <w:pPr>
              <w:pStyle w:val="711"/>
              <w:rPr>
                <w:color w:val="auto"/>
              </w:rPr>
            </w:pPr>
          </w:p>
        </w:tc>
      </w:tr>
    </w:tbl>
    <w:p w14:paraId="0ABE8A72">
      <w:pPr>
        <w:bidi w:val="0"/>
        <w:rPr>
          <w:color w:val="auto"/>
        </w:rPr>
      </w:pPr>
      <w:r>
        <w:rPr>
          <w:color w:val="auto"/>
        </w:rPr>
        <w:t>弥散系数：依据文献资料（Gelhar，1992），弥散度具有空间尺度效应，其观测值随着弥散试验观测尺度的增大而增加。依据《地下水污染模拟预测评估工作指南》（2019）附表C1.1纵向弥散度与观测尺度之间的关系，统计孔隙介质及裂隙介质在不同试验尺度下弥散度。</w:t>
      </w:r>
    </w:p>
    <w:tbl>
      <w:tblPr>
        <w:tblStyle w:val="48"/>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000000" w:sz="4" w:space="0"/>
        </w:tblBorders>
        <w:tblLayout w:type="autofit"/>
        <w:tblCellMar>
          <w:top w:w="0" w:type="dxa"/>
          <w:left w:w="108" w:type="dxa"/>
          <w:bottom w:w="0" w:type="dxa"/>
          <w:right w:w="108" w:type="dxa"/>
        </w:tblCellMar>
      </w:tblPr>
      <w:tblGrid>
        <w:gridCol w:w="8296"/>
      </w:tblGrid>
      <w:tr w14:paraId="380F9F6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8296" w:type="dxa"/>
            <w:shd w:val="clear" w:color="auto" w:fill="auto"/>
          </w:tcPr>
          <w:p w14:paraId="762D046C">
            <w:pPr>
              <w:pStyle w:val="711"/>
              <w:rPr>
                <w:rFonts w:cs="Times New Roman"/>
                <w:color w:val="auto"/>
              </w:rPr>
            </w:pPr>
            <w:r>
              <w:rPr>
                <w:rFonts w:cs="Times New Roman"/>
                <w:color w:val="auto"/>
              </w:rPr>
              <w:drawing>
                <wp:inline distT="0" distB="0" distL="0" distR="0">
                  <wp:extent cx="4340860" cy="3721100"/>
                  <wp:effectExtent l="0" t="0" r="2540" b="1270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2"/>
                          <a:srcRect t="2779" r="7623"/>
                          <a:stretch>
                            <a:fillRect/>
                          </a:stretch>
                        </pic:blipFill>
                        <pic:spPr>
                          <a:xfrm>
                            <a:off x="0" y="0"/>
                            <a:ext cx="4345689" cy="3724875"/>
                          </a:xfrm>
                          <a:prstGeom prst="rect">
                            <a:avLst/>
                          </a:prstGeom>
                          <a:ln>
                            <a:noFill/>
                          </a:ln>
                        </pic:spPr>
                      </pic:pic>
                    </a:graphicData>
                  </a:graphic>
                </wp:inline>
              </w:drawing>
            </w:r>
          </w:p>
        </w:tc>
      </w:tr>
      <w:tr w14:paraId="57A86BB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8296" w:type="dxa"/>
            <w:shd w:val="clear" w:color="auto" w:fill="auto"/>
          </w:tcPr>
          <w:p w14:paraId="4A62986B">
            <w:pPr>
              <w:pStyle w:val="710"/>
              <w:rPr>
                <w:color w:val="auto"/>
              </w:rPr>
            </w:pPr>
            <w:r>
              <w:rPr>
                <w:color w:val="auto"/>
              </w:rPr>
              <w:t>图</w:t>
            </w:r>
            <w:r>
              <w:rPr>
                <w:rFonts w:hint="eastAsia"/>
                <w:color w:val="auto"/>
                <w:lang w:val="en-US" w:eastAsia="zh-CN"/>
              </w:rPr>
              <w:t>4.2</w:t>
            </w:r>
            <w:r>
              <w:rPr>
                <w:color w:val="auto"/>
              </w:rPr>
              <w:t>-</w:t>
            </w:r>
            <w:r>
              <w:rPr>
                <w:rFonts w:hint="eastAsia"/>
                <w:color w:val="auto"/>
                <w:lang w:val="en-US" w:eastAsia="zh-CN"/>
              </w:rPr>
              <w:t xml:space="preserve">3 </w:t>
            </w:r>
            <w:r>
              <w:rPr>
                <w:color w:val="auto"/>
              </w:rPr>
              <w:t xml:space="preserve"> 纵向弥散度与介质类别关系</w:t>
            </w:r>
          </w:p>
          <w:p w14:paraId="437E1996">
            <w:pPr>
              <w:pStyle w:val="697"/>
              <w:jc w:val="center"/>
              <w:rPr>
                <w:rFonts w:cs="Times New Roman"/>
                <w:color w:val="auto"/>
                <w:highlight w:val="yellow"/>
              </w:rPr>
            </w:pPr>
            <w:r>
              <w:rPr>
                <w:rFonts w:cs="Times New Roman"/>
                <w:color w:val="auto"/>
              </w:rPr>
              <w:t>弥散系数=弥散度*渗流速度</w:t>
            </w:r>
          </w:p>
        </w:tc>
      </w:tr>
    </w:tbl>
    <w:p w14:paraId="0F87E0D8">
      <w:pPr>
        <w:pStyle w:val="15"/>
        <w:numPr>
          <w:ilvl w:val="0"/>
          <w:numId w:val="31"/>
        </w:numPr>
        <w:bidi w:val="0"/>
        <w:ind w:left="0" w:leftChars="0" w:firstLine="0" w:firstLineChars="0"/>
        <w:rPr>
          <w:color w:val="auto"/>
        </w:rPr>
      </w:pPr>
      <w:r>
        <w:rPr>
          <w:color w:val="auto"/>
        </w:rPr>
        <w:t>裂隙介质在不同试验尺度下弥散度统计</w:t>
      </w:r>
    </w:p>
    <w:tbl>
      <w:tblPr>
        <w:tblStyle w:val="48"/>
        <w:tblpPr w:leftFromText="180" w:rightFromText="180" w:vertAnchor="text"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2500"/>
        <w:gridCol w:w="3164"/>
        <w:gridCol w:w="1324"/>
      </w:tblGrid>
      <w:tr w14:paraId="65B36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4" w:type="pct"/>
            <w:tcBorders>
              <w:tl2br w:val="nil"/>
              <w:tr2bl w:val="nil"/>
            </w:tcBorders>
            <w:noWrap/>
            <w:vAlign w:val="center"/>
          </w:tcPr>
          <w:p w14:paraId="3AD1A5A7">
            <w:pPr>
              <w:pStyle w:val="711"/>
              <w:rPr>
                <w:rFonts w:cs="Times New Roman"/>
                <w:b/>
                <w:bCs/>
                <w:color w:val="auto"/>
              </w:rPr>
            </w:pPr>
            <w:r>
              <w:rPr>
                <w:rFonts w:cs="Times New Roman"/>
                <w:b/>
                <w:bCs/>
                <w:color w:val="auto"/>
              </w:rPr>
              <w:t>介质类别</w:t>
            </w:r>
          </w:p>
        </w:tc>
        <w:tc>
          <w:tcPr>
            <w:tcW w:w="1455" w:type="pct"/>
            <w:tcBorders>
              <w:tl2br w:val="nil"/>
              <w:tr2bl w:val="nil"/>
            </w:tcBorders>
            <w:noWrap/>
            <w:vAlign w:val="center"/>
          </w:tcPr>
          <w:p w14:paraId="17CCC1DA">
            <w:pPr>
              <w:pStyle w:val="711"/>
              <w:rPr>
                <w:rFonts w:cs="Times New Roman"/>
                <w:b/>
                <w:bCs/>
                <w:color w:val="auto"/>
              </w:rPr>
            </w:pPr>
            <w:r>
              <w:rPr>
                <w:rFonts w:cs="Times New Roman"/>
                <w:b/>
                <w:bCs/>
                <w:color w:val="auto"/>
              </w:rPr>
              <w:t>弥散试验尺度范围（m）</w:t>
            </w:r>
          </w:p>
        </w:tc>
        <w:tc>
          <w:tcPr>
            <w:tcW w:w="1859" w:type="pct"/>
            <w:tcBorders>
              <w:tl2br w:val="nil"/>
              <w:tr2bl w:val="nil"/>
            </w:tcBorders>
            <w:noWrap/>
            <w:vAlign w:val="center"/>
          </w:tcPr>
          <w:p w14:paraId="253574EE">
            <w:pPr>
              <w:pStyle w:val="711"/>
              <w:rPr>
                <w:rFonts w:cs="Times New Roman"/>
                <w:b/>
                <w:bCs/>
                <w:color w:val="auto"/>
              </w:rPr>
            </w:pPr>
            <w:r>
              <w:rPr>
                <w:rFonts w:cs="Times New Roman"/>
                <w:b/>
                <w:bCs/>
                <w:color w:val="auto"/>
              </w:rPr>
              <w:t>弥散度范围（m）</w:t>
            </w:r>
          </w:p>
        </w:tc>
        <w:tc>
          <w:tcPr>
            <w:tcW w:w="780" w:type="pct"/>
            <w:tcBorders>
              <w:tl2br w:val="nil"/>
              <w:tr2bl w:val="nil"/>
            </w:tcBorders>
            <w:noWrap/>
            <w:vAlign w:val="center"/>
          </w:tcPr>
          <w:p w14:paraId="0ED392CD">
            <w:pPr>
              <w:pStyle w:val="711"/>
              <w:rPr>
                <w:rFonts w:cs="Times New Roman"/>
                <w:b/>
                <w:bCs/>
                <w:color w:val="auto"/>
              </w:rPr>
            </w:pPr>
            <w:r>
              <w:rPr>
                <w:rFonts w:cs="Times New Roman"/>
                <w:b/>
                <w:bCs/>
                <w:color w:val="auto"/>
              </w:rPr>
              <w:t>试验次数</w:t>
            </w:r>
          </w:p>
        </w:tc>
      </w:tr>
      <w:tr w14:paraId="66FA9B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noWrap/>
            <w:vAlign w:val="center"/>
          </w:tcPr>
          <w:p w14:paraId="2EC6D3B6">
            <w:pPr>
              <w:pStyle w:val="711"/>
              <w:rPr>
                <w:rFonts w:cs="Times New Roman"/>
                <w:color w:val="auto"/>
              </w:rPr>
            </w:pPr>
            <w:r>
              <w:rPr>
                <w:rFonts w:cs="Times New Roman"/>
                <w:color w:val="auto"/>
              </w:rPr>
              <w:t>孔隙介质</w:t>
            </w:r>
          </w:p>
        </w:tc>
        <w:tc>
          <w:tcPr>
            <w:tcW w:w="1455" w:type="pct"/>
            <w:vMerge w:val="restart"/>
            <w:tcBorders>
              <w:tl2br w:val="nil"/>
              <w:tr2bl w:val="nil"/>
            </w:tcBorders>
            <w:noWrap/>
            <w:vAlign w:val="center"/>
          </w:tcPr>
          <w:p w14:paraId="1CB4C2EA">
            <w:pPr>
              <w:pStyle w:val="711"/>
              <w:rPr>
                <w:rFonts w:cs="Times New Roman"/>
                <w:color w:val="auto"/>
              </w:rPr>
            </w:pPr>
            <w:r>
              <w:rPr>
                <w:rFonts w:cs="Times New Roman"/>
                <w:color w:val="auto"/>
              </w:rPr>
              <w:t>1－10m</w:t>
            </w:r>
          </w:p>
        </w:tc>
        <w:tc>
          <w:tcPr>
            <w:tcW w:w="1859" w:type="pct"/>
            <w:tcBorders>
              <w:tl2br w:val="nil"/>
              <w:tr2bl w:val="nil"/>
            </w:tcBorders>
            <w:noWrap/>
            <w:vAlign w:val="center"/>
          </w:tcPr>
          <w:p w14:paraId="5DA63DA8">
            <w:pPr>
              <w:pStyle w:val="711"/>
              <w:rPr>
                <w:rFonts w:cs="Times New Roman"/>
                <w:color w:val="auto"/>
              </w:rPr>
            </w:pPr>
            <w:r>
              <w:rPr>
                <w:rFonts w:cs="Times New Roman"/>
                <w:color w:val="auto"/>
              </w:rPr>
              <w:t>0.0161～0.073</w:t>
            </w:r>
          </w:p>
        </w:tc>
        <w:tc>
          <w:tcPr>
            <w:tcW w:w="780" w:type="pct"/>
            <w:tcBorders>
              <w:tl2br w:val="nil"/>
              <w:tr2bl w:val="nil"/>
            </w:tcBorders>
            <w:noWrap/>
            <w:vAlign w:val="center"/>
          </w:tcPr>
          <w:p w14:paraId="4D984E24">
            <w:pPr>
              <w:pStyle w:val="711"/>
              <w:rPr>
                <w:rFonts w:cs="Times New Roman"/>
                <w:color w:val="auto"/>
              </w:rPr>
            </w:pPr>
            <w:r>
              <w:rPr>
                <w:rFonts w:cs="Times New Roman"/>
                <w:color w:val="auto"/>
              </w:rPr>
              <w:t>4</w:t>
            </w:r>
          </w:p>
        </w:tc>
      </w:tr>
      <w:tr w14:paraId="362F2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729E1CB">
            <w:pPr>
              <w:pStyle w:val="711"/>
              <w:rPr>
                <w:rFonts w:cs="Times New Roman"/>
                <w:color w:val="auto"/>
              </w:rPr>
            </w:pPr>
          </w:p>
        </w:tc>
        <w:tc>
          <w:tcPr>
            <w:tcW w:w="1455" w:type="pct"/>
            <w:vMerge w:val="continue"/>
            <w:tcBorders>
              <w:tl2br w:val="nil"/>
              <w:tr2bl w:val="nil"/>
            </w:tcBorders>
            <w:vAlign w:val="center"/>
          </w:tcPr>
          <w:p w14:paraId="5CC7F4DF">
            <w:pPr>
              <w:pStyle w:val="711"/>
              <w:rPr>
                <w:rFonts w:cs="Times New Roman"/>
                <w:color w:val="auto"/>
              </w:rPr>
            </w:pPr>
          </w:p>
        </w:tc>
        <w:tc>
          <w:tcPr>
            <w:tcW w:w="1859" w:type="pct"/>
            <w:tcBorders>
              <w:tl2br w:val="nil"/>
              <w:tr2bl w:val="nil"/>
            </w:tcBorders>
            <w:noWrap/>
            <w:vAlign w:val="center"/>
          </w:tcPr>
          <w:p w14:paraId="7E09FDD4">
            <w:pPr>
              <w:pStyle w:val="711"/>
              <w:rPr>
                <w:rFonts w:cs="Times New Roman"/>
                <w:color w:val="auto"/>
              </w:rPr>
            </w:pPr>
            <w:r>
              <w:rPr>
                <w:rFonts w:cs="Times New Roman"/>
                <w:color w:val="auto"/>
              </w:rPr>
              <w:t>0.1183～0.6893</w:t>
            </w:r>
          </w:p>
        </w:tc>
        <w:tc>
          <w:tcPr>
            <w:tcW w:w="780" w:type="pct"/>
            <w:tcBorders>
              <w:tl2br w:val="nil"/>
              <w:tr2bl w:val="nil"/>
            </w:tcBorders>
            <w:noWrap/>
            <w:vAlign w:val="center"/>
          </w:tcPr>
          <w:p w14:paraId="605BA0A7">
            <w:pPr>
              <w:pStyle w:val="711"/>
              <w:rPr>
                <w:rFonts w:cs="Times New Roman"/>
                <w:color w:val="auto"/>
              </w:rPr>
            </w:pPr>
            <w:r>
              <w:rPr>
                <w:rFonts w:cs="Times New Roman"/>
                <w:color w:val="auto"/>
              </w:rPr>
              <w:t>9</w:t>
            </w:r>
          </w:p>
        </w:tc>
      </w:tr>
      <w:tr w14:paraId="2FC0A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496ED0A2">
            <w:pPr>
              <w:pStyle w:val="711"/>
              <w:rPr>
                <w:rFonts w:cs="Times New Roman"/>
                <w:color w:val="auto"/>
              </w:rPr>
            </w:pPr>
          </w:p>
        </w:tc>
        <w:tc>
          <w:tcPr>
            <w:tcW w:w="1455" w:type="pct"/>
            <w:vMerge w:val="continue"/>
            <w:tcBorders>
              <w:tl2br w:val="nil"/>
              <w:tr2bl w:val="nil"/>
            </w:tcBorders>
            <w:vAlign w:val="center"/>
          </w:tcPr>
          <w:p w14:paraId="3B46ADFE">
            <w:pPr>
              <w:pStyle w:val="711"/>
              <w:rPr>
                <w:rFonts w:cs="Times New Roman"/>
                <w:color w:val="auto"/>
              </w:rPr>
            </w:pPr>
          </w:p>
        </w:tc>
        <w:tc>
          <w:tcPr>
            <w:tcW w:w="1859" w:type="pct"/>
            <w:tcBorders>
              <w:tl2br w:val="nil"/>
              <w:tr2bl w:val="nil"/>
            </w:tcBorders>
            <w:noWrap/>
            <w:vAlign w:val="center"/>
          </w:tcPr>
          <w:p w14:paraId="218DCCA1">
            <w:pPr>
              <w:pStyle w:val="711"/>
              <w:rPr>
                <w:rFonts w:cs="Times New Roman"/>
                <w:color w:val="auto"/>
              </w:rPr>
            </w:pPr>
            <w:r>
              <w:rPr>
                <w:rFonts w:cs="Times New Roman"/>
                <w:color w:val="auto"/>
              </w:rPr>
              <w:t>1.1679～9.6828</w:t>
            </w:r>
          </w:p>
        </w:tc>
        <w:tc>
          <w:tcPr>
            <w:tcW w:w="780" w:type="pct"/>
            <w:tcBorders>
              <w:tl2br w:val="nil"/>
              <w:tr2bl w:val="nil"/>
            </w:tcBorders>
            <w:noWrap/>
            <w:vAlign w:val="center"/>
          </w:tcPr>
          <w:p w14:paraId="57F010C8">
            <w:pPr>
              <w:pStyle w:val="711"/>
              <w:rPr>
                <w:rFonts w:cs="Times New Roman"/>
                <w:color w:val="auto"/>
              </w:rPr>
            </w:pPr>
            <w:r>
              <w:rPr>
                <w:rFonts w:cs="Times New Roman"/>
                <w:color w:val="auto"/>
              </w:rPr>
              <w:t>6</w:t>
            </w:r>
          </w:p>
        </w:tc>
      </w:tr>
      <w:tr w14:paraId="4A0E0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0E237CEC">
            <w:pPr>
              <w:pStyle w:val="711"/>
              <w:rPr>
                <w:rFonts w:cs="Times New Roman"/>
                <w:color w:val="auto"/>
              </w:rPr>
            </w:pPr>
          </w:p>
        </w:tc>
        <w:tc>
          <w:tcPr>
            <w:tcW w:w="1455" w:type="pct"/>
            <w:vMerge w:val="continue"/>
            <w:tcBorders>
              <w:tl2br w:val="nil"/>
              <w:tr2bl w:val="nil"/>
            </w:tcBorders>
            <w:vAlign w:val="center"/>
          </w:tcPr>
          <w:p w14:paraId="027C1C3D">
            <w:pPr>
              <w:pStyle w:val="711"/>
              <w:rPr>
                <w:rFonts w:cs="Times New Roman"/>
                <w:color w:val="auto"/>
              </w:rPr>
            </w:pPr>
          </w:p>
        </w:tc>
        <w:tc>
          <w:tcPr>
            <w:tcW w:w="1859" w:type="pct"/>
            <w:tcBorders>
              <w:tl2br w:val="nil"/>
              <w:tr2bl w:val="nil"/>
            </w:tcBorders>
            <w:noWrap/>
            <w:vAlign w:val="center"/>
          </w:tcPr>
          <w:p w14:paraId="6E5413F8">
            <w:pPr>
              <w:pStyle w:val="711"/>
              <w:rPr>
                <w:rFonts w:cs="Times New Roman"/>
                <w:color w:val="auto"/>
              </w:rPr>
            </w:pPr>
            <w:r>
              <w:rPr>
                <w:rFonts w:cs="Times New Roman"/>
                <w:color w:val="auto"/>
              </w:rPr>
              <w:t>13.67</w:t>
            </w:r>
          </w:p>
        </w:tc>
        <w:tc>
          <w:tcPr>
            <w:tcW w:w="780" w:type="pct"/>
            <w:tcBorders>
              <w:tl2br w:val="nil"/>
              <w:tr2bl w:val="nil"/>
            </w:tcBorders>
            <w:noWrap/>
            <w:vAlign w:val="center"/>
          </w:tcPr>
          <w:p w14:paraId="2A8EF9B3">
            <w:pPr>
              <w:pStyle w:val="711"/>
              <w:rPr>
                <w:rFonts w:cs="Times New Roman"/>
                <w:color w:val="auto"/>
              </w:rPr>
            </w:pPr>
            <w:r>
              <w:rPr>
                <w:rFonts w:cs="Times New Roman"/>
                <w:color w:val="auto"/>
              </w:rPr>
              <w:t>1</w:t>
            </w:r>
          </w:p>
        </w:tc>
      </w:tr>
      <w:tr w14:paraId="38F2C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vAlign w:val="center"/>
          </w:tcPr>
          <w:p w14:paraId="1286F521">
            <w:pPr>
              <w:pStyle w:val="711"/>
              <w:rPr>
                <w:rFonts w:cs="Times New Roman"/>
                <w:color w:val="auto"/>
              </w:rPr>
            </w:pPr>
            <w:r>
              <w:rPr>
                <w:rFonts w:cs="Times New Roman"/>
                <w:color w:val="auto"/>
              </w:rPr>
              <w:t>孔隙介质</w:t>
            </w:r>
          </w:p>
        </w:tc>
        <w:tc>
          <w:tcPr>
            <w:tcW w:w="1455" w:type="pct"/>
            <w:vMerge w:val="restart"/>
            <w:tcBorders>
              <w:tl2br w:val="nil"/>
              <w:tr2bl w:val="nil"/>
            </w:tcBorders>
            <w:noWrap/>
            <w:vAlign w:val="center"/>
          </w:tcPr>
          <w:p w14:paraId="5E76B560">
            <w:pPr>
              <w:pStyle w:val="711"/>
              <w:rPr>
                <w:rFonts w:cs="Times New Roman"/>
                <w:color w:val="auto"/>
              </w:rPr>
            </w:pPr>
            <w:r>
              <w:rPr>
                <w:rFonts w:cs="Times New Roman"/>
                <w:color w:val="auto"/>
              </w:rPr>
              <w:t>10－100m</w:t>
            </w:r>
          </w:p>
        </w:tc>
        <w:tc>
          <w:tcPr>
            <w:tcW w:w="1859" w:type="pct"/>
            <w:tcBorders>
              <w:tl2br w:val="nil"/>
              <w:tr2bl w:val="nil"/>
            </w:tcBorders>
            <w:noWrap/>
            <w:vAlign w:val="center"/>
          </w:tcPr>
          <w:p w14:paraId="0B18FB2C">
            <w:pPr>
              <w:pStyle w:val="711"/>
              <w:rPr>
                <w:rFonts w:cs="Times New Roman"/>
                <w:color w:val="auto"/>
              </w:rPr>
            </w:pPr>
            <w:r>
              <w:rPr>
                <w:rFonts w:cs="Times New Roman"/>
                <w:color w:val="auto"/>
              </w:rPr>
              <w:t>0.10</w:t>
            </w:r>
          </w:p>
        </w:tc>
        <w:tc>
          <w:tcPr>
            <w:tcW w:w="780" w:type="pct"/>
            <w:tcBorders>
              <w:tl2br w:val="nil"/>
              <w:tr2bl w:val="nil"/>
            </w:tcBorders>
            <w:noWrap/>
            <w:vAlign w:val="center"/>
          </w:tcPr>
          <w:p w14:paraId="58686B8C">
            <w:pPr>
              <w:pStyle w:val="711"/>
              <w:rPr>
                <w:rFonts w:cs="Times New Roman"/>
                <w:color w:val="auto"/>
              </w:rPr>
            </w:pPr>
            <w:r>
              <w:rPr>
                <w:rFonts w:cs="Times New Roman"/>
                <w:color w:val="auto"/>
              </w:rPr>
              <w:t>1</w:t>
            </w:r>
          </w:p>
        </w:tc>
      </w:tr>
      <w:tr w14:paraId="2BB37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55938148">
            <w:pPr>
              <w:pStyle w:val="711"/>
              <w:rPr>
                <w:rFonts w:cs="Times New Roman"/>
                <w:color w:val="auto"/>
              </w:rPr>
            </w:pPr>
          </w:p>
        </w:tc>
        <w:tc>
          <w:tcPr>
            <w:tcW w:w="1455" w:type="pct"/>
            <w:vMerge w:val="continue"/>
            <w:tcBorders>
              <w:tl2br w:val="nil"/>
              <w:tr2bl w:val="nil"/>
            </w:tcBorders>
            <w:vAlign w:val="center"/>
          </w:tcPr>
          <w:p w14:paraId="16D3778F">
            <w:pPr>
              <w:pStyle w:val="711"/>
              <w:rPr>
                <w:rFonts w:cs="Times New Roman"/>
                <w:color w:val="auto"/>
              </w:rPr>
            </w:pPr>
          </w:p>
        </w:tc>
        <w:tc>
          <w:tcPr>
            <w:tcW w:w="1859" w:type="pct"/>
            <w:tcBorders>
              <w:tl2br w:val="nil"/>
              <w:tr2bl w:val="nil"/>
            </w:tcBorders>
            <w:noWrap/>
            <w:vAlign w:val="center"/>
          </w:tcPr>
          <w:p w14:paraId="499E589A">
            <w:pPr>
              <w:pStyle w:val="711"/>
              <w:rPr>
                <w:rFonts w:cs="Times New Roman"/>
                <w:color w:val="auto"/>
              </w:rPr>
            </w:pPr>
            <w:r>
              <w:rPr>
                <w:rFonts w:cs="Times New Roman"/>
                <w:color w:val="auto"/>
              </w:rPr>
              <w:t>0.1285～0.9217</w:t>
            </w:r>
          </w:p>
        </w:tc>
        <w:tc>
          <w:tcPr>
            <w:tcW w:w="780" w:type="pct"/>
            <w:tcBorders>
              <w:tl2br w:val="nil"/>
              <w:tr2bl w:val="nil"/>
            </w:tcBorders>
            <w:noWrap/>
            <w:vAlign w:val="center"/>
          </w:tcPr>
          <w:p w14:paraId="5AB9F9DD">
            <w:pPr>
              <w:pStyle w:val="711"/>
              <w:rPr>
                <w:rFonts w:cs="Times New Roman"/>
                <w:color w:val="auto"/>
              </w:rPr>
            </w:pPr>
            <w:r>
              <w:rPr>
                <w:rFonts w:cs="Times New Roman"/>
                <w:color w:val="auto"/>
              </w:rPr>
              <w:t>9</w:t>
            </w:r>
          </w:p>
        </w:tc>
      </w:tr>
      <w:tr w14:paraId="79D3F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01D3764">
            <w:pPr>
              <w:pStyle w:val="711"/>
              <w:rPr>
                <w:rFonts w:cs="Times New Roman"/>
                <w:color w:val="auto"/>
              </w:rPr>
            </w:pPr>
          </w:p>
        </w:tc>
        <w:tc>
          <w:tcPr>
            <w:tcW w:w="1455" w:type="pct"/>
            <w:vMerge w:val="continue"/>
            <w:tcBorders>
              <w:tl2br w:val="nil"/>
              <w:tr2bl w:val="nil"/>
            </w:tcBorders>
            <w:vAlign w:val="center"/>
          </w:tcPr>
          <w:p w14:paraId="1BE2B6DF">
            <w:pPr>
              <w:pStyle w:val="711"/>
              <w:rPr>
                <w:rFonts w:cs="Times New Roman"/>
                <w:color w:val="auto"/>
              </w:rPr>
            </w:pPr>
          </w:p>
        </w:tc>
        <w:tc>
          <w:tcPr>
            <w:tcW w:w="1859" w:type="pct"/>
            <w:tcBorders>
              <w:tl2br w:val="nil"/>
              <w:tr2bl w:val="nil"/>
            </w:tcBorders>
            <w:noWrap/>
            <w:vAlign w:val="center"/>
          </w:tcPr>
          <w:p w14:paraId="638E3DAF">
            <w:pPr>
              <w:pStyle w:val="711"/>
              <w:rPr>
                <w:rFonts w:cs="Times New Roman"/>
                <w:color w:val="auto"/>
              </w:rPr>
            </w:pPr>
            <w:r>
              <w:rPr>
                <w:rFonts w:cs="Times New Roman"/>
                <w:color w:val="auto"/>
              </w:rPr>
              <w:t>1～1.9445</w:t>
            </w:r>
          </w:p>
        </w:tc>
        <w:tc>
          <w:tcPr>
            <w:tcW w:w="780" w:type="pct"/>
            <w:tcBorders>
              <w:tl2br w:val="nil"/>
              <w:tr2bl w:val="nil"/>
            </w:tcBorders>
            <w:noWrap/>
            <w:vAlign w:val="center"/>
          </w:tcPr>
          <w:p w14:paraId="62E15703">
            <w:pPr>
              <w:pStyle w:val="711"/>
              <w:rPr>
                <w:rFonts w:cs="Times New Roman"/>
                <w:color w:val="auto"/>
              </w:rPr>
            </w:pPr>
            <w:r>
              <w:rPr>
                <w:rFonts w:cs="Times New Roman"/>
                <w:color w:val="auto"/>
              </w:rPr>
              <w:t>8</w:t>
            </w:r>
          </w:p>
        </w:tc>
      </w:tr>
      <w:tr w14:paraId="5DC08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53021549">
            <w:pPr>
              <w:pStyle w:val="711"/>
              <w:rPr>
                <w:rFonts w:cs="Times New Roman"/>
                <w:color w:val="auto"/>
              </w:rPr>
            </w:pPr>
          </w:p>
        </w:tc>
        <w:tc>
          <w:tcPr>
            <w:tcW w:w="1455" w:type="pct"/>
            <w:vMerge w:val="continue"/>
            <w:tcBorders>
              <w:tl2br w:val="nil"/>
              <w:tr2bl w:val="nil"/>
            </w:tcBorders>
            <w:vAlign w:val="center"/>
          </w:tcPr>
          <w:p w14:paraId="11F771A8">
            <w:pPr>
              <w:pStyle w:val="711"/>
              <w:rPr>
                <w:rFonts w:cs="Times New Roman"/>
                <w:color w:val="auto"/>
              </w:rPr>
            </w:pPr>
          </w:p>
        </w:tc>
        <w:tc>
          <w:tcPr>
            <w:tcW w:w="1859" w:type="pct"/>
            <w:tcBorders>
              <w:tl2br w:val="nil"/>
              <w:tr2bl w:val="nil"/>
            </w:tcBorders>
            <w:noWrap/>
            <w:vAlign w:val="center"/>
          </w:tcPr>
          <w:p w14:paraId="5CCFEF3B">
            <w:pPr>
              <w:pStyle w:val="711"/>
              <w:rPr>
                <w:rFonts w:cs="Times New Roman"/>
                <w:color w:val="auto"/>
              </w:rPr>
            </w:pPr>
            <w:r>
              <w:rPr>
                <w:rFonts w:cs="Times New Roman"/>
                <w:color w:val="auto"/>
              </w:rPr>
              <w:t>2.0673～2.939</w:t>
            </w:r>
          </w:p>
        </w:tc>
        <w:tc>
          <w:tcPr>
            <w:tcW w:w="780" w:type="pct"/>
            <w:tcBorders>
              <w:tl2br w:val="nil"/>
              <w:tr2bl w:val="nil"/>
            </w:tcBorders>
            <w:noWrap/>
            <w:vAlign w:val="center"/>
          </w:tcPr>
          <w:p w14:paraId="301982ED">
            <w:pPr>
              <w:pStyle w:val="711"/>
              <w:rPr>
                <w:rFonts w:cs="Times New Roman"/>
                <w:color w:val="auto"/>
              </w:rPr>
            </w:pPr>
            <w:r>
              <w:rPr>
                <w:rFonts w:cs="Times New Roman"/>
                <w:color w:val="auto"/>
              </w:rPr>
              <w:t>6</w:t>
            </w:r>
          </w:p>
        </w:tc>
      </w:tr>
      <w:tr w14:paraId="72B25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DCBA3CE">
            <w:pPr>
              <w:pStyle w:val="711"/>
              <w:rPr>
                <w:rFonts w:cs="Times New Roman"/>
                <w:color w:val="auto"/>
              </w:rPr>
            </w:pPr>
          </w:p>
        </w:tc>
        <w:tc>
          <w:tcPr>
            <w:tcW w:w="1455" w:type="pct"/>
            <w:vMerge w:val="continue"/>
            <w:tcBorders>
              <w:tl2br w:val="nil"/>
              <w:tr2bl w:val="nil"/>
            </w:tcBorders>
            <w:vAlign w:val="center"/>
          </w:tcPr>
          <w:p w14:paraId="4857DD51">
            <w:pPr>
              <w:pStyle w:val="711"/>
              <w:rPr>
                <w:rFonts w:cs="Times New Roman"/>
                <w:color w:val="auto"/>
              </w:rPr>
            </w:pPr>
          </w:p>
        </w:tc>
        <w:tc>
          <w:tcPr>
            <w:tcW w:w="1859" w:type="pct"/>
            <w:tcBorders>
              <w:tl2br w:val="nil"/>
              <w:tr2bl w:val="nil"/>
            </w:tcBorders>
            <w:shd w:val="clear" w:color="auto" w:fill="A5A5A5" w:themeFill="background1" w:themeFillShade="A6"/>
            <w:noWrap/>
            <w:vAlign w:val="center"/>
          </w:tcPr>
          <w:p w14:paraId="6DD25134">
            <w:pPr>
              <w:pStyle w:val="711"/>
              <w:rPr>
                <w:rFonts w:cs="Times New Roman"/>
                <w:color w:val="auto"/>
              </w:rPr>
            </w:pPr>
            <w:r>
              <w:rPr>
                <w:rFonts w:cs="Times New Roman"/>
                <w:color w:val="auto"/>
              </w:rPr>
              <w:t>3.9012～9.8311</w:t>
            </w:r>
          </w:p>
        </w:tc>
        <w:tc>
          <w:tcPr>
            <w:tcW w:w="780" w:type="pct"/>
            <w:tcBorders>
              <w:tl2br w:val="nil"/>
              <w:tr2bl w:val="nil"/>
            </w:tcBorders>
            <w:shd w:val="clear" w:color="auto" w:fill="A5A5A5" w:themeFill="background1" w:themeFillShade="A6"/>
            <w:noWrap/>
            <w:vAlign w:val="center"/>
          </w:tcPr>
          <w:p w14:paraId="38821D7F">
            <w:pPr>
              <w:pStyle w:val="711"/>
              <w:rPr>
                <w:rFonts w:cs="Times New Roman"/>
                <w:color w:val="auto"/>
              </w:rPr>
            </w:pPr>
            <w:r>
              <w:rPr>
                <w:rFonts w:cs="Times New Roman"/>
                <w:color w:val="auto"/>
              </w:rPr>
              <w:t>8</w:t>
            </w:r>
          </w:p>
        </w:tc>
      </w:tr>
      <w:tr w14:paraId="14CF8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DBF7888">
            <w:pPr>
              <w:pStyle w:val="711"/>
              <w:rPr>
                <w:rFonts w:cs="Times New Roman"/>
                <w:color w:val="auto"/>
              </w:rPr>
            </w:pPr>
          </w:p>
        </w:tc>
        <w:tc>
          <w:tcPr>
            <w:tcW w:w="1455" w:type="pct"/>
            <w:vMerge w:val="continue"/>
            <w:tcBorders>
              <w:tl2br w:val="nil"/>
              <w:tr2bl w:val="nil"/>
            </w:tcBorders>
            <w:vAlign w:val="center"/>
          </w:tcPr>
          <w:p w14:paraId="757FDC15">
            <w:pPr>
              <w:pStyle w:val="711"/>
              <w:rPr>
                <w:rFonts w:cs="Times New Roman"/>
                <w:color w:val="auto"/>
              </w:rPr>
            </w:pPr>
          </w:p>
        </w:tc>
        <w:tc>
          <w:tcPr>
            <w:tcW w:w="1859" w:type="pct"/>
            <w:tcBorders>
              <w:tl2br w:val="nil"/>
              <w:tr2bl w:val="nil"/>
            </w:tcBorders>
            <w:noWrap/>
            <w:vAlign w:val="center"/>
          </w:tcPr>
          <w:p w14:paraId="452B1A4C">
            <w:pPr>
              <w:pStyle w:val="711"/>
              <w:rPr>
                <w:rFonts w:cs="Times New Roman"/>
                <w:color w:val="auto"/>
              </w:rPr>
            </w:pPr>
            <w:r>
              <w:rPr>
                <w:rFonts w:cs="Times New Roman"/>
                <w:color w:val="auto"/>
              </w:rPr>
              <w:t>12.8469～17.2465</w:t>
            </w:r>
          </w:p>
        </w:tc>
        <w:tc>
          <w:tcPr>
            <w:tcW w:w="780" w:type="pct"/>
            <w:tcBorders>
              <w:tl2br w:val="nil"/>
              <w:tr2bl w:val="nil"/>
            </w:tcBorders>
            <w:noWrap/>
            <w:vAlign w:val="center"/>
          </w:tcPr>
          <w:p w14:paraId="219CBB70">
            <w:pPr>
              <w:pStyle w:val="711"/>
              <w:rPr>
                <w:rFonts w:cs="Times New Roman"/>
                <w:color w:val="auto"/>
              </w:rPr>
            </w:pPr>
            <w:r>
              <w:rPr>
                <w:rFonts w:cs="Times New Roman"/>
                <w:color w:val="auto"/>
              </w:rPr>
              <w:t>3</w:t>
            </w:r>
          </w:p>
        </w:tc>
      </w:tr>
      <w:tr w14:paraId="7A679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93163AB">
            <w:pPr>
              <w:pStyle w:val="711"/>
              <w:rPr>
                <w:rFonts w:cs="Times New Roman"/>
                <w:color w:val="auto"/>
              </w:rPr>
            </w:pPr>
          </w:p>
        </w:tc>
        <w:tc>
          <w:tcPr>
            <w:tcW w:w="1455" w:type="pct"/>
            <w:vMerge w:val="continue"/>
            <w:tcBorders>
              <w:tl2br w:val="nil"/>
              <w:tr2bl w:val="nil"/>
            </w:tcBorders>
            <w:vAlign w:val="center"/>
          </w:tcPr>
          <w:p w14:paraId="76C9A149">
            <w:pPr>
              <w:pStyle w:val="711"/>
              <w:rPr>
                <w:rFonts w:cs="Times New Roman"/>
                <w:color w:val="auto"/>
              </w:rPr>
            </w:pPr>
          </w:p>
        </w:tc>
        <w:tc>
          <w:tcPr>
            <w:tcW w:w="1859" w:type="pct"/>
            <w:tcBorders>
              <w:tl2br w:val="nil"/>
              <w:tr2bl w:val="nil"/>
            </w:tcBorders>
            <w:noWrap/>
            <w:vAlign w:val="center"/>
          </w:tcPr>
          <w:p w14:paraId="303D6BA0">
            <w:pPr>
              <w:pStyle w:val="711"/>
              <w:rPr>
                <w:rFonts w:cs="Times New Roman"/>
                <w:color w:val="auto"/>
              </w:rPr>
            </w:pPr>
            <w:r>
              <w:rPr>
                <w:rFonts w:cs="Times New Roman"/>
                <w:color w:val="auto"/>
              </w:rPr>
              <w:t>99.5405～153.7801</w:t>
            </w:r>
          </w:p>
        </w:tc>
        <w:tc>
          <w:tcPr>
            <w:tcW w:w="780" w:type="pct"/>
            <w:tcBorders>
              <w:tl2br w:val="nil"/>
              <w:tr2bl w:val="nil"/>
            </w:tcBorders>
            <w:noWrap/>
            <w:vAlign w:val="center"/>
          </w:tcPr>
          <w:p w14:paraId="3F56A793">
            <w:pPr>
              <w:pStyle w:val="711"/>
              <w:rPr>
                <w:rFonts w:cs="Times New Roman"/>
                <w:color w:val="auto"/>
              </w:rPr>
            </w:pPr>
            <w:r>
              <w:rPr>
                <w:rFonts w:cs="Times New Roman"/>
                <w:color w:val="auto"/>
              </w:rPr>
              <w:t>2</w:t>
            </w:r>
          </w:p>
        </w:tc>
      </w:tr>
      <w:tr w14:paraId="7849B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2818C6D">
            <w:pPr>
              <w:pStyle w:val="711"/>
              <w:rPr>
                <w:rFonts w:cs="Times New Roman"/>
                <w:color w:val="auto"/>
              </w:rPr>
            </w:pPr>
          </w:p>
        </w:tc>
        <w:tc>
          <w:tcPr>
            <w:tcW w:w="1455" w:type="pct"/>
            <w:vMerge w:val="restart"/>
            <w:tcBorders>
              <w:tl2br w:val="nil"/>
              <w:tr2bl w:val="nil"/>
            </w:tcBorders>
            <w:noWrap/>
            <w:vAlign w:val="center"/>
          </w:tcPr>
          <w:p w14:paraId="6EF513AD">
            <w:pPr>
              <w:pStyle w:val="711"/>
              <w:rPr>
                <w:rFonts w:cs="Times New Roman"/>
                <w:color w:val="auto"/>
              </w:rPr>
            </w:pPr>
            <w:r>
              <w:rPr>
                <w:rFonts w:cs="Times New Roman"/>
                <w:color w:val="auto"/>
              </w:rPr>
              <w:t>100－1000m</w:t>
            </w:r>
          </w:p>
        </w:tc>
        <w:tc>
          <w:tcPr>
            <w:tcW w:w="1859" w:type="pct"/>
            <w:tcBorders>
              <w:tl2br w:val="nil"/>
              <w:tr2bl w:val="nil"/>
            </w:tcBorders>
            <w:noWrap/>
            <w:vAlign w:val="center"/>
          </w:tcPr>
          <w:p w14:paraId="4B00CB35">
            <w:pPr>
              <w:pStyle w:val="711"/>
              <w:rPr>
                <w:rFonts w:cs="Times New Roman"/>
                <w:color w:val="auto"/>
              </w:rPr>
            </w:pPr>
            <w:r>
              <w:rPr>
                <w:rFonts w:cs="Times New Roman"/>
                <w:color w:val="auto"/>
              </w:rPr>
              <w:t>1～1.0083</w:t>
            </w:r>
          </w:p>
        </w:tc>
        <w:tc>
          <w:tcPr>
            <w:tcW w:w="780" w:type="pct"/>
            <w:tcBorders>
              <w:tl2br w:val="nil"/>
              <w:tr2bl w:val="nil"/>
            </w:tcBorders>
            <w:noWrap/>
            <w:vAlign w:val="center"/>
          </w:tcPr>
          <w:p w14:paraId="788097BA">
            <w:pPr>
              <w:pStyle w:val="711"/>
              <w:rPr>
                <w:rFonts w:cs="Times New Roman"/>
                <w:color w:val="auto"/>
              </w:rPr>
            </w:pPr>
            <w:r>
              <w:rPr>
                <w:rFonts w:cs="Times New Roman"/>
                <w:color w:val="auto"/>
              </w:rPr>
              <w:t>2</w:t>
            </w:r>
          </w:p>
        </w:tc>
      </w:tr>
      <w:tr w14:paraId="4318F0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EABF9D2">
            <w:pPr>
              <w:pStyle w:val="711"/>
              <w:rPr>
                <w:rFonts w:cs="Times New Roman"/>
                <w:color w:val="auto"/>
              </w:rPr>
            </w:pPr>
          </w:p>
        </w:tc>
        <w:tc>
          <w:tcPr>
            <w:tcW w:w="1455" w:type="pct"/>
            <w:vMerge w:val="continue"/>
            <w:tcBorders>
              <w:tl2br w:val="nil"/>
              <w:tr2bl w:val="nil"/>
            </w:tcBorders>
            <w:vAlign w:val="center"/>
          </w:tcPr>
          <w:p w14:paraId="669BB30C">
            <w:pPr>
              <w:pStyle w:val="711"/>
              <w:rPr>
                <w:rFonts w:cs="Times New Roman"/>
                <w:color w:val="auto"/>
              </w:rPr>
            </w:pPr>
          </w:p>
        </w:tc>
        <w:tc>
          <w:tcPr>
            <w:tcW w:w="1859" w:type="pct"/>
            <w:tcBorders>
              <w:tl2br w:val="nil"/>
              <w:tr2bl w:val="nil"/>
            </w:tcBorders>
            <w:shd w:val="clear" w:color="auto" w:fill="auto"/>
            <w:noWrap/>
            <w:vAlign w:val="center"/>
          </w:tcPr>
          <w:p w14:paraId="7E30B151">
            <w:pPr>
              <w:pStyle w:val="711"/>
              <w:rPr>
                <w:rFonts w:cs="Times New Roman"/>
                <w:color w:val="auto"/>
              </w:rPr>
            </w:pPr>
            <w:r>
              <w:rPr>
                <w:rFonts w:cs="Times New Roman"/>
                <w:color w:val="auto"/>
              </w:rPr>
              <w:t>6.9936～8.4898</w:t>
            </w:r>
          </w:p>
        </w:tc>
        <w:tc>
          <w:tcPr>
            <w:tcW w:w="780" w:type="pct"/>
            <w:tcBorders>
              <w:tl2br w:val="nil"/>
              <w:tr2bl w:val="nil"/>
            </w:tcBorders>
            <w:shd w:val="clear" w:color="auto" w:fill="auto"/>
            <w:noWrap/>
            <w:vAlign w:val="center"/>
          </w:tcPr>
          <w:p w14:paraId="2D0F6816">
            <w:pPr>
              <w:pStyle w:val="711"/>
              <w:rPr>
                <w:rFonts w:cs="Times New Roman"/>
                <w:color w:val="auto"/>
              </w:rPr>
            </w:pPr>
            <w:r>
              <w:rPr>
                <w:rFonts w:cs="Times New Roman"/>
                <w:color w:val="auto"/>
              </w:rPr>
              <w:t>3</w:t>
            </w:r>
          </w:p>
        </w:tc>
      </w:tr>
      <w:tr w14:paraId="66A58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EE1909F">
            <w:pPr>
              <w:pStyle w:val="711"/>
              <w:rPr>
                <w:rFonts w:cs="Times New Roman"/>
                <w:color w:val="auto"/>
              </w:rPr>
            </w:pPr>
          </w:p>
        </w:tc>
        <w:tc>
          <w:tcPr>
            <w:tcW w:w="1455" w:type="pct"/>
            <w:vMerge w:val="continue"/>
            <w:tcBorders>
              <w:tl2br w:val="nil"/>
              <w:tr2bl w:val="nil"/>
            </w:tcBorders>
            <w:vAlign w:val="center"/>
          </w:tcPr>
          <w:p w14:paraId="1E75E986">
            <w:pPr>
              <w:pStyle w:val="711"/>
              <w:rPr>
                <w:rFonts w:cs="Times New Roman"/>
                <w:color w:val="auto"/>
              </w:rPr>
            </w:pPr>
          </w:p>
        </w:tc>
        <w:tc>
          <w:tcPr>
            <w:tcW w:w="1859" w:type="pct"/>
            <w:tcBorders>
              <w:tl2br w:val="nil"/>
              <w:tr2bl w:val="nil"/>
            </w:tcBorders>
            <w:shd w:val="clear" w:color="auto" w:fill="auto"/>
            <w:noWrap/>
            <w:vAlign w:val="center"/>
          </w:tcPr>
          <w:p w14:paraId="2C8C7147">
            <w:pPr>
              <w:pStyle w:val="711"/>
              <w:rPr>
                <w:rFonts w:cs="Times New Roman"/>
                <w:color w:val="auto"/>
              </w:rPr>
            </w:pPr>
            <w:r>
              <w:rPr>
                <w:rFonts w:cs="Times New Roman"/>
                <w:color w:val="auto"/>
              </w:rPr>
              <w:t>10.3705～18.4247</w:t>
            </w:r>
          </w:p>
        </w:tc>
        <w:tc>
          <w:tcPr>
            <w:tcW w:w="780" w:type="pct"/>
            <w:tcBorders>
              <w:tl2br w:val="nil"/>
              <w:tr2bl w:val="nil"/>
            </w:tcBorders>
            <w:shd w:val="clear" w:color="auto" w:fill="auto"/>
            <w:noWrap/>
            <w:vAlign w:val="center"/>
          </w:tcPr>
          <w:p w14:paraId="22E28218">
            <w:pPr>
              <w:pStyle w:val="711"/>
              <w:rPr>
                <w:rFonts w:cs="Times New Roman"/>
                <w:color w:val="auto"/>
              </w:rPr>
            </w:pPr>
            <w:r>
              <w:rPr>
                <w:rFonts w:cs="Times New Roman"/>
                <w:color w:val="auto"/>
              </w:rPr>
              <w:t>4</w:t>
            </w:r>
          </w:p>
        </w:tc>
      </w:tr>
      <w:tr w14:paraId="7382A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78FD888">
            <w:pPr>
              <w:pStyle w:val="711"/>
              <w:rPr>
                <w:rFonts w:cs="Times New Roman"/>
                <w:color w:val="auto"/>
              </w:rPr>
            </w:pPr>
          </w:p>
        </w:tc>
        <w:tc>
          <w:tcPr>
            <w:tcW w:w="1455" w:type="pct"/>
            <w:vMerge w:val="continue"/>
            <w:tcBorders>
              <w:tl2br w:val="nil"/>
              <w:tr2bl w:val="nil"/>
            </w:tcBorders>
            <w:vAlign w:val="center"/>
          </w:tcPr>
          <w:p w14:paraId="6472C9A6">
            <w:pPr>
              <w:pStyle w:val="711"/>
              <w:rPr>
                <w:rFonts w:cs="Times New Roman"/>
                <w:color w:val="auto"/>
              </w:rPr>
            </w:pPr>
          </w:p>
        </w:tc>
        <w:tc>
          <w:tcPr>
            <w:tcW w:w="1859" w:type="pct"/>
            <w:tcBorders>
              <w:tl2br w:val="nil"/>
              <w:tr2bl w:val="nil"/>
            </w:tcBorders>
            <w:noWrap/>
            <w:vAlign w:val="center"/>
          </w:tcPr>
          <w:p w14:paraId="22AEC2E4">
            <w:pPr>
              <w:pStyle w:val="711"/>
              <w:rPr>
                <w:rFonts w:cs="Times New Roman"/>
                <w:color w:val="auto"/>
              </w:rPr>
            </w:pPr>
            <w:r>
              <w:rPr>
                <w:rFonts w:cs="Times New Roman"/>
                <w:color w:val="auto"/>
              </w:rPr>
              <w:t>32.1292～48.0286</w:t>
            </w:r>
          </w:p>
        </w:tc>
        <w:tc>
          <w:tcPr>
            <w:tcW w:w="780" w:type="pct"/>
            <w:tcBorders>
              <w:tl2br w:val="nil"/>
              <w:tr2bl w:val="nil"/>
            </w:tcBorders>
            <w:noWrap/>
            <w:vAlign w:val="center"/>
          </w:tcPr>
          <w:p w14:paraId="257779A6">
            <w:pPr>
              <w:pStyle w:val="711"/>
              <w:rPr>
                <w:rFonts w:cs="Times New Roman"/>
                <w:color w:val="auto"/>
              </w:rPr>
            </w:pPr>
            <w:r>
              <w:rPr>
                <w:rFonts w:cs="Times New Roman"/>
                <w:color w:val="auto"/>
              </w:rPr>
              <w:t>3</w:t>
            </w:r>
          </w:p>
        </w:tc>
      </w:tr>
      <w:tr w14:paraId="361B5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5528975">
            <w:pPr>
              <w:pStyle w:val="711"/>
              <w:rPr>
                <w:rFonts w:cs="Times New Roman"/>
                <w:color w:val="auto"/>
              </w:rPr>
            </w:pPr>
          </w:p>
        </w:tc>
        <w:tc>
          <w:tcPr>
            <w:tcW w:w="1455" w:type="pct"/>
            <w:vMerge w:val="continue"/>
            <w:tcBorders>
              <w:tl2br w:val="nil"/>
              <w:tr2bl w:val="nil"/>
            </w:tcBorders>
            <w:vAlign w:val="center"/>
          </w:tcPr>
          <w:p w14:paraId="7A704F5A">
            <w:pPr>
              <w:pStyle w:val="711"/>
              <w:rPr>
                <w:rFonts w:cs="Times New Roman"/>
                <w:color w:val="auto"/>
              </w:rPr>
            </w:pPr>
          </w:p>
        </w:tc>
        <w:tc>
          <w:tcPr>
            <w:tcW w:w="1859" w:type="pct"/>
            <w:tcBorders>
              <w:tl2br w:val="nil"/>
              <w:tr2bl w:val="nil"/>
            </w:tcBorders>
            <w:noWrap/>
            <w:vAlign w:val="center"/>
          </w:tcPr>
          <w:p w14:paraId="41A127A8">
            <w:pPr>
              <w:pStyle w:val="711"/>
              <w:rPr>
                <w:rFonts w:cs="Times New Roman"/>
                <w:color w:val="auto"/>
              </w:rPr>
            </w:pPr>
            <w:r>
              <w:rPr>
                <w:rFonts w:cs="Times New Roman"/>
                <w:color w:val="auto"/>
              </w:rPr>
              <w:t>134.152～169.9417</w:t>
            </w:r>
          </w:p>
        </w:tc>
        <w:tc>
          <w:tcPr>
            <w:tcW w:w="780" w:type="pct"/>
            <w:tcBorders>
              <w:tl2br w:val="nil"/>
              <w:tr2bl w:val="nil"/>
            </w:tcBorders>
            <w:noWrap/>
            <w:vAlign w:val="center"/>
          </w:tcPr>
          <w:p w14:paraId="5E7B2A87">
            <w:pPr>
              <w:pStyle w:val="711"/>
              <w:rPr>
                <w:rFonts w:cs="Times New Roman"/>
                <w:color w:val="auto"/>
              </w:rPr>
            </w:pPr>
            <w:r>
              <w:rPr>
                <w:rFonts w:cs="Times New Roman"/>
                <w:color w:val="auto"/>
              </w:rPr>
              <w:t>2</w:t>
            </w:r>
          </w:p>
        </w:tc>
      </w:tr>
      <w:tr w14:paraId="7D498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noWrap/>
            <w:vAlign w:val="center"/>
          </w:tcPr>
          <w:p w14:paraId="51CCCEAE">
            <w:pPr>
              <w:pStyle w:val="711"/>
              <w:rPr>
                <w:rFonts w:cs="Times New Roman"/>
                <w:color w:val="auto"/>
              </w:rPr>
            </w:pPr>
            <w:r>
              <w:rPr>
                <w:rFonts w:cs="Times New Roman"/>
                <w:color w:val="auto"/>
              </w:rPr>
              <w:t>裂隙介质</w:t>
            </w:r>
          </w:p>
        </w:tc>
        <w:tc>
          <w:tcPr>
            <w:tcW w:w="1455" w:type="pct"/>
            <w:tcBorders>
              <w:tl2br w:val="nil"/>
              <w:tr2bl w:val="nil"/>
            </w:tcBorders>
            <w:noWrap/>
            <w:vAlign w:val="center"/>
          </w:tcPr>
          <w:p w14:paraId="3921B916">
            <w:pPr>
              <w:pStyle w:val="711"/>
              <w:rPr>
                <w:rFonts w:cs="Times New Roman"/>
                <w:color w:val="auto"/>
              </w:rPr>
            </w:pPr>
            <w:r>
              <w:rPr>
                <w:rFonts w:cs="Times New Roman"/>
                <w:color w:val="auto"/>
              </w:rPr>
              <w:t>1－10m</w:t>
            </w:r>
          </w:p>
        </w:tc>
        <w:tc>
          <w:tcPr>
            <w:tcW w:w="1859" w:type="pct"/>
            <w:tcBorders>
              <w:tl2br w:val="nil"/>
              <w:tr2bl w:val="nil"/>
            </w:tcBorders>
            <w:noWrap/>
            <w:vAlign w:val="center"/>
          </w:tcPr>
          <w:p w14:paraId="5DC64C98">
            <w:pPr>
              <w:pStyle w:val="711"/>
              <w:rPr>
                <w:rFonts w:cs="Times New Roman"/>
                <w:color w:val="auto"/>
              </w:rPr>
            </w:pPr>
            <w:r>
              <w:rPr>
                <w:rFonts w:cs="Times New Roman"/>
                <w:color w:val="auto"/>
              </w:rPr>
              <w:t>1.0508～3.0683</w:t>
            </w:r>
          </w:p>
        </w:tc>
        <w:tc>
          <w:tcPr>
            <w:tcW w:w="780" w:type="pct"/>
            <w:tcBorders>
              <w:tl2br w:val="nil"/>
              <w:tr2bl w:val="nil"/>
            </w:tcBorders>
            <w:noWrap/>
            <w:vAlign w:val="center"/>
          </w:tcPr>
          <w:p w14:paraId="1B7547A0">
            <w:pPr>
              <w:pStyle w:val="711"/>
              <w:rPr>
                <w:rFonts w:cs="Times New Roman"/>
                <w:color w:val="auto"/>
              </w:rPr>
            </w:pPr>
            <w:r>
              <w:rPr>
                <w:rFonts w:cs="Times New Roman"/>
                <w:color w:val="auto"/>
              </w:rPr>
              <w:t>2</w:t>
            </w:r>
          </w:p>
        </w:tc>
      </w:tr>
      <w:tr w14:paraId="131B0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08EEE33D">
            <w:pPr>
              <w:pStyle w:val="711"/>
              <w:rPr>
                <w:rFonts w:cs="Times New Roman"/>
                <w:color w:val="auto"/>
              </w:rPr>
            </w:pPr>
          </w:p>
        </w:tc>
        <w:tc>
          <w:tcPr>
            <w:tcW w:w="1455" w:type="pct"/>
            <w:vMerge w:val="restart"/>
            <w:tcBorders>
              <w:tl2br w:val="nil"/>
              <w:tr2bl w:val="nil"/>
            </w:tcBorders>
            <w:noWrap/>
            <w:vAlign w:val="center"/>
          </w:tcPr>
          <w:p w14:paraId="4F90517C">
            <w:pPr>
              <w:pStyle w:val="711"/>
              <w:rPr>
                <w:rFonts w:cs="Times New Roman"/>
                <w:color w:val="auto"/>
              </w:rPr>
            </w:pPr>
            <w:r>
              <w:rPr>
                <w:rFonts w:cs="Times New Roman"/>
                <w:color w:val="auto"/>
              </w:rPr>
              <w:t>10－100m</w:t>
            </w:r>
          </w:p>
        </w:tc>
        <w:tc>
          <w:tcPr>
            <w:tcW w:w="1859" w:type="pct"/>
            <w:tcBorders>
              <w:tl2br w:val="nil"/>
              <w:tr2bl w:val="nil"/>
            </w:tcBorders>
            <w:shd w:val="clear" w:color="auto" w:fill="A5A5A5" w:themeFill="background1" w:themeFillShade="A6"/>
            <w:noWrap/>
            <w:vAlign w:val="center"/>
          </w:tcPr>
          <w:p w14:paraId="6E92CFF8">
            <w:pPr>
              <w:pStyle w:val="711"/>
              <w:rPr>
                <w:rFonts w:cs="Times New Roman"/>
                <w:color w:val="auto"/>
              </w:rPr>
            </w:pPr>
            <w:r>
              <w:rPr>
                <w:rFonts w:cs="Times New Roman"/>
                <w:color w:val="auto"/>
              </w:rPr>
              <w:t>2.0917～5.1098</w:t>
            </w:r>
          </w:p>
        </w:tc>
        <w:tc>
          <w:tcPr>
            <w:tcW w:w="780" w:type="pct"/>
            <w:tcBorders>
              <w:tl2br w:val="nil"/>
              <w:tr2bl w:val="nil"/>
            </w:tcBorders>
            <w:shd w:val="clear" w:color="auto" w:fill="A5A5A5" w:themeFill="background1" w:themeFillShade="A6"/>
            <w:noWrap/>
            <w:vAlign w:val="center"/>
          </w:tcPr>
          <w:p w14:paraId="114159B4">
            <w:pPr>
              <w:pStyle w:val="711"/>
              <w:rPr>
                <w:rFonts w:cs="Times New Roman"/>
                <w:color w:val="auto"/>
              </w:rPr>
            </w:pPr>
            <w:r>
              <w:rPr>
                <w:rFonts w:cs="Times New Roman"/>
                <w:color w:val="auto"/>
              </w:rPr>
              <w:t>2</w:t>
            </w:r>
          </w:p>
        </w:tc>
      </w:tr>
      <w:tr w14:paraId="34013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0E8AEEAB">
            <w:pPr>
              <w:pStyle w:val="711"/>
              <w:rPr>
                <w:rFonts w:cs="Times New Roman"/>
                <w:color w:val="auto"/>
              </w:rPr>
            </w:pPr>
          </w:p>
        </w:tc>
        <w:tc>
          <w:tcPr>
            <w:tcW w:w="1455" w:type="pct"/>
            <w:vMerge w:val="continue"/>
            <w:tcBorders>
              <w:tl2br w:val="nil"/>
              <w:tr2bl w:val="nil"/>
            </w:tcBorders>
            <w:vAlign w:val="center"/>
          </w:tcPr>
          <w:p w14:paraId="02F2CE3F">
            <w:pPr>
              <w:pStyle w:val="711"/>
              <w:rPr>
                <w:rFonts w:cs="Times New Roman"/>
                <w:color w:val="auto"/>
              </w:rPr>
            </w:pPr>
          </w:p>
        </w:tc>
        <w:tc>
          <w:tcPr>
            <w:tcW w:w="1859" w:type="pct"/>
            <w:tcBorders>
              <w:tl2br w:val="nil"/>
              <w:tr2bl w:val="nil"/>
            </w:tcBorders>
            <w:shd w:val="clear" w:color="auto" w:fill="auto"/>
            <w:noWrap/>
            <w:vAlign w:val="center"/>
          </w:tcPr>
          <w:p w14:paraId="37DEFC3D">
            <w:pPr>
              <w:pStyle w:val="711"/>
              <w:rPr>
                <w:rFonts w:cs="Times New Roman"/>
                <w:color w:val="auto"/>
              </w:rPr>
            </w:pPr>
            <w:r>
              <w:rPr>
                <w:rFonts w:cs="Times New Roman"/>
                <w:color w:val="auto"/>
              </w:rPr>
              <w:t>10.1836～17.9061</w:t>
            </w:r>
          </w:p>
        </w:tc>
        <w:tc>
          <w:tcPr>
            <w:tcW w:w="780" w:type="pct"/>
            <w:tcBorders>
              <w:tl2br w:val="nil"/>
              <w:tr2bl w:val="nil"/>
            </w:tcBorders>
            <w:shd w:val="clear" w:color="auto" w:fill="auto"/>
            <w:noWrap/>
            <w:vAlign w:val="center"/>
          </w:tcPr>
          <w:p w14:paraId="007F703B">
            <w:pPr>
              <w:pStyle w:val="711"/>
              <w:rPr>
                <w:rFonts w:cs="Times New Roman"/>
                <w:color w:val="auto"/>
              </w:rPr>
            </w:pPr>
            <w:r>
              <w:rPr>
                <w:rFonts w:cs="Times New Roman"/>
                <w:color w:val="auto"/>
              </w:rPr>
              <w:t>4</w:t>
            </w:r>
          </w:p>
        </w:tc>
      </w:tr>
      <w:tr w14:paraId="3369A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DAE14C9">
            <w:pPr>
              <w:pStyle w:val="711"/>
              <w:rPr>
                <w:rFonts w:cs="Times New Roman"/>
                <w:color w:val="auto"/>
              </w:rPr>
            </w:pPr>
          </w:p>
        </w:tc>
        <w:tc>
          <w:tcPr>
            <w:tcW w:w="1455" w:type="pct"/>
            <w:vMerge w:val="continue"/>
            <w:tcBorders>
              <w:tl2br w:val="nil"/>
              <w:tr2bl w:val="nil"/>
            </w:tcBorders>
            <w:vAlign w:val="center"/>
          </w:tcPr>
          <w:p w14:paraId="0A602FCA">
            <w:pPr>
              <w:pStyle w:val="711"/>
              <w:rPr>
                <w:rFonts w:cs="Times New Roman"/>
                <w:color w:val="auto"/>
              </w:rPr>
            </w:pPr>
          </w:p>
        </w:tc>
        <w:tc>
          <w:tcPr>
            <w:tcW w:w="1859" w:type="pct"/>
            <w:tcBorders>
              <w:tl2br w:val="nil"/>
              <w:tr2bl w:val="nil"/>
            </w:tcBorders>
            <w:noWrap/>
            <w:vAlign w:val="center"/>
          </w:tcPr>
          <w:p w14:paraId="2715FC2A">
            <w:pPr>
              <w:pStyle w:val="711"/>
              <w:rPr>
                <w:rFonts w:cs="Times New Roman"/>
                <w:color w:val="auto"/>
              </w:rPr>
            </w:pPr>
            <w:r>
              <w:rPr>
                <w:rFonts w:cs="Times New Roman"/>
                <w:color w:val="auto"/>
              </w:rPr>
              <w:t>30.7468～60.8415</w:t>
            </w:r>
          </w:p>
        </w:tc>
        <w:tc>
          <w:tcPr>
            <w:tcW w:w="780" w:type="pct"/>
            <w:tcBorders>
              <w:tl2br w:val="nil"/>
              <w:tr2bl w:val="nil"/>
            </w:tcBorders>
            <w:noWrap/>
            <w:vAlign w:val="center"/>
          </w:tcPr>
          <w:p w14:paraId="117793B1">
            <w:pPr>
              <w:pStyle w:val="711"/>
              <w:rPr>
                <w:rFonts w:cs="Times New Roman"/>
                <w:color w:val="auto"/>
              </w:rPr>
            </w:pPr>
            <w:r>
              <w:rPr>
                <w:rFonts w:cs="Times New Roman"/>
                <w:color w:val="auto"/>
              </w:rPr>
              <w:t>2</w:t>
            </w:r>
          </w:p>
        </w:tc>
      </w:tr>
      <w:tr w14:paraId="10373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63FB46A">
            <w:pPr>
              <w:pStyle w:val="711"/>
              <w:rPr>
                <w:rFonts w:cs="Times New Roman"/>
                <w:color w:val="auto"/>
              </w:rPr>
            </w:pPr>
          </w:p>
        </w:tc>
        <w:tc>
          <w:tcPr>
            <w:tcW w:w="1455" w:type="pct"/>
            <w:vMerge w:val="restart"/>
            <w:tcBorders>
              <w:tl2br w:val="nil"/>
              <w:tr2bl w:val="nil"/>
            </w:tcBorders>
            <w:noWrap/>
            <w:vAlign w:val="center"/>
          </w:tcPr>
          <w:p w14:paraId="04F94182">
            <w:pPr>
              <w:pStyle w:val="711"/>
              <w:rPr>
                <w:rFonts w:cs="Times New Roman"/>
                <w:color w:val="auto"/>
              </w:rPr>
            </w:pPr>
            <w:r>
              <w:rPr>
                <w:rFonts w:cs="Times New Roman"/>
                <w:color w:val="auto"/>
              </w:rPr>
              <w:t>100－1000m</w:t>
            </w:r>
          </w:p>
        </w:tc>
        <w:tc>
          <w:tcPr>
            <w:tcW w:w="1859" w:type="pct"/>
            <w:tcBorders>
              <w:tl2br w:val="nil"/>
              <w:tr2bl w:val="nil"/>
            </w:tcBorders>
            <w:noWrap/>
            <w:vAlign w:val="center"/>
          </w:tcPr>
          <w:p w14:paraId="6952BED0">
            <w:pPr>
              <w:pStyle w:val="711"/>
              <w:rPr>
                <w:rFonts w:cs="Times New Roman"/>
                <w:color w:val="auto"/>
              </w:rPr>
            </w:pPr>
            <w:r>
              <w:rPr>
                <w:rFonts w:cs="Times New Roman"/>
                <w:color w:val="auto"/>
              </w:rPr>
              <w:t>5.43～12.517</w:t>
            </w:r>
          </w:p>
        </w:tc>
        <w:tc>
          <w:tcPr>
            <w:tcW w:w="780" w:type="pct"/>
            <w:tcBorders>
              <w:tl2br w:val="nil"/>
              <w:tr2bl w:val="nil"/>
            </w:tcBorders>
            <w:noWrap/>
            <w:vAlign w:val="center"/>
          </w:tcPr>
          <w:p w14:paraId="266F204F">
            <w:pPr>
              <w:pStyle w:val="711"/>
              <w:rPr>
                <w:rFonts w:cs="Times New Roman"/>
                <w:color w:val="auto"/>
              </w:rPr>
            </w:pPr>
            <w:r>
              <w:rPr>
                <w:rFonts w:cs="Times New Roman"/>
                <w:color w:val="auto"/>
              </w:rPr>
              <w:t>3</w:t>
            </w:r>
          </w:p>
        </w:tc>
      </w:tr>
      <w:tr w14:paraId="4A0F4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205F33E">
            <w:pPr>
              <w:pStyle w:val="711"/>
              <w:rPr>
                <w:rFonts w:cs="Times New Roman"/>
                <w:color w:val="auto"/>
              </w:rPr>
            </w:pPr>
          </w:p>
        </w:tc>
        <w:tc>
          <w:tcPr>
            <w:tcW w:w="1455" w:type="pct"/>
            <w:vMerge w:val="continue"/>
            <w:tcBorders>
              <w:tl2br w:val="nil"/>
              <w:tr2bl w:val="nil"/>
            </w:tcBorders>
            <w:vAlign w:val="center"/>
          </w:tcPr>
          <w:p w14:paraId="2951552F">
            <w:pPr>
              <w:pStyle w:val="711"/>
              <w:rPr>
                <w:rFonts w:cs="Times New Roman"/>
                <w:color w:val="auto"/>
              </w:rPr>
            </w:pPr>
          </w:p>
        </w:tc>
        <w:tc>
          <w:tcPr>
            <w:tcW w:w="1859" w:type="pct"/>
            <w:tcBorders>
              <w:tl2br w:val="nil"/>
              <w:tr2bl w:val="nil"/>
            </w:tcBorders>
            <w:noWrap/>
            <w:vAlign w:val="center"/>
          </w:tcPr>
          <w:p w14:paraId="303DC6BD">
            <w:pPr>
              <w:pStyle w:val="711"/>
              <w:rPr>
                <w:rFonts w:cs="Times New Roman"/>
                <w:color w:val="auto"/>
              </w:rPr>
            </w:pPr>
            <w:r>
              <w:rPr>
                <w:rFonts w:cs="Times New Roman"/>
                <w:color w:val="auto"/>
              </w:rPr>
              <w:t>101.00</w:t>
            </w:r>
          </w:p>
        </w:tc>
        <w:tc>
          <w:tcPr>
            <w:tcW w:w="780" w:type="pct"/>
            <w:tcBorders>
              <w:tl2br w:val="nil"/>
              <w:tr2bl w:val="nil"/>
            </w:tcBorders>
            <w:noWrap/>
            <w:vAlign w:val="center"/>
          </w:tcPr>
          <w:p w14:paraId="4CFE1242">
            <w:pPr>
              <w:pStyle w:val="711"/>
              <w:rPr>
                <w:rFonts w:cs="Times New Roman"/>
                <w:color w:val="auto"/>
              </w:rPr>
            </w:pPr>
            <w:r>
              <w:rPr>
                <w:rFonts w:cs="Times New Roman"/>
                <w:color w:val="auto"/>
              </w:rPr>
              <w:t>1</w:t>
            </w:r>
          </w:p>
        </w:tc>
      </w:tr>
    </w:tbl>
    <w:p w14:paraId="19FE7941">
      <w:pPr>
        <w:bidi w:val="0"/>
        <w:rPr>
          <w:rFonts w:hint="default" w:ascii="Times New Roman" w:hAnsi="Times New Roman" w:cs="Times New Roman"/>
          <w:color w:val="auto"/>
        </w:rPr>
      </w:pPr>
      <w:r>
        <w:rPr>
          <w:rFonts w:hint="default" w:ascii="Times New Roman" w:hAnsi="Times New Roman" w:cs="Times New Roman"/>
          <w:color w:val="auto"/>
        </w:rPr>
        <w:t>通过模型试算发现，本项目发生非正常状况，污染物在含水层中的迁移范围为10</w:t>
      </w:r>
      <w:r>
        <w:rPr>
          <w:rFonts w:hint="default" w:ascii="Times New Roman" w:hAnsi="Times New Roman" w:cs="Times New Roman"/>
          <w:color w:val="auto"/>
          <w:vertAlign w:val="superscript"/>
        </w:rPr>
        <w:t>1</w:t>
      </w:r>
      <w:r>
        <w:rPr>
          <w:rFonts w:hint="default" w:ascii="Times New Roman" w:hAnsi="Times New Roman" w:cs="Times New Roman"/>
          <w:color w:val="auto"/>
        </w:rPr>
        <w:t>～10</w:t>
      </w:r>
      <w:r>
        <w:rPr>
          <w:rFonts w:hint="default" w:ascii="Times New Roman" w:hAnsi="Times New Roman" w:cs="Times New Roman"/>
          <w:color w:val="auto"/>
          <w:vertAlign w:val="superscript"/>
        </w:rPr>
        <w:t>2</w:t>
      </w:r>
      <w:r>
        <w:rPr>
          <w:rFonts w:hint="default" w:ascii="Times New Roman" w:hAnsi="Times New Roman" w:cs="Times New Roman"/>
          <w:color w:val="auto"/>
        </w:rPr>
        <w:t>m量级，考虑污染物在松散岩类孔隙含水层介质的迁移尺度，依据表6.3-4，将模拟区第四系松散岩类含水层弥散度设置为9 m，裂隙含水层弥散度设置为5 m。</w:t>
      </w:r>
    </w:p>
    <w:p w14:paraId="070B3E1E">
      <w:pPr>
        <w:ind w:firstLine="480"/>
        <w:rPr>
          <w:rFonts w:hint="default" w:ascii="Times New Roman" w:hAnsi="Times New Roman" w:cs="Times New Roman"/>
          <w:color w:val="auto"/>
        </w:rPr>
      </w:pPr>
      <w:r>
        <w:rPr>
          <w:rFonts w:hint="default" w:ascii="Times New Roman" w:hAnsi="Times New Roman" w:cs="Times New Roman"/>
          <w:color w:val="auto"/>
        </w:rPr>
        <w:t>根据渗流场数值模拟结果，第四系松散岩类含水层渗流速度约为0.93 m/d，其纵向弥散系数取8.37 m</w:t>
      </w:r>
      <w:r>
        <w:rPr>
          <w:rFonts w:hint="default" w:ascii="Times New Roman" w:hAnsi="Times New Roman" w:cs="Times New Roman"/>
          <w:color w:val="auto"/>
          <w:vertAlign w:val="superscript"/>
        </w:rPr>
        <w:t>2</w:t>
      </w:r>
      <w:r>
        <w:rPr>
          <w:rFonts w:hint="default" w:ascii="Times New Roman" w:hAnsi="Times New Roman" w:cs="Times New Roman"/>
          <w:color w:val="auto"/>
        </w:rPr>
        <w:t>/d；裂隙含水层渗流速度约为0.52 m/d，其纵向弥散系数取2.6 m</w:t>
      </w:r>
      <w:r>
        <w:rPr>
          <w:rFonts w:hint="default" w:ascii="Times New Roman" w:hAnsi="Times New Roman" w:cs="Times New Roman"/>
          <w:color w:val="auto"/>
          <w:vertAlign w:val="superscript"/>
        </w:rPr>
        <w:t>2</w:t>
      </w:r>
      <w:r>
        <w:rPr>
          <w:rFonts w:hint="default" w:ascii="Times New Roman" w:hAnsi="Times New Roman" w:cs="Times New Roman"/>
          <w:color w:val="auto"/>
        </w:rPr>
        <w:t>/d。</w:t>
      </w:r>
    </w:p>
    <w:p w14:paraId="037126D7">
      <w:pPr>
        <w:ind w:firstLine="480"/>
        <w:rPr>
          <w:rFonts w:cs="Times New Roman"/>
          <w:color w:val="auto"/>
        </w:rPr>
      </w:pPr>
      <w:r>
        <w:rPr>
          <w:rFonts w:cs="Times New Roman"/>
          <w:color w:val="auto"/>
        </w:rPr>
        <w:t>5）初始渗流场模拟结果及校验</w:t>
      </w:r>
    </w:p>
    <w:p w14:paraId="37579211">
      <w:pPr>
        <w:ind w:firstLine="480"/>
        <w:rPr>
          <w:rFonts w:cs="Times New Roman"/>
          <w:color w:val="auto"/>
        </w:rPr>
      </w:pPr>
      <w:r>
        <w:rPr>
          <w:rFonts w:cs="Times New Roman"/>
          <w:color w:val="auto"/>
        </w:rPr>
        <w:t>按照前述建立的数值模型、边界条件和计算参数，以稳定流模型运行得到的流场作为初始渗流场，见图</w:t>
      </w:r>
      <w:r>
        <w:rPr>
          <w:rFonts w:hint="eastAsia" w:cs="Times New Roman"/>
          <w:color w:val="auto"/>
          <w:lang w:val="en-US" w:eastAsia="zh-CN"/>
        </w:rPr>
        <w:t>4.2</w:t>
      </w:r>
      <w:r>
        <w:rPr>
          <w:rFonts w:cs="Times New Roman"/>
          <w:color w:val="auto"/>
        </w:rPr>
        <w:t>-3。</w:t>
      </w:r>
    </w:p>
    <w:p w14:paraId="20F26B6E">
      <w:pPr>
        <w:ind w:firstLine="480"/>
        <w:rPr>
          <w:rFonts w:hint="default" w:ascii="Times New Roman" w:hAnsi="Times New Roman" w:cs="Times New Roman"/>
          <w:color w:val="auto"/>
        </w:rPr>
      </w:pPr>
      <w:r>
        <w:rPr>
          <w:rFonts w:hint="default" w:ascii="Times New Roman" w:hAnsi="Times New Roman" w:cs="Times New Roman"/>
          <w:color w:val="auto"/>
        </w:rPr>
        <w:t>根据模拟结果，本项目评价区地表水体及水文地质条件控制，模拟区内地下水由北西向南东径流，这与本项目评价区水文地质条件基本相符。根据本项目区内居民井水位观测资料，选取1#～9#等9个监测点丰水期水位对模型进行校验。各校验井实测水位介于328.57～340.12m，模拟水位介于328.74～340.40m，模拟水位与实测水位相差0.08～2.18 m。采用均方差分析本次模拟结果，模拟水位与统计水位差的均方差为0.422，实测值与模拟计算值偏移波动较小，利用此模型计算所得流场作为项目区初始渗流场基本合理，可用于污染物迁移模拟计算。</w:t>
      </w:r>
    </w:p>
    <w:tbl>
      <w:tblPr>
        <w:tblStyle w:val="4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E2DF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8" w:type="dxa"/>
          </w:tcPr>
          <w:p w14:paraId="3E473E4D">
            <w:pPr>
              <w:pStyle w:val="711"/>
              <w:widowControl w:val="0"/>
              <w:rPr>
                <w:rFonts w:cs="Times New Roman"/>
                <w:color w:val="auto"/>
              </w:rPr>
            </w:pPr>
            <w:r>
              <w:rPr>
                <w:rFonts w:cs="Times New Roman"/>
                <w:color w:val="auto"/>
              </w:rPr>
              <w:drawing>
                <wp:inline distT="0" distB="0" distL="0" distR="0">
                  <wp:extent cx="5039995" cy="5918200"/>
                  <wp:effectExtent l="0" t="0" r="8255" b="6350"/>
                  <wp:docPr id="18092708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70825" name="图片 1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040000" cy="5918632"/>
                          </a:xfrm>
                          <a:prstGeom prst="rect">
                            <a:avLst/>
                          </a:prstGeom>
                        </pic:spPr>
                      </pic:pic>
                    </a:graphicData>
                  </a:graphic>
                </wp:inline>
              </w:drawing>
            </w:r>
          </w:p>
        </w:tc>
      </w:tr>
      <w:tr w14:paraId="48D78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8" w:type="dxa"/>
          </w:tcPr>
          <w:p w14:paraId="53A05486">
            <w:pPr>
              <w:pStyle w:val="710"/>
              <w:widowControl w:val="0"/>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4</w:t>
            </w:r>
            <w:r>
              <w:rPr>
                <w:rFonts w:cs="Times New Roman"/>
                <w:color w:val="auto"/>
              </w:rPr>
              <w:t xml:space="preserve">  初始渗流场模拟结果（单位：m）</w:t>
            </w:r>
          </w:p>
        </w:tc>
      </w:tr>
    </w:tbl>
    <w:p w14:paraId="0FC68229">
      <w:pPr>
        <w:pStyle w:val="15"/>
        <w:numPr>
          <w:ilvl w:val="0"/>
          <w:numId w:val="31"/>
        </w:numPr>
        <w:bidi w:val="0"/>
        <w:ind w:left="0" w:leftChars="0" w:firstLine="0" w:firstLineChars="0"/>
        <w:rPr>
          <w:rFonts w:cs="Times New Roman"/>
          <w:color w:val="auto"/>
        </w:rPr>
      </w:pPr>
      <w:r>
        <w:rPr>
          <w:rFonts w:cs="Times New Roman"/>
          <w:color w:val="auto"/>
        </w:rPr>
        <w:t>初始渗流场模拟与监测井实测值比对结果（单位：m）</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6"/>
        <w:gridCol w:w="660"/>
        <w:gridCol w:w="634"/>
        <w:gridCol w:w="634"/>
        <w:gridCol w:w="670"/>
        <w:gridCol w:w="665"/>
        <w:gridCol w:w="849"/>
        <w:gridCol w:w="807"/>
        <w:gridCol w:w="838"/>
        <w:gridCol w:w="914"/>
      </w:tblGrid>
      <w:tr w14:paraId="064EF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61568CFF">
            <w:pPr>
              <w:pStyle w:val="12"/>
              <w:bidi w:val="0"/>
              <w:rPr>
                <w:b/>
                <w:bCs/>
                <w:color w:val="auto"/>
              </w:rPr>
            </w:pPr>
            <w:r>
              <w:rPr>
                <w:b/>
                <w:bCs/>
                <w:color w:val="auto"/>
              </w:rPr>
              <w:t>观测点编号</w:t>
            </w:r>
          </w:p>
        </w:tc>
        <w:tc>
          <w:tcPr>
            <w:tcW w:w="393" w:type="pct"/>
            <w:tcBorders>
              <w:tl2br w:val="nil"/>
              <w:tr2bl w:val="nil"/>
            </w:tcBorders>
            <w:shd w:val="clear" w:color="auto" w:fill="auto"/>
            <w:noWrap/>
            <w:tcMar>
              <w:left w:w="28" w:type="dxa"/>
              <w:right w:w="28" w:type="dxa"/>
            </w:tcMar>
            <w:vAlign w:val="center"/>
          </w:tcPr>
          <w:p w14:paraId="506C04E7">
            <w:pPr>
              <w:pStyle w:val="12"/>
              <w:bidi w:val="0"/>
              <w:rPr>
                <w:b/>
                <w:bCs/>
                <w:color w:val="auto"/>
              </w:rPr>
            </w:pPr>
            <w:r>
              <w:rPr>
                <w:b/>
                <w:bCs/>
                <w:color w:val="auto"/>
              </w:rPr>
              <w:t>1#</w:t>
            </w:r>
          </w:p>
        </w:tc>
        <w:tc>
          <w:tcPr>
            <w:tcW w:w="373" w:type="pct"/>
            <w:tcBorders>
              <w:tl2br w:val="nil"/>
              <w:tr2bl w:val="nil"/>
            </w:tcBorders>
            <w:shd w:val="clear" w:color="auto" w:fill="auto"/>
            <w:noWrap/>
            <w:tcMar>
              <w:left w:w="28" w:type="dxa"/>
              <w:right w:w="28" w:type="dxa"/>
            </w:tcMar>
            <w:vAlign w:val="center"/>
          </w:tcPr>
          <w:p w14:paraId="5B04EBD5">
            <w:pPr>
              <w:pStyle w:val="12"/>
              <w:bidi w:val="0"/>
              <w:rPr>
                <w:b/>
                <w:bCs/>
                <w:color w:val="auto"/>
              </w:rPr>
            </w:pPr>
            <w:r>
              <w:rPr>
                <w:b/>
                <w:bCs/>
                <w:color w:val="auto"/>
              </w:rPr>
              <w:t>2#</w:t>
            </w:r>
          </w:p>
        </w:tc>
        <w:tc>
          <w:tcPr>
            <w:tcW w:w="364" w:type="pct"/>
            <w:tcBorders>
              <w:tl2br w:val="nil"/>
              <w:tr2bl w:val="nil"/>
            </w:tcBorders>
            <w:shd w:val="clear" w:color="auto" w:fill="auto"/>
            <w:noWrap/>
            <w:tcMar>
              <w:left w:w="28" w:type="dxa"/>
              <w:right w:w="28" w:type="dxa"/>
            </w:tcMar>
            <w:vAlign w:val="center"/>
          </w:tcPr>
          <w:p w14:paraId="66D82304">
            <w:pPr>
              <w:pStyle w:val="12"/>
              <w:bidi w:val="0"/>
              <w:rPr>
                <w:b/>
                <w:bCs/>
                <w:color w:val="auto"/>
              </w:rPr>
            </w:pPr>
            <w:r>
              <w:rPr>
                <w:b/>
                <w:bCs/>
                <w:color w:val="auto"/>
              </w:rPr>
              <w:t>3#</w:t>
            </w:r>
          </w:p>
        </w:tc>
        <w:tc>
          <w:tcPr>
            <w:tcW w:w="399" w:type="pct"/>
            <w:tcBorders>
              <w:tl2br w:val="nil"/>
              <w:tr2bl w:val="nil"/>
            </w:tcBorders>
            <w:shd w:val="clear" w:color="auto" w:fill="auto"/>
            <w:noWrap/>
            <w:tcMar>
              <w:left w:w="28" w:type="dxa"/>
              <w:right w:w="28" w:type="dxa"/>
            </w:tcMar>
            <w:vAlign w:val="center"/>
          </w:tcPr>
          <w:p w14:paraId="0CC44C17">
            <w:pPr>
              <w:pStyle w:val="12"/>
              <w:bidi w:val="0"/>
              <w:rPr>
                <w:b/>
                <w:bCs/>
                <w:color w:val="auto"/>
              </w:rPr>
            </w:pPr>
            <w:r>
              <w:rPr>
                <w:b/>
                <w:bCs/>
                <w:color w:val="auto"/>
              </w:rPr>
              <w:t>4#</w:t>
            </w:r>
          </w:p>
        </w:tc>
        <w:tc>
          <w:tcPr>
            <w:tcW w:w="396" w:type="pct"/>
            <w:tcBorders>
              <w:tl2br w:val="nil"/>
              <w:tr2bl w:val="nil"/>
            </w:tcBorders>
            <w:shd w:val="clear" w:color="auto" w:fill="auto"/>
            <w:noWrap/>
            <w:tcMar>
              <w:left w:w="28" w:type="dxa"/>
              <w:right w:w="28" w:type="dxa"/>
            </w:tcMar>
            <w:vAlign w:val="center"/>
          </w:tcPr>
          <w:p w14:paraId="61A7B697">
            <w:pPr>
              <w:pStyle w:val="12"/>
              <w:bidi w:val="0"/>
              <w:rPr>
                <w:b/>
                <w:bCs/>
                <w:color w:val="auto"/>
              </w:rPr>
            </w:pPr>
            <w:r>
              <w:rPr>
                <w:b/>
                <w:bCs/>
                <w:color w:val="auto"/>
              </w:rPr>
              <w:t>5#</w:t>
            </w:r>
          </w:p>
        </w:tc>
        <w:tc>
          <w:tcPr>
            <w:tcW w:w="505" w:type="pct"/>
            <w:tcBorders>
              <w:tl2br w:val="nil"/>
              <w:tr2bl w:val="nil"/>
            </w:tcBorders>
            <w:vAlign w:val="center"/>
          </w:tcPr>
          <w:p w14:paraId="1FCE2C83">
            <w:pPr>
              <w:pStyle w:val="12"/>
              <w:bidi w:val="0"/>
              <w:rPr>
                <w:b/>
                <w:bCs/>
                <w:color w:val="auto"/>
              </w:rPr>
            </w:pPr>
            <w:r>
              <w:rPr>
                <w:b/>
                <w:bCs/>
                <w:color w:val="auto"/>
              </w:rPr>
              <w:t>6#</w:t>
            </w:r>
          </w:p>
        </w:tc>
        <w:tc>
          <w:tcPr>
            <w:tcW w:w="480" w:type="pct"/>
            <w:tcBorders>
              <w:tl2br w:val="nil"/>
              <w:tr2bl w:val="nil"/>
            </w:tcBorders>
            <w:vAlign w:val="center"/>
          </w:tcPr>
          <w:p w14:paraId="7052170D">
            <w:pPr>
              <w:pStyle w:val="12"/>
              <w:bidi w:val="0"/>
              <w:rPr>
                <w:b/>
                <w:bCs/>
                <w:color w:val="auto"/>
              </w:rPr>
            </w:pPr>
            <w:r>
              <w:rPr>
                <w:b/>
                <w:bCs/>
                <w:color w:val="auto"/>
              </w:rPr>
              <w:t>7#</w:t>
            </w:r>
          </w:p>
        </w:tc>
        <w:tc>
          <w:tcPr>
            <w:tcW w:w="498" w:type="pct"/>
            <w:tcBorders>
              <w:tl2br w:val="nil"/>
              <w:tr2bl w:val="nil"/>
            </w:tcBorders>
            <w:vAlign w:val="center"/>
          </w:tcPr>
          <w:p w14:paraId="5609CC82">
            <w:pPr>
              <w:pStyle w:val="12"/>
              <w:bidi w:val="0"/>
              <w:rPr>
                <w:b/>
                <w:bCs/>
                <w:color w:val="auto"/>
              </w:rPr>
            </w:pPr>
            <w:r>
              <w:rPr>
                <w:b/>
                <w:bCs/>
                <w:color w:val="auto"/>
              </w:rPr>
              <w:t>8#</w:t>
            </w:r>
          </w:p>
        </w:tc>
        <w:tc>
          <w:tcPr>
            <w:tcW w:w="540" w:type="pct"/>
            <w:tcBorders>
              <w:tl2br w:val="nil"/>
              <w:tr2bl w:val="nil"/>
            </w:tcBorders>
            <w:vAlign w:val="center"/>
          </w:tcPr>
          <w:p w14:paraId="7A14AD72">
            <w:pPr>
              <w:pStyle w:val="12"/>
              <w:bidi w:val="0"/>
              <w:rPr>
                <w:b/>
                <w:bCs/>
                <w:color w:val="auto"/>
              </w:rPr>
            </w:pPr>
            <w:r>
              <w:rPr>
                <w:b/>
                <w:bCs/>
                <w:color w:val="auto"/>
              </w:rPr>
              <w:t>9#</w:t>
            </w:r>
          </w:p>
        </w:tc>
      </w:tr>
      <w:tr w14:paraId="09307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53E08033">
            <w:pPr>
              <w:pStyle w:val="12"/>
              <w:bidi w:val="0"/>
              <w:rPr>
                <w:color w:val="auto"/>
              </w:rPr>
            </w:pPr>
            <w:r>
              <w:rPr>
                <w:color w:val="auto"/>
              </w:rPr>
              <w:t>居民井水位高程实测值a</w:t>
            </w:r>
          </w:p>
        </w:tc>
        <w:tc>
          <w:tcPr>
            <w:tcW w:w="393" w:type="pct"/>
            <w:tcBorders>
              <w:tl2br w:val="nil"/>
              <w:tr2bl w:val="nil"/>
            </w:tcBorders>
            <w:shd w:val="clear" w:color="auto" w:fill="auto"/>
            <w:noWrap/>
            <w:tcMar>
              <w:left w:w="28" w:type="dxa"/>
              <w:right w:w="28" w:type="dxa"/>
            </w:tcMar>
            <w:vAlign w:val="center"/>
          </w:tcPr>
          <w:p w14:paraId="66A31657">
            <w:pPr>
              <w:pStyle w:val="12"/>
              <w:bidi w:val="0"/>
              <w:rPr>
                <w:color w:val="auto"/>
              </w:rPr>
            </w:pPr>
            <w:r>
              <w:rPr>
                <w:color w:val="auto"/>
              </w:rPr>
              <w:t>333.</w:t>
            </w:r>
            <w:r>
              <w:rPr>
                <w:rFonts w:hint="eastAsia"/>
                <w:color w:val="auto"/>
              </w:rPr>
              <w:t>26</w:t>
            </w:r>
            <w:r>
              <w:rPr>
                <w:color w:val="auto"/>
              </w:rPr>
              <w:t xml:space="preserve"> </w:t>
            </w:r>
          </w:p>
        </w:tc>
        <w:tc>
          <w:tcPr>
            <w:tcW w:w="373" w:type="pct"/>
            <w:tcBorders>
              <w:tl2br w:val="nil"/>
              <w:tr2bl w:val="nil"/>
            </w:tcBorders>
            <w:shd w:val="clear" w:color="auto" w:fill="auto"/>
            <w:noWrap/>
            <w:tcMar>
              <w:left w:w="28" w:type="dxa"/>
              <w:right w:w="28" w:type="dxa"/>
            </w:tcMar>
            <w:vAlign w:val="center"/>
          </w:tcPr>
          <w:p w14:paraId="199D0470">
            <w:pPr>
              <w:pStyle w:val="12"/>
              <w:bidi w:val="0"/>
              <w:rPr>
                <w:color w:val="auto"/>
              </w:rPr>
            </w:pPr>
            <w:r>
              <w:rPr>
                <w:color w:val="auto"/>
              </w:rPr>
              <w:t xml:space="preserve">340.12 </w:t>
            </w:r>
          </w:p>
        </w:tc>
        <w:tc>
          <w:tcPr>
            <w:tcW w:w="364" w:type="pct"/>
            <w:tcBorders>
              <w:tl2br w:val="nil"/>
              <w:tr2bl w:val="nil"/>
            </w:tcBorders>
            <w:shd w:val="clear" w:color="auto" w:fill="auto"/>
            <w:noWrap/>
            <w:tcMar>
              <w:left w:w="28" w:type="dxa"/>
              <w:right w:w="28" w:type="dxa"/>
            </w:tcMar>
            <w:vAlign w:val="center"/>
          </w:tcPr>
          <w:p w14:paraId="37C007B1">
            <w:pPr>
              <w:pStyle w:val="12"/>
              <w:bidi w:val="0"/>
              <w:rPr>
                <w:color w:val="auto"/>
              </w:rPr>
            </w:pPr>
            <w:r>
              <w:rPr>
                <w:color w:val="auto"/>
              </w:rPr>
              <w:t xml:space="preserve">336.66 </w:t>
            </w:r>
          </w:p>
        </w:tc>
        <w:tc>
          <w:tcPr>
            <w:tcW w:w="399" w:type="pct"/>
            <w:tcBorders>
              <w:tl2br w:val="nil"/>
              <w:tr2bl w:val="nil"/>
            </w:tcBorders>
            <w:shd w:val="clear" w:color="auto" w:fill="auto"/>
            <w:noWrap/>
            <w:tcMar>
              <w:left w:w="28" w:type="dxa"/>
              <w:right w:w="28" w:type="dxa"/>
            </w:tcMar>
            <w:vAlign w:val="center"/>
          </w:tcPr>
          <w:p w14:paraId="5CF3E452">
            <w:pPr>
              <w:pStyle w:val="12"/>
              <w:bidi w:val="0"/>
              <w:rPr>
                <w:color w:val="auto"/>
              </w:rPr>
            </w:pPr>
            <w:r>
              <w:rPr>
                <w:color w:val="auto"/>
              </w:rPr>
              <w:t xml:space="preserve">332.24 </w:t>
            </w:r>
          </w:p>
        </w:tc>
        <w:tc>
          <w:tcPr>
            <w:tcW w:w="396" w:type="pct"/>
            <w:tcBorders>
              <w:tl2br w:val="nil"/>
              <w:tr2bl w:val="nil"/>
            </w:tcBorders>
            <w:shd w:val="clear" w:color="auto" w:fill="auto"/>
            <w:noWrap/>
            <w:tcMar>
              <w:left w:w="28" w:type="dxa"/>
              <w:right w:w="28" w:type="dxa"/>
            </w:tcMar>
            <w:vAlign w:val="center"/>
          </w:tcPr>
          <w:p w14:paraId="138B0186">
            <w:pPr>
              <w:pStyle w:val="12"/>
              <w:bidi w:val="0"/>
              <w:rPr>
                <w:color w:val="auto"/>
              </w:rPr>
            </w:pPr>
            <w:r>
              <w:rPr>
                <w:color w:val="auto"/>
              </w:rPr>
              <w:t xml:space="preserve">328.57 </w:t>
            </w:r>
          </w:p>
        </w:tc>
        <w:tc>
          <w:tcPr>
            <w:tcW w:w="505" w:type="pct"/>
            <w:tcBorders>
              <w:tl2br w:val="nil"/>
              <w:tr2bl w:val="nil"/>
            </w:tcBorders>
            <w:vAlign w:val="center"/>
          </w:tcPr>
          <w:p w14:paraId="4552F026">
            <w:pPr>
              <w:pStyle w:val="12"/>
              <w:bidi w:val="0"/>
              <w:rPr>
                <w:color w:val="auto"/>
              </w:rPr>
            </w:pPr>
            <w:r>
              <w:rPr>
                <w:color w:val="auto"/>
              </w:rPr>
              <w:t>334.39</w:t>
            </w:r>
          </w:p>
        </w:tc>
        <w:tc>
          <w:tcPr>
            <w:tcW w:w="480" w:type="pct"/>
            <w:tcBorders>
              <w:tl2br w:val="nil"/>
              <w:tr2bl w:val="nil"/>
            </w:tcBorders>
            <w:vAlign w:val="center"/>
          </w:tcPr>
          <w:p w14:paraId="1A6CA0B2">
            <w:pPr>
              <w:pStyle w:val="12"/>
              <w:bidi w:val="0"/>
              <w:rPr>
                <w:color w:val="auto"/>
              </w:rPr>
            </w:pPr>
            <w:r>
              <w:rPr>
                <w:color w:val="auto"/>
              </w:rPr>
              <w:t>330.84</w:t>
            </w:r>
          </w:p>
        </w:tc>
        <w:tc>
          <w:tcPr>
            <w:tcW w:w="498" w:type="pct"/>
            <w:tcBorders>
              <w:tl2br w:val="nil"/>
              <w:tr2bl w:val="nil"/>
            </w:tcBorders>
            <w:vAlign w:val="center"/>
          </w:tcPr>
          <w:p w14:paraId="3F1E31D5">
            <w:pPr>
              <w:pStyle w:val="12"/>
              <w:bidi w:val="0"/>
              <w:rPr>
                <w:color w:val="auto"/>
              </w:rPr>
            </w:pPr>
            <w:r>
              <w:rPr>
                <w:color w:val="auto"/>
              </w:rPr>
              <w:t>336.39</w:t>
            </w:r>
          </w:p>
        </w:tc>
        <w:tc>
          <w:tcPr>
            <w:tcW w:w="540" w:type="pct"/>
            <w:tcBorders>
              <w:tl2br w:val="nil"/>
              <w:tr2bl w:val="nil"/>
            </w:tcBorders>
            <w:vAlign w:val="center"/>
          </w:tcPr>
          <w:p w14:paraId="56C61C17">
            <w:pPr>
              <w:pStyle w:val="12"/>
              <w:bidi w:val="0"/>
              <w:rPr>
                <w:color w:val="auto"/>
              </w:rPr>
            </w:pPr>
            <w:r>
              <w:rPr>
                <w:color w:val="auto"/>
              </w:rPr>
              <w:t xml:space="preserve">337.00 </w:t>
            </w:r>
          </w:p>
        </w:tc>
      </w:tr>
      <w:tr w14:paraId="3B008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1EC293AF">
            <w:pPr>
              <w:pStyle w:val="12"/>
              <w:bidi w:val="0"/>
              <w:rPr>
                <w:color w:val="auto"/>
              </w:rPr>
            </w:pPr>
            <w:r>
              <w:rPr>
                <w:color w:val="auto"/>
              </w:rPr>
              <w:t>模型计算值b</w:t>
            </w:r>
          </w:p>
        </w:tc>
        <w:tc>
          <w:tcPr>
            <w:tcW w:w="393" w:type="pct"/>
            <w:tcBorders>
              <w:tl2br w:val="nil"/>
              <w:tr2bl w:val="nil"/>
            </w:tcBorders>
            <w:shd w:val="clear" w:color="auto" w:fill="auto"/>
            <w:noWrap/>
            <w:tcMar>
              <w:left w:w="28" w:type="dxa"/>
              <w:right w:w="28" w:type="dxa"/>
            </w:tcMar>
            <w:vAlign w:val="center"/>
          </w:tcPr>
          <w:p w14:paraId="29A86E94">
            <w:pPr>
              <w:pStyle w:val="12"/>
              <w:bidi w:val="0"/>
              <w:rPr>
                <w:color w:val="auto"/>
              </w:rPr>
            </w:pPr>
            <w:r>
              <w:rPr>
                <w:color w:val="auto"/>
              </w:rPr>
              <w:t xml:space="preserve">333.87 </w:t>
            </w:r>
          </w:p>
        </w:tc>
        <w:tc>
          <w:tcPr>
            <w:tcW w:w="373" w:type="pct"/>
            <w:tcBorders>
              <w:tl2br w:val="nil"/>
              <w:tr2bl w:val="nil"/>
            </w:tcBorders>
            <w:shd w:val="clear" w:color="auto" w:fill="auto"/>
            <w:noWrap/>
            <w:tcMar>
              <w:left w:w="28" w:type="dxa"/>
              <w:right w:w="28" w:type="dxa"/>
            </w:tcMar>
            <w:vAlign w:val="center"/>
          </w:tcPr>
          <w:p w14:paraId="3DA6DA9D">
            <w:pPr>
              <w:pStyle w:val="12"/>
              <w:bidi w:val="0"/>
              <w:rPr>
                <w:color w:val="auto"/>
              </w:rPr>
            </w:pPr>
            <w:r>
              <w:rPr>
                <w:color w:val="auto"/>
              </w:rPr>
              <w:t xml:space="preserve">340.40 </w:t>
            </w:r>
          </w:p>
        </w:tc>
        <w:tc>
          <w:tcPr>
            <w:tcW w:w="364" w:type="pct"/>
            <w:tcBorders>
              <w:tl2br w:val="nil"/>
              <w:tr2bl w:val="nil"/>
            </w:tcBorders>
            <w:shd w:val="clear" w:color="auto" w:fill="auto"/>
            <w:noWrap/>
            <w:tcMar>
              <w:left w:w="28" w:type="dxa"/>
              <w:right w:w="28" w:type="dxa"/>
            </w:tcMar>
            <w:vAlign w:val="center"/>
          </w:tcPr>
          <w:p w14:paraId="451D9160">
            <w:pPr>
              <w:pStyle w:val="12"/>
              <w:bidi w:val="0"/>
              <w:rPr>
                <w:color w:val="auto"/>
              </w:rPr>
            </w:pPr>
            <w:r>
              <w:rPr>
                <w:color w:val="auto"/>
              </w:rPr>
              <w:t xml:space="preserve">335.82 </w:t>
            </w:r>
          </w:p>
        </w:tc>
        <w:tc>
          <w:tcPr>
            <w:tcW w:w="399" w:type="pct"/>
            <w:tcBorders>
              <w:tl2br w:val="nil"/>
              <w:tr2bl w:val="nil"/>
            </w:tcBorders>
            <w:shd w:val="clear" w:color="auto" w:fill="auto"/>
            <w:noWrap/>
            <w:tcMar>
              <w:left w:w="28" w:type="dxa"/>
              <w:right w:w="28" w:type="dxa"/>
            </w:tcMar>
            <w:vAlign w:val="center"/>
          </w:tcPr>
          <w:p w14:paraId="1A5EEFA3">
            <w:pPr>
              <w:pStyle w:val="12"/>
              <w:bidi w:val="0"/>
              <w:rPr>
                <w:color w:val="auto"/>
              </w:rPr>
            </w:pPr>
            <w:r>
              <w:rPr>
                <w:color w:val="auto"/>
              </w:rPr>
              <w:t xml:space="preserve">334.42 </w:t>
            </w:r>
          </w:p>
        </w:tc>
        <w:tc>
          <w:tcPr>
            <w:tcW w:w="396" w:type="pct"/>
            <w:tcBorders>
              <w:tl2br w:val="nil"/>
              <w:tr2bl w:val="nil"/>
            </w:tcBorders>
            <w:shd w:val="clear" w:color="auto" w:fill="auto"/>
            <w:noWrap/>
            <w:tcMar>
              <w:left w:w="28" w:type="dxa"/>
              <w:right w:w="28" w:type="dxa"/>
            </w:tcMar>
            <w:vAlign w:val="center"/>
          </w:tcPr>
          <w:p w14:paraId="471BF8EF">
            <w:pPr>
              <w:pStyle w:val="12"/>
              <w:bidi w:val="0"/>
              <w:rPr>
                <w:color w:val="auto"/>
              </w:rPr>
            </w:pPr>
            <w:r>
              <w:rPr>
                <w:color w:val="auto"/>
              </w:rPr>
              <w:t xml:space="preserve">328.74 </w:t>
            </w:r>
          </w:p>
        </w:tc>
        <w:tc>
          <w:tcPr>
            <w:tcW w:w="505" w:type="pct"/>
            <w:tcBorders>
              <w:tl2br w:val="nil"/>
              <w:tr2bl w:val="nil"/>
            </w:tcBorders>
            <w:vAlign w:val="center"/>
          </w:tcPr>
          <w:p w14:paraId="6D14409E">
            <w:pPr>
              <w:pStyle w:val="12"/>
              <w:bidi w:val="0"/>
              <w:rPr>
                <w:color w:val="auto"/>
              </w:rPr>
            </w:pPr>
            <w:r>
              <w:rPr>
                <w:color w:val="auto"/>
              </w:rPr>
              <w:t xml:space="preserve">334.47 </w:t>
            </w:r>
          </w:p>
        </w:tc>
        <w:tc>
          <w:tcPr>
            <w:tcW w:w="480" w:type="pct"/>
            <w:tcBorders>
              <w:tl2br w:val="nil"/>
              <w:tr2bl w:val="nil"/>
            </w:tcBorders>
            <w:vAlign w:val="center"/>
          </w:tcPr>
          <w:p w14:paraId="22011724">
            <w:pPr>
              <w:pStyle w:val="12"/>
              <w:bidi w:val="0"/>
              <w:rPr>
                <w:color w:val="auto"/>
              </w:rPr>
            </w:pPr>
            <w:r>
              <w:rPr>
                <w:color w:val="auto"/>
              </w:rPr>
              <w:t xml:space="preserve">329.99 </w:t>
            </w:r>
          </w:p>
        </w:tc>
        <w:tc>
          <w:tcPr>
            <w:tcW w:w="498" w:type="pct"/>
            <w:tcBorders>
              <w:tl2br w:val="nil"/>
              <w:tr2bl w:val="nil"/>
            </w:tcBorders>
            <w:vAlign w:val="center"/>
          </w:tcPr>
          <w:p w14:paraId="0641CDFD">
            <w:pPr>
              <w:pStyle w:val="12"/>
              <w:bidi w:val="0"/>
              <w:rPr>
                <w:color w:val="auto"/>
              </w:rPr>
            </w:pPr>
            <w:r>
              <w:rPr>
                <w:color w:val="auto"/>
              </w:rPr>
              <w:t xml:space="preserve">334.93 </w:t>
            </w:r>
          </w:p>
        </w:tc>
        <w:tc>
          <w:tcPr>
            <w:tcW w:w="540" w:type="pct"/>
            <w:tcBorders>
              <w:tl2br w:val="nil"/>
              <w:tr2bl w:val="nil"/>
            </w:tcBorders>
            <w:vAlign w:val="center"/>
          </w:tcPr>
          <w:p w14:paraId="1729D5EC">
            <w:pPr>
              <w:pStyle w:val="12"/>
              <w:bidi w:val="0"/>
              <w:rPr>
                <w:color w:val="auto"/>
              </w:rPr>
            </w:pPr>
            <w:r>
              <w:rPr>
                <w:color w:val="auto"/>
              </w:rPr>
              <w:t xml:space="preserve">336.65 </w:t>
            </w:r>
          </w:p>
        </w:tc>
      </w:tr>
      <w:tr w14:paraId="7988D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72D48934">
            <w:pPr>
              <w:pStyle w:val="12"/>
              <w:bidi w:val="0"/>
              <w:rPr>
                <w:color w:val="auto"/>
              </w:rPr>
            </w:pPr>
            <w:r>
              <w:rPr>
                <w:color w:val="auto"/>
              </w:rPr>
              <w:t>差值绝对值</w:t>
            </w:r>
          </w:p>
          <w:p w14:paraId="7F8D97DC">
            <w:pPr>
              <w:pStyle w:val="12"/>
              <w:bidi w:val="0"/>
              <w:rPr>
                <w:color w:val="auto"/>
              </w:rPr>
            </w:pPr>
            <w:r>
              <w:rPr>
                <w:color w:val="auto"/>
              </w:rPr>
              <w:t>（∣a-b∣）</w:t>
            </w:r>
          </w:p>
        </w:tc>
        <w:tc>
          <w:tcPr>
            <w:tcW w:w="393" w:type="pct"/>
            <w:tcBorders>
              <w:tl2br w:val="nil"/>
              <w:tr2bl w:val="nil"/>
            </w:tcBorders>
            <w:shd w:val="clear" w:color="auto" w:fill="auto"/>
            <w:noWrap/>
            <w:tcMar>
              <w:left w:w="28" w:type="dxa"/>
              <w:right w:w="28" w:type="dxa"/>
            </w:tcMar>
            <w:vAlign w:val="center"/>
          </w:tcPr>
          <w:p w14:paraId="7607DB37">
            <w:pPr>
              <w:pStyle w:val="12"/>
              <w:bidi w:val="0"/>
              <w:rPr>
                <w:color w:val="auto"/>
              </w:rPr>
            </w:pPr>
            <w:r>
              <w:rPr>
                <w:color w:val="auto"/>
              </w:rPr>
              <w:t>0.</w:t>
            </w:r>
            <w:r>
              <w:rPr>
                <w:rFonts w:hint="eastAsia"/>
                <w:color w:val="auto"/>
              </w:rPr>
              <w:t>61</w:t>
            </w:r>
            <w:r>
              <w:rPr>
                <w:color w:val="auto"/>
              </w:rPr>
              <w:t xml:space="preserve"> </w:t>
            </w:r>
          </w:p>
        </w:tc>
        <w:tc>
          <w:tcPr>
            <w:tcW w:w="373" w:type="pct"/>
            <w:tcBorders>
              <w:tl2br w:val="nil"/>
              <w:tr2bl w:val="nil"/>
            </w:tcBorders>
            <w:shd w:val="clear" w:color="auto" w:fill="auto"/>
            <w:noWrap/>
            <w:tcMar>
              <w:left w:w="28" w:type="dxa"/>
              <w:right w:w="28" w:type="dxa"/>
            </w:tcMar>
            <w:vAlign w:val="center"/>
          </w:tcPr>
          <w:p w14:paraId="2671B668">
            <w:pPr>
              <w:pStyle w:val="12"/>
              <w:bidi w:val="0"/>
              <w:rPr>
                <w:color w:val="auto"/>
              </w:rPr>
            </w:pPr>
            <w:r>
              <w:rPr>
                <w:color w:val="auto"/>
              </w:rPr>
              <w:t xml:space="preserve">0.28 </w:t>
            </w:r>
          </w:p>
        </w:tc>
        <w:tc>
          <w:tcPr>
            <w:tcW w:w="364" w:type="pct"/>
            <w:tcBorders>
              <w:tl2br w:val="nil"/>
              <w:tr2bl w:val="nil"/>
            </w:tcBorders>
            <w:shd w:val="clear" w:color="auto" w:fill="auto"/>
            <w:noWrap/>
            <w:tcMar>
              <w:left w:w="28" w:type="dxa"/>
              <w:right w:w="28" w:type="dxa"/>
            </w:tcMar>
            <w:vAlign w:val="center"/>
          </w:tcPr>
          <w:p w14:paraId="736F7D22">
            <w:pPr>
              <w:pStyle w:val="12"/>
              <w:bidi w:val="0"/>
              <w:rPr>
                <w:color w:val="auto"/>
              </w:rPr>
            </w:pPr>
            <w:r>
              <w:rPr>
                <w:color w:val="auto"/>
              </w:rPr>
              <w:t xml:space="preserve">0.84 </w:t>
            </w:r>
          </w:p>
        </w:tc>
        <w:tc>
          <w:tcPr>
            <w:tcW w:w="399" w:type="pct"/>
            <w:tcBorders>
              <w:tl2br w:val="nil"/>
              <w:tr2bl w:val="nil"/>
            </w:tcBorders>
            <w:shd w:val="clear" w:color="auto" w:fill="auto"/>
            <w:noWrap/>
            <w:tcMar>
              <w:left w:w="28" w:type="dxa"/>
              <w:right w:w="28" w:type="dxa"/>
            </w:tcMar>
            <w:vAlign w:val="center"/>
          </w:tcPr>
          <w:p w14:paraId="17207AE3">
            <w:pPr>
              <w:pStyle w:val="12"/>
              <w:bidi w:val="0"/>
              <w:rPr>
                <w:color w:val="auto"/>
              </w:rPr>
            </w:pPr>
            <w:r>
              <w:rPr>
                <w:color w:val="auto"/>
              </w:rPr>
              <w:t xml:space="preserve">2.18 </w:t>
            </w:r>
          </w:p>
        </w:tc>
        <w:tc>
          <w:tcPr>
            <w:tcW w:w="396" w:type="pct"/>
            <w:tcBorders>
              <w:tl2br w:val="nil"/>
              <w:tr2bl w:val="nil"/>
            </w:tcBorders>
            <w:shd w:val="clear" w:color="auto" w:fill="auto"/>
            <w:noWrap/>
            <w:tcMar>
              <w:left w:w="28" w:type="dxa"/>
              <w:right w:w="28" w:type="dxa"/>
            </w:tcMar>
            <w:vAlign w:val="center"/>
          </w:tcPr>
          <w:p w14:paraId="541721C4">
            <w:pPr>
              <w:pStyle w:val="12"/>
              <w:bidi w:val="0"/>
              <w:rPr>
                <w:color w:val="auto"/>
              </w:rPr>
            </w:pPr>
            <w:r>
              <w:rPr>
                <w:color w:val="auto"/>
              </w:rPr>
              <w:t xml:space="preserve">0.17 </w:t>
            </w:r>
          </w:p>
        </w:tc>
        <w:tc>
          <w:tcPr>
            <w:tcW w:w="505" w:type="pct"/>
            <w:tcBorders>
              <w:tl2br w:val="nil"/>
              <w:tr2bl w:val="nil"/>
            </w:tcBorders>
            <w:vAlign w:val="center"/>
          </w:tcPr>
          <w:p w14:paraId="3DD2C6BB">
            <w:pPr>
              <w:pStyle w:val="12"/>
              <w:bidi w:val="0"/>
              <w:rPr>
                <w:color w:val="auto"/>
              </w:rPr>
            </w:pPr>
            <w:r>
              <w:rPr>
                <w:color w:val="auto"/>
              </w:rPr>
              <w:t xml:space="preserve">0.08 </w:t>
            </w:r>
          </w:p>
        </w:tc>
        <w:tc>
          <w:tcPr>
            <w:tcW w:w="480" w:type="pct"/>
            <w:tcBorders>
              <w:tl2br w:val="nil"/>
              <w:tr2bl w:val="nil"/>
            </w:tcBorders>
            <w:vAlign w:val="center"/>
          </w:tcPr>
          <w:p w14:paraId="4BE3EBB2">
            <w:pPr>
              <w:pStyle w:val="12"/>
              <w:bidi w:val="0"/>
              <w:rPr>
                <w:color w:val="auto"/>
              </w:rPr>
            </w:pPr>
            <w:r>
              <w:rPr>
                <w:color w:val="auto"/>
              </w:rPr>
              <w:t xml:space="preserve">0.85 </w:t>
            </w:r>
          </w:p>
        </w:tc>
        <w:tc>
          <w:tcPr>
            <w:tcW w:w="498" w:type="pct"/>
            <w:tcBorders>
              <w:tl2br w:val="nil"/>
              <w:tr2bl w:val="nil"/>
            </w:tcBorders>
            <w:vAlign w:val="center"/>
          </w:tcPr>
          <w:p w14:paraId="6E7400CB">
            <w:pPr>
              <w:pStyle w:val="12"/>
              <w:bidi w:val="0"/>
              <w:rPr>
                <w:color w:val="auto"/>
              </w:rPr>
            </w:pPr>
            <w:r>
              <w:rPr>
                <w:color w:val="auto"/>
              </w:rPr>
              <w:t xml:space="preserve">1.47 </w:t>
            </w:r>
          </w:p>
        </w:tc>
        <w:tc>
          <w:tcPr>
            <w:tcW w:w="540" w:type="pct"/>
            <w:tcBorders>
              <w:tl2br w:val="nil"/>
              <w:tr2bl w:val="nil"/>
            </w:tcBorders>
            <w:vAlign w:val="center"/>
          </w:tcPr>
          <w:p w14:paraId="16774B1A">
            <w:pPr>
              <w:pStyle w:val="12"/>
              <w:bidi w:val="0"/>
              <w:rPr>
                <w:color w:val="auto"/>
              </w:rPr>
            </w:pPr>
            <w:r>
              <w:rPr>
                <w:color w:val="auto"/>
              </w:rPr>
              <w:t xml:space="preserve">0.35 </w:t>
            </w:r>
          </w:p>
        </w:tc>
      </w:tr>
      <w:tr w14:paraId="3E678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6D2C0FDD">
            <w:pPr>
              <w:pStyle w:val="12"/>
              <w:bidi w:val="0"/>
              <w:rPr>
                <w:color w:val="auto"/>
              </w:rPr>
            </w:pPr>
            <w:r>
              <w:rPr>
                <w:color w:val="auto"/>
              </w:rPr>
              <w:t>差值方差（</w:t>
            </w:r>
            <m:oMath>
              <m:f>
                <m:fPr>
                  <m:ctrlPr>
                    <w:rPr>
                      <w:rFonts w:ascii="Cambria Math" w:hAnsi="Cambria Math"/>
                      <w:color w:val="auto"/>
                    </w:rPr>
                  </m:ctrlPr>
                </m:fPr>
                <m:num>
                  <m:r>
                    <m:rPr>
                      <m:sty m:val="p"/>
                    </m:rPr>
                    <w:rPr>
                      <w:rFonts w:ascii="Cambria Math" w:hAnsi="Cambria Math"/>
                      <w:color w:val="auto"/>
                    </w:rPr>
                    <m:t>1</m:t>
                  </m:r>
                  <m:ctrlPr>
                    <w:rPr>
                      <w:rFonts w:ascii="Cambria Math" w:hAnsi="Cambria Math"/>
                      <w:color w:val="auto"/>
                    </w:rPr>
                  </m:ctrlPr>
                </m:num>
                <m:den>
                  <m:r>
                    <m:rPr>
                      <m:sty m:val="p"/>
                    </m:rPr>
                    <w:rPr>
                      <w:rFonts w:ascii="Cambria Math" w:hAnsi="Cambria Math"/>
                      <w:color w:val="auto"/>
                    </w:rPr>
                    <m:t>n</m:t>
                  </m:r>
                  <m:ctrlPr>
                    <w:rPr>
                      <w:rFonts w:ascii="Cambria Math" w:hAnsi="Cambria Math"/>
                      <w:color w:val="auto"/>
                    </w:rPr>
                  </m:ctrlPr>
                </m:den>
              </m:f>
              <m:nary>
                <m:naryPr>
                  <m:chr m:val="∑"/>
                  <m:limLoc m:val="undOvr"/>
                  <m:ctrlPr>
                    <w:rPr>
                      <w:rFonts w:ascii="Cambria Math" w:hAnsi="Cambria Math"/>
                      <w:color w:val="auto"/>
                    </w:rPr>
                  </m:ctrlPr>
                </m:naryPr>
                <m:sub>
                  <m:r>
                    <m:rPr>
                      <m:sty m:val="p"/>
                    </m:rPr>
                    <w:rPr>
                      <w:rFonts w:ascii="Cambria Math" w:hAnsi="Cambria Math"/>
                      <w:color w:val="auto"/>
                    </w:rPr>
                    <m:t>1</m:t>
                  </m:r>
                  <m:ctrlPr>
                    <w:rPr>
                      <w:rFonts w:ascii="Cambria Math" w:hAnsi="Cambria Math"/>
                      <w:color w:val="auto"/>
                    </w:rPr>
                  </m:ctrlPr>
                </m:sub>
                <m:sup>
                  <m:r>
                    <m:rPr>
                      <m:sty m:val="p"/>
                    </m:rPr>
                    <w:rPr>
                      <w:rFonts w:ascii="Cambria Math" w:hAnsi="Cambria Math"/>
                      <w:color w:val="auto"/>
                    </w:rPr>
                    <m:t>n</m:t>
                  </m:r>
                  <m:ctrlPr>
                    <w:rPr>
                      <w:rFonts w:ascii="Cambria Math" w:hAnsi="Cambria Math"/>
                      <w:color w:val="auto"/>
                    </w:rPr>
                  </m:ctrlPr>
                </m:sup>
                <m:e>
                  <m:sSup>
                    <m:sSupPr>
                      <m:ctrlPr>
                        <w:rPr>
                          <w:rFonts w:ascii="Cambria Math" w:hAnsi="Cambria Math"/>
                          <w:color w:val="auto"/>
                        </w:rPr>
                      </m:ctrlPr>
                    </m:sSupPr>
                    <m:e>
                      <m:r>
                        <m:rPr>
                          <m:sty m:val="p"/>
                        </m:rPr>
                        <w:rPr>
                          <w:rFonts w:ascii="Cambria Math" w:hAnsi="Cambria Math"/>
                          <w:color w:val="auto"/>
                        </w:rPr>
                        <m:t>（∣a−b∣−</m:t>
                      </m:r>
                      <m:f>
                        <m:fPr>
                          <m:ctrlPr>
                            <w:rPr>
                              <w:rFonts w:ascii="Cambria Math" w:hAnsi="Cambria Math"/>
                              <w:color w:val="auto"/>
                            </w:rPr>
                          </m:ctrlPr>
                        </m:fPr>
                        <m:num>
                          <m:nary>
                            <m:naryPr>
                              <m:chr m:val="∑"/>
                              <m:limLoc m:val="undOvr"/>
                              <m:ctrlPr>
                                <w:rPr>
                                  <w:rFonts w:ascii="Cambria Math" w:hAnsi="Cambria Math"/>
                                  <w:color w:val="auto"/>
                                </w:rPr>
                              </m:ctrlPr>
                            </m:naryPr>
                            <m:sub>
                              <m:r>
                                <m:rPr>
                                  <m:sty m:val="p"/>
                                </m:rPr>
                                <w:rPr>
                                  <w:rFonts w:ascii="Cambria Math" w:hAnsi="Cambria Math"/>
                                  <w:color w:val="auto"/>
                                </w:rPr>
                                <m:t>1</m:t>
                              </m:r>
                              <m:ctrlPr>
                                <w:rPr>
                                  <w:rFonts w:ascii="Cambria Math" w:hAnsi="Cambria Math"/>
                                  <w:color w:val="auto"/>
                                </w:rPr>
                              </m:ctrlPr>
                            </m:sub>
                            <m:sup>
                              <m:r>
                                <m:rPr>
                                  <m:sty m:val="p"/>
                                </m:rPr>
                                <w:rPr>
                                  <w:rFonts w:ascii="Cambria Math" w:hAnsi="Cambria Math"/>
                                  <w:color w:val="auto"/>
                                </w:rPr>
                                <m:t>n</m:t>
                              </m:r>
                              <m:ctrlPr>
                                <w:rPr>
                                  <w:rFonts w:ascii="Cambria Math" w:hAnsi="Cambria Math"/>
                                  <w:color w:val="auto"/>
                                </w:rPr>
                              </m:ctrlPr>
                            </m:sup>
                            <m:e>
                              <m:r>
                                <m:rPr>
                                  <m:sty m:val="p"/>
                                </m:rPr>
                                <w:rPr>
                                  <w:rFonts w:ascii="Cambria Math" w:hAnsi="Cambria Math"/>
                                  <w:color w:val="auto"/>
                                </w:rPr>
                                <m:t>∣a−b∣</m:t>
                              </m:r>
                              <m:ctrlPr>
                                <w:rPr>
                                  <w:rFonts w:ascii="Cambria Math" w:hAnsi="Cambria Math"/>
                                  <w:color w:val="auto"/>
                                </w:rPr>
                              </m:ctrlPr>
                            </m:e>
                          </m:nary>
                          <m:ctrlPr>
                            <w:rPr>
                              <w:rFonts w:ascii="Cambria Math" w:hAnsi="Cambria Math"/>
                              <w:color w:val="auto"/>
                            </w:rPr>
                          </m:ctrlPr>
                        </m:num>
                        <m:den>
                          <m:r>
                            <m:rPr>
                              <m:sty m:val="p"/>
                            </m:rPr>
                            <w:rPr>
                              <w:rFonts w:ascii="Cambria Math" w:hAnsi="Cambria Math"/>
                              <w:color w:val="auto"/>
                            </w:rPr>
                            <m:t>n</m:t>
                          </m:r>
                          <m:ctrlPr>
                            <w:rPr>
                              <w:rFonts w:ascii="Cambria Math" w:hAnsi="Cambria Math"/>
                              <w:color w:val="auto"/>
                            </w:rPr>
                          </m:ctrlPr>
                        </m:den>
                      </m:f>
                      <m:r>
                        <m:rPr>
                          <m:sty m:val="p"/>
                        </m:rPr>
                        <w:rPr>
                          <w:rFonts w:ascii="Cambria Math" w:hAnsi="Cambria Math"/>
                          <w:color w:val="auto"/>
                        </w:rPr>
                        <m:t>）</m:t>
                      </m:r>
                      <m:ctrlPr>
                        <w:rPr>
                          <w:rFonts w:ascii="Cambria Math" w:hAnsi="Cambria Math"/>
                          <w:color w:val="auto"/>
                        </w:rPr>
                      </m:ctrlPr>
                    </m:e>
                    <m:sup>
                      <m:r>
                        <m:rPr>
                          <m:sty m:val="p"/>
                        </m:rPr>
                        <w:rPr>
                          <w:rFonts w:ascii="Cambria Math" w:hAnsi="Cambria Math"/>
                          <w:color w:val="auto"/>
                        </w:rPr>
                        <m:t>2</m:t>
                      </m:r>
                      <m:ctrlPr>
                        <w:rPr>
                          <w:rFonts w:ascii="Cambria Math" w:hAnsi="Cambria Math"/>
                          <w:color w:val="auto"/>
                        </w:rPr>
                      </m:ctrlPr>
                    </m:sup>
                  </m:sSup>
                  <m:ctrlPr>
                    <w:rPr>
                      <w:rFonts w:ascii="Cambria Math" w:hAnsi="Cambria Math"/>
                      <w:color w:val="auto"/>
                    </w:rPr>
                  </m:ctrlPr>
                </m:e>
              </m:nary>
            </m:oMath>
          </w:p>
        </w:tc>
        <w:tc>
          <w:tcPr>
            <w:tcW w:w="3951" w:type="pct"/>
            <w:gridSpan w:val="9"/>
            <w:tcBorders>
              <w:tl2br w:val="nil"/>
              <w:tr2bl w:val="nil"/>
            </w:tcBorders>
            <w:vAlign w:val="center"/>
          </w:tcPr>
          <w:p w14:paraId="502E5055">
            <w:pPr>
              <w:pStyle w:val="12"/>
              <w:bidi w:val="0"/>
              <w:rPr>
                <w:color w:val="auto"/>
              </w:rPr>
            </w:pPr>
            <w:r>
              <w:rPr>
                <w:color w:val="auto"/>
              </w:rPr>
              <w:t>0.422</w:t>
            </w:r>
          </w:p>
        </w:tc>
      </w:tr>
    </w:tbl>
    <w:p w14:paraId="09B76C26">
      <w:pPr>
        <w:ind w:firstLine="482"/>
        <w:contextualSpacing/>
        <w:rPr>
          <w:rFonts w:cs="Times New Roman"/>
          <w:b/>
          <w:color w:val="auto"/>
        </w:rPr>
      </w:pPr>
      <w:r>
        <w:rPr>
          <w:rFonts w:cs="Times New Roman"/>
          <w:b/>
          <w:color w:val="auto"/>
        </w:rPr>
        <w:t>（3）污染物迁移模拟</w:t>
      </w:r>
    </w:p>
    <w:p w14:paraId="5CBCA720">
      <w:pPr>
        <w:ind w:firstLine="480"/>
        <w:contextualSpacing/>
        <w:rPr>
          <w:rFonts w:cs="Times New Roman"/>
          <w:color w:val="auto"/>
        </w:rPr>
      </w:pPr>
      <w:r>
        <w:rPr>
          <w:rFonts w:cs="Times New Roman"/>
          <w:color w:val="auto"/>
        </w:rPr>
        <w:t>1）数学模型</w:t>
      </w:r>
    </w:p>
    <w:p w14:paraId="4C644EBE">
      <w:pPr>
        <w:ind w:firstLine="480"/>
        <w:contextualSpacing/>
        <w:rPr>
          <w:rFonts w:cs="Times New Roman"/>
          <w:color w:val="auto"/>
        </w:rPr>
      </w:pPr>
      <w:r>
        <w:rPr>
          <w:rFonts w:cs="Times New Roman"/>
          <w:color w:val="auto"/>
        </w:rPr>
        <w:t>根据《环境影响评价技术导则－地下水环境》（HJ610-2016），污染物迁移的溶质运移模型可表达为：</w:t>
      </w:r>
    </w:p>
    <w:p w14:paraId="3F2D99E1">
      <w:pPr>
        <w:widowControl/>
        <w:ind w:firstLine="1080" w:firstLineChars="450"/>
        <w:contextualSpacing/>
        <w:jc w:val="left"/>
        <w:rPr>
          <w:rFonts w:cs="Times New Roman"/>
          <w:color w:val="auto"/>
          <w:szCs w:val="24"/>
        </w:rPr>
      </w:pPr>
      <w:r>
        <w:rPr>
          <w:rFonts w:cs="Times New Roman"/>
          <w:color w:val="auto"/>
          <w:position w:val="-32"/>
          <w:szCs w:val="24"/>
        </w:rPr>
        <w:drawing>
          <wp:inline distT="0" distB="0" distL="0" distR="0">
            <wp:extent cx="4030980" cy="480060"/>
            <wp:effectExtent l="0" t="0" r="7620" b="15240"/>
            <wp:docPr id="7193" name="图片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图片 719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030980" cy="480060"/>
                    </a:xfrm>
                    <a:prstGeom prst="rect">
                      <a:avLst/>
                    </a:prstGeom>
                    <a:noFill/>
                    <a:ln>
                      <a:noFill/>
                    </a:ln>
                  </pic:spPr>
                </pic:pic>
              </a:graphicData>
            </a:graphic>
          </wp:inline>
        </w:drawing>
      </w:r>
      <w:r>
        <w:rPr>
          <w:rFonts w:cs="Times New Roman"/>
          <w:color w:val="auto"/>
          <w:szCs w:val="24"/>
        </w:rPr>
        <w:t>（7-1）</w:t>
      </w:r>
    </w:p>
    <w:p w14:paraId="537511D2">
      <w:pPr>
        <w:widowControl/>
        <w:ind w:firstLine="480"/>
        <w:contextualSpacing/>
        <w:jc w:val="left"/>
        <w:rPr>
          <w:rFonts w:cs="Times New Roman"/>
          <w:color w:val="auto"/>
          <w:szCs w:val="24"/>
        </w:rPr>
      </w:pPr>
      <w:r>
        <w:rPr>
          <w:rFonts w:cs="Times New Roman"/>
          <w:color w:val="auto"/>
          <w:szCs w:val="24"/>
        </w:rPr>
        <w:t>式中：R——迟滞系数，无量纲。</w:t>
      </w:r>
      <w:r>
        <w:rPr>
          <w:rFonts w:cs="Times New Roman"/>
          <w:color w:val="auto"/>
          <w:position w:val="-24"/>
          <w:szCs w:val="24"/>
        </w:rPr>
        <w:drawing>
          <wp:inline distT="0" distB="0" distL="0" distR="0">
            <wp:extent cx="705485" cy="309245"/>
            <wp:effectExtent l="0" t="0" r="18415" b="14605"/>
            <wp:docPr id="7199" name="图片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图片 719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705485" cy="309245"/>
                    </a:xfrm>
                    <a:prstGeom prst="rect">
                      <a:avLst/>
                    </a:prstGeom>
                    <a:noFill/>
                    <a:ln>
                      <a:noFill/>
                    </a:ln>
                  </pic:spPr>
                </pic:pic>
              </a:graphicData>
            </a:graphic>
          </wp:inline>
        </w:drawing>
      </w:r>
    </w:p>
    <w:p w14:paraId="4D399143">
      <w:pPr>
        <w:widowControl/>
        <w:spacing w:line="300" w:lineRule="auto"/>
        <w:ind w:firstLine="720" w:firstLineChars="300"/>
        <w:contextualSpacing/>
        <w:jc w:val="left"/>
        <w:rPr>
          <w:rFonts w:cs="Times New Roman"/>
          <w:color w:val="auto"/>
          <w:szCs w:val="24"/>
        </w:rPr>
      </w:pPr>
      <w:r>
        <w:rPr>
          <w:rFonts w:cs="Times New Roman"/>
          <w:color w:val="auto"/>
          <w:position w:val="-12"/>
          <w:szCs w:val="24"/>
        </w:rPr>
        <w:drawing>
          <wp:inline distT="0" distB="0" distL="0" distR="0">
            <wp:extent cx="190500" cy="228600"/>
            <wp:effectExtent l="0" t="0" r="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90500" cy="228600"/>
                    </a:xfrm>
                    <a:prstGeom prst="rect">
                      <a:avLst/>
                    </a:prstGeom>
                    <a:noFill/>
                    <a:ln>
                      <a:noFill/>
                    </a:ln>
                  </pic:spPr>
                </pic:pic>
              </a:graphicData>
            </a:graphic>
          </wp:inline>
        </w:drawing>
      </w:r>
      <w:r>
        <w:rPr>
          <w:rFonts w:cs="Times New Roman"/>
          <w:color w:val="auto"/>
          <w:szCs w:val="24"/>
        </w:rPr>
        <w:t>——介质密度（mg/dm</w:t>
      </w:r>
      <w:r>
        <w:rPr>
          <w:rFonts w:cs="Times New Roman"/>
          <w:color w:val="auto"/>
          <w:szCs w:val="24"/>
          <w:vertAlign w:val="superscript"/>
        </w:rPr>
        <w:t>3</w:t>
      </w:r>
      <w:r>
        <w:rPr>
          <w:rFonts w:cs="Times New Roman"/>
          <w:color w:val="auto"/>
          <w:szCs w:val="24"/>
        </w:rPr>
        <w:t>）；</w:t>
      </w:r>
    </w:p>
    <w:p w14:paraId="3486875D">
      <w:pPr>
        <w:widowControl/>
        <w:spacing w:line="300" w:lineRule="auto"/>
        <w:ind w:firstLine="720" w:firstLineChars="300"/>
        <w:contextualSpacing/>
        <w:jc w:val="left"/>
        <w:rPr>
          <w:rFonts w:cs="Times New Roman"/>
          <w:color w:val="auto"/>
          <w:szCs w:val="24"/>
        </w:rPr>
      </w:pPr>
      <w:r>
        <w:rPr>
          <w:rFonts w:cs="Times New Roman"/>
          <w:color w:val="auto"/>
          <w:position w:val="-6"/>
          <w:szCs w:val="24"/>
        </w:rPr>
        <w:drawing>
          <wp:inline distT="0" distB="0" distL="0" distR="0">
            <wp:extent cx="129540" cy="182880"/>
            <wp:effectExtent l="0" t="0" r="3810" b="635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29540" cy="182880"/>
                    </a:xfrm>
                    <a:prstGeom prst="rect">
                      <a:avLst/>
                    </a:prstGeom>
                    <a:noFill/>
                    <a:ln>
                      <a:noFill/>
                    </a:ln>
                  </pic:spPr>
                </pic:pic>
              </a:graphicData>
            </a:graphic>
          </wp:inline>
        </w:drawing>
      </w:r>
      <w:r>
        <w:rPr>
          <w:rFonts w:cs="Times New Roman"/>
          <w:color w:val="auto"/>
          <w:szCs w:val="24"/>
        </w:rPr>
        <w:t>——介质孔隙度，（无量纲）；</w:t>
      </w:r>
    </w:p>
    <w:p w14:paraId="2803D454">
      <w:pPr>
        <w:widowControl/>
        <w:spacing w:line="300" w:lineRule="auto"/>
        <w:ind w:firstLine="720" w:firstLineChars="300"/>
        <w:contextualSpacing/>
        <w:jc w:val="left"/>
        <w:rPr>
          <w:rFonts w:cs="Times New Roman"/>
          <w:color w:val="auto"/>
          <w:szCs w:val="24"/>
        </w:rPr>
      </w:pPr>
      <w:r>
        <w:rPr>
          <w:rFonts w:cs="Times New Roman"/>
          <w:color w:val="auto"/>
          <w:szCs w:val="24"/>
        </w:rPr>
        <w:t>C——组分的浓度，mg/L；</w:t>
      </w:r>
    </w:p>
    <w:p w14:paraId="35F55051">
      <w:pPr>
        <w:widowControl/>
        <w:spacing w:line="300" w:lineRule="auto"/>
        <w:ind w:firstLine="720" w:firstLineChars="300"/>
        <w:contextualSpacing/>
        <w:jc w:val="left"/>
        <w:rPr>
          <w:rFonts w:cs="Times New Roman"/>
          <w:color w:val="auto"/>
          <w:szCs w:val="24"/>
        </w:rPr>
      </w:pPr>
      <w:r>
        <w:rPr>
          <w:rFonts w:cs="Times New Roman"/>
          <w:color w:val="auto"/>
          <w:szCs w:val="24"/>
        </w:rPr>
        <w:t>t——时间（d）；</w:t>
      </w:r>
    </w:p>
    <w:p w14:paraId="1F16F6F0">
      <w:pPr>
        <w:widowControl/>
        <w:spacing w:line="300" w:lineRule="auto"/>
        <w:ind w:firstLine="720" w:firstLineChars="300"/>
        <w:contextualSpacing/>
        <w:jc w:val="left"/>
        <w:rPr>
          <w:rFonts w:cs="Times New Roman"/>
          <w:color w:val="auto"/>
          <w:szCs w:val="24"/>
        </w:rPr>
      </w:pPr>
      <w:r>
        <w:rPr>
          <w:rFonts w:cs="Times New Roman"/>
          <w:color w:val="auto"/>
          <w:szCs w:val="24"/>
        </w:rPr>
        <w:t>x，y，z——空间位置坐标（m）；</w:t>
      </w:r>
    </w:p>
    <w:p w14:paraId="4F0C21EA">
      <w:pPr>
        <w:widowControl/>
        <w:spacing w:line="300" w:lineRule="auto"/>
        <w:ind w:left="1560" w:leftChars="300" w:hanging="840" w:hangingChars="350"/>
        <w:contextualSpacing/>
        <w:jc w:val="left"/>
        <w:rPr>
          <w:rFonts w:cs="Times New Roman"/>
          <w:color w:val="auto"/>
          <w:szCs w:val="24"/>
        </w:rPr>
      </w:pPr>
      <w:r>
        <w:rPr>
          <w:rFonts w:cs="Times New Roman"/>
          <w:color w:val="auto"/>
          <w:szCs w:val="24"/>
        </w:rPr>
        <w:t>D</w:t>
      </w:r>
      <w:r>
        <w:rPr>
          <w:rFonts w:cs="Times New Roman"/>
          <w:color w:val="auto"/>
          <w:szCs w:val="24"/>
          <w:vertAlign w:val="subscript"/>
        </w:rPr>
        <w:t>ij</w:t>
      </w:r>
      <w:r>
        <w:rPr>
          <w:rFonts w:cs="Times New Roman"/>
          <w:color w:val="auto"/>
          <w:szCs w:val="24"/>
        </w:rPr>
        <w:t>——水动力弥散系数张量；</w:t>
      </w:r>
    </w:p>
    <w:p w14:paraId="1F7DE7D9">
      <w:pPr>
        <w:widowControl/>
        <w:spacing w:line="300" w:lineRule="auto"/>
        <w:ind w:firstLine="720" w:firstLineChars="300"/>
        <w:contextualSpacing/>
        <w:jc w:val="left"/>
        <w:rPr>
          <w:rFonts w:cs="Times New Roman"/>
          <w:color w:val="auto"/>
          <w:szCs w:val="24"/>
        </w:rPr>
      </w:pPr>
      <w:r>
        <w:rPr>
          <w:rFonts w:cs="Times New Roman"/>
          <w:color w:val="auto"/>
          <w:szCs w:val="24"/>
        </w:rPr>
        <w:t>Vi——地下水渗流速度张量；</w:t>
      </w:r>
    </w:p>
    <w:p w14:paraId="3C344181">
      <w:pPr>
        <w:widowControl/>
        <w:spacing w:line="300" w:lineRule="auto"/>
        <w:ind w:firstLine="720" w:firstLineChars="300"/>
        <w:contextualSpacing/>
        <w:jc w:val="left"/>
        <w:rPr>
          <w:rFonts w:cs="Times New Roman"/>
          <w:color w:val="auto"/>
          <w:szCs w:val="24"/>
        </w:rPr>
      </w:pPr>
      <w:r>
        <w:rPr>
          <w:rFonts w:cs="Times New Roman"/>
          <w:color w:val="auto"/>
          <w:szCs w:val="24"/>
        </w:rPr>
        <w:t>W——水流的源和汇（1/d）</w:t>
      </w:r>
    </w:p>
    <w:p w14:paraId="3BC1CB41">
      <w:pPr>
        <w:widowControl/>
        <w:spacing w:line="300" w:lineRule="auto"/>
        <w:ind w:firstLine="720" w:firstLineChars="300"/>
        <w:contextualSpacing/>
        <w:jc w:val="left"/>
        <w:rPr>
          <w:rFonts w:cs="Times New Roman"/>
          <w:color w:val="auto"/>
          <w:szCs w:val="24"/>
        </w:rPr>
      </w:pPr>
      <w:r>
        <w:rPr>
          <w:rFonts w:cs="Times New Roman"/>
          <w:color w:val="auto"/>
          <w:szCs w:val="24"/>
        </w:rPr>
        <w:t>Cs——组分的浓度，mg/L</w:t>
      </w:r>
    </w:p>
    <w:p w14:paraId="149F4AD7">
      <w:pPr>
        <w:keepNext w:val="0"/>
        <w:keepLines w:val="0"/>
        <w:pageBreakBefore w:val="0"/>
        <w:widowControl w:val="0"/>
        <w:kinsoku/>
        <w:wordWrap/>
        <w:overflowPunct/>
        <w:topLinePunct w:val="0"/>
        <w:autoSpaceDE/>
        <w:autoSpaceDN/>
        <w:bidi w:val="0"/>
        <w:adjustRightInd/>
        <w:snapToGrid w:val="0"/>
        <w:ind w:firstLine="720" w:firstLineChars="300"/>
        <w:textAlignment w:val="auto"/>
        <w:rPr>
          <w:color w:val="auto"/>
        </w:rPr>
      </w:pPr>
      <w:r>
        <w:rPr>
          <w:color w:val="auto"/>
        </w:rPr>
        <w:drawing>
          <wp:inline distT="0" distB="0" distL="0" distR="0">
            <wp:extent cx="167640" cy="220980"/>
            <wp:effectExtent l="0" t="0" r="3810" b="5715"/>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67640" cy="220980"/>
                    </a:xfrm>
                    <a:prstGeom prst="rect">
                      <a:avLst/>
                    </a:prstGeom>
                    <a:noFill/>
                    <a:ln>
                      <a:noFill/>
                    </a:ln>
                  </pic:spPr>
                </pic:pic>
              </a:graphicData>
            </a:graphic>
          </wp:inline>
        </w:drawing>
      </w:r>
      <w:r>
        <w:rPr>
          <w:color w:val="auto"/>
        </w:rPr>
        <w:t>——溶解相一级反应速率（1/d）</w:t>
      </w:r>
    </w:p>
    <w:p w14:paraId="3E06E5DC">
      <w:pPr>
        <w:keepNext w:val="0"/>
        <w:keepLines w:val="0"/>
        <w:pageBreakBefore w:val="0"/>
        <w:widowControl w:val="0"/>
        <w:kinsoku/>
        <w:wordWrap/>
        <w:overflowPunct/>
        <w:topLinePunct w:val="0"/>
        <w:autoSpaceDE/>
        <w:autoSpaceDN/>
        <w:bidi w:val="0"/>
        <w:adjustRightInd/>
        <w:snapToGrid w:val="0"/>
        <w:textAlignment w:val="auto"/>
        <w:rPr>
          <w:color w:val="auto"/>
        </w:rPr>
      </w:pPr>
      <w:r>
        <w:rPr>
          <w:rFonts w:hint="eastAsia"/>
          <w:color w:val="auto"/>
          <w:lang w:val="en-US" w:eastAsia="zh-CN"/>
        </w:rPr>
        <w:t xml:space="preserve">  </w:t>
      </w:r>
      <w:r>
        <w:rPr>
          <w:color w:val="auto"/>
        </w:rPr>
        <w:drawing>
          <wp:inline distT="0" distB="0" distL="0" distR="0">
            <wp:extent cx="182880" cy="220980"/>
            <wp:effectExtent l="0" t="0" r="7620" b="5715"/>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182880" cy="220980"/>
                    </a:xfrm>
                    <a:prstGeom prst="rect">
                      <a:avLst/>
                    </a:prstGeom>
                    <a:noFill/>
                    <a:ln>
                      <a:noFill/>
                    </a:ln>
                  </pic:spPr>
                </pic:pic>
              </a:graphicData>
            </a:graphic>
          </wp:inline>
        </w:drawing>
      </w:r>
      <w:r>
        <w:rPr>
          <w:color w:val="auto"/>
        </w:rPr>
        <w:t>——吸附相反应速率，（L/mg·d）</w:t>
      </w:r>
    </w:p>
    <w:p w14:paraId="29ACF4E7">
      <w:pPr>
        <w:bidi w:val="0"/>
        <w:rPr>
          <w:color w:val="auto"/>
        </w:rPr>
      </w:pPr>
      <w:r>
        <w:rPr>
          <w:color w:val="auto"/>
        </w:rPr>
        <w:t>2）预测软件</w:t>
      </w:r>
    </w:p>
    <w:p w14:paraId="6B3BFC6F">
      <w:pPr>
        <w:bidi w:val="0"/>
        <w:rPr>
          <w:color w:val="auto"/>
        </w:rPr>
      </w:pPr>
      <w:r>
        <w:rPr>
          <w:color w:val="auto"/>
        </w:rPr>
        <w:t>MT3DMS模块是Visual MODFLOW软件中的模块之一，它是模拟地下水系统中对流、弥散和化学反应的三维溶质运移模型。在利用MODFLOW模块模拟计算评价区地下水的流场后，采用Visual MODFLOW中的MT3DMS预测本项目非正常状况下污染物的运移特征及浓度变化趋势。</w:t>
      </w:r>
    </w:p>
    <w:p w14:paraId="6FB5D958">
      <w:pPr>
        <w:ind w:firstLine="480"/>
        <w:rPr>
          <w:color w:val="auto"/>
        </w:rPr>
      </w:pPr>
      <w:r>
        <w:rPr>
          <w:color w:val="auto"/>
        </w:rPr>
        <w:t>3）污染源源项分析</w:t>
      </w:r>
    </w:p>
    <w:p w14:paraId="2E5FF86F">
      <w:pPr>
        <w:ind w:firstLine="480"/>
        <w:rPr>
          <w:color w:val="auto"/>
        </w:rPr>
      </w:pPr>
      <w:r>
        <w:rPr>
          <w:color w:val="auto"/>
        </w:rPr>
        <w:t>本次环评将重点针对以下区域进行地下水影响预测：</w:t>
      </w:r>
    </w:p>
    <w:p w14:paraId="32CA90B8">
      <w:pPr>
        <w:ind w:firstLine="480"/>
        <w:rPr>
          <w:color w:val="auto"/>
        </w:rPr>
      </w:pPr>
      <w:r>
        <w:rPr>
          <w:rFonts w:hint="eastAsia"/>
          <w:color w:val="auto"/>
        </w:rPr>
        <w:t>①主体工程</w:t>
      </w:r>
    </w:p>
    <w:p w14:paraId="201EA6E2">
      <w:pPr>
        <w:ind w:firstLine="480"/>
        <w:rPr>
          <w:rFonts w:eastAsia="宋体"/>
          <w:color w:val="auto"/>
        </w:rPr>
      </w:pPr>
      <w:r>
        <w:rPr>
          <w:rFonts w:hint="eastAsia" w:eastAsia="宋体"/>
          <w:color w:val="auto"/>
        </w:rPr>
        <w:t>一级处理单元</w:t>
      </w:r>
      <w:r>
        <w:rPr>
          <w:rFonts w:eastAsia="宋体"/>
          <w:color w:val="auto"/>
        </w:rPr>
        <w:t>：</w:t>
      </w:r>
      <w:r>
        <w:rPr>
          <w:rFonts w:hint="eastAsia" w:eastAsia="宋体"/>
          <w:color w:val="auto"/>
        </w:rPr>
        <w:t>超细格栅池</w:t>
      </w:r>
      <w:r>
        <w:rPr>
          <w:color w:val="auto"/>
        </w:rPr>
        <w:t>、</w:t>
      </w:r>
      <w:r>
        <w:rPr>
          <w:rFonts w:hint="eastAsia" w:eastAsia="宋体"/>
          <w:color w:val="auto"/>
        </w:rPr>
        <w:t>调节池、水解酸化池；</w:t>
      </w:r>
    </w:p>
    <w:p w14:paraId="52F4DCE1">
      <w:pPr>
        <w:ind w:firstLine="480"/>
        <w:rPr>
          <w:color w:val="auto"/>
        </w:rPr>
      </w:pPr>
      <w:r>
        <w:rPr>
          <w:rFonts w:hint="eastAsia" w:eastAsia="宋体"/>
          <w:color w:val="auto"/>
        </w:rPr>
        <w:t>二级处理单元</w:t>
      </w:r>
      <w:r>
        <w:rPr>
          <w:rFonts w:eastAsia="宋体"/>
          <w:color w:val="auto"/>
        </w:rPr>
        <w:t>：</w:t>
      </w:r>
      <w:r>
        <w:rPr>
          <w:rFonts w:hint="eastAsia" w:eastAsia="宋体"/>
          <w:color w:val="auto"/>
        </w:rPr>
        <w:t>微氧低循环生化池</w:t>
      </w:r>
      <w:r>
        <w:rPr>
          <w:color w:val="auto"/>
        </w:rPr>
        <w:t>、</w:t>
      </w:r>
      <w:r>
        <w:rPr>
          <w:rFonts w:hint="eastAsia"/>
          <w:color w:val="auto"/>
        </w:rPr>
        <w:t>反硝化深床滤池；</w:t>
      </w:r>
    </w:p>
    <w:p w14:paraId="16CA8719">
      <w:pPr>
        <w:ind w:firstLine="480"/>
        <w:rPr>
          <w:rFonts w:eastAsia="宋体"/>
          <w:color w:val="auto"/>
        </w:rPr>
      </w:pPr>
      <w:r>
        <w:rPr>
          <w:rFonts w:hint="eastAsia"/>
          <w:color w:val="auto"/>
        </w:rPr>
        <w:t>深度处理单元：高级氧化撬装设备；</w:t>
      </w:r>
    </w:p>
    <w:p w14:paraId="72AD7803">
      <w:pPr>
        <w:ind w:firstLine="480"/>
        <w:rPr>
          <w:rFonts w:eastAsia="宋体"/>
          <w:color w:val="auto"/>
        </w:rPr>
      </w:pPr>
      <w:r>
        <w:rPr>
          <w:rFonts w:hint="eastAsia" w:ascii="宋体" w:hAnsi="宋体" w:eastAsia="宋体" w:cs="宋体"/>
          <w:color w:val="auto"/>
        </w:rPr>
        <w:t>②</w:t>
      </w:r>
      <w:r>
        <w:rPr>
          <w:rFonts w:hint="eastAsia" w:eastAsia="宋体"/>
          <w:color w:val="auto"/>
        </w:rPr>
        <w:t>配套</w:t>
      </w:r>
      <w:r>
        <w:rPr>
          <w:rFonts w:eastAsia="宋体"/>
          <w:color w:val="auto"/>
        </w:rPr>
        <w:t>工程</w:t>
      </w:r>
    </w:p>
    <w:p w14:paraId="03E1F232">
      <w:pPr>
        <w:ind w:firstLine="480"/>
        <w:rPr>
          <w:color w:val="auto"/>
        </w:rPr>
      </w:pPr>
      <w:r>
        <w:rPr>
          <w:rFonts w:hint="eastAsia"/>
          <w:color w:val="auto"/>
        </w:rPr>
        <w:t>污泥处理单元：磁混凝沉淀池、污泥池。</w:t>
      </w:r>
    </w:p>
    <w:p w14:paraId="5A763863">
      <w:pPr>
        <w:ind w:firstLine="480"/>
        <w:rPr>
          <w:color w:val="auto"/>
        </w:rPr>
      </w:pPr>
      <w:r>
        <w:rPr>
          <w:rFonts w:hint="eastAsia"/>
          <w:color w:val="auto"/>
        </w:rPr>
        <w:t>非正常状况下，污水处理厂</w:t>
      </w:r>
      <w:r>
        <w:rPr>
          <w:color w:val="auto"/>
        </w:rPr>
        <w:t>主要废水池体因腐蚀等原因出现裂缝，池体防渗层裂缝面积占池体面积10%，</w:t>
      </w:r>
      <w:r>
        <w:rPr>
          <w:rFonts w:hint="eastAsia"/>
          <w:color w:val="auto"/>
        </w:rPr>
        <w:t>各</w:t>
      </w:r>
      <w:r>
        <w:rPr>
          <w:color w:val="auto"/>
        </w:rPr>
        <w:t>池体内水位高度</w:t>
      </w:r>
      <w:r>
        <w:rPr>
          <w:rFonts w:hint="eastAsia"/>
          <w:color w:val="auto"/>
        </w:rPr>
        <w:t>分别</w:t>
      </w:r>
      <w:r>
        <w:rPr>
          <w:color w:val="auto"/>
        </w:rPr>
        <w:t>取</w:t>
      </w:r>
      <w:r>
        <w:rPr>
          <w:rFonts w:hint="eastAsia"/>
          <w:color w:val="auto"/>
        </w:rPr>
        <w:t>各自</w:t>
      </w:r>
      <w:r>
        <w:rPr>
          <w:color w:val="auto"/>
        </w:rPr>
        <w:t>有效水深。</w:t>
      </w:r>
      <w:r>
        <w:rPr>
          <w:rFonts w:hint="eastAsia"/>
          <w:color w:val="auto"/>
        </w:rPr>
        <w:t>因项目设定的地下水环境监测井的监测频率为每个季度1次，本次考虑废</w:t>
      </w:r>
      <w:r>
        <w:rPr>
          <w:color w:val="auto"/>
        </w:rPr>
        <w:t>水处理站</w:t>
      </w:r>
      <w:r>
        <w:rPr>
          <w:rFonts w:hint="eastAsia"/>
          <w:color w:val="auto"/>
        </w:rPr>
        <w:t>泄漏时长为3个月。</w:t>
      </w:r>
      <w:r>
        <w:rPr>
          <w:color w:val="auto"/>
        </w:rPr>
        <w:t>根据本项目生产工艺，</w:t>
      </w:r>
      <w:r>
        <w:rPr>
          <w:rFonts w:hint="eastAsia"/>
          <w:color w:val="auto"/>
        </w:rPr>
        <w:t>结合前述污染源强计算结果，</w:t>
      </w:r>
      <w:r>
        <w:rPr>
          <w:color w:val="auto"/>
        </w:rPr>
        <w:t>在</w:t>
      </w:r>
      <w:r>
        <w:rPr>
          <w:rFonts w:hint="eastAsia"/>
          <w:color w:val="auto"/>
        </w:rPr>
        <w:t>非正常</w:t>
      </w:r>
      <w:r>
        <w:rPr>
          <w:color w:val="auto"/>
        </w:rPr>
        <w:t>状况下本项目污染源源项分析见</w:t>
      </w:r>
      <w:r>
        <w:rPr>
          <w:rFonts w:hint="eastAsia"/>
          <w:color w:val="auto"/>
          <w:lang w:val="en-US" w:eastAsia="zh-CN"/>
        </w:rPr>
        <w:t>下表</w:t>
      </w:r>
      <w:r>
        <w:rPr>
          <w:color w:val="auto"/>
        </w:rPr>
        <w:t>。</w:t>
      </w:r>
    </w:p>
    <w:p w14:paraId="045E1824">
      <w:pPr>
        <w:pStyle w:val="15"/>
        <w:numPr>
          <w:ilvl w:val="0"/>
          <w:numId w:val="31"/>
        </w:numPr>
        <w:bidi w:val="0"/>
        <w:ind w:left="0" w:leftChars="0" w:firstLine="0" w:firstLineChars="0"/>
        <w:rPr>
          <w:color w:val="auto"/>
        </w:rPr>
      </w:pPr>
      <w:r>
        <w:rPr>
          <w:color w:val="auto"/>
        </w:rPr>
        <w:t>非正常运行状况污染源源项分析</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9"/>
        <w:gridCol w:w="576"/>
        <w:gridCol w:w="1692"/>
        <w:gridCol w:w="702"/>
        <w:gridCol w:w="645"/>
        <w:gridCol w:w="885"/>
        <w:gridCol w:w="615"/>
        <w:gridCol w:w="660"/>
        <w:gridCol w:w="660"/>
        <w:gridCol w:w="570"/>
        <w:gridCol w:w="744"/>
      </w:tblGrid>
      <w:tr w14:paraId="39433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5" w:type="pct"/>
            <w:gridSpan w:val="3"/>
            <w:vMerge w:val="restart"/>
            <w:tcBorders>
              <w:tl2br w:val="nil"/>
              <w:tr2bl w:val="nil"/>
            </w:tcBorders>
            <w:tcMar>
              <w:left w:w="6" w:type="dxa"/>
              <w:right w:w="6" w:type="dxa"/>
            </w:tcMar>
            <w:vAlign w:val="center"/>
          </w:tcPr>
          <w:p w14:paraId="28D0DF51">
            <w:pPr>
              <w:pStyle w:val="711"/>
              <w:rPr>
                <w:b/>
                <w:bCs/>
                <w:color w:val="auto"/>
              </w:rPr>
            </w:pPr>
            <w:r>
              <w:rPr>
                <w:b/>
                <w:bCs/>
                <w:color w:val="auto"/>
              </w:rPr>
              <w:t>赋值区域</w:t>
            </w:r>
          </w:p>
        </w:tc>
        <w:tc>
          <w:tcPr>
            <w:tcW w:w="421" w:type="pct"/>
            <w:vMerge w:val="restart"/>
            <w:tcBorders>
              <w:tl2br w:val="nil"/>
              <w:tr2bl w:val="nil"/>
            </w:tcBorders>
            <w:shd w:val="clear" w:color="auto" w:fill="auto"/>
            <w:noWrap/>
            <w:tcMar>
              <w:left w:w="6" w:type="dxa"/>
              <w:right w:w="6" w:type="dxa"/>
            </w:tcMar>
            <w:vAlign w:val="center"/>
          </w:tcPr>
          <w:p w14:paraId="7013EFC7">
            <w:pPr>
              <w:pStyle w:val="711"/>
              <w:rPr>
                <w:rFonts w:hint="eastAsia" w:eastAsiaTheme="majorEastAsia"/>
                <w:b/>
                <w:bCs/>
                <w:color w:val="auto"/>
                <w:lang w:eastAsia="zh-CN"/>
              </w:rPr>
            </w:pPr>
            <w:r>
              <w:rPr>
                <w:b/>
                <w:bCs/>
                <w:color w:val="auto"/>
              </w:rPr>
              <w:t>下渗量</w:t>
            </w:r>
            <w:r>
              <w:rPr>
                <w:rFonts w:hint="eastAsia"/>
                <w:b/>
                <w:bCs/>
                <w:color w:val="auto"/>
                <w:lang w:eastAsia="zh-CN"/>
              </w:rPr>
              <w:t>（</w:t>
            </w:r>
            <w:r>
              <w:rPr>
                <w:b/>
                <w:bCs/>
                <w:color w:val="auto"/>
              </w:rPr>
              <w:t>m</w:t>
            </w:r>
            <w:r>
              <w:rPr>
                <w:b/>
                <w:bCs/>
                <w:color w:val="auto"/>
                <w:vertAlign w:val="superscript"/>
              </w:rPr>
              <w:t>3</w:t>
            </w:r>
            <w:r>
              <w:rPr>
                <w:b/>
                <w:bCs/>
                <w:color w:val="auto"/>
              </w:rPr>
              <w:t>/d</w:t>
            </w:r>
            <w:r>
              <w:rPr>
                <w:rFonts w:hint="eastAsia"/>
                <w:b/>
                <w:bCs/>
                <w:color w:val="auto"/>
                <w:lang w:eastAsia="zh-CN"/>
              </w:rPr>
              <w:t>）</w:t>
            </w:r>
          </w:p>
        </w:tc>
        <w:tc>
          <w:tcPr>
            <w:tcW w:w="387" w:type="pct"/>
            <w:vMerge w:val="restart"/>
            <w:tcBorders>
              <w:tl2br w:val="nil"/>
              <w:tr2bl w:val="nil"/>
            </w:tcBorders>
            <w:tcMar>
              <w:left w:w="6" w:type="dxa"/>
              <w:right w:w="6" w:type="dxa"/>
            </w:tcMar>
            <w:vAlign w:val="center"/>
          </w:tcPr>
          <w:p w14:paraId="47E29ED4">
            <w:pPr>
              <w:pStyle w:val="711"/>
              <w:rPr>
                <w:b/>
                <w:bCs/>
                <w:color w:val="auto"/>
              </w:rPr>
            </w:pPr>
            <w:r>
              <w:rPr>
                <w:b/>
                <w:bCs/>
                <w:color w:val="auto"/>
              </w:rPr>
              <w:t>下渗时长</w:t>
            </w:r>
          </w:p>
        </w:tc>
        <w:tc>
          <w:tcPr>
            <w:tcW w:w="2484" w:type="pct"/>
            <w:gridSpan w:val="6"/>
            <w:tcBorders>
              <w:tl2br w:val="nil"/>
              <w:tr2bl w:val="nil"/>
            </w:tcBorders>
            <w:tcMar>
              <w:left w:w="6" w:type="dxa"/>
              <w:right w:w="6" w:type="dxa"/>
            </w:tcMar>
            <w:vAlign w:val="center"/>
          </w:tcPr>
          <w:p w14:paraId="5BF3F678">
            <w:pPr>
              <w:pStyle w:val="711"/>
              <w:rPr>
                <w:b/>
                <w:bCs/>
                <w:color w:val="auto"/>
              </w:rPr>
            </w:pPr>
            <w:r>
              <w:rPr>
                <w:b/>
                <w:bCs/>
                <w:color w:val="auto"/>
              </w:rPr>
              <w:t>污染物总下渗量（kg）</w:t>
            </w:r>
          </w:p>
        </w:tc>
      </w:tr>
      <w:tr w14:paraId="32B3A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5" w:type="pct"/>
            <w:gridSpan w:val="3"/>
            <w:vMerge w:val="continue"/>
            <w:tcBorders>
              <w:tl2br w:val="nil"/>
              <w:tr2bl w:val="nil"/>
            </w:tcBorders>
            <w:tcMar>
              <w:left w:w="6" w:type="dxa"/>
              <w:right w:w="6" w:type="dxa"/>
            </w:tcMar>
            <w:vAlign w:val="center"/>
          </w:tcPr>
          <w:p w14:paraId="6197A0D0">
            <w:pPr>
              <w:pStyle w:val="711"/>
              <w:rPr>
                <w:b/>
                <w:bCs/>
                <w:color w:val="auto"/>
              </w:rPr>
            </w:pPr>
          </w:p>
        </w:tc>
        <w:tc>
          <w:tcPr>
            <w:tcW w:w="421" w:type="pct"/>
            <w:vMerge w:val="continue"/>
            <w:tcBorders>
              <w:tl2br w:val="nil"/>
              <w:tr2bl w:val="nil"/>
            </w:tcBorders>
            <w:shd w:val="clear" w:color="auto" w:fill="auto"/>
            <w:noWrap/>
            <w:tcMar>
              <w:left w:w="6" w:type="dxa"/>
              <w:right w:w="6" w:type="dxa"/>
            </w:tcMar>
            <w:vAlign w:val="center"/>
          </w:tcPr>
          <w:p w14:paraId="110144F3">
            <w:pPr>
              <w:pStyle w:val="711"/>
              <w:rPr>
                <w:b/>
                <w:bCs/>
                <w:color w:val="auto"/>
              </w:rPr>
            </w:pPr>
          </w:p>
        </w:tc>
        <w:tc>
          <w:tcPr>
            <w:tcW w:w="387" w:type="pct"/>
            <w:vMerge w:val="continue"/>
            <w:tcBorders>
              <w:tl2br w:val="nil"/>
              <w:tr2bl w:val="nil"/>
            </w:tcBorders>
            <w:tcMar>
              <w:left w:w="6" w:type="dxa"/>
              <w:right w:w="6" w:type="dxa"/>
            </w:tcMar>
            <w:vAlign w:val="center"/>
          </w:tcPr>
          <w:p w14:paraId="78BEDBA4">
            <w:pPr>
              <w:pStyle w:val="711"/>
              <w:rPr>
                <w:b/>
                <w:bCs/>
                <w:color w:val="auto"/>
              </w:rPr>
            </w:pPr>
          </w:p>
        </w:tc>
        <w:tc>
          <w:tcPr>
            <w:tcW w:w="531" w:type="pct"/>
            <w:tcBorders>
              <w:tl2br w:val="nil"/>
              <w:tr2bl w:val="nil"/>
            </w:tcBorders>
            <w:tcMar>
              <w:left w:w="6" w:type="dxa"/>
              <w:right w:w="6" w:type="dxa"/>
            </w:tcMar>
            <w:vAlign w:val="center"/>
          </w:tcPr>
          <w:p w14:paraId="4CFD19B7">
            <w:pPr>
              <w:pStyle w:val="711"/>
              <w:rPr>
                <w:b/>
                <w:bCs/>
                <w:color w:val="auto"/>
              </w:rPr>
            </w:pPr>
            <w:r>
              <w:rPr>
                <w:b/>
                <w:bCs/>
                <w:color w:val="auto"/>
              </w:rPr>
              <w:t>COD</w:t>
            </w:r>
            <w:r>
              <w:rPr>
                <w:b/>
                <w:bCs/>
                <w:color w:val="auto"/>
                <w:vertAlign w:val="subscript"/>
              </w:rPr>
              <w:t>Mn</w:t>
            </w:r>
          </w:p>
        </w:tc>
        <w:tc>
          <w:tcPr>
            <w:tcW w:w="369" w:type="pct"/>
            <w:tcBorders>
              <w:tl2br w:val="nil"/>
              <w:tr2bl w:val="nil"/>
            </w:tcBorders>
            <w:tcMar>
              <w:left w:w="6" w:type="dxa"/>
              <w:right w:w="6" w:type="dxa"/>
            </w:tcMar>
            <w:vAlign w:val="center"/>
          </w:tcPr>
          <w:p w14:paraId="24D05421">
            <w:pPr>
              <w:pStyle w:val="711"/>
              <w:rPr>
                <w:b/>
                <w:bCs/>
                <w:color w:val="auto"/>
              </w:rPr>
            </w:pPr>
            <w:r>
              <w:rPr>
                <w:rFonts w:hint="eastAsia"/>
                <w:b/>
                <w:bCs/>
                <w:color w:val="auto"/>
              </w:rPr>
              <w:t>氨氮</w:t>
            </w:r>
          </w:p>
        </w:tc>
        <w:tc>
          <w:tcPr>
            <w:tcW w:w="396" w:type="pct"/>
            <w:tcBorders>
              <w:tl2br w:val="nil"/>
              <w:tr2bl w:val="nil"/>
            </w:tcBorders>
            <w:tcMar>
              <w:left w:w="6" w:type="dxa"/>
              <w:right w:w="6" w:type="dxa"/>
            </w:tcMar>
            <w:vAlign w:val="center"/>
          </w:tcPr>
          <w:p w14:paraId="673836E0">
            <w:pPr>
              <w:pStyle w:val="711"/>
              <w:rPr>
                <w:b/>
                <w:bCs/>
                <w:color w:val="auto"/>
              </w:rPr>
            </w:pPr>
            <w:r>
              <w:rPr>
                <w:rFonts w:hint="eastAsia"/>
                <w:b/>
                <w:bCs/>
                <w:color w:val="auto"/>
              </w:rPr>
              <w:t>总磷</w:t>
            </w:r>
          </w:p>
        </w:tc>
        <w:tc>
          <w:tcPr>
            <w:tcW w:w="396" w:type="pct"/>
            <w:tcBorders>
              <w:tl2br w:val="nil"/>
              <w:tr2bl w:val="nil"/>
            </w:tcBorders>
            <w:tcMar>
              <w:left w:w="6" w:type="dxa"/>
              <w:right w:w="6" w:type="dxa"/>
            </w:tcMar>
            <w:vAlign w:val="center"/>
          </w:tcPr>
          <w:p w14:paraId="729E14C0">
            <w:pPr>
              <w:pStyle w:val="711"/>
              <w:rPr>
                <w:b/>
                <w:bCs/>
                <w:color w:val="auto"/>
              </w:rPr>
            </w:pPr>
            <w:r>
              <w:rPr>
                <w:rFonts w:hint="eastAsia"/>
                <w:b/>
                <w:bCs/>
                <w:color w:val="auto"/>
              </w:rPr>
              <w:t>苯</w:t>
            </w:r>
          </w:p>
        </w:tc>
        <w:tc>
          <w:tcPr>
            <w:tcW w:w="342" w:type="pct"/>
            <w:tcBorders>
              <w:tl2br w:val="nil"/>
              <w:tr2bl w:val="nil"/>
            </w:tcBorders>
            <w:tcMar>
              <w:left w:w="6" w:type="dxa"/>
              <w:right w:w="6" w:type="dxa"/>
            </w:tcMar>
            <w:vAlign w:val="center"/>
          </w:tcPr>
          <w:p w14:paraId="358F00BD">
            <w:pPr>
              <w:pStyle w:val="711"/>
              <w:rPr>
                <w:b/>
                <w:bCs/>
                <w:color w:val="auto"/>
              </w:rPr>
            </w:pPr>
            <w:r>
              <w:rPr>
                <w:rFonts w:hint="eastAsia"/>
                <w:b/>
                <w:bCs/>
                <w:color w:val="auto"/>
              </w:rPr>
              <w:t>甲醛</w:t>
            </w:r>
          </w:p>
        </w:tc>
        <w:tc>
          <w:tcPr>
            <w:tcW w:w="447" w:type="pct"/>
            <w:tcBorders>
              <w:tl2br w:val="nil"/>
              <w:tr2bl w:val="nil"/>
            </w:tcBorders>
            <w:tcMar>
              <w:left w:w="6" w:type="dxa"/>
              <w:right w:w="6" w:type="dxa"/>
            </w:tcMar>
            <w:vAlign w:val="center"/>
          </w:tcPr>
          <w:p w14:paraId="4A1C1738">
            <w:pPr>
              <w:pStyle w:val="711"/>
              <w:rPr>
                <w:b/>
                <w:bCs/>
                <w:color w:val="auto"/>
              </w:rPr>
            </w:pPr>
            <w:r>
              <w:rPr>
                <w:rFonts w:hint="eastAsia"/>
                <w:b/>
                <w:bCs/>
                <w:color w:val="auto"/>
              </w:rPr>
              <w:t>石油类</w:t>
            </w:r>
          </w:p>
        </w:tc>
      </w:tr>
      <w:tr w14:paraId="5804A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3030846D">
            <w:pPr>
              <w:pStyle w:val="711"/>
              <w:rPr>
                <w:color w:val="auto"/>
              </w:rPr>
            </w:pPr>
            <w:r>
              <w:rPr>
                <w:rFonts w:hint="eastAsia"/>
                <w:color w:val="auto"/>
              </w:rPr>
              <w:t>一</w:t>
            </w:r>
            <w:r>
              <w:rPr>
                <w:color w:val="auto"/>
              </w:rPr>
              <w:t>类</w:t>
            </w:r>
          </w:p>
        </w:tc>
        <w:tc>
          <w:tcPr>
            <w:tcW w:w="346" w:type="pct"/>
            <w:vMerge w:val="restart"/>
            <w:tcBorders>
              <w:tl2br w:val="nil"/>
              <w:tr2bl w:val="nil"/>
            </w:tcBorders>
            <w:shd w:val="clear" w:color="auto" w:fill="auto"/>
            <w:noWrap/>
            <w:tcMar>
              <w:left w:w="6" w:type="dxa"/>
              <w:right w:w="6" w:type="dxa"/>
            </w:tcMar>
            <w:vAlign w:val="center"/>
          </w:tcPr>
          <w:p w14:paraId="50552084">
            <w:pPr>
              <w:pStyle w:val="711"/>
              <w:rPr>
                <w:color w:val="auto"/>
              </w:rPr>
            </w:pPr>
            <w:r>
              <w:rPr>
                <w:rFonts w:hint="eastAsia"/>
                <w:color w:val="auto"/>
              </w:rPr>
              <w:t>一级处理</w:t>
            </w:r>
          </w:p>
        </w:tc>
        <w:tc>
          <w:tcPr>
            <w:tcW w:w="1017" w:type="pct"/>
            <w:tcBorders>
              <w:tl2br w:val="nil"/>
              <w:tr2bl w:val="nil"/>
            </w:tcBorders>
            <w:shd w:val="clear" w:color="auto" w:fill="auto"/>
            <w:noWrap/>
            <w:tcMar>
              <w:left w:w="6" w:type="dxa"/>
              <w:right w:w="6" w:type="dxa"/>
            </w:tcMar>
            <w:vAlign w:val="center"/>
          </w:tcPr>
          <w:p w14:paraId="6CCD3667">
            <w:pPr>
              <w:pStyle w:val="711"/>
              <w:rPr>
                <w:rFonts w:eastAsia="宋体" w:cs="Times New Roman"/>
                <w:color w:val="auto"/>
                <w:szCs w:val="21"/>
              </w:rPr>
            </w:pPr>
            <w:r>
              <w:rPr>
                <w:rFonts w:hint="eastAsia" w:eastAsia="宋体" w:cs="Times New Roman"/>
                <w:color w:val="auto"/>
              </w:rPr>
              <w:t>超细格栅池</w:t>
            </w:r>
          </w:p>
        </w:tc>
        <w:tc>
          <w:tcPr>
            <w:tcW w:w="421" w:type="pct"/>
            <w:tcBorders>
              <w:tl2br w:val="nil"/>
              <w:tr2bl w:val="nil"/>
            </w:tcBorders>
            <w:shd w:val="clear" w:color="auto" w:fill="auto"/>
            <w:noWrap/>
            <w:tcMar>
              <w:left w:w="6" w:type="dxa"/>
              <w:right w:w="6" w:type="dxa"/>
            </w:tcMar>
            <w:vAlign w:val="center"/>
          </w:tcPr>
          <w:p w14:paraId="17ACEE14">
            <w:pPr>
              <w:pStyle w:val="711"/>
              <w:rPr>
                <w:color w:val="auto"/>
              </w:rPr>
            </w:pPr>
            <w:r>
              <w:rPr>
                <w:rFonts w:hint="eastAsia" w:cs="Times New Roman"/>
                <w:color w:val="auto"/>
              </w:rPr>
              <w:t>0.64</w:t>
            </w:r>
          </w:p>
        </w:tc>
        <w:tc>
          <w:tcPr>
            <w:tcW w:w="387" w:type="pct"/>
            <w:vMerge w:val="restart"/>
            <w:tcBorders>
              <w:tl2br w:val="nil"/>
              <w:tr2bl w:val="nil"/>
            </w:tcBorders>
            <w:tcMar>
              <w:left w:w="6" w:type="dxa"/>
              <w:right w:w="6" w:type="dxa"/>
            </w:tcMar>
            <w:vAlign w:val="center"/>
          </w:tcPr>
          <w:p w14:paraId="60363507">
            <w:pPr>
              <w:pStyle w:val="711"/>
              <w:rPr>
                <w:color w:val="auto"/>
              </w:rPr>
            </w:pPr>
            <w:r>
              <w:rPr>
                <w:rFonts w:hint="eastAsia"/>
                <w:color w:val="auto"/>
              </w:rPr>
              <w:t>短时泄漏持续</w:t>
            </w:r>
            <w:r>
              <w:rPr>
                <w:color w:val="auto"/>
              </w:rPr>
              <w:t>90d</w:t>
            </w:r>
          </w:p>
        </w:tc>
        <w:tc>
          <w:tcPr>
            <w:tcW w:w="531" w:type="pct"/>
            <w:tcBorders>
              <w:tl2br w:val="nil"/>
              <w:tr2bl w:val="nil"/>
            </w:tcBorders>
            <w:tcMar>
              <w:left w:w="6" w:type="dxa"/>
              <w:right w:w="6" w:type="dxa"/>
            </w:tcMar>
            <w:vAlign w:val="center"/>
          </w:tcPr>
          <w:p w14:paraId="1A9D3D7D">
            <w:pPr>
              <w:pStyle w:val="711"/>
              <w:rPr>
                <w:rFonts w:eastAsia="宋体" w:cs="Times New Roman"/>
                <w:color w:val="auto"/>
                <w:szCs w:val="21"/>
              </w:rPr>
            </w:pPr>
            <w:r>
              <w:rPr>
                <w:rFonts w:eastAsia="宋体" w:cs="Times New Roman"/>
                <w:color w:val="auto"/>
                <w:szCs w:val="21"/>
              </w:rPr>
              <w:t xml:space="preserve">6.720 </w:t>
            </w:r>
          </w:p>
        </w:tc>
        <w:tc>
          <w:tcPr>
            <w:tcW w:w="369" w:type="pct"/>
            <w:tcBorders>
              <w:tl2br w:val="nil"/>
              <w:tr2bl w:val="nil"/>
            </w:tcBorders>
            <w:tcMar>
              <w:left w:w="6" w:type="dxa"/>
              <w:right w:w="6" w:type="dxa"/>
            </w:tcMar>
            <w:vAlign w:val="center"/>
          </w:tcPr>
          <w:p w14:paraId="1D4CA620">
            <w:pPr>
              <w:pStyle w:val="711"/>
              <w:rPr>
                <w:rFonts w:eastAsia="宋体" w:cs="Times New Roman"/>
                <w:color w:val="auto"/>
                <w:szCs w:val="21"/>
              </w:rPr>
            </w:pPr>
            <w:r>
              <w:rPr>
                <w:rFonts w:eastAsia="宋体" w:cs="Times New Roman"/>
                <w:color w:val="auto"/>
                <w:szCs w:val="21"/>
              </w:rPr>
              <w:t xml:space="preserve">2.880 </w:t>
            </w:r>
          </w:p>
        </w:tc>
        <w:tc>
          <w:tcPr>
            <w:tcW w:w="396" w:type="pct"/>
            <w:tcBorders>
              <w:tl2br w:val="nil"/>
              <w:tr2bl w:val="nil"/>
            </w:tcBorders>
            <w:tcMar>
              <w:left w:w="6" w:type="dxa"/>
              <w:right w:w="6" w:type="dxa"/>
            </w:tcMar>
            <w:vAlign w:val="center"/>
          </w:tcPr>
          <w:p w14:paraId="208DD891">
            <w:pPr>
              <w:pStyle w:val="711"/>
              <w:rPr>
                <w:rFonts w:eastAsia="宋体" w:cs="Times New Roman"/>
                <w:color w:val="auto"/>
                <w:szCs w:val="21"/>
              </w:rPr>
            </w:pPr>
            <w:r>
              <w:rPr>
                <w:rFonts w:eastAsia="宋体" w:cs="Times New Roman"/>
                <w:color w:val="auto"/>
                <w:szCs w:val="21"/>
              </w:rPr>
              <w:t xml:space="preserve">0.230 </w:t>
            </w:r>
          </w:p>
        </w:tc>
        <w:tc>
          <w:tcPr>
            <w:tcW w:w="396" w:type="pct"/>
            <w:tcBorders>
              <w:tl2br w:val="nil"/>
              <w:tr2bl w:val="nil"/>
            </w:tcBorders>
            <w:tcMar>
              <w:left w:w="6" w:type="dxa"/>
              <w:right w:w="6" w:type="dxa"/>
            </w:tcMar>
            <w:vAlign w:val="center"/>
          </w:tcPr>
          <w:p w14:paraId="7CB9FC54">
            <w:pPr>
              <w:pStyle w:val="711"/>
              <w:rPr>
                <w:rFonts w:eastAsia="宋体" w:cs="Times New Roman"/>
                <w:color w:val="auto"/>
                <w:szCs w:val="21"/>
              </w:rPr>
            </w:pPr>
            <w:r>
              <w:rPr>
                <w:rFonts w:eastAsia="宋体" w:cs="Times New Roman"/>
                <w:color w:val="auto"/>
                <w:szCs w:val="21"/>
              </w:rPr>
              <w:t xml:space="preserve">0.006 </w:t>
            </w:r>
          </w:p>
        </w:tc>
        <w:tc>
          <w:tcPr>
            <w:tcW w:w="342" w:type="pct"/>
            <w:tcBorders>
              <w:tl2br w:val="nil"/>
              <w:tr2bl w:val="nil"/>
            </w:tcBorders>
            <w:tcMar>
              <w:left w:w="6" w:type="dxa"/>
              <w:right w:w="6" w:type="dxa"/>
            </w:tcMar>
            <w:vAlign w:val="center"/>
          </w:tcPr>
          <w:p w14:paraId="06121190">
            <w:pPr>
              <w:pStyle w:val="711"/>
              <w:rPr>
                <w:rFonts w:eastAsia="宋体" w:cs="Times New Roman"/>
                <w:color w:val="auto"/>
                <w:szCs w:val="21"/>
              </w:rPr>
            </w:pPr>
            <w:r>
              <w:rPr>
                <w:rFonts w:eastAsia="宋体" w:cs="Times New Roman"/>
                <w:color w:val="auto"/>
                <w:szCs w:val="21"/>
              </w:rPr>
              <w:t xml:space="preserve">0.058 </w:t>
            </w:r>
          </w:p>
        </w:tc>
        <w:tc>
          <w:tcPr>
            <w:tcW w:w="447" w:type="pct"/>
            <w:tcBorders>
              <w:tl2br w:val="nil"/>
              <w:tr2bl w:val="nil"/>
            </w:tcBorders>
            <w:tcMar>
              <w:left w:w="6" w:type="dxa"/>
              <w:right w:w="6" w:type="dxa"/>
            </w:tcMar>
            <w:vAlign w:val="center"/>
          </w:tcPr>
          <w:p w14:paraId="7E387C47">
            <w:pPr>
              <w:pStyle w:val="711"/>
              <w:rPr>
                <w:rFonts w:eastAsia="宋体" w:cs="Times New Roman"/>
                <w:color w:val="auto"/>
                <w:szCs w:val="21"/>
              </w:rPr>
            </w:pPr>
            <w:r>
              <w:rPr>
                <w:rFonts w:eastAsia="宋体" w:cs="Times New Roman"/>
                <w:color w:val="auto"/>
                <w:szCs w:val="21"/>
              </w:rPr>
              <w:t xml:space="preserve">0.058 </w:t>
            </w:r>
          </w:p>
        </w:tc>
      </w:tr>
      <w:tr w14:paraId="4E860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4698BEB1">
            <w:pPr>
              <w:pStyle w:val="711"/>
              <w:rPr>
                <w:color w:val="auto"/>
              </w:rPr>
            </w:pPr>
            <w:r>
              <w:rPr>
                <w:rFonts w:hint="eastAsia"/>
                <w:color w:val="auto"/>
              </w:rPr>
              <w:t>二</w:t>
            </w:r>
            <w:r>
              <w:rPr>
                <w:color w:val="auto"/>
              </w:rPr>
              <w:t>类</w:t>
            </w:r>
          </w:p>
        </w:tc>
        <w:tc>
          <w:tcPr>
            <w:tcW w:w="346" w:type="pct"/>
            <w:vMerge w:val="continue"/>
            <w:tcBorders>
              <w:tl2br w:val="nil"/>
              <w:tr2bl w:val="nil"/>
            </w:tcBorders>
            <w:shd w:val="clear" w:color="auto" w:fill="auto"/>
            <w:noWrap/>
            <w:tcMar>
              <w:left w:w="6" w:type="dxa"/>
              <w:right w:w="6" w:type="dxa"/>
            </w:tcMar>
            <w:vAlign w:val="center"/>
          </w:tcPr>
          <w:p w14:paraId="6CD86790">
            <w:pPr>
              <w:pStyle w:val="711"/>
              <w:rPr>
                <w:color w:val="auto"/>
              </w:rPr>
            </w:pPr>
          </w:p>
        </w:tc>
        <w:tc>
          <w:tcPr>
            <w:tcW w:w="1017" w:type="pct"/>
            <w:tcBorders>
              <w:tl2br w:val="nil"/>
              <w:tr2bl w:val="nil"/>
            </w:tcBorders>
            <w:shd w:val="clear" w:color="auto" w:fill="auto"/>
            <w:noWrap/>
            <w:tcMar>
              <w:left w:w="6" w:type="dxa"/>
              <w:right w:w="6" w:type="dxa"/>
            </w:tcMar>
            <w:vAlign w:val="center"/>
          </w:tcPr>
          <w:p w14:paraId="4509E24B">
            <w:pPr>
              <w:pStyle w:val="711"/>
              <w:rPr>
                <w:rFonts w:eastAsia="宋体" w:cs="Times New Roman"/>
                <w:color w:val="auto"/>
                <w:szCs w:val="21"/>
              </w:rPr>
            </w:pPr>
            <w:r>
              <w:rPr>
                <w:rFonts w:hint="eastAsia" w:eastAsia="宋体" w:cs="Times New Roman"/>
                <w:color w:val="auto"/>
              </w:rPr>
              <w:t>调节池</w:t>
            </w:r>
          </w:p>
        </w:tc>
        <w:tc>
          <w:tcPr>
            <w:tcW w:w="421" w:type="pct"/>
            <w:tcBorders>
              <w:tl2br w:val="nil"/>
              <w:tr2bl w:val="nil"/>
            </w:tcBorders>
            <w:shd w:val="clear" w:color="auto" w:fill="auto"/>
            <w:noWrap/>
            <w:tcMar>
              <w:left w:w="6" w:type="dxa"/>
              <w:right w:w="6" w:type="dxa"/>
            </w:tcMar>
            <w:vAlign w:val="center"/>
          </w:tcPr>
          <w:p w14:paraId="273B2F24">
            <w:pPr>
              <w:pStyle w:val="711"/>
              <w:rPr>
                <w:color w:val="auto"/>
              </w:rPr>
            </w:pPr>
            <w:r>
              <w:rPr>
                <w:rFonts w:hint="eastAsia" w:cs="Times New Roman"/>
                <w:color w:val="auto"/>
              </w:rPr>
              <w:t>4.61</w:t>
            </w:r>
          </w:p>
        </w:tc>
        <w:tc>
          <w:tcPr>
            <w:tcW w:w="387" w:type="pct"/>
            <w:vMerge w:val="continue"/>
            <w:tcBorders>
              <w:tl2br w:val="nil"/>
              <w:tr2bl w:val="nil"/>
            </w:tcBorders>
            <w:tcMar>
              <w:left w:w="6" w:type="dxa"/>
              <w:right w:w="6" w:type="dxa"/>
            </w:tcMar>
            <w:vAlign w:val="center"/>
          </w:tcPr>
          <w:p w14:paraId="248C2E07">
            <w:pPr>
              <w:pStyle w:val="711"/>
              <w:rPr>
                <w:color w:val="auto"/>
              </w:rPr>
            </w:pPr>
          </w:p>
        </w:tc>
        <w:tc>
          <w:tcPr>
            <w:tcW w:w="531" w:type="pct"/>
            <w:tcBorders>
              <w:tl2br w:val="nil"/>
              <w:tr2bl w:val="nil"/>
            </w:tcBorders>
            <w:tcMar>
              <w:left w:w="6" w:type="dxa"/>
              <w:right w:w="6" w:type="dxa"/>
            </w:tcMar>
            <w:vAlign w:val="center"/>
          </w:tcPr>
          <w:p w14:paraId="30CE93FE">
            <w:pPr>
              <w:pStyle w:val="711"/>
              <w:rPr>
                <w:rFonts w:eastAsia="宋体" w:cs="Times New Roman"/>
                <w:color w:val="auto"/>
                <w:szCs w:val="21"/>
              </w:rPr>
            </w:pPr>
            <w:r>
              <w:rPr>
                <w:rFonts w:eastAsia="宋体" w:cs="Times New Roman"/>
                <w:color w:val="auto"/>
                <w:szCs w:val="21"/>
              </w:rPr>
              <w:t xml:space="preserve">48.406 </w:t>
            </w:r>
          </w:p>
        </w:tc>
        <w:tc>
          <w:tcPr>
            <w:tcW w:w="369" w:type="pct"/>
            <w:tcBorders>
              <w:tl2br w:val="nil"/>
              <w:tr2bl w:val="nil"/>
            </w:tcBorders>
            <w:tcMar>
              <w:left w:w="6" w:type="dxa"/>
              <w:right w:w="6" w:type="dxa"/>
            </w:tcMar>
            <w:vAlign w:val="center"/>
          </w:tcPr>
          <w:p w14:paraId="00103BC3">
            <w:pPr>
              <w:pStyle w:val="711"/>
              <w:rPr>
                <w:rFonts w:eastAsia="宋体" w:cs="Times New Roman"/>
                <w:color w:val="auto"/>
                <w:szCs w:val="21"/>
              </w:rPr>
            </w:pPr>
            <w:r>
              <w:rPr>
                <w:rFonts w:eastAsia="宋体" w:cs="Times New Roman"/>
                <w:color w:val="auto"/>
                <w:szCs w:val="21"/>
              </w:rPr>
              <w:t xml:space="preserve">20.745 </w:t>
            </w:r>
          </w:p>
        </w:tc>
        <w:tc>
          <w:tcPr>
            <w:tcW w:w="396" w:type="pct"/>
            <w:tcBorders>
              <w:tl2br w:val="nil"/>
              <w:tr2bl w:val="nil"/>
            </w:tcBorders>
            <w:tcMar>
              <w:left w:w="6" w:type="dxa"/>
              <w:right w:w="6" w:type="dxa"/>
            </w:tcMar>
            <w:vAlign w:val="center"/>
          </w:tcPr>
          <w:p w14:paraId="09D15C12">
            <w:pPr>
              <w:pStyle w:val="711"/>
              <w:rPr>
                <w:rFonts w:eastAsia="宋体" w:cs="Times New Roman"/>
                <w:color w:val="auto"/>
                <w:szCs w:val="21"/>
              </w:rPr>
            </w:pPr>
            <w:r>
              <w:rPr>
                <w:rFonts w:eastAsia="宋体" w:cs="Times New Roman"/>
                <w:color w:val="auto"/>
                <w:szCs w:val="21"/>
              </w:rPr>
              <w:t xml:space="preserve">1.660 </w:t>
            </w:r>
          </w:p>
        </w:tc>
        <w:tc>
          <w:tcPr>
            <w:tcW w:w="396" w:type="pct"/>
            <w:tcBorders>
              <w:tl2br w:val="nil"/>
              <w:tr2bl w:val="nil"/>
            </w:tcBorders>
            <w:tcMar>
              <w:left w:w="6" w:type="dxa"/>
              <w:right w:w="6" w:type="dxa"/>
            </w:tcMar>
            <w:vAlign w:val="center"/>
          </w:tcPr>
          <w:p w14:paraId="3FC5C2CE">
            <w:pPr>
              <w:pStyle w:val="711"/>
              <w:rPr>
                <w:rFonts w:eastAsia="宋体" w:cs="Times New Roman"/>
                <w:color w:val="auto"/>
                <w:szCs w:val="21"/>
              </w:rPr>
            </w:pPr>
            <w:r>
              <w:rPr>
                <w:rFonts w:eastAsia="宋体" w:cs="Times New Roman"/>
                <w:color w:val="auto"/>
                <w:szCs w:val="21"/>
              </w:rPr>
              <w:t xml:space="preserve">0.041 </w:t>
            </w:r>
          </w:p>
        </w:tc>
        <w:tc>
          <w:tcPr>
            <w:tcW w:w="342" w:type="pct"/>
            <w:tcBorders>
              <w:tl2br w:val="nil"/>
              <w:tr2bl w:val="nil"/>
            </w:tcBorders>
            <w:tcMar>
              <w:left w:w="6" w:type="dxa"/>
              <w:right w:w="6" w:type="dxa"/>
            </w:tcMar>
            <w:vAlign w:val="center"/>
          </w:tcPr>
          <w:p w14:paraId="20CF3D09">
            <w:pPr>
              <w:pStyle w:val="711"/>
              <w:rPr>
                <w:rFonts w:eastAsia="宋体" w:cs="Times New Roman"/>
                <w:color w:val="auto"/>
                <w:szCs w:val="21"/>
              </w:rPr>
            </w:pPr>
            <w:r>
              <w:rPr>
                <w:rFonts w:eastAsia="宋体" w:cs="Times New Roman"/>
                <w:color w:val="auto"/>
                <w:szCs w:val="21"/>
              </w:rPr>
              <w:t xml:space="preserve">0.415 </w:t>
            </w:r>
          </w:p>
        </w:tc>
        <w:tc>
          <w:tcPr>
            <w:tcW w:w="447" w:type="pct"/>
            <w:tcBorders>
              <w:tl2br w:val="nil"/>
              <w:tr2bl w:val="nil"/>
            </w:tcBorders>
            <w:tcMar>
              <w:left w:w="6" w:type="dxa"/>
              <w:right w:w="6" w:type="dxa"/>
            </w:tcMar>
            <w:vAlign w:val="center"/>
          </w:tcPr>
          <w:p w14:paraId="49654E9F">
            <w:pPr>
              <w:pStyle w:val="711"/>
              <w:rPr>
                <w:rFonts w:eastAsia="宋体" w:cs="Times New Roman"/>
                <w:color w:val="auto"/>
                <w:szCs w:val="21"/>
              </w:rPr>
            </w:pPr>
            <w:r>
              <w:rPr>
                <w:rFonts w:eastAsia="宋体" w:cs="Times New Roman"/>
                <w:color w:val="auto"/>
                <w:szCs w:val="21"/>
              </w:rPr>
              <w:t xml:space="preserve">0.415 </w:t>
            </w:r>
          </w:p>
        </w:tc>
      </w:tr>
      <w:tr w14:paraId="78D6D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06CC168B">
            <w:pPr>
              <w:pStyle w:val="711"/>
              <w:rPr>
                <w:color w:val="auto"/>
              </w:rPr>
            </w:pPr>
            <w:r>
              <w:rPr>
                <w:rFonts w:hint="eastAsia"/>
                <w:color w:val="auto"/>
              </w:rPr>
              <w:t>三</w:t>
            </w:r>
            <w:r>
              <w:rPr>
                <w:color w:val="auto"/>
              </w:rPr>
              <w:t>类</w:t>
            </w:r>
          </w:p>
        </w:tc>
        <w:tc>
          <w:tcPr>
            <w:tcW w:w="346" w:type="pct"/>
            <w:vMerge w:val="continue"/>
            <w:tcBorders>
              <w:tl2br w:val="nil"/>
              <w:tr2bl w:val="nil"/>
            </w:tcBorders>
            <w:shd w:val="clear" w:color="auto" w:fill="auto"/>
            <w:noWrap/>
            <w:tcMar>
              <w:left w:w="6" w:type="dxa"/>
              <w:right w:w="6" w:type="dxa"/>
            </w:tcMar>
            <w:vAlign w:val="center"/>
          </w:tcPr>
          <w:p w14:paraId="5E8983A6">
            <w:pPr>
              <w:pStyle w:val="711"/>
              <w:rPr>
                <w:color w:val="auto"/>
              </w:rPr>
            </w:pPr>
          </w:p>
        </w:tc>
        <w:tc>
          <w:tcPr>
            <w:tcW w:w="1017" w:type="pct"/>
            <w:tcBorders>
              <w:tl2br w:val="nil"/>
              <w:tr2bl w:val="nil"/>
            </w:tcBorders>
            <w:shd w:val="clear" w:color="auto" w:fill="auto"/>
            <w:noWrap/>
            <w:tcMar>
              <w:left w:w="6" w:type="dxa"/>
              <w:right w:w="6" w:type="dxa"/>
            </w:tcMar>
            <w:vAlign w:val="center"/>
          </w:tcPr>
          <w:p w14:paraId="5C8C5723">
            <w:pPr>
              <w:pStyle w:val="711"/>
              <w:rPr>
                <w:rFonts w:eastAsia="宋体" w:cs="Times New Roman"/>
                <w:color w:val="auto"/>
                <w:szCs w:val="21"/>
              </w:rPr>
            </w:pPr>
            <w:r>
              <w:rPr>
                <w:rFonts w:hint="eastAsia" w:eastAsia="宋体" w:cs="Times New Roman"/>
                <w:color w:val="auto"/>
              </w:rPr>
              <w:t>水解酸化池</w:t>
            </w:r>
          </w:p>
        </w:tc>
        <w:tc>
          <w:tcPr>
            <w:tcW w:w="421" w:type="pct"/>
            <w:tcBorders>
              <w:tl2br w:val="nil"/>
              <w:tr2bl w:val="nil"/>
            </w:tcBorders>
            <w:shd w:val="clear" w:color="auto" w:fill="auto"/>
            <w:noWrap/>
            <w:tcMar>
              <w:left w:w="6" w:type="dxa"/>
              <w:right w:w="6" w:type="dxa"/>
            </w:tcMar>
            <w:vAlign w:val="center"/>
          </w:tcPr>
          <w:p w14:paraId="0EF7BFC5">
            <w:pPr>
              <w:pStyle w:val="711"/>
              <w:rPr>
                <w:color w:val="auto"/>
              </w:rPr>
            </w:pPr>
            <w:r>
              <w:rPr>
                <w:rFonts w:hint="eastAsia" w:cs="Times New Roman"/>
                <w:color w:val="auto"/>
              </w:rPr>
              <w:t>11.68</w:t>
            </w:r>
          </w:p>
        </w:tc>
        <w:tc>
          <w:tcPr>
            <w:tcW w:w="387" w:type="pct"/>
            <w:vMerge w:val="continue"/>
            <w:tcBorders>
              <w:tl2br w:val="nil"/>
              <w:tr2bl w:val="nil"/>
            </w:tcBorders>
            <w:tcMar>
              <w:left w:w="6" w:type="dxa"/>
              <w:right w:w="6" w:type="dxa"/>
            </w:tcMar>
            <w:vAlign w:val="center"/>
          </w:tcPr>
          <w:p w14:paraId="5184AB2D">
            <w:pPr>
              <w:pStyle w:val="711"/>
              <w:rPr>
                <w:color w:val="auto"/>
              </w:rPr>
            </w:pPr>
          </w:p>
        </w:tc>
        <w:tc>
          <w:tcPr>
            <w:tcW w:w="531" w:type="pct"/>
            <w:tcBorders>
              <w:tl2br w:val="nil"/>
              <w:tr2bl w:val="nil"/>
            </w:tcBorders>
            <w:tcMar>
              <w:left w:w="6" w:type="dxa"/>
              <w:right w:w="6" w:type="dxa"/>
            </w:tcMar>
            <w:vAlign w:val="center"/>
          </w:tcPr>
          <w:p w14:paraId="69A7C98B">
            <w:pPr>
              <w:pStyle w:val="711"/>
              <w:rPr>
                <w:rFonts w:eastAsia="宋体" w:cs="Times New Roman"/>
                <w:color w:val="auto"/>
                <w:szCs w:val="21"/>
              </w:rPr>
            </w:pPr>
            <w:r>
              <w:rPr>
                <w:rFonts w:eastAsia="宋体" w:cs="Times New Roman"/>
                <w:color w:val="auto"/>
                <w:szCs w:val="21"/>
              </w:rPr>
              <w:t xml:space="preserve">122.644 </w:t>
            </w:r>
          </w:p>
        </w:tc>
        <w:tc>
          <w:tcPr>
            <w:tcW w:w="369" w:type="pct"/>
            <w:tcBorders>
              <w:tl2br w:val="nil"/>
              <w:tr2bl w:val="nil"/>
            </w:tcBorders>
            <w:tcMar>
              <w:left w:w="6" w:type="dxa"/>
              <w:right w:w="6" w:type="dxa"/>
            </w:tcMar>
            <w:vAlign w:val="center"/>
          </w:tcPr>
          <w:p w14:paraId="64EBBE6C">
            <w:pPr>
              <w:pStyle w:val="711"/>
              <w:rPr>
                <w:rFonts w:eastAsia="宋体" w:cs="Times New Roman"/>
                <w:color w:val="auto"/>
                <w:szCs w:val="21"/>
              </w:rPr>
            </w:pPr>
            <w:r>
              <w:rPr>
                <w:rFonts w:eastAsia="宋体" w:cs="Times New Roman"/>
                <w:color w:val="auto"/>
                <w:szCs w:val="21"/>
              </w:rPr>
              <w:t xml:space="preserve">52.560 </w:t>
            </w:r>
          </w:p>
        </w:tc>
        <w:tc>
          <w:tcPr>
            <w:tcW w:w="396" w:type="pct"/>
            <w:tcBorders>
              <w:tl2br w:val="nil"/>
              <w:tr2bl w:val="nil"/>
            </w:tcBorders>
            <w:tcMar>
              <w:left w:w="6" w:type="dxa"/>
              <w:right w:w="6" w:type="dxa"/>
            </w:tcMar>
            <w:vAlign w:val="center"/>
          </w:tcPr>
          <w:p w14:paraId="42F528C6">
            <w:pPr>
              <w:pStyle w:val="711"/>
              <w:rPr>
                <w:rFonts w:eastAsia="宋体" w:cs="Times New Roman"/>
                <w:color w:val="auto"/>
                <w:szCs w:val="21"/>
              </w:rPr>
            </w:pPr>
            <w:r>
              <w:rPr>
                <w:rFonts w:eastAsia="宋体" w:cs="Times New Roman"/>
                <w:color w:val="auto"/>
                <w:szCs w:val="21"/>
              </w:rPr>
              <w:t xml:space="preserve">4.205 </w:t>
            </w:r>
          </w:p>
        </w:tc>
        <w:tc>
          <w:tcPr>
            <w:tcW w:w="396" w:type="pct"/>
            <w:tcBorders>
              <w:tl2br w:val="nil"/>
              <w:tr2bl w:val="nil"/>
            </w:tcBorders>
            <w:tcMar>
              <w:left w:w="6" w:type="dxa"/>
              <w:right w:w="6" w:type="dxa"/>
            </w:tcMar>
            <w:vAlign w:val="center"/>
          </w:tcPr>
          <w:p w14:paraId="522A1137">
            <w:pPr>
              <w:pStyle w:val="711"/>
              <w:rPr>
                <w:rFonts w:eastAsia="宋体" w:cs="Times New Roman"/>
                <w:color w:val="auto"/>
                <w:szCs w:val="21"/>
              </w:rPr>
            </w:pPr>
            <w:r>
              <w:rPr>
                <w:rFonts w:eastAsia="宋体" w:cs="Times New Roman"/>
                <w:color w:val="auto"/>
                <w:szCs w:val="21"/>
              </w:rPr>
              <w:t xml:space="preserve">0.105 </w:t>
            </w:r>
          </w:p>
        </w:tc>
        <w:tc>
          <w:tcPr>
            <w:tcW w:w="342" w:type="pct"/>
            <w:tcBorders>
              <w:tl2br w:val="nil"/>
              <w:tr2bl w:val="nil"/>
            </w:tcBorders>
            <w:tcMar>
              <w:left w:w="6" w:type="dxa"/>
              <w:right w:w="6" w:type="dxa"/>
            </w:tcMar>
            <w:vAlign w:val="center"/>
          </w:tcPr>
          <w:p w14:paraId="32E34A4A">
            <w:pPr>
              <w:pStyle w:val="711"/>
              <w:rPr>
                <w:rFonts w:eastAsia="宋体" w:cs="Times New Roman"/>
                <w:color w:val="auto"/>
                <w:szCs w:val="21"/>
              </w:rPr>
            </w:pPr>
            <w:r>
              <w:rPr>
                <w:rFonts w:eastAsia="宋体" w:cs="Times New Roman"/>
                <w:color w:val="auto"/>
                <w:szCs w:val="21"/>
              </w:rPr>
              <w:t xml:space="preserve">1.051 </w:t>
            </w:r>
          </w:p>
        </w:tc>
        <w:tc>
          <w:tcPr>
            <w:tcW w:w="447" w:type="pct"/>
            <w:tcBorders>
              <w:tl2br w:val="nil"/>
              <w:tr2bl w:val="nil"/>
            </w:tcBorders>
            <w:tcMar>
              <w:left w:w="6" w:type="dxa"/>
              <w:right w:w="6" w:type="dxa"/>
            </w:tcMar>
            <w:vAlign w:val="center"/>
          </w:tcPr>
          <w:p w14:paraId="54A5D485">
            <w:pPr>
              <w:pStyle w:val="711"/>
              <w:rPr>
                <w:rFonts w:eastAsia="宋体" w:cs="Times New Roman"/>
                <w:color w:val="auto"/>
                <w:szCs w:val="21"/>
              </w:rPr>
            </w:pPr>
            <w:r>
              <w:rPr>
                <w:rFonts w:eastAsia="宋体" w:cs="Times New Roman"/>
                <w:color w:val="auto"/>
                <w:szCs w:val="21"/>
              </w:rPr>
              <w:t xml:space="preserve">1.051 </w:t>
            </w:r>
          </w:p>
        </w:tc>
      </w:tr>
      <w:tr w14:paraId="415DC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643A8280">
            <w:pPr>
              <w:pStyle w:val="711"/>
              <w:rPr>
                <w:color w:val="auto"/>
              </w:rPr>
            </w:pPr>
            <w:r>
              <w:rPr>
                <w:rFonts w:hint="eastAsia"/>
                <w:color w:val="auto"/>
              </w:rPr>
              <w:t>四类</w:t>
            </w:r>
          </w:p>
        </w:tc>
        <w:tc>
          <w:tcPr>
            <w:tcW w:w="346" w:type="pct"/>
            <w:vMerge w:val="restart"/>
            <w:tcBorders>
              <w:tl2br w:val="nil"/>
              <w:tr2bl w:val="nil"/>
            </w:tcBorders>
            <w:shd w:val="clear" w:color="auto" w:fill="auto"/>
            <w:noWrap/>
            <w:tcMar>
              <w:left w:w="6" w:type="dxa"/>
              <w:right w:w="6" w:type="dxa"/>
            </w:tcMar>
            <w:vAlign w:val="center"/>
          </w:tcPr>
          <w:p w14:paraId="33AD6628">
            <w:pPr>
              <w:pStyle w:val="711"/>
              <w:rPr>
                <w:color w:val="auto"/>
              </w:rPr>
            </w:pPr>
            <w:r>
              <w:rPr>
                <w:rFonts w:hint="eastAsia"/>
                <w:color w:val="auto"/>
              </w:rPr>
              <w:t>二级处理</w:t>
            </w:r>
          </w:p>
        </w:tc>
        <w:tc>
          <w:tcPr>
            <w:tcW w:w="1017" w:type="pct"/>
            <w:tcBorders>
              <w:tl2br w:val="nil"/>
              <w:tr2bl w:val="nil"/>
            </w:tcBorders>
            <w:shd w:val="clear" w:color="auto" w:fill="auto"/>
            <w:noWrap/>
            <w:tcMar>
              <w:left w:w="6" w:type="dxa"/>
              <w:right w:w="6" w:type="dxa"/>
            </w:tcMar>
            <w:vAlign w:val="center"/>
          </w:tcPr>
          <w:p w14:paraId="1E34D776">
            <w:pPr>
              <w:pStyle w:val="711"/>
              <w:rPr>
                <w:rFonts w:eastAsia="宋体" w:cs="Times New Roman"/>
                <w:color w:val="auto"/>
                <w:szCs w:val="21"/>
              </w:rPr>
            </w:pPr>
            <w:r>
              <w:rPr>
                <w:rFonts w:hint="eastAsia" w:eastAsia="宋体" w:cs="Times New Roman"/>
                <w:color w:val="auto"/>
              </w:rPr>
              <w:t>微氧低循环生化池</w:t>
            </w:r>
          </w:p>
        </w:tc>
        <w:tc>
          <w:tcPr>
            <w:tcW w:w="421" w:type="pct"/>
            <w:tcBorders>
              <w:tl2br w:val="nil"/>
              <w:tr2bl w:val="nil"/>
            </w:tcBorders>
            <w:shd w:val="clear" w:color="auto" w:fill="auto"/>
            <w:noWrap/>
            <w:tcMar>
              <w:left w:w="6" w:type="dxa"/>
              <w:right w:w="6" w:type="dxa"/>
            </w:tcMar>
            <w:vAlign w:val="center"/>
          </w:tcPr>
          <w:p w14:paraId="6C3A95EB">
            <w:pPr>
              <w:pStyle w:val="711"/>
              <w:rPr>
                <w:color w:val="auto"/>
              </w:rPr>
            </w:pPr>
            <w:r>
              <w:rPr>
                <w:rFonts w:hint="eastAsia" w:cs="Times New Roman"/>
                <w:color w:val="auto"/>
              </w:rPr>
              <w:t>26.95</w:t>
            </w:r>
          </w:p>
        </w:tc>
        <w:tc>
          <w:tcPr>
            <w:tcW w:w="387" w:type="pct"/>
            <w:vMerge w:val="continue"/>
            <w:tcBorders>
              <w:tl2br w:val="nil"/>
              <w:tr2bl w:val="nil"/>
            </w:tcBorders>
            <w:tcMar>
              <w:left w:w="6" w:type="dxa"/>
              <w:right w:w="6" w:type="dxa"/>
            </w:tcMar>
            <w:vAlign w:val="center"/>
          </w:tcPr>
          <w:p w14:paraId="1E964039">
            <w:pPr>
              <w:pStyle w:val="711"/>
              <w:rPr>
                <w:color w:val="auto"/>
              </w:rPr>
            </w:pPr>
          </w:p>
        </w:tc>
        <w:tc>
          <w:tcPr>
            <w:tcW w:w="531" w:type="pct"/>
            <w:tcBorders>
              <w:tl2br w:val="nil"/>
              <w:tr2bl w:val="nil"/>
            </w:tcBorders>
            <w:tcMar>
              <w:left w:w="6" w:type="dxa"/>
              <w:right w:w="6" w:type="dxa"/>
            </w:tcMar>
            <w:vAlign w:val="center"/>
          </w:tcPr>
          <w:p w14:paraId="052A9B42">
            <w:pPr>
              <w:pStyle w:val="711"/>
              <w:rPr>
                <w:rFonts w:eastAsia="宋体" w:cs="Times New Roman"/>
                <w:color w:val="auto"/>
                <w:szCs w:val="21"/>
              </w:rPr>
            </w:pPr>
            <w:r>
              <w:rPr>
                <w:rFonts w:eastAsia="宋体" w:cs="Times New Roman"/>
                <w:color w:val="auto"/>
                <w:szCs w:val="21"/>
              </w:rPr>
              <w:t xml:space="preserve">282.983 </w:t>
            </w:r>
          </w:p>
        </w:tc>
        <w:tc>
          <w:tcPr>
            <w:tcW w:w="369" w:type="pct"/>
            <w:tcBorders>
              <w:tl2br w:val="nil"/>
              <w:tr2bl w:val="nil"/>
            </w:tcBorders>
            <w:tcMar>
              <w:left w:w="6" w:type="dxa"/>
              <w:right w:w="6" w:type="dxa"/>
            </w:tcMar>
            <w:vAlign w:val="center"/>
          </w:tcPr>
          <w:p w14:paraId="4E92F091">
            <w:pPr>
              <w:pStyle w:val="711"/>
              <w:rPr>
                <w:rFonts w:eastAsia="宋体" w:cs="Times New Roman"/>
                <w:color w:val="auto"/>
                <w:szCs w:val="21"/>
              </w:rPr>
            </w:pPr>
            <w:r>
              <w:rPr>
                <w:rFonts w:eastAsia="宋体" w:cs="Times New Roman"/>
                <w:color w:val="auto"/>
                <w:szCs w:val="21"/>
              </w:rPr>
              <w:t xml:space="preserve">121.275 </w:t>
            </w:r>
          </w:p>
        </w:tc>
        <w:tc>
          <w:tcPr>
            <w:tcW w:w="396" w:type="pct"/>
            <w:tcBorders>
              <w:tl2br w:val="nil"/>
              <w:tr2bl w:val="nil"/>
            </w:tcBorders>
            <w:tcMar>
              <w:left w:w="6" w:type="dxa"/>
              <w:right w:w="6" w:type="dxa"/>
            </w:tcMar>
            <w:vAlign w:val="center"/>
          </w:tcPr>
          <w:p w14:paraId="7623D05A">
            <w:pPr>
              <w:pStyle w:val="711"/>
              <w:rPr>
                <w:rFonts w:eastAsia="宋体" w:cs="Times New Roman"/>
                <w:color w:val="auto"/>
                <w:szCs w:val="21"/>
              </w:rPr>
            </w:pPr>
            <w:r>
              <w:rPr>
                <w:rFonts w:eastAsia="宋体" w:cs="Times New Roman"/>
                <w:color w:val="auto"/>
                <w:szCs w:val="21"/>
              </w:rPr>
              <w:t xml:space="preserve">9.702 </w:t>
            </w:r>
          </w:p>
        </w:tc>
        <w:tc>
          <w:tcPr>
            <w:tcW w:w="396" w:type="pct"/>
            <w:tcBorders>
              <w:tl2br w:val="nil"/>
              <w:tr2bl w:val="nil"/>
            </w:tcBorders>
            <w:tcMar>
              <w:left w:w="6" w:type="dxa"/>
              <w:right w:w="6" w:type="dxa"/>
            </w:tcMar>
            <w:vAlign w:val="center"/>
          </w:tcPr>
          <w:p w14:paraId="56FCF931">
            <w:pPr>
              <w:pStyle w:val="711"/>
              <w:rPr>
                <w:rFonts w:eastAsia="宋体" w:cs="Times New Roman"/>
                <w:color w:val="auto"/>
                <w:szCs w:val="21"/>
              </w:rPr>
            </w:pPr>
            <w:r>
              <w:rPr>
                <w:rFonts w:eastAsia="宋体" w:cs="Times New Roman"/>
                <w:color w:val="auto"/>
                <w:szCs w:val="21"/>
              </w:rPr>
              <w:t xml:space="preserve">0.243 </w:t>
            </w:r>
          </w:p>
        </w:tc>
        <w:tc>
          <w:tcPr>
            <w:tcW w:w="342" w:type="pct"/>
            <w:tcBorders>
              <w:tl2br w:val="nil"/>
              <w:tr2bl w:val="nil"/>
            </w:tcBorders>
            <w:tcMar>
              <w:left w:w="6" w:type="dxa"/>
              <w:right w:w="6" w:type="dxa"/>
            </w:tcMar>
            <w:vAlign w:val="center"/>
          </w:tcPr>
          <w:p w14:paraId="41F0A73D">
            <w:pPr>
              <w:pStyle w:val="711"/>
              <w:rPr>
                <w:rFonts w:eastAsia="宋体" w:cs="Times New Roman"/>
                <w:color w:val="auto"/>
                <w:szCs w:val="21"/>
              </w:rPr>
            </w:pPr>
            <w:r>
              <w:rPr>
                <w:rFonts w:eastAsia="宋体" w:cs="Times New Roman"/>
                <w:color w:val="auto"/>
                <w:szCs w:val="21"/>
              </w:rPr>
              <w:t xml:space="preserve">2.426 </w:t>
            </w:r>
          </w:p>
        </w:tc>
        <w:tc>
          <w:tcPr>
            <w:tcW w:w="447" w:type="pct"/>
            <w:tcBorders>
              <w:tl2br w:val="nil"/>
              <w:tr2bl w:val="nil"/>
            </w:tcBorders>
            <w:tcMar>
              <w:left w:w="6" w:type="dxa"/>
              <w:right w:w="6" w:type="dxa"/>
            </w:tcMar>
            <w:vAlign w:val="center"/>
          </w:tcPr>
          <w:p w14:paraId="484CB237">
            <w:pPr>
              <w:pStyle w:val="711"/>
              <w:rPr>
                <w:rFonts w:eastAsia="宋体" w:cs="Times New Roman"/>
                <w:color w:val="auto"/>
                <w:szCs w:val="21"/>
              </w:rPr>
            </w:pPr>
            <w:r>
              <w:rPr>
                <w:rFonts w:eastAsia="宋体" w:cs="Times New Roman"/>
                <w:color w:val="auto"/>
                <w:szCs w:val="21"/>
              </w:rPr>
              <w:t xml:space="preserve">2.426 </w:t>
            </w:r>
          </w:p>
        </w:tc>
      </w:tr>
      <w:tr w14:paraId="76D9E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459F1E6D">
            <w:pPr>
              <w:pStyle w:val="711"/>
              <w:rPr>
                <w:color w:val="auto"/>
              </w:rPr>
            </w:pPr>
            <w:r>
              <w:rPr>
                <w:rFonts w:hint="eastAsia"/>
                <w:color w:val="auto"/>
              </w:rPr>
              <w:t>五类</w:t>
            </w:r>
          </w:p>
        </w:tc>
        <w:tc>
          <w:tcPr>
            <w:tcW w:w="346" w:type="pct"/>
            <w:vMerge w:val="continue"/>
            <w:tcBorders>
              <w:tl2br w:val="nil"/>
              <w:tr2bl w:val="nil"/>
            </w:tcBorders>
            <w:shd w:val="clear" w:color="auto" w:fill="auto"/>
            <w:noWrap/>
            <w:tcMar>
              <w:left w:w="6" w:type="dxa"/>
              <w:right w:w="6" w:type="dxa"/>
            </w:tcMar>
            <w:vAlign w:val="center"/>
          </w:tcPr>
          <w:p w14:paraId="045F118B">
            <w:pPr>
              <w:pStyle w:val="711"/>
              <w:rPr>
                <w:color w:val="auto"/>
              </w:rPr>
            </w:pPr>
          </w:p>
        </w:tc>
        <w:tc>
          <w:tcPr>
            <w:tcW w:w="1017" w:type="pct"/>
            <w:tcBorders>
              <w:tl2br w:val="nil"/>
              <w:tr2bl w:val="nil"/>
            </w:tcBorders>
            <w:shd w:val="clear" w:color="auto" w:fill="auto"/>
            <w:noWrap/>
            <w:tcMar>
              <w:left w:w="6" w:type="dxa"/>
              <w:right w:w="6" w:type="dxa"/>
            </w:tcMar>
            <w:vAlign w:val="center"/>
          </w:tcPr>
          <w:p w14:paraId="4E30C215">
            <w:pPr>
              <w:pStyle w:val="711"/>
              <w:rPr>
                <w:rFonts w:eastAsia="宋体" w:cs="Times New Roman"/>
                <w:color w:val="auto"/>
                <w:szCs w:val="21"/>
              </w:rPr>
            </w:pPr>
            <w:r>
              <w:rPr>
                <w:rFonts w:hint="eastAsia" w:cs="Times New Roman"/>
                <w:color w:val="auto"/>
              </w:rPr>
              <w:t>反硝化深床滤池</w:t>
            </w:r>
          </w:p>
        </w:tc>
        <w:tc>
          <w:tcPr>
            <w:tcW w:w="421" w:type="pct"/>
            <w:tcBorders>
              <w:tl2br w:val="nil"/>
              <w:tr2bl w:val="nil"/>
            </w:tcBorders>
            <w:shd w:val="clear" w:color="auto" w:fill="auto"/>
            <w:noWrap/>
            <w:tcMar>
              <w:left w:w="6" w:type="dxa"/>
              <w:right w:w="6" w:type="dxa"/>
            </w:tcMar>
            <w:vAlign w:val="center"/>
          </w:tcPr>
          <w:p w14:paraId="3F928F7F">
            <w:pPr>
              <w:pStyle w:val="711"/>
              <w:rPr>
                <w:color w:val="auto"/>
              </w:rPr>
            </w:pPr>
            <w:r>
              <w:rPr>
                <w:rFonts w:hint="eastAsia" w:cs="Times New Roman"/>
                <w:color w:val="auto"/>
              </w:rPr>
              <w:t>33.18</w:t>
            </w:r>
          </w:p>
        </w:tc>
        <w:tc>
          <w:tcPr>
            <w:tcW w:w="387" w:type="pct"/>
            <w:vMerge w:val="continue"/>
            <w:tcBorders>
              <w:tl2br w:val="nil"/>
              <w:tr2bl w:val="nil"/>
            </w:tcBorders>
            <w:tcMar>
              <w:left w:w="6" w:type="dxa"/>
              <w:right w:w="6" w:type="dxa"/>
            </w:tcMar>
            <w:vAlign w:val="center"/>
          </w:tcPr>
          <w:p w14:paraId="7497DC3E">
            <w:pPr>
              <w:pStyle w:val="711"/>
              <w:rPr>
                <w:color w:val="auto"/>
              </w:rPr>
            </w:pPr>
          </w:p>
        </w:tc>
        <w:tc>
          <w:tcPr>
            <w:tcW w:w="531" w:type="pct"/>
            <w:tcBorders>
              <w:tl2br w:val="nil"/>
              <w:tr2bl w:val="nil"/>
            </w:tcBorders>
            <w:tcMar>
              <w:left w:w="6" w:type="dxa"/>
              <w:right w:w="6" w:type="dxa"/>
            </w:tcMar>
            <w:vAlign w:val="center"/>
          </w:tcPr>
          <w:p w14:paraId="00E91FF4">
            <w:pPr>
              <w:pStyle w:val="711"/>
              <w:rPr>
                <w:rFonts w:eastAsia="宋体" w:cs="Times New Roman"/>
                <w:color w:val="auto"/>
                <w:szCs w:val="21"/>
              </w:rPr>
            </w:pPr>
            <w:r>
              <w:rPr>
                <w:rFonts w:eastAsia="宋体" w:cs="Times New Roman"/>
                <w:color w:val="auto"/>
                <w:szCs w:val="21"/>
              </w:rPr>
              <w:t xml:space="preserve">348.400 </w:t>
            </w:r>
          </w:p>
        </w:tc>
        <w:tc>
          <w:tcPr>
            <w:tcW w:w="369" w:type="pct"/>
            <w:tcBorders>
              <w:tl2br w:val="nil"/>
              <w:tr2bl w:val="nil"/>
            </w:tcBorders>
            <w:tcMar>
              <w:left w:w="6" w:type="dxa"/>
              <w:right w:w="6" w:type="dxa"/>
            </w:tcMar>
            <w:vAlign w:val="center"/>
          </w:tcPr>
          <w:p w14:paraId="0A7B76A3">
            <w:pPr>
              <w:pStyle w:val="711"/>
              <w:rPr>
                <w:rFonts w:eastAsia="宋体" w:cs="Times New Roman"/>
                <w:color w:val="auto"/>
                <w:szCs w:val="21"/>
              </w:rPr>
            </w:pPr>
            <w:r>
              <w:rPr>
                <w:rFonts w:eastAsia="宋体" w:cs="Times New Roman"/>
                <w:color w:val="auto"/>
                <w:szCs w:val="21"/>
              </w:rPr>
              <w:t xml:space="preserve">149.31 </w:t>
            </w:r>
          </w:p>
        </w:tc>
        <w:tc>
          <w:tcPr>
            <w:tcW w:w="396" w:type="pct"/>
            <w:tcBorders>
              <w:tl2br w:val="nil"/>
              <w:tr2bl w:val="nil"/>
            </w:tcBorders>
            <w:tcMar>
              <w:left w:w="6" w:type="dxa"/>
              <w:right w:w="6" w:type="dxa"/>
            </w:tcMar>
            <w:vAlign w:val="center"/>
          </w:tcPr>
          <w:p w14:paraId="3D82F806">
            <w:pPr>
              <w:pStyle w:val="711"/>
              <w:rPr>
                <w:rFonts w:eastAsia="宋体" w:cs="Times New Roman"/>
                <w:color w:val="auto"/>
                <w:szCs w:val="21"/>
              </w:rPr>
            </w:pPr>
            <w:r>
              <w:rPr>
                <w:rFonts w:eastAsia="宋体" w:cs="Times New Roman"/>
                <w:color w:val="auto"/>
                <w:szCs w:val="21"/>
              </w:rPr>
              <w:t xml:space="preserve">11.945 </w:t>
            </w:r>
          </w:p>
        </w:tc>
        <w:tc>
          <w:tcPr>
            <w:tcW w:w="396" w:type="pct"/>
            <w:tcBorders>
              <w:tl2br w:val="nil"/>
              <w:tr2bl w:val="nil"/>
            </w:tcBorders>
            <w:tcMar>
              <w:left w:w="6" w:type="dxa"/>
              <w:right w:w="6" w:type="dxa"/>
            </w:tcMar>
            <w:vAlign w:val="center"/>
          </w:tcPr>
          <w:p w14:paraId="6471D4FB">
            <w:pPr>
              <w:pStyle w:val="711"/>
              <w:rPr>
                <w:rFonts w:eastAsia="宋体" w:cs="Times New Roman"/>
                <w:color w:val="auto"/>
                <w:szCs w:val="21"/>
              </w:rPr>
            </w:pPr>
            <w:r>
              <w:rPr>
                <w:rFonts w:eastAsia="宋体" w:cs="Times New Roman"/>
                <w:color w:val="auto"/>
                <w:szCs w:val="21"/>
              </w:rPr>
              <w:t xml:space="preserve">0.299 </w:t>
            </w:r>
          </w:p>
        </w:tc>
        <w:tc>
          <w:tcPr>
            <w:tcW w:w="342" w:type="pct"/>
            <w:tcBorders>
              <w:tl2br w:val="nil"/>
              <w:tr2bl w:val="nil"/>
            </w:tcBorders>
            <w:tcMar>
              <w:left w:w="6" w:type="dxa"/>
              <w:right w:w="6" w:type="dxa"/>
            </w:tcMar>
            <w:vAlign w:val="center"/>
          </w:tcPr>
          <w:p w14:paraId="7E049EC3">
            <w:pPr>
              <w:pStyle w:val="711"/>
              <w:rPr>
                <w:rFonts w:eastAsia="宋体" w:cs="Times New Roman"/>
                <w:color w:val="auto"/>
                <w:szCs w:val="21"/>
              </w:rPr>
            </w:pPr>
            <w:r>
              <w:rPr>
                <w:rFonts w:eastAsia="宋体" w:cs="Times New Roman"/>
                <w:color w:val="auto"/>
                <w:szCs w:val="21"/>
              </w:rPr>
              <w:t xml:space="preserve">2.986 </w:t>
            </w:r>
          </w:p>
        </w:tc>
        <w:tc>
          <w:tcPr>
            <w:tcW w:w="447" w:type="pct"/>
            <w:tcBorders>
              <w:tl2br w:val="nil"/>
              <w:tr2bl w:val="nil"/>
            </w:tcBorders>
            <w:tcMar>
              <w:left w:w="6" w:type="dxa"/>
              <w:right w:w="6" w:type="dxa"/>
            </w:tcMar>
            <w:vAlign w:val="center"/>
          </w:tcPr>
          <w:p w14:paraId="124B892B">
            <w:pPr>
              <w:pStyle w:val="711"/>
              <w:rPr>
                <w:rFonts w:eastAsia="宋体" w:cs="Times New Roman"/>
                <w:color w:val="auto"/>
                <w:szCs w:val="21"/>
              </w:rPr>
            </w:pPr>
            <w:r>
              <w:rPr>
                <w:rFonts w:eastAsia="宋体" w:cs="Times New Roman"/>
                <w:color w:val="auto"/>
                <w:szCs w:val="21"/>
              </w:rPr>
              <w:t xml:space="preserve">2.986 </w:t>
            </w:r>
          </w:p>
        </w:tc>
      </w:tr>
      <w:tr w14:paraId="2677AB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1F86A34F">
            <w:pPr>
              <w:pStyle w:val="711"/>
              <w:rPr>
                <w:color w:val="auto"/>
              </w:rPr>
            </w:pPr>
            <w:r>
              <w:rPr>
                <w:rFonts w:hint="eastAsia"/>
                <w:color w:val="auto"/>
              </w:rPr>
              <w:t>六类</w:t>
            </w:r>
          </w:p>
        </w:tc>
        <w:tc>
          <w:tcPr>
            <w:tcW w:w="346" w:type="pct"/>
            <w:tcBorders>
              <w:tl2br w:val="nil"/>
              <w:tr2bl w:val="nil"/>
            </w:tcBorders>
            <w:shd w:val="clear" w:color="auto" w:fill="auto"/>
            <w:noWrap/>
            <w:tcMar>
              <w:left w:w="6" w:type="dxa"/>
              <w:right w:w="6" w:type="dxa"/>
            </w:tcMar>
            <w:vAlign w:val="center"/>
          </w:tcPr>
          <w:p w14:paraId="0B33DDA7">
            <w:pPr>
              <w:pStyle w:val="711"/>
              <w:rPr>
                <w:color w:val="auto"/>
              </w:rPr>
            </w:pPr>
            <w:r>
              <w:rPr>
                <w:rFonts w:hint="eastAsia"/>
                <w:color w:val="auto"/>
              </w:rPr>
              <w:t>深度处理</w:t>
            </w:r>
          </w:p>
        </w:tc>
        <w:tc>
          <w:tcPr>
            <w:tcW w:w="1017" w:type="pct"/>
            <w:tcBorders>
              <w:tl2br w:val="nil"/>
              <w:tr2bl w:val="nil"/>
            </w:tcBorders>
            <w:shd w:val="clear" w:color="auto" w:fill="auto"/>
            <w:noWrap/>
            <w:tcMar>
              <w:left w:w="6" w:type="dxa"/>
              <w:right w:w="6" w:type="dxa"/>
            </w:tcMar>
            <w:vAlign w:val="center"/>
          </w:tcPr>
          <w:p w14:paraId="5FCAFBE0">
            <w:pPr>
              <w:pStyle w:val="711"/>
              <w:rPr>
                <w:rFonts w:eastAsia="宋体" w:cs="Times New Roman"/>
                <w:color w:val="auto"/>
                <w:szCs w:val="21"/>
              </w:rPr>
            </w:pPr>
            <w:r>
              <w:rPr>
                <w:rFonts w:hint="eastAsia" w:cs="Times New Roman"/>
                <w:color w:val="auto"/>
              </w:rPr>
              <w:t>高级氧化撬装设备</w:t>
            </w:r>
          </w:p>
        </w:tc>
        <w:tc>
          <w:tcPr>
            <w:tcW w:w="421" w:type="pct"/>
            <w:tcBorders>
              <w:tl2br w:val="nil"/>
              <w:tr2bl w:val="nil"/>
            </w:tcBorders>
            <w:shd w:val="clear" w:color="auto" w:fill="auto"/>
            <w:noWrap/>
            <w:tcMar>
              <w:left w:w="6" w:type="dxa"/>
              <w:right w:w="6" w:type="dxa"/>
            </w:tcMar>
            <w:vAlign w:val="center"/>
          </w:tcPr>
          <w:p w14:paraId="092DA0A9">
            <w:pPr>
              <w:pStyle w:val="711"/>
              <w:rPr>
                <w:color w:val="auto"/>
              </w:rPr>
            </w:pPr>
            <w:r>
              <w:rPr>
                <w:rFonts w:hint="eastAsia" w:cs="Times New Roman"/>
                <w:color w:val="auto"/>
              </w:rPr>
              <w:t>1.06</w:t>
            </w:r>
          </w:p>
        </w:tc>
        <w:tc>
          <w:tcPr>
            <w:tcW w:w="387" w:type="pct"/>
            <w:vMerge w:val="continue"/>
            <w:tcBorders>
              <w:tl2br w:val="nil"/>
              <w:tr2bl w:val="nil"/>
            </w:tcBorders>
            <w:tcMar>
              <w:left w:w="6" w:type="dxa"/>
              <w:right w:w="6" w:type="dxa"/>
            </w:tcMar>
            <w:vAlign w:val="center"/>
          </w:tcPr>
          <w:p w14:paraId="36793688">
            <w:pPr>
              <w:pStyle w:val="711"/>
              <w:rPr>
                <w:color w:val="auto"/>
              </w:rPr>
            </w:pPr>
          </w:p>
        </w:tc>
        <w:tc>
          <w:tcPr>
            <w:tcW w:w="531" w:type="pct"/>
            <w:tcBorders>
              <w:tl2br w:val="nil"/>
              <w:tr2bl w:val="nil"/>
            </w:tcBorders>
            <w:tcMar>
              <w:left w:w="6" w:type="dxa"/>
              <w:right w:w="6" w:type="dxa"/>
            </w:tcMar>
            <w:vAlign w:val="center"/>
          </w:tcPr>
          <w:p w14:paraId="632DCFA7">
            <w:pPr>
              <w:pStyle w:val="711"/>
              <w:rPr>
                <w:rFonts w:eastAsia="宋体" w:cs="Times New Roman"/>
                <w:color w:val="auto"/>
                <w:szCs w:val="21"/>
              </w:rPr>
            </w:pPr>
            <w:r>
              <w:rPr>
                <w:rFonts w:eastAsia="宋体" w:cs="Times New Roman"/>
                <w:color w:val="auto"/>
                <w:szCs w:val="21"/>
              </w:rPr>
              <w:t xml:space="preserve">11.130 </w:t>
            </w:r>
          </w:p>
        </w:tc>
        <w:tc>
          <w:tcPr>
            <w:tcW w:w="369" w:type="pct"/>
            <w:tcBorders>
              <w:tl2br w:val="nil"/>
              <w:tr2bl w:val="nil"/>
            </w:tcBorders>
            <w:tcMar>
              <w:left w:w="6" w:type="dxa"/>
              <w:right w:w="6" w:type="dxa"/>
            </w:tcMar>
            <w:vAlign w:val="center"/>
          </w:tcPr>
          <w:p w14:paraId="6F84281C">
            <w:pPr>
              <w:pStyle w:val="711"/>
              <w:rPr>
                <w:rFonts w:eastAsia="宋体" w:cs="Times New Roman"/>
                <w:color w:val="auto"/>
                <w:szCs w:val="21"/>
              </w:rPr>
            </w:pPr>
            <w:r>
              <w:rPr>
                <w:rFonts w:eastAsia="宋体" w:cs="Times New Roman"/>
                <w:color w:val="auto"/>
                <w:szCs w:val="21"/>
              </w:rPr>
              <w:t xml:space="preserve">4.770 </w:t>
            </w:r>
          </w:p>
        </w:tc>
        <w:tc>
          <w:tcPr>
            <w:tcW w:w="396" w:type="pct"/>
            <w:tcBorders>
              <w:tl2br w:val="nil"/>
              <w:tr2bl w:val="nil"/>
            </w:tcBorders>
            <w:tcMar>
              <w:left w:w="6" w:type="dxa"/>
              <w:right w:w="6" w:type="dxa"/>
            </w:tcMar>
            <w:vAlign w:val="center"/>
          </w:tcPr>
          <w:p w14:paraId="3C03B056">
            <w:pPr>
              <w:pStyle w:val="711"/>
              <w:rPr>
                <w:rFonts w:eastAsia="宋体" w:cs="Times New Roman"/>
                <w:color w:val="auto"/>
                <w:szCs w:val="21"/>
              </w:rPr>
            </w:pPr>
            <w:r>
              <w:rPr>
                <w:rFonts w:eastAsia="宋体" w:cs="Times New Roman"/>
                <w:color w:val="auto"/>
                <w:szCs w:val="21"/>
              </w:rPr>
              <w:t xml:space="preserve">0.382 </w:t>
            </w:r>
          </w:p>
        </w:tc>
        <w:tc>
          <w:tcPr>
            <w:tcW w:w="396" w:type="pct"/>
            <w:tcBorders>
              <w:tl2br w:val="nil"/>
              <w:tr2bl w:val="nil"/>
            </w:tcBorders>
            <w:tcMar>
              <w:left w:w="6" w:type="dxa"/>
              <w:right w:w="6" w:type="dxa"/>
            </w:tcMar>
            <w:vAlign w:val="center"/>
          </w:tcPr>
          <w:p w14:paraId="749097F3">
            <w:pPr>
              <w:pStyle w:val="711"/>
              <w:rPr>
                <w:rFonts w:eastAsia="宋体" w:cs="Times New Roman"/>
                <w:color w:val="auto"/>
                <w:szCs w:val="21"/>
              </w:rPr>
            </w:pPr>
            <w:r>
              <w:rPr>
                <w:rFonts w:eastAsia="宋体" w:cs="Times New Roman"/>
                <w:color w:val="auto"/>
                <w:szCs w:val="21"/>
              </w:rPr>
              <w:t xml:space="preserve">0.010 </w:t>
            </w:r>
          </w:p>
        </w:tc>
        <w:tc>
          <w:tcPr>
            <w:tcW w:w="342" w:type="pct"/>
            <w:tcBorders>
              <w:tl2br w:val="nil"/>
              <w:tr2bl w:val="nil"/>
            </w:tcBorders>
            <w:tcMar>
              <w:left w:w="6" w:type="dxa"/>
              <w:right w:w="6" w:type="dxa"/>
            </w:tcMar>
            <w:vAlign w:val="center"/>
          </w:tcPr>
          <w:p w14:paraId="6A2234C5">
            <w:pPr>
              <w:pStyle w:val="711"/>
              <w:rPr>
                <w:rFonts w:eastAsia="宋体" w:cs="Times New Roman"/>
                <w:color w:val="auto"/>
                <w:szCs w:val="21"/>
              </w:rPr>
            </w:pPr>
            <w:r>
              <w:rPr>
                <w:rFonts w:eastAsia="宋体" w:cs="Times New Roman"/>
                <w:color w:val="auto"/>
                <w:szCs w:val="21"/>
              </w:rPr>
              <w:t xml:space="preserve">0.095 </w:t>
            </w:r>
          </w:p>
        </w:tc>
        <w:tc>
          <w:tcPr>
            <w:tcW w:w="447" w:type="pct"/>
            <w:tcBorders>
              <w:tl2br w:val="nil"/>
              <w:tr2bl w:val="nil"/>
            </w:tcBorders>
            <w:tcMar>
              <w:left w:w="6" w:type="dxa"/>
              <w:right w:w="6" w:type="dxa"/>
            </w:tcMar>
            <w:vAlign w:val="center"/>
          </w:tcPr>
          <w:p w14:paraId="3D4F4E32">
            <w:pPr>
              <w:pStyle w:val="711"/>
              <w:rPr>
                <w:rFonts w:eastAsia="宋体" w:cs="Times New Roman"/>
                <w:color w:val="auto"/>
                <w:szCs w:val="21"/>
              </w:rPr>
            </w:pPr>
            <w:r>
              <w:rPr>
                <w:rFonts w:eastAsia="宋体" w:cs="Times New Roman"/>
                <w:color w:val="auto"/>
                <w:szCs w:val="21"/>
              </w:rPr>
              <w:t xml:space="preserve">0.095 </w:t>
            </w:r>
          </w:p>
        </w:tc>
      </w:tr>
      <w:tr w14:paraId="757F7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5807D1C9">
            <w:pPr>
              <w:pStyle w:val="711"/>
              <w:rPr>
                <w:color w:val="auto"/>
              </w:rPr>
            </w:pPr>
            <w:r>
              <w:rPr>
                <w:rFonts w:hint="eastAsia"/>
                <w:color w:val="auto"/>
              </w:rPr>
              <w:t>七类</w:t>
            </w:r>
          </w:p>
        </w:tc>
        <w:tc>
          <w:tcPr>
            <w:tcW w:w="346" w:type="pct"/>
            <w:vMerge w:val="restart"/>
            <w:tcBorders>
              <w:tl2br w:val="nil"/>
              <w:tr2bl w:val="nil"/>
            </w:tcBorders>
            <w:shd w:val="clear" w:color="auto" w:fill="auto"/>
            <w:noWrap/>
            <w:tcMar>
              <w:left w:w="6" w:type="dxa"/>
              <w:right w:w="6" w:type="dxa"/>
            </w:tcMar>
            <w:vAlign w:val="center"/>
          </w:tcPr>
          <w:p w14:paraId="3F07E9D5">
            <w:pPr>
              <w:pStyle w:val="711"/>
              <w:rPr>
                <w:color w:val="auto"/>
              </w:rPr>
            </w:pPr>
            <w:r>
              <w:rPr>
                <w:rFonts w:hint="eastAsia"/>
                <w:color w:val="auto"/>
              </w:rPr>
              <w:t>污泥处理</w:t>
            </w:r>
          </w:p>
        </w:tc>
        <w:tc>
          <w:tcPr>
            <w:tcW w:w="1017" w:type="pct"/>
            <w:tcBorders>
              <w:tl2br w:val="nil"/>
              <w:tr2bl w:val="nil"/>
            </w:tcBorders>
            <w:shd w:val="clear" w:color="auto" w:fill="auto"/>
            <w:noWrap/>
            <w:tcMar>
              <w:left w:w="6" w:type="dxa"/>
              <w:right w:w="6" w:type="dxa"/>
            </w:tcMar>
            <w:vAlign w:val="center"/>
          </w:tcPr>
          <w:p w14:paraId="2DA253BE">
            <w:pPr>
              <w:pStyle w:val="711"/>
              <w:rPr>
                <w:rFonts w:eastAsia="宋体" w:cs="Times New Roman"/>
                <w:color w:val="auto"/>
                <w:szCs w:val="21"/>
              </w:rPr>
            </w:pPr>
            <w:r>
              <w:rPr>
                <w:rFonts w:hint="eastAsia" w:cs="Times New Roman"/>
                <w:color w:val="auto"/>
              </w:rPr>
              <w:t>磁混凝沉淀池</w:t>
            </w:r>
          </w:p>
        </w:tc>
        <w:tc>
          <w:tcPr>
            <w:tcW w:w="421" w:type="pct"/>
            <w:tcBorders>
              <w:tl2br w:val="nil"/>
              <w:tr2bl w:val="nil"/>
            </w:tcBorders>
            <w:shd w:val="clear" w:color="auto" w:fill="auto"/>
            <w:noWrap/>
            <w:tcMar>
              <w:left w:w="6" w:type="dxa"/>
              <w:right w:w="6" w:type="dxa"/>
            </w:tcMar>
            <w:vAlign w:val="center"/>
          </w:tcPr>
          <w:p w14:paraId="47735ED0">
            <w:pPr>
              <w:pStyle w:val="711"/>
              <w:rPr>
                <w:color w:val="auto"/>
              </w:rPr>
            </w:pPr>
            <w:r>
              <w:rPr>
                <w:rFonts w:hint="eastAsia"/>
                <w:color w:val="auto"/>
              </w:rPr>
              <w:t>13.81</w:t>
            </w:r>
          </w:p>
        </w:tc>
        <w:tc>
          <w:tcPr>
            <w:tcW w:w="387" w:type="pct"/>
            <w:vMerge w:val="continue"/>
            <w:tcBorders>
              <w:tl2br w:val="nil"/>
              <w:tr2bl w:val="nil"/>
            </w:tcBorders>
            <w:tcMar>
              <w:left w:w="6" w:type="dxa"/>
              <w:right w:w="6" w:type="dxa"/>
            </w:tcMar>
            <w:vAlign w:val="center"/>
          </w:tcPr>
          <w:p w14:paraId="300933A5">
            <w:pPr>
              <w:pStyle w:val="711"/>
              <w:rPr>
                <w:color w:val="auto"/>
              </w:rPr>
            </w:pPr>
          </w:p>
        </w:tc>
        <w:tc>
          <w:tcPr>
            <w:tcW w:w="531" w:type="pct"/>
            <w:tcBorders>
              <w:tl2br w:val="nil"/>
              <w:tr2bl w:val="nil"/>
            </w:tcBorders>
            <w:tcMar>
              <w:left w:w="6" w:type="dxa"/>
              <w:right w:w="6" w:type="dxa"/>
            </w:tcMar>
            <w:vAlign w:val="center"/>
          </w:tcPr>
          <w:p w14:paraId="6C0F11DD">
            <w:pPr>
              <w:pStyle w:val="711"/>
              <w:rPr>
                <w:rFonts w:eastAsia="宋体" w:cs="Times New Roman"/>
                <w:color w:val="auto"/>
                <w:szCs w:val="21"/>
              </w:rPr>
            </w:pPr>
            <w:r>
              <w:rPr>
                <w:rFonts w:eastAsia="宋体" w:cs="Times New Roman"/>
                <w:color w:val="auto"/>
                <w:szCs w:val="21"/>
              </w:rPr>
              <w:t xml:space="preserve">145.009 </w:t>
            </w:r>
          </w:p>
        </w:tc>
        <w:tc>
          <w:tcPr>
            <w:tcW w:w="369" w:type="pct"/>
            <w:tcBorders>
              <w:tl2br w:val="nil"/>
              <w:tr2bl w:val="nil"/>
            </w:tcBorders>
            <w:tcMar>
              <w:left w:w="6" w:type="dxa"/>
              <w:right w:w="6" w:type="dxa"/>
            </w:tcMar>
            <w:vAlign w:val="center"/>
          </w:tcPr>
          <w:p w14:paraId="192D2BB8">
            <w:pPr>
              <w:pStyle w:val="711"/>
              <w:rPr>
                <w:rFonts w:eastAsia="宋体" w:cs="Times New Roman"/>
                <w:color w:val="auto"/>
                <w:szCs w:val="21"/>
              </w:rPr>
            </w:pPr>
            <w:r>
              <w:rPr>
                <w:rFonts w:eastAsia="宋体" w:cs="Times New Roman"/>
                <w:color w:val="auto"/>
                <w:szCs w:val="21"/>
              </w:rPr>
              <w:t xml:space="preserve">62.145 </w:t>
            </w:r>
          </w:p>
        </w:tc>
        <w:tc>
          <w:tcPr>
            <w:tcW w:w="396" w:type="pct"/>
            <w:tcBorders>
              <w:tl2br w:val="nil"/>
              <w:tr2bl w:val="nil"/>
            </w:tcBorders>
            <w:tcMar>
              <w:left w:w="6" w:type="dxa"/>
              <w:right w:w="6" w:type="dxa"/>
            </w:tcMar>
            <w:vAlign w:val="center"/>
          </w:tcPr>
          <w:p w14:paraId="74F302FD">
            <w:pPr>
              <w:pStyle w:val="711"/>
              <w:rPr>
                <w:rFonts w:eastAsia="宋体" w:cs="Times New Roman"/>
                <w:color w:val="auto"/>
                <w:szCs w:val="21"/>
              </w:rPr>
            </w:pPr>
            <w:r>
              <w:rPr>
                <w:rFonts w:eastAsia="宋体" w:cs="Times New Roman"/>
                <w:color w:val="auto"/>
                <w:szCs w:val="21"/>
              </w:rPr>
              <w:t xml:space="preserve">4.972 </w:t>
            </w:r>
          </w:p>
        </w:tc>
        <w:tc>
          <w:tcPr>
            <w:tcW w:w="396" w:type="pct"/>
            <w:tcBorders>
              <w:tl2br w:val="nil"/>
              <w:tr2bl w:val="nil"/>
            </w:tcBorders>
            <w:tcMar>
              <w:left w:w="6" w:type="dxa"/>
              <w:right w:w="6" w:type="dxa"/>
            </w:tcMar>
            <w:vAlign w:val="center"/>
          </w:tcPr>
          <w:p w14:paraId="29C69940">
            <w:pPr>
              <w:pStyle w:val="711"/>
              <w:rPr>
                <w:rFonts w:eastAsia="宋体" w:cs="Times New Roman"/>
                <w:color w:val="auto"/>
                <w:szCs w:val="21"/>
              </w:rPr>
            </w:pPr>
            <w:r>
              <w:rPr>
                <w:rFonts w:eastAsia="宋体" w:cs="Times New Roman"/>
                <w:color w:val="auto"/>
                <w:szCs w:val="21"/>
              </w:rPr>
              <w:t xml:space="preserve">0.124 </w:t>
            </w:r>
          </w:p>
        </w:tc>
        <w:tc>
          <w:tcPr>
            <w:tcW w:w="342" w:type="pct"/>
            <w:tcBorders>
              <w:tl2br w:val="nil"/>
              <w:tr2bl w:val="nil"/>
            </w:tcBorders>
            <w:tcMar>
              <w:left w:w="6" w:type="dxa"/>
              <w:right w:w="6" w:type="dxa"/>
            </w:tcMar>
            <w:vAlign w:val="center"/>
          </w:tcPr>
          <w:p w14:paraId="42F1F11C">
            <w:pPr>
              <w:pStyle w:val="711"/>
              <w:rPr>
                <w:rFonts w:eastAsia="宋体" w:cs="Times New Roman"/>
                <w:color w:val="auto"/>
                <w:szCs w:val="21"/>
              </w:rPr>
            </w:pPr>
            <w:r>
              <w:rPr>
                <w:rFonts w:eastAsia="宋体" w:cs="Times New Roman"/>
                <w:color w:val="auto"/>
                <w:szCs w:val="21"/>
              </w:rPr>
              <w:t xml:space="preserve">1.243 </w:t>
            </w:r>
          </w:p>
        </w:tc>
        <w:tc>
          <w:tcPr>
            <w:tcW w:w="447" w:type="pct"/>
            <w:tcBorders>
              <w:tl2br w:val="nil"/>
              <w:tr2bl w:val="nil"/>
            </w:tcBorders>
            <w:tcMar>
              <w:left w:w="6" w:type="dxa"/>
              <w:right w:w="6" w:type="dxa"/>
            </w:tcMar>
            <w:vAlign w:val="center"/>
          </w:tcPr>
          <w:p w14:paraId="56BB963D">
            <w:pPr>
              <w:pStyle w:val="711"/>
              <w:rPr>
                <w:rFonts w:eastAsia="宋体" w:cs="Times New Roman"/>
                <w:color w:val="auto"/>
                <w:szCs w:val="21"/>
              </w:rPr>
            </w:pPr>
            <w:r>
              <w:rPr>
                <w:rFonts w:eastAsia="宋体" w:cs="Times New Roman"/>
                <w:color w:val="auto"/>
                <w:szCs w:val="21"/>
              </w:rPr>
              <w:t xml:space="preserve">1.243 </w:t>
            </w:r>
          </w:p>
        </w:tc>
      </w:tr>
      <w:tr w14:paraId="77252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tl2br w:val="nil"/>
              <w:tr2bl w:val="nil"/>
            </w:tcBorders>
            <w:shd w:val="clear" w:color="auto" w:fill="auto"/>
            <w:tcMar>
              <w:left w:w="6" w:type="dxa"/>
              <w:right w:w="6" w:type="dxa"/>
            </w:tcMar>
            <w:vAlign w:val="center"/>
          </w:tcPr>
          <w:p w14:paraId="37269947">
            <w:pPr>
              <w:pStyle w:val="711"/>
              <w:rPr>
                <w:color w:val="auto"/>
              </w:rPr>
            </w:pPr>
            <w:r>
              <w:rPr>
                <w:rFonts w:hint="eastAsia"/>
                <w:color w:val="auto"/>
              </w:rPr>
              <w:t>八类</w:t>
            </w:r>
          </w:p>
        </w:tc>
        <w:tc>
          <w:tcPr>
            <w:tcW w:w="346" w:type="pct"/>
            <w:vMerge w:val="continue"/>
            <w:tcBorders>
              <w:tl2br w:val="nil"/>
              <w:tr2bl w:val="nil"/>
            </w:tcBorders>
            <w:shd w:val="clear" w:color="auto" w:fill="auto"/>
            <w:noWrap/>
            <w:tcMar>
              <w:left w:w="6" w:type="dxa"/>
              <w:right w:w="6" w:type="dxa"/>
            </w:tcMar>
            <w:vAlign w:val="center"/>
          </w:tcPr>
          <w:p w14:paraId="5ED2F928">
            <w:pPr>
              <w:pStyle w:val="711"/>
              <w:rPr>
                <w:color w:val="auto"/>
              </w:rPr>
            </w:pPr>
          </w:p>
        </w:tc>
        <w:tc>
          <w:tcPr>
            <w:tcW w:w="1017" w:type="pct"/>
            <w:tcBorders>
              <w:tl2br w:val="nil"/>
              <w:tr2bl w:val="nil"/>
            </w:tcBorders>
            <w:shd w:val="clear" w:color="auto" w:fill="auto"/>
            <w:noWrap/>
            <w:tcMar>
              <w:left w:w="6" w:type="dxa"/>
              <w:right w:w="6" w:type="dxa"/>
            </w:tcMar>
            <w:vAlign w:val="center"/>
          </w:tcPr>
          <w:p w14:paraId="5EAD4E7E">
            <w:pPr>
              <w:pStyle w:val="711"/>
              <w:rPr>
                <w:rFonts w:eastAsia="宋体" w:cs="Times New Roman"/>
                <w:color w:val="auto"/>
                <w:szCs w:val="21"/>
              </w:rPr>
            </w:pPr>
            <w:r>
              <w:rPr>
                <w:rFonts w:hint="eastAsia" w:cs="Times New Roman"/>
                <w:color w:val="auto"/>
              </w:rPr>
              <w:t>污泥池</w:t>
            </w:r>
          </w:p>
        </w:tc>
        <w:tc>
          <w:tcPr>
            <w:tcW w:w="421" w:type="pct"/>
            <w:tcBorders>
              <w:tl2br w:val="nil"/>
              <w:tr2bl w:val="nil"/>
            </w:tcBorders>
            <w:shd w:val="clear" w:color="auto" w:fill="auto"/>
            <w:noWrap/>
            <w:tcMar>
              <w:left w:w="6" w:type="dxa"/>
              <w:right w:w="6" w:type="dxa"/>
            </w:tcMar>
            <w:vAlign w:val="center"/>
          </w:tcPr>
          <w:p w14:paraId="39A9253F">
            <w:pPr>
              <w:pStyle w:val="711"/>
              <w:rPr>
                <w:color w:val="auto"/>
              </w:rPr>
            </w:pPr>
            <w:r>
              <w:rPr>
                <w:rFonts w:hint="eastAsia"/>
                <w:color w:val="auto"/>
              </w:rPr>
              <w:t>3.46</w:t>
            </w:r>
          </w:p>
        </w:tc>
        <w:tc>
          <w:tcPr>
            <w:tcW w:w="387" w:type="pct"/>
            <w:vMerge w:val="continue"/>
            <w:tcBorders>
              <w:tl2br w:val="nil"/>
              <w:tr2bl w:val="nil"/>
            </w:tcBorders>
            <w:tcMar>
              <w:left w:w="6" w:type="dxa"/>
              <w:right w:w="6" w:type="dxa"/>
            </w:tcMar>
            <w:vAlign w:val="center"/>
          </w:tcPr>
          <w:p w14:paraId="2906A3D3">
            <w:pPr>
              <w:pStyle w:val="711"/>
              <w:rPr>
                <w:color w:val="auto"/>
              </w:rPr>
            </w:pPr>
          </w:p>
        </w:tc>
        <w:tc>
          <w:tcPr>
            <w:tcW w:w="531" w:type="pct"/>
            <w:tcBorders>
              <w:tl2br w:val="nil"/>
              <w:tr2bl w:val="nil"/>
            </w:tcBorders>
            <w:tcMar>
              <w:left w:w="6" w:type="dxa"/>
              <w:right w:w="6" w:type="dxa"/>
            </w:tcMar>
            <w:vAlign w:val="center"/>
          </w:tcPr>
          <w:p w14:paraId="7EC7A97E">
            <w:pPr>
              <w:pStyle w:val="711"/>
              <w:rPr>
                <w:rFonts w:eastAsia="宋体" w:cs="Times New Roman"/>
                <w:color w:val="auto"/>
                <w:szCs w:val="21"/>
              </w:rPr>
            </w:pPr>
            <w:r>
              <w:rPr>
                <w:rFonts w:eastAsia="宋体" w:cs="Times New Roman"/>
                <w:color w:val="auto"/>
                <w:szCs w:val="21"/>
              </w:rPr>
              <w:t xml:space="preserve">36.331 </w:t>
            </w:r>
          </w:p>
        </w:tc>
        <w:tc>
          <w:tcPr>
            <w:tcW w:w="369" w:type="pct"/>
            <w:tcBorders>
              <w:tl2br w:val="nil"/>
              <w:tr2bl w:val="nil"/>
            </w:tcBorders>
            <w:tcMar>
              <w:left w:w="6" w:type="dxa"/>
              <w:right w:w="6" w:type="dxa"/>
            </w:tcMar>
            <w:vAlign w:val="center"/>
          </w:tcPr>
          <w:p w14:paraId="4CBE50CA">
            <w:pPr>
              <w:pStyle w:val="711"/>
              <w:rPr>
                <w:rFonts w:eastAsia="宋体" w:cs="Times New Roman"/>
                <w:color w:val="auto"/>
                <w:szCs w:val="21"/>
              </w:rPr>
            </w:pPr>
            <w:r>
              <w:rPr>
                <w:rFonts w:eastAsia="宋体" w:cs="Times New Roman"/>
                <w:color w:val="auto"/>
                <w:szCs w:val="21"/>
              </w:rPr>
              <w:t xml:space="preserve">15.570 </w:t>
            </w:r>
          </w:p>
        </w:tc>
        <w:tc>
          <w:tcPr>
            <w:tcW w:w="396" w:type="pct"/>
            <w:tcBorders>
              <w:tl2br w:val="nil"/>
              <w:tr2bl w:val="nil"/>
            </w:tcBorders>
            <w:tcMar>
              <w:left w:w="6" w:type="dxa"/>
              <w:right w:w="6" w:type="dxa"/>
            </w:tcMar>
            <w:vAlign w:val="center"/>
          </w:tcPr>
          <w:p w14:paraId="3C2E45B3">
            <w:pPr>
              <w:pStyle w:val="711"/>
              <w:rPr>
                <w:rFonts w:eastAsia="宋体" w:cs="Times New Roman"/>
                <w:color w:val="auto"/>
                <w:szCs w:val="21"/>
              </w:rPr>
            </w:pPr>
            <w:r>
              <w:rPr>
                <w:rFonts w:eastAsia="宋体" w:cs="Times New Roman"/>
                <w:color w:val="auto"/>
                <w:szCs w:val="21"/>
              </w:rPr>
              <w:t xml:space="preserve">1.246 </w:t>
            </w:r>
          </w:p>
        </w:tc>
        <w:tc>
          <w:tcPr>
            <w:tcW w:w="396" w:type="pct"/>
            <w:tcBorders>
              <w:tl2br w:val="nil"/>
              <w:tr2bl w:val="nil"/>
            </w:tcBorders>
            <w:tcMar>
              <w:left w:w="6" w:type="dxa"/>
              <w:right w:w="6" w:type="dxa"/>
            </w:tcMar>
            <w:vAlign w:val="center"/>
          </w:tcPr>
          <w:p w14:paraId="5634C895">
            <w:pPr>
              <w:pStyle w:val="711"/>
              <w:rPr>
                <w:rFonts w:eastAsia="宋体" w:cs="Times New Roman"/>
                <w:color w:val="auto"/>
                <w:szCs w:val="21"/>
              </w:rPr>
            </w:pPr>
            <w:r>
              <w:rPr>
                <w:rFonts w:eastAsia="宋体" w:cs="Times New Roman"/>
                <w:color w:val="auto"/>
                <w:szCs w:val="21"/>
              </w:rPr>
              <w:t xml:space="preserve">0.031 </w:t>
            </w:r>
          </w:p>
        </w:tc>
        <w:tc>
          <w:tcPr>
            <w:tcW w:w="342" w:type="pct"/>
            <w:tcBorders>
              <w:tl2br w:val="nil"/>
              <w:tr2bl w:val="nil"/>
            </w:tcBorders>
            <w:tcMar>
              <w:left w:w="6" w:type="dxa"/>
              <w:right w:w="6" w:type="dxa"/>
            </w:tcMar>
            <w:vAlign w:val="center"/>
          </w:tcPr>
          <w:p w14:paraId="41FFCCD4">
            <w:pPr>
              <w:pStyle w:val="711"/>
              <w:rPr>
                <w:rFonts w:eastAsia="宋体" w:cs="Times New Roman"/>
                <w:color w:val="auto"/>
                <w:szCs w:val="21"/>
              </w:rPr>
            </w:pPr>
            <w:r>
              <w:rPr>
                <w:rFonts w:eastAsia="宋体" w:cs="Times New Roman"/>
                <w:color w:val="auto"/>
                <w:szCs w:val="21"/>
              </w:rPr>
              <w:t xml:space="preserve">0.311 </w:t>
            </w:r>
          </w:p>
        </w:tc>
        <w:tc>
          <w:tcPr>
            <w:tcW w:w="447" w:type="pct"/>
            <w:tcBorders>
              <w:tl2br w:val="nil"/>
              <w:tr2bl w:val="nil"/>
            </w:tcBorders>
            <w:tcMar>
              <w:left w:w="6" w:type="dxa"/>
              <w:right w:w="6" w:type="dxa"/>
            </w:tcMar>
            <w:vAlign w:val="center"/>
          </w:tcPr>
          <w:p w14:paraId="0D61AC8C">
            <w:pPr>
              <w:pStyle w:val="711"/>
              <w:rPr>
                <w:rFonts w:eastAsia="宋体" w:cs="Times New Roman"/>
                <w:color w:val="auto"/>
                <w:szCs w:val="21"/>
              </w:rPr>
            </w:pPr>
            <w:r>
              <w:rPr>
                <w:rFonts w:eastAsia="宋体" w:cs="Times New Roman"/>
                <w:color w:val="auto"/>
                <w:szCs w:val="21"/>
              </w:rPr>
              <w:t xml:space="preserve">0.311 </w:t>
            </w:r>
          </w:p>
        </w:tc>
      </w:tr>
    </w:tbl>
    <w:p w14:paraId="57DBBE3A">
      <w:pPr>
        <w:bidi w:val="0"/>
        <w:rPr>
          <w:color w:val="auto"/>
        </w:rPr>
      </w:pPr>
      <w:r>
        <w:rPr>
          <w:color w:val="auto"/>
        </w:rPr>
        <w:t>4）预测结果</w:t>
      </w:r>
    </w:p>
    <w:p w14:paraId="241D8E97">
      <w:pPr>
        <w:bidi w:val="0"/>
        <w:rPr>
          <w:color w:val="auto"/>
        </w:rPr>
      </w:pPr>
      <w:r>
        <w:rPr>
          <w:rFonts w:hint="eastAsia"/>
          <w:color w:val="auto"/>
        </w:rPr>
        <w:t>以前述运行模拟的初始渗流场作为溶质运移流场模拟本项目非正常运行状况地下水污染情况。根据模拟结果，非正常运行状况发生后污染物下渗进入地下水系统后，由项目区北西向南东。根据工况设计，污染物最长下渗时间为9</w:t>
      </w:r>
      <w:r>
        <w:rPr>
          <w:color w:val="auto"/>
        </w:rPr>
        <w:t>0d</w:t>
      </w:r>
      <w:r>
        <w:rPr>
          <w:rFonts w:hint="eastAsia"/>
          <w:color w:val="auto"/>
        </w:rPr>
        <w:t>，相对于3</w:t>
      </w:r>
      <w:r>
        <w:rPr>
          <w:color w:val="auto"/>
        </w:rPr>
        <w:t>0a</w:t>
      </w:r>
      <w:r>
        <w:rPr>
          <w:rFonts w:hint="eastAsia"/>
          <w:color w:val="auto"/>
        </w:rPr>
        <w:t>的模型预测时长，该源强下渗时间较短，其污染物下渗过程均可视为瞬时注入。</w:t>
      </w:r>
      <w:r>
        <w:rPr>
          <w:color w:val="auto"/>
        </w:rPr>
        <w:t>污染物迁移模拟结果见</w:t>
      </w:r>
      <w:r>
        <w:rPr>
          <w:rFonts w:hint="eastAsia"/>
          <w:color w:val="auto"/>
          <w:lang w:val="en-US" w:eastAsia="zh-CN"/>
        </w:rPr>
        <w:t>下图</w:t>
      </w:r>
      <w:r>
        <w:rPr>
          <w:color w:val="auto"/>
        </w:rPr>
        <w:t>。</w:t>
      </w:r>
    </w:p>
    <w:p w14:paraId="2259172C">
      <w:pPr>
        <w:pStyle w:val="711"/>
        <w:rPr>
          <w:rFonts w:cs="Times New Roman"/>
          <w:color w:val="auto"/>
        </w:rPr>
        <w:sectPr>
          <w:headerReference r:id="rId24" w:type="default"/>
          <w:footerReference r:id="rId2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p>
    <w:p w14:paraId="683F78A1">
      <w:pPr>
        <w:pStyle w:val="711"/>
        <w:rPr>
          <w:color w:val="auto"/>
        </w:rPr>
      </w:pPr>
      <w:r>
        <w:rPr>
          <w:color w:val="auto"/>
        </w:rPr>
        <w:drawing>
          <wp:inline distT="0" distB="0" distL="0" distR="0">
            <wp:extent cx="5039995" cy="2672080"/>
            <wp:effectExtent l="0" t="0" r="8255" b="1397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22BF2ED1">
      <w:pPr>
        <w:pStyle w:val="711"/>
        <w:rPr>
          <w:color w:val="auto"/>
        </w:rPr>
      </w:pPr>
      <w:r>
        <w:rPr>
          <w:rFonts w:hint="eastAsia"/>
          <w:color w:val="auto"/>
        </w:rPr>
        <w:t>9</w:t>
      </w:r>
      <w:r>
        <w:rPr>
          <w:color w:val="auto"/>
        </w:rPr>
        <w:t>0d</w:t>
      </w:r>
    </w:p>
    <w:p w14:paraId="06968C63">
      <w:pPr>
        <w:pStyle w:val="711"/>
        <w:rPr>
          <w:color w:val="auto"/>
        </w:rPr>
      </w:pPr>
      <w:r>
        <w:rPr>
          <w:color w:val="auto"/>
        </w:rPr>
        <w:drawing>
          <wp:inline distT="0" distB="0" distL="0" distR="0">
            <wp:extent cx="5039995" cy="2672080"/>
            <wp:effectExtent l="0" t="0" r="8255" b="1397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4413F721">
      <w:pPr>
        <w:pStyle w:val="711"/>
        <w:rPr>
          <w:color w:val="auto"/>
        </w:rPr>
      </w:pPr>
      <w:r>
        <w:rPr>
          <w:color w:val="auto"/>
        </w:rPr>
        <w:t>100d</w:t>
      </w:r>
    </w:p>
    <w:p w14:paraId="4CFC90A4">
      <w:pPr>
        <w:pStyle w:val="711"/>
        <w:rPr>
          <w:color w:val="auto"/>
        </w:rPr>
      </w:pPr>
      <w:r>
        <w:rPr>
          <w:color w:val="auto"/>
        </w:rPr>
        <w:drawing>
          <wp:inline distT="0" distB="0" distL="0" distR="0">
            <wp:extent cx="5039995" cy="2672080"/>
            <wp:effectExtent l="0" t="0" r="8255" b="1397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1045D3C0">
      <w:pPr>
        <w:pStyle w:val="711"/>
        <w:rPr>
          <w:color w:val="auto"/>
        </w:rPr>
      </w:pPr>
      <w:r>
        <w:rPr>
          <w:rFonts w:hint="eastAsia"/>
          <w:color w:val="auto"/>
        </w:rPr>
        <w:t>1000</w:t>
      </w:r>
      <w:r>
        <w:rPr>
          <w:color w:val="auto"/>
        </w:rPr>
        <w:t>d</w:t>
      </w:r>
    </w:p>
    <w:p w14:paraId="0656DC4B">
      <w:pPr>
        <w:pStyle w:val="711"/>
        <w:rPr>
          <w:rFonts w:cs="Times New Roman"/>
          <w:color w:val="auto"/>
        </w:rPr>
      </w:pPr>
      <w:r>
        <w:rPr>
          <w:rFonts w:cs="Times New Roman"/>
          <w:color w:val="auto"/>
        </w:rPr>
        <w:drawing>
          <wp:inline distT="0" distB="0" distL="0" distR="0">
            <wp:extent cx="5029200" cy="2447925"/>
            <wp:effectExtent l="0" t="0" r="0"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40000" cy="2453182"/>
                    </a:xfrm>
                    <a:prstGeom prst="rect">
                      <a:avLst/>
                    </a:prstGeom>
                  </pic:spPr>
                </pic:pic>
              </a:graphicData>
            </a:graphic>
          </wp:inline>
        </w:drawing>
      </w:r>
    </w:p>
    <w:p w14:paraId="6103E964">
      <w:pPr>
        <w:pStyle w:val="711"/>
        <w:rPr>
          <w:rFonts w:cs="Times New Roman"/>
          <w:color w:val="auto"/>
        </w:rPr>
      </w:pPr>
      <w:r>
        <w:rPr>
          <w:rFonts w:hint="eastAsia" w:cs="Times New Roman"/>
          <w:color w:val="auto"/>
        </w:rPr>
        <w:t>3650</w:t>
      </w:r>
      <w:r>
        <w:rPr>
          <w:rFonts w:cs="Times New Roman"/>
          <w:color w:val="auto"/>
        </w:rPr>
        <w:t>d</w:t>
      </w:r>
    </w:p>
    <w:p w14:paraId="5EE24335">
      <w:pPr>
        <w:pStyle w:val="711"/>
        <w:rPr>
          <w:rFonts w:cs="Times New Roman"/>
          <w:color w:val="auto"/>
        </w:rPr>
      </w:pPr>
      <w:r>
        <w:rPr>
          <w:rFonts w:cs="Times New Roman"/>
          <w:color w:val="auto"/>
        </w:rPr>
        <w:drawing>
          <wp:inline distT="0" distB="0" distL="0" distR="0">
            <wp:extent cx="5029200" cy="25146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40000" cy="2520000"/>
                    </a:xfrm>
                    <a:prstGeom prst="rect">
                      <a:avLst/>
                    </a:prstGeom>
                  </pic:spPr>
                </pic:pic>
              </a:graphicData>
            </a:graphic>
          </wp:inline>
        </w:drawing>
      </w:r>
    </w:p>
    <w:p w14:paraId="5B016047">
      <w:pPr>
        <w:pStyle w:val="711"/>
        <w:rPr>
          <w:rFonts w:cs="Times New Roman"/>
          <w:color w:val="auto"/>
        </w:rPr>
      </w:pPr>
      <w:r>
        <w:rPr>
          <w:rFonts w:hint="eastAsia" w:cs="Times New Roman"/>
          <w:color w:val="auto"/>
        </w:rPr>
        <w:t>730</w:t>
      </w:r>
      <w:r>
        <w:rPr>
          <w:rFonts w:cs="Times New Roman"/>
          <w:color w:val="auto"/>
        </w:rPr>
        <w:t>0d</w:t>
      </w:r>
    </w:p>
    <w:p w14:paraId="4CF3B2DD">
      <w:pPr>
        <w:pStyle w:val="711"/>
        <w:rPr>
          <w:rFonts w:cs="Times New Roman"/>
          <w:color w:val="auto"/>
        </w:rPr>
      </w:pPr>
      <w:r>
        <w:rPr>
          <w:rFonts w:cs="Times New Roman"/>
          <w:color w:val="auto"/>
        </w:rPr>
        <w:drawing>
          <wp:inline distT="0" distB="0" distL="0" distR="0">
            <wp:extent cx="5031105" cy="2590800"/>
            <wp:effectExtent l="0" t="0" r="1714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40000" cy="2595364"/>
                    </a:xfrm>
                    <a:prstGeom prst="rect">
                      <a:avLst/>
                    </a:prstGeom>
                  </pic:spPr>
                </pic:pic>
              </a:graphicData>
            </a:graphic>
          </wp:inline>
        </w:drawing>
      </w:r>
    </w:p>
    <w:p w14:paraId="07651C19">
      <w:pPr>
        <w:pStyle w:val="711"/>
        <w:rPr>
          <w:rFonts w:cs="Times New Roman"/>
          <w:color w:val="auto"/>
        </w:rPr>
      </w:pPr>
      <w:r>
        <w:rPr>
          <w:rFonts w:hint="eastAsia" w:cs="Times New Roman"/>
          <w:color w:val="auto"/>
        </w:rPr>
        <w:t>10950</w:t>
      </w:r>
      <w:r>
        <w:rPr>
          <w:rFonts w:cs="Times New Roman"/>
          <w:color w:val="auto"/>
        </w:rPr>
        <w:t>d</w:t>
      </w:r>
    </w:p>
    <w:p w14:paraId="61D91D01">
      <w:pPr>
        <w:pStyle w:val="710"/>
        <w:spacing w:line="240" w:lineRule="auto"/>
        <w:rPr>
          <w:rFonts w:cs="Times New Roman"/>
          <w:color w:val="auto"/>
        </w:rPr>
      </w:pPr>
      <w:r>
        <w:rPr>
          <w:rFonts w:cs="Times New Roman"/>
          <w:color w:val="auto"/>
        </w:rPr>
        <w:t>图</w:t>
      </w:r>
      <w:r>
        <w:rPr>
          <w:rFonts w:hint="eastAsia" w:cs="Times New Roman"/>
          <w:color w:val="auto"/>
          <w:lang w:val="en-US" w:eastAsia="zh-CN"/>
        </w:rPr>
        <w:t>4.2-5</w:t>
      </w:r>
      <w:r>
        <w:rPr>
          <w:rFonts w:cs="Times New Roman"/>
          <w:color w:val="auto"/>
        </w:rPr>
        <w:t xml:space="preserve"> 非正常状况项目区COD</w:t>
      </w:r>
      <w:r>
        <w:rPr>
          <w:rFonts w:cs="Times New Roman"/>
          <w:color w:val="auto"/>
          <w:vertAlign w:val="subscript"/>
        </w:rPr>
        <w:t>Mn</w:t>
      </w:r>
      <w:r>
        <w:rPr>
          <w:rFonts w:cs="Times New Roman"/>
          <w:color w:val="auto"/>
        </w:rPr>
        <w:t>浓度迁移图mg/L</w:t>
      </w:r>
    </w:p>
    <w:p w14:paraId="182F7211">
      <w:pPr>
        <w:pStyle w:val="711"/>
        <w:rPr>
          <w:rFonts w:cs="Times New Roman"/>
          <w:color w:val="auto"/>
        </w:rPr>
      </w:pPr>
      <w:r>
        <w:rPr>
          <w:rFonts w:cs="Times New Roman"/>
          <w:color w:val="auto"/>
        </w:rPr>
        <w:drawing>
          <wp:inline distT="0" distB="0" distL="0" distR="0">
            <wp:extent cx="5039995" cy="2671445"/>
            <wp:effectExtent l="0" t="0" r="8255" b="146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6CD01AFB">
      <w:pPr>
        <w:pStyle w:val="711"/>
        <w:rPr>
          <w:rFonts w:cs="Times New Roman"/>
          <w:color w:val="auto"/>
        </w:rPr>
      </w:pPr>
      <w:r>
        <w:rPr>
          <w:rFonts w:cs="Times New Roman"/>
          <w:color w:val="auto"/>
        </w:rPr>
        <w:t>90d</w:t>
      </w:r>
    </w:p>
    <w:p w14:paraId="0C2B01EF">
      <w:pPr>
        <w:pStyle w:val="711"/>
        <w:rPr>
          <w:rFonts w:cs="Times New Roman"/>
          <w:color w:val="auto"/>
        </w:rPr>
      </w:pPr>
      <w:r>
        <w:rPr>
          <w:rFonts w:hint="eastAsia" w:cs="Times New Roman"/>
          <w:color w:val="auto"/>
        </w:rPr>
        <w:drawing>
          <wp:inline distT="0" distB="0" distL="0" distR="0">
            <wp:extent cx="5039995" cy="2671445"/>
            <wp:effectExtent l="0" t="0" r="8255" b="1460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68F5E0C6">
      <w:pPr>
        <w:pStyle w:val="711"/>
        <w:rPr>
          <w:rFonts w:cs="Times New Roman"/>
          <w:color w:val="auto"/>
        </w:rPr>
      </w:pPr>
      <w:r>
        <w:rPr>
          <w:rFonts w:hint="eastAsia" w:cs="Times New Roman"/>
          <w:color w:val="auto"/>
        </w:rPr>
        <w:t>100d</w:t>
      </w:r>
    </w:p>
    <w:p w14:paraId="4EFC40F2">
      <w:pPr>
        <w:pStyle w:val="711"/>
        <w:rPr>
          <w:rFonts w:cs="Times New Roman"/>
          <w:color w:val="auto"/>
        </w:rPr>
      </w:pPr>
      <w:r>
        <w:rPr>
          <w:rFonts w:hint="eastAsia" w:cs="Times New Roman"/>
          <w:color w:val="auto"/>
        </w:rPr>
        <w:drawing>
          <wp:inline distT="0" distB="0" distL="0" distR="0">
            <wp:extent cx="5039995" cy="2671445"/>
            <wp:effectExtent l="0" t="0" r="8255" b="1460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3BBCF98D">
      <w:pPr>
        <w:pStyle w:val="711"/>
        <w:rPr>
          <w:rFonts w:cs="Times New Roman"/>
          <w:color w:val="auto"/>
        </w:rPr>
      </w:pPr>
      <w:r>
        <w:rPr>
          <w:rFonts w:hint="eastAsia" w:cs="Times New Roman"/>
          <w:color w:val="auto"/>
        </w:rPr>
        <w:t>1000d</w:t>
      </w:r>
    </w:p>
    <w:p w14:paraId="44B4B143">
      <w:pPr>
        <w:pStyle w:val="711"/>
        <w:rPr>
          <w:rFonts w:cs="Times New Roman"/>
          <w:color w:val="auto"/>
        </w:rPr>
      </w:pPr>
      <w:r>
        <w:rPr>
          <w:rFonts w:hint="eastAsia" w:cs="Times New Roman"/>
          <w:color w:val="auto"/>
        </w:rPr>
        <w:drawing>
          <wp:inline distT="0" distB="0" distL="0" distR="0">
            <wp:extent cx="5031105" cy="2600325"/>
            <wp:effectExtent l="0" t="0" r="17145"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40000" cy="2604906"/>
                    </a:xfrm>
                    <a:prstGeom prst="rect">
                      <a:avLst/>
                    </a:prstGeom>
                  </pic:spPr>
                </pic:pic>
              </a:graphicData>
            </a:graphic>
          </wp:inline>
        </w:drawing>
      </w:r>
    </w:p>
    <w:p w14:paraId="5BBE6618">
      <w:pPr>
        <w:pStyle w:val="711"/>
        <w:rPr>
          <w:rFonts w:cs="Times New Roman"/>
          <w:color w:val="auto"/>
        </w:rPr>
      </w:pPr>
      <w:r>
        <w:rPr>
          <w:rFonts w:hint="eastAsia" w:cs="Times New Roman"/>
          <w:color w:val="auto"/>
        </w:rPr>
        <w:t>3650d</w:t>
      </w:r>
    </w:p>
    <w:p w14:paraId="325F98B0">
      <w:pPr>
        <w:pStyle w:val="711"/>
        <w:rPr>
          <w:rFonts w:cs="Times New Roman"/>
          <w:color w:val="auto"/>
        </w:rPr>
      </w:pPr>
      <w:r>
        <w:rPr>
          <w:rFonts w:hint="eastAsia" w:cs="Times New Roman"/>
          <w:color w:val="auto"/>
        </w:rPr>
        <w:drawing>
          <wp:inline distT="0" distB="0" distL="0" distR="0">
            <wp:extent cx="5029200" cy="2428875"/>
            <wp:effectExtent l="0" t="0" r="0"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40000" cy="2434091"/>
                    </a:xfrm>
                    <a:prstGeom prst="rect">
                      <a:avLst/>
                    </a:prstGeom>
                  </pic:spPr>
                </pic:pic>
              </a:graphicData>
            </a:graphic>
          </wp:inline>
        </w:drawing>
      </w:r>
    </w:p>
    <w:p w14:paraId="187155FB">
      <w:pPr>
        <w:pStyle w:val="711"/>
        <w:rPr>
          <w:rFonts w:cs="Times New Roman"/>
          <w:color w:val="auto"/>
        </w:rPr>
      </w:pPr>
      <w:r>
        <w:rPr>
          <w:rFonts w:hint="eastAsia" w:cs="Times New Roman"/>
          <w:color w:val="auto"/>
        </w:rPr>
        <w:t>7300d</w:t>
      </w:r>
    </w:p>
    <w:p w14:paraId="2354BCB4">
      <w:pPr>
        <w:pStyle w:val="710"/>
        <w:spacing w:line="240" w:lineRule="auto"/>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6</w:t>
      </w:r>
      <w:r>
        <w:rPr>
          <w:rFonts w:cs="Times New Roman"/>
          <w:color w:val="auto"/>
        </w:rPr>
        <w:t xml:space="preserve">  非正常状况项目区氨氮浓度迁移图mg/L</w:t>
      </w:r>
    </w:p>
    <w:p w14:paraId="3C973D8A">
      <w:pPr>
        <w:pStyle w:val="711"/>
        <w:rPr>
          <w:rFonts w:cs="Times New Roman"/>
          <w:color w:val="auto"/>
        </w:rPr>
      </w:pPr>
      <w:r>
        <w:rPr>
          <w:rFonts w:cs="Times New Roman"/>
          <w:color w:val="auto"/>
        </w:rPr>
        <w:drawing>
          <wp:inline distT="0" distB="0" distL="0" distR="0">
            <wp:extent cx="5029200" cy="25146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40000" cy="2520000"/>
                    </a:xfrm>
                    <a:prstGeom prst="rect">
                      <a:avLst/>
                    </a:prstGeom>
                  </pic:spPr>
                </pic:pic>
              </a:graphicData>
            </a:graphic>
          </wp:inline>
        </w:drawing>
      </w:r>
    </w:p>
    <w:p w14:paraId="1120B82B">
      <w:pPr>
        <w:pStyle w:val="711"/>
        <w:rPr>
          <w:rFonts w:cs="Times New Roman"/>
          <w:color w:val="auto"/>
        </w:rPr>
      </w:pPr>
      <w:r>
        <w:rPr>
          <w:rFonts w:cs="Times New Roman"/>
          <w:color w:val="auto"/>
        </w:rPr>
        <w:t>90d</w:t>
      </w:r>
    </w:p>
    <w:p w14:paraId="2F4605B7">
      <w:pPr>
        <w:pStyle w:val="711"/>
        <w:rPr>
          <w:rFonts w:cs="Times New Roman"/>
          <w:color w:val="auto"/>
        </w:rPr>
      </w:pPr>
      <w:r>
        <w:rPr>
          <w:rFonts w:hint="eastAsia" w:cs="Times New Roman"/>
          <w:color w:val="auto"/>
        </w:rPr>
        <w:drawing>
          <wp:inline distT="0" distB="0" distL="0" distR="0">
            <wp:extent cx="5039995" cy="2671445"/>
            <wp:effectExtent l="0" t="0" r="8255" b="1460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2C560AE2">
      <w:pPr>
        <w:pStyle w:val="711"/>
        <w:rPr>
          <w:rFonts w:cs="Times New Roman"/>
          <w:color w:val="auto"/>
        </w:rPr>
      </w:pPr>
      <w:r>
        <w:rPr>
          <w:rFonts w:hint="eastAsia" w:cs="Times New Roman"/>
          <w:color w:val="auto"/>
        </w:rPr>
        <w:t>100d</w:t>
      </w:r>
    </w:p>
    <w:p w14:paraId="7BEC4BED">
      <w:pPr>
        <w:pStyle w:val="711"/>
        <w:rPr>
          <w:rFonts w:cs="Times New Roman"/>
          <w:color w:val="auto"/>
        </w:rPr>
      </w:pPr>
      <w:r>
        <w:rPr>
          <w:rFonts w:hint="eastAsia" w:cs="Times New Roman"/>
          <w:color w:val="auto"/>
        </w:rPr>
        <w:drawing>
          <wp:inline distT="0" distB="0" distL="0" distR="0">
            <wp:extent cx="5039995" cy="2671445"/>
            <wp:effectExtent l="0" t="0" r="8255" b="146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3329BC68">
      <w:pPr>
        <w:pStyle w:val="711"/>
        <w:rPr>
          <w:rFonts w:cs="Times New Roman"/>
          <w:color w:val="auto"/>
        </w:rPr>
      </w:pPr>
      <w:r>
        <w:rPr>
          <w:rFonts w:hint="eastAsia" w:cs="Times New Roman"/>
          <w:color w:val="auto"/>
        </w:rPr>
        <w:t>1000d</w:t>
      </w:r>
    </w:p>
    <w:p w14:paraId="632DBE9E">
      <w:pPr>
        <w:pStyle w:val="711"/>
        <w:rPr>
          <w:rFonts w:cs="Times New Roman"/>
          <w:color w:val="auto"/>
        </w:rPr>
      </w:pPr>
      <w:r>
        <w:rPr>
          <w:rFonts w:hint="eastAsia" w:cs="Times New Roman"/>
          <w:color w:val="auto"/>
        </w:rPr>
        <w:drawing>
          <wp:inline distT="0" distB="0" distL="0" distR="0">
            <wp:extent cx="5039995" cy="2671445"/>
            <wp:effectExtent l="0" t="0" r="8255" b="146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6CF68F42">
      <w:pPr>
        <w:pStyle w:val="711"/>
        <w:rPr>
          <w:rFonts w:cs="Times New Roman"/>
          <w:color w:val="auto"/>
        </w:rPr>
      </w:pPr>
      <w:r>
        <w:rPr>
          <w:rFonts w:hint="eastAsia" w:cs="Times New Roman"/>
          <w:color w:val="auto"/>
        </w:rPr>
        <w:t>3650d</w:t>
      </w:r>
    </w:p>
    <w:p w14:paraId="49E2CB57">
      <w:pPr>
        <w:pStyle w:val="711"/>
        <w:rPr>
          <w:rFonts w:cs="Times New Roman"/>
          <w:color w:val="auto"/>
        </w:rPr>
      </w:pPr>
      <w:r>
        <w:rPr>
          <w:rFonts w:hint="eastAsia" w:cs="Times New Roman"/>
          <w:color w:val="auto"/>
        </w:rPr>
        <w:drawing>
          <wp:inline distT="0" distB="0" distL="0" distR="0">
            <wp:extent cx="5029200" cy="2543175"/>
            <wp:effectExtent l="0" t="0" r="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40000" cy="2548636"/>
                    </a:xfrm>
                    <a:prstGeom prst="rect">
                      <a:avLst/>
                    </a:prstGeom>
                  </pic:spPr>
                </pic:pic>
              </a:graphicData>
            </a:graphic>
          </wp:inline>
        </w:drawing>
      </w:r>
    </w:p>
    <w:p w14:paraId="1C9FA5E5">
      <w:pPr>
        <w:pStyle w:val="711"/>
        <w:rPr>
          <w:rFonts w:cs="Times New Roman"/>
          <w:color w:val="auto"/>
        </w:rPr>
      </w:pPr>
      <w:r>
        <w:rPr>
          <w:rFonts w:hint="eastAsia" w:cs="Times New Roman"/>
          <w:color w:val="auto"/>
        </w:rPr>
        <w:t>7300d</w:t>
      </w:r>
    </w:p>
    <w:p w14:paraId="3E683FA2">
      <w:pPr>
        <w:pStyle w:val="710"/>
        <w:spacing w:line="240" w:lineRule="auto"/>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rPr>
        <w:t>6</w:t>
      </w:r>
      <w:r>
        <w:rPr>
          <w:rFonts w:cs="Times New Roman"/>
          <w:color w:val="auto"/>
        </w:rPr>
        <w:t xml:space="preserve">  非正常状况项目区</w:t>
      </w:r>
      <w:r>
        <w:rPr>
          <w:rFonts w:hint="eastAsia" w:cs="Times New Roman"/>
          <w:color w:val="auto"/>
        </w:rPr>
        <w:t>总磷</w:t>
      </w:r>
      <w:r>
        <w:rPr>
          <w:rFonts w:cs="Times New Roman"/>
          <w:color w:val="auto"/>
        </w:rPr>
        <w:t>浓度迁移图mg/L</w:t>
      </w:r>
    </w:p>
    <w:p w14:paraId="360E27D5">
      <w:pPr>
        <w:pStyle w:val="711"/>
        <w:rPr>
          <w:rFonts w:cs="Times New Roman"/>
          <w:color w:val="auto"/>
        </w:rPr>
      </w:pPr>
      <w:r>
        <w:rPr>
          <w:rFonts w:hint="eastAsia" w:cs="Times New Roman"/>
          <w:color w:val="auto"/>
        </w:rPr>
        <w:drawing>
          <wp:inline distT="0" distB="0" distL="0" distR="0">
            <wp:extent cx="5029200" cy="243840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40000" cy="2443636"/>
                    </a:xfrm>
                    <a:prstGeom prst="rect">
                      <a:avLst/>
                    </a:prstGeom>
                  </pic:spPr>
                </pic:pic>
              </a:graphicData>
            </a:graphic>
          </wp:inline>
        </w:drawing>
      </w:r>
    </w:p>
    <w:p w14:paraId="581AEAF9">
      <w:pPr>
        <w:pStyle w:val="711"/>
        <w:rPr>
          <w:rFonts w:cs="Times New Roman"/>
          <w:color w:val="auto"/>
        </w:rPr>
      </w:pPr>
      <w:r>
        <w:rPr>
          <w:rFonts w:cs="Times New Roman"/>
          <w:color w:val="auto"/>
        </w:rPr>
        <w:t>90d</w:t>
      </w:r>
    </w:p>
    <w:p w14:paraId="1BB52F12">
      <w:pPr>
        <w:pStyle w:val="711"/>
        <w:rPr>
          <w:rFonts w:cs="Times New Roman"/>
          <w:color w:val="auto"/>
        </w:rPr>
      </w:pPr>
      <w:r>
        <w:rPr>
          <w:rFonts w:hint="eastAsia" w:cs="Times New Roman"/>
          <w:color w:val="auto"/>
        </w:rPr>
        <w:drawing>
          <wp:inline distT="0" distB="0" distL="0" distR="0">
            <wp:extent cx="5031105" cy="2590800"/>
            <wp:effectExtent l="0" t="0" r="17145"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40000" cy="2595364"/>
                    </a:xfrm>
                    <a:prstGeom prst="rect">
                      <a:avLst/>
                    </a:prstGeom>
                  </pic:spPr>
                </pic:pic>
              </a:graphicData>
            </a:graphic>
          </wp:inline>
        </w:drawing>
      </w:r>
    </w:p>
    <w:p w14:paraId="10DB8C80">
      <w:pPr>
        <w:pStyle w:val="711"/>
        <w:rPr>
          <w:rFonts w:cs="Times New Roman"/>
          <w:color w:val="auto"/>
        </w:rPr>
      </w:pPr>
      <w:r>
        <w:rPr>
          <w:rFonts w:hint="eastAsia" w:cs="Times New Roman"/>
          <w:color w:val="auto"/>
        </w:rPr>
        <w:t>100d</w:t>
      </w:r>
    </w:p>
    <w:p w14:paraId="51A9BE80">
      <w:pPr>
        <w:pStyle w:val="711"/>
        <w:rPr>
          <w:rFonts w:cs="Times New Roman"/>
          <w:color w:val="auto"/>
        </w:rPr>
      </w:pPr>
      <w:r>
        <w:rPr>
          <w:rFonts w:hint="eastAsia" w:cs="Times New Roman"/>
          <w:color w:val="auto"/>
        </w:rPr>
        <w:drawing>
          <wp:inline distT="0" distB="0" distL="0" distR="0">
            <wp:extent cx="5039995" cy="2671445"/>
            <wp:effectExtent l="0" t="0" r="8255" b="14605"/>
            <wp:docPr id="1822093664" name="图片 182209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93664" name="图片 182209366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77FE1095">
      <w:pPr>
        <w:pStyle w:val="711"/>
        <w:rPr>
          <w:rFonts w:cs="Times New Roman"/>
          <w:color w:val="auto"/>
        </w:rPr>
      </w:pPr>
      <w:r>
        <w:rPr>
          <w:rFonts w:hint="eastAsia" w:cs="Times New Roman"/>
          <w:color w:val="auto"/>
        </w:rPr>
        <w:t>1000d</w:t>
      </w:r>
    </w:p>
    <w:p w14:paraId="68CF2D65">
      <w:pPr>
        <w:pStyle w:val="711"/>
        <w:rPr>
          <w:rFonts w:cs="Times New Roman"/>
          <w:color w:val="auto"/>
        </w:rPr>
      </w:pPr>
      <w:r>
        <w:rPr>
          <w:rFonts w:hint="eastAsia" w:cs="Times New Roman"/>
          <w:color w:val="auto"/>
        </w:rPr>
        <w:drawing>
          <wp:inline distT="0" distB="0" distL="0" distR="0">
            <wp:extent cx="5039995" cy="2671445"/>
            <wp:effectExtent l="0" t="0" r="8255" b="14605"/>
            <wp:docPr id="1822093665" name="图片 182209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93665" name="图片 1822093665"/>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6F0D72E6">
      <w:pPr>
        <w:pStyle w:val="711"/>
        <w:rPr>
          <w:rFonts w:cs="Times New Roman"/>
          <w:color w:val="auto"/>
        </w:rPr>
      </w:pPr>
      <w:r>
        <w:rPr>
          <w:rFonts w:hint="eastAsia" w:cs="Times New Roman"/>
          <w:color w:val="auto"/>
        </w:rPr>
        <w:t>3650d</w:t>
      </w:r>
    </w:p>
    <w:p w14:paraId="5834F6D1">
      <w:pPr>
        <w:pStyle w:val="710"/>
        <w:spacing w:line="240" w:lineRule="auto"/>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7</w:t>
      </w:r>
      <w:r>
        <w:rPr>
          <w:rFonts w:cs="Times New Roman"/>
          <w:color w:val="auto"/>
        </w:rPr>
        <w:t xml:space="preserve">  非正常状况项目区</w:t>
      </w:r>
      <w:r>
        <w:rPr>
          <w:rFonts w:hint="eastAsia" w:cs="Times New Roman"/>
          <w:color w:val="auto"/>
        </w:rPr>
        <w:t>苯</w:t>
      </w:r>
      <w:r>
        <w:rPr>
          <w:rFonts w:cs="Times New Roman"/>
          <w:color w:val="auto"/>
        </w:rPr>
        <w:t>浓度迁移图mg/L</w:t>
      </w:r>
    </w:p>
    <w:p w14:paraId="5EBA61A7">
      <w:pPr>
        <w:keepNext w:val="0"/>
        <w:keepLines w:val="0"/>
        <w:pageBreakBefore w:val="0"/>
        <w:widowControl w:val="0"/>
        <w:kinsoku/>
        <w:wordWrap/>
        <w:overflowPunct/>
        <w:topLinePunct w:val="0"/>
        <w:autoSpaceDE/>
        <w:autoSpaceDN/>
        <w:bidi w:val="0"/>
        <w:adjustRightInd/>
        <w:snapToGrid/>
        <w:spacing w:before="157" w:beforeLines="50"/>
        <w:textAlignment w:val="auto"/>
        <w:rPr>
          <w:rFonts w:cs="Times New Roman"/>
          <w:color w:val="auto"/>
        </w:rPr>
      </w:pPr>
      <w:r>
        <w:rPr>
          <w:color w:val="auto"/>
        </w:rPr>
        <w:t>本项目区地下水主径流方向为由北</w:t>
      </w:r>
      <w:r>
        <w:rPr>
          <w:rFonts w:hint="eastAsia"/>
          <w:color w:val="auto"/>
        </w:rPr>
        <w:t>东</w:t>
      </w:r>
      <w:r>
        <w:rPr>
          <w:color w:val="auto"/>
        </w:rPr>
        <w:t>向南</w:t>
      </w:r>
      <w:r>
        <w:rPr>
          <w:rFonts w:hint="eastAsia"/>
          <w:color w:val="auto"/>
        </w:rPr>
        <w:t>西</w:t>
      </w:r>
      <w:r>
        <w:rPr>
          <w:color w:val="auto"/>
        </w:rPr>
        <w:t>，本项目污染源</w:t>
      </w:r>
      <w:r>
        <w:rPr>
          <w:rFonts w:hint="eastAsia"/>
          <w:color w:val="auto"/>
        </w:rPr>
        <w:t>相对</w:t>
      </w:r>
      <w:r>
        <w:rPr>
          <w:color w:val="auto"/>
        </w:rPr>
        <w:t>简单，根据源强分析及预测分析结果，污水处理站在非正常工况下，污染羽受控于水文地质条件向南</w:t>
      </w:r>
      <w:r>
        <w:rPr>
          <w:rFonts w:hint="eastAsia"/>
          <w:color w:val="auto"/>
        </w:rPr>
        <w:t>西</w:t>
      </w:r>
      <w:r>
        <w:rPr>
          <w:color w:val="auto"/>
        </w:rPr>
        <w:t>向迁移</w:t>
      </w:r>
      <w:r>
        <w:rPr>
          <w:rFonts w:hint="eastAsia"/>
          <w:color w:val="auto"/>
        </w:rPr>
        <w:t>扩散</w:t>
      </w:r>
      <w:r>
        <w:rPr>
          <w:color w:val="auto"/>
        </w:rPr>
        <w:t>。</w:t>
      </w:r>
      <w:r>
        <w:rPr>
          <w:rFonts w:cs="Times New Roman"/>
          <w:color w:val="auto"/>
        </w:rPr>
        <w:t>因此本次模拟，针对COD</w:t>
      </w:r>
      <w:r>
        <w:rPr>
          <w:rFonts w:cs="Times New Roman"/>
          <w:color w:val="auto"/>
          <w:vertAlign w:val="subscript"/>
        </w:rPr>
        <w:t>Mn</w:t>
      </w:r>
      <w:r>
        <w:rPr>
          <w:rFonts w:cs="Times New Roman"/>
          <w:color w:val="auto"/>
        </w:rPr>
        <w:t>、氨氮</w:t>
      </w:r>
      <w:r>
        <w:rPr>
          <w:rFonts w:hint="eastAsia" w:cs="Times New Roman"/>
          <w:color w:val="auto"/>
        </w:rPr>
        <w:t>、总磷、苯、甲醛及石油类</w:t>
      </w:r>
      <w:r>
        <w:rPr>
          <w:rFonts w:cs="Times New Roman"/>
          <w:color w:val="auto"/>
        </w:rPr>
        <w:t>主要在厂区泄漏点、厂区边界、厂区</w:t>
      </w:r>
      <w:r>
        <w:rPr>
          <w:rFonts w:hint="eastAsia" w:cs="Times New Roman"/>
          <w:color w:val="auto"/>
        </w:rPr>
        <w:t>南西</w:t>
      </w:r>
      <w:r>
        <w:rPr>
          <w:rFonts w:cs="Times New Roman"/>
          <w:color w:val="auto"/>
        </w:rPr>
        <w:t>下游约</w:t>
      </w:r>
      <w:r>
        <w:rPr>
          <w:rFonts w:hint="eastAsia" w:cs="Times New Roman"/>
          <w:color w:val="auto"/>
        </w:rPr>
        <w:t>8</w:t>
      </w:r>
      <w:r>
        <w:rPr>
          <w:rFonts w:cs="Times New Roman"/>
          <w:color w:val="auto"/>
        </w:rPr>
        <w:t>0m</w:t>
      </w:r>
      <w:r>
        <w:rPr>
          <w:rFonts w:hint="eastAsia" w:cs="Times New Roman"/>
          <w:color w:val="auto"/>
        </w:rPr>
        <w:t>河边</w:t>
      </w:r>
      <w:r>
        <w:rPr>
          <w:rFonts w:cs="Times New Roman"/>
          <w:color w:val="auto"/>
        </w:rPr>
        <w:t>位置对污染物贡献值进行观测。</w:t>
      </w:r>
    </w:p>
    <w:p w14:paraId="38D8570F">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vertAlign w:val="subscript"/>
        </w:rPr>
      </w:pPr>
      <w:r>
        <w:rPr>
          <w:rFonts w:hint="default" w:ascii="Times New Roman" w:hAnsi="Times New Roman" w:cs="Times New Roman"/>
          <w:color w:val="auto"/>
        </w:rPr>
        <w:t>非正常状况下，项目厂区污染物COD</w:t>
      </w:r>
      <w:r>
        <w:rPr>
          <w:rFonts w:hint="default" w:ascii="Times New Roman" w:hAnsi="Times New Roman" w:cs="Times New Roman"/>
          <w:color w:val="auto"/>
          <w:vertAlign w:val="subscript"/>
        </w:rPr>
        <w:t>Mn</w:t>
      </w:r>
      <w:r>
        <w:rPr>
          <w:rFonts w:hint="default" w:ascii="Times New Roman" w:hAnsi="Times New Roman" w:cs="Times New Roman"/>
          <w:color w:val="auto"/>
        </w:rPr>
        <w:t>、氨氮、总磷、苯、甲醛及石油类在非正常状况发生后90d，泄漏点下方含水层中达到峰值91.75mg/L、39.32mg/L、3.145mg/L、0.070mg/L、0.781mg/L、0.781mg/L；厂区边界处，六种污染物在非正常状况发生后730d达到最大贡献值，分别为28.83mg/L、12.35mg/L、0.982mg/L、0.021 mg/L、0.242 mg/L、0.242mg/L；厂区南西下游约80m河边，六种污染物在非正常状况发生后2000d达到最大贡献值，分别为4.850 mg/L、2.077 mg/L、0.165 mg/L、0.004 mg/L、0.041 mg/L、0.041mg/L。</w:t>
      </w:r>
    </w:p>
    <w:p w14:paraId="5E909BEF">
      <w:pPr>
        <w:pStyle w:val="15"/>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非正常状况下项目评价区各污染物最大贡献值（单位：mg/L）</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7"/>
        <w:gridCol w:w="1099"/>
        <w:gridCol w:w="1099"/>
        <w:gridCol w:w="1099"/>
        <w:gridCol w:w="1100"/>
        <w:gridCol w:w="1100"/>
        <w:gridCol w:w="1102"/>
      </w:tblGrid>
      <w:tr w14:paraId="34F4D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6CBB1695">
            <w:pPr>
              <w:pStyle w:val="711"/>
              <w:rPr>
                <w:rFonts w:cs="Times New Roman"/>
                <w:b/>
                <w:bCs/>
                <w:color w:val="auto"/>
              </w:rPr>
            </w:pPr>
            <w:r>
              <w:rPr>
                <w:rFonts w:cs="Times New Roman"/>
                <w:b/>
                <w:bCs/>
                <w:color w:val="auto"/>
              </w:rPr>
              <w:t>污染物名称</w:t>
            </w:r>
          </w:p>
        </w:tc>
        <w:tc>
          <w:tcPr>
            <w:tcW w:w="614" w:type="pct"/>
            <w:tcBorders>
              <w:tl2br w:val="nil"/>
              <w:tr2bl w:val="nil"/>
            </w:tcBorders>
            <w:shd w:val="clear" w:color="auto" w:fill="auto"/>
            <w:vAlign w:val="center"/>
          </w:tcPr>
          <w:p w14:paraId="605E4E82">
            <w:pPr>
              <w:pStyle w:val="711"/>
              <w:rPr>
                <w:rFonts w:cs="Times New Roman"/>
                <w:b/>
                <w:bCs/>
                <w:color w:val="auto"/>
              </w:rPr>
            </w:pPr>
            <w:r>
              <w:rPr>
                <w:rFonts w:cs="Times New Roman"/>
                <w:b/>
                <w:bCs/>
                <w:color w:val="auto"/>
              </w:rPr>
              <w:t>COD</w:t>
            </w:r>
            <w:r>
              <w:rPr>
                <w:rFonts w:cs="Times New Roman"/>
                <w:b/>
                <w:bCs/>
                <w:color w:val="auto"/>
                <w:vertAlign w:val="subscript"/>
              </w:rPr>
              <w:t>Mn</w:t>
            </w:r>
          </w:p>
        </w:tc>
        <w:tc>
          <w:tcPr>
            <w:tcW w:w="614" w:type="pct"/>
            <w:tcBorders>
              <w:tl2br w:val="nil"/>
              <w:tr2bl w:val="nil"/>
            </w:tcBorders>
            <w:vAlign w:val="center"/>
          </w:tcPr>
          <w:p w14:paraId="1CF6BF26">
            <w:pPr>
              <w:pStyle w:val="711"/>
              <w:rPr>
                <w:rFonts w:cs="Times New Roman"/>
                <w:b/>
                <w:bCs/>
                <w:color w:val="auto"/>
              </w:rPr>
            </w:pPr>
            <w:r>
              <w:rPr>
                <w:rFonts w:cs="Times New Roman"/>
                <w:b/>
                <w:bCs/>
                <w:color w:val="auto"/>
              </w:rPr>
              <w:t>氨氮</w:t>
            </w:r>
          </w:p>
        </w:tc>
        <w:tc>
          <w:tcPr>
            <w:tcW w:w="614" w:type="pct"/>
            <w:tcBorders>
              <w:tl2br w:val="nil"/>
              <w:tr2bl w:val="nil"/>
            </w:tcBorders>
            <w:vAlign w:val="center"/>
          </w:tcPr>
          <w:p w14:paraId="410FDA30">
            <w:pPr>
              <w:pStyle w:val="711"/>
              <w:rPr>
                <w:rFonts w:cs="Times New Roman"/>
                <w:b/>
                <w:bCs/>
                <w:color w:val="auto"/>
              </w:rPr>
            </w:pPr>
            <w:r>
              <w:rPr>
                <w:rFonts w:hint="eastAsia" w:cs="Times New Roman"/>
                <w:b/>
                <w:bCs/>
                <w:color w:val="auto"/>
              </w:rPr>
              <w:t>总磷</w:t>
            </w:r>
          </w:p>
        </w:tc>
        <w:tc>
          <w:tcPr>
            <w:tcW w:w="614" w:type="pct"/>
            <w:tcBorders>
              <w:tl2br w:val="nil"/>
              <w:tr2bl w:val="nil"/>
            </w:tcBorders>
            <w:vAlign w:val="center"/>
          </w:tcPr>
          <w:p w14:paraId="183244EC">
            <w:pPr>
              <w:pStyle w:val="711"/>
              <w:rPr>
                <w:rFonts w:cs="Times New Roman"/>
                <w:b/>
                <w:bCs/>
                <w:color w:val="auto"/>
              </w:rPr>
            </w:pPr>
            <w:r>
              <w:rPr>
                <w:rFonts w:hint="eastAsia"/>
                <w:b/>
                <w:bCs/>
                <w:color w:val="auto"/>
              </w:rPr>
              <w:t>苯</w:t>
            </w:r>
          </w:p>
        </w:tc>
        <w:tc>
          <w:tcPr>
            <w:tcW w:w="614" w:type="pct"/>
            <w:tcBorders>
              <w:tl2br w:val="nil"/>
              <w:tr2bl w:val="nil"/>
            </w:tcBorders>
            <w:vAlign w:val="center"/>
          </w:tcPr>
          <w:p w14:paraId="5B8AD146">
            <w:pPr>
              <w:pStyle w:val="711"/>
              <w:rPr>
                <w:rFonts w:cs="Times New Roman"/>
                <w:b/>
                <w:bCs/>
                <w:color w:val="auto"/>
              </w:rPr>
            </w:pPr>
            <w:r>
              <w:rPr>
                <w:rFonts w:hint="eastAsia"/>
                <w:b/>
                <w:bCs/>
                <w:color w:val="auto"/>
              </w:rPr>
              <w:t>甲醛</w:t>
            </w:r>
          </w:p>
        </w:tc>
        <w:tc>
          <w:tcPr>
            <w:tcW w:w="615" w:type="pct"/>
            <w:tcBorders>
              <w:tl2br w:val="nil"/>
              <w:tr2bl w:val="nil"/>
            </w:tcBorders>
            <w:vAlign w:val="center"/>
          </w:tcPr>
          <w:p w14:paraId="778B4577">
            <w:pPr>
              <w:pStyle w:val="711"/>
              <w:rPr>
                <w:rFonts w:cs="Times New Roman"/>
                <w:b/>
                <w:bCs/>
                <w:color w:val="auto"/>
              </w:rPr>
            </w:pPr>
            <w:r>
              <w:rPr>
                <w:rFonts w:hint="eastAsia"/>
                <w:b/>
                <w:bCs/>
                <w:color w:val="auto"/>
              </w:rPr>
              <w:t>石油类</w:t>
            </w:r>
          </w:p>
        </w:tc>
      </w:tr>
      <w:tr w14:paraId="113AC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3075B674">
            <w:pPr>
              <w:pStyle w:val="711"/>
              <w:rPr>
                <w:rFonts w:cs="Times New Roman"/>
                <w:color w:val="auto"/>
              </w:rPr>
            </w:pPr>
            <w:r>
              <w:rPr>
                <w:rFonts w:cs="Times New Roman"/>
                <w:color w:val="auto"/>
              </w:rPr>
              <w:t>评价区范围最大贡献值（mg/L）</w:t>
            </w:r>
          </w:p>
        </w:tc>
        <w:tc>
          <w:tcPr>
            <w:tcW w:w="614" w:type="pct"/>
            <w:tcBorders>
              <w:tl2br w:val="nil"/>
              <w:tr2bl w:val="nil"/>
            </w:tcBorders>
            <w:shd w:val="clear" w:color="auto" w:fill="auto"/>
            <w:vAlign w:val="center"/>
          </w:tcPr>
          <w:p w14:paraId="2EE53BEF">
            <w:pPr>
              <w:pStyle w:val="711"/>
              <w:rPr>
                <w:color w:val="auto"/>
              </w:rPr>
            </w:pPr>
            <w:r>
              <w:rPr>
                <w:color w:val="auto"/>
              </w:rPr>
              <w:t>91.75</w:t>
            </w:r>
          </w:p>
        </w:tc>
        <w:tc>
          <w:tcPr>
            <w:tcW w:w="614" w:type="pct"/>
            <w:tcBorders>
              <w:tl2br w:val="nil"/>
              <w:tr2bl w:val="nil"/>
            </w:tcBorders>
            <w:vAlign w:val="center"/>
          </w:tcPr>
          <w:p w14:paraId="2B3917B7">
            <w:pPr>
              <w:pStyle w:val="711"/>
              <w:rPr>
                <w:color w:val="auto"/>
              </w:rPr>
            </w:pPr>
            <w:r>
              <w:rPr>
                <w:color w:val="auto"/>
              </w:rPr>
              <w:t>39.32</w:t>
            </w:r>
          </w:p>
        </w:tc>
        <w:tc>
          <w:tcPr>
            <w:tcW w:w="614" w:type="pct"/>
            <w:tcBorders>
              <w:tl2br w:val="nil"/>
              <w:tr2bl w:val="nil"/>
            </w:tcBorders>
            <w:vAlign w:val="center"/>
          </w:tcPr>
          <w:p w14:paraId="484FA3CB">
            <w:pPr>
              <w:pStyle w:val="711"/>
              <w:rPr>
                <w:color w:val="auto"/>
              </w:rPr>
            </w:pPr>
            <w:r>
              <w:rPr>
                <w:color w:val="auto"/>
              </w:rPr>
              <w:t>3.145</w:t>
            </w:r>
          </w:p>
        </w:tc>
        <w:tc>
          <w:tcPr>
            <w:tcW w:w="614" w:type="pct"/>
            <w:tcBorders>
              <w:tl2br w:val="nil"/>
              <w:tr2bl w:val="nil"/>
            </w:tcBorders>
            <w:vAlign w:val="center"/>
          </w:tcPr>
          <w:p w14:paraId="324B7432">
            <w:pPr>
              <w:pStyle w:val="711"/>
              <w:rPr>
                <w:color w:val="auto"/>
              </w:rPr>
            </w:pPr>
            <w:r>
              <w:rPr>
                <w:color w:val="auto"/>
              </w:rPr>
              <w:t>0.070</w:t>
            </w:r>
          </w:p>
        </w:tc>
        <w:tc>
          <w:tcPr>
            <w:tcW w:w="614" w:type="pct"/>
            <w:tcBorders>
              <w:tl2br w:val="nil"/>
              <w:tr2bl w:val="nil"/>
            </w:tcBorders>
            <w:vAlign w:val="center"/>
          </w:tcPr>
          <w:p w14:paraId="13B566A7">
            <w:pPr>
              <w:pStyle w:val="711"/>
              <w:rPr>
                <w:color w:val="auto"/>
              </w:rPr>
            </w:pPr>
            <w:r>
              <w:rPr>
                <w:color w:val="auto"/>
              </w:rPr>
              <w:t>0.781</w:t>
            </w:r>
          </w:p>
        </w:tc>
        <w:tc>
          <w:tcPr>
            <w:tcW w:w="615" w:type="pct"/>
            <w:tcBorders>
              <w:tl2br w:val="nil"/>
              <w:tr2bl w:val="nil"/>
            </w:tcBorders>
            <w:vAlign w:val="center"/>
          </w:tcPr>
          <w:p w14:paraId="312FC8E5">
            <w:pPr>
              <w:pStyle w:val="711"/>
              <w:rPr>
                <w:color w:val="auto"/>
              </w:rPr>
            </w:pPr>
            <w:r>
              <w:rPr>
                <w:color w:val="auto"/>
              </w:rPr>
              <w:t>0.781</w:t>
            </w:r>
          </w:p>
        </w:tc>
      </w:tr>
      <w:tr w14:paraId="70D6D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167725D6">
            <w:pPr>
              <w:pStyle w:val="711"/>
              <w:rPr>
                <w:rFonts w:cs="Times New Roman"/>
                <w:color w:val="auto"/>
              </w:rPr>
            </w:pPr>
            <w:r>
              <w:rPr>
                <w:rFonts w:cs="Times New Roman"/>
                <w:color w:val="auto"/>
              </w:rPr>
              <w:t>评价区边界最大贡献值（mg/L）</w:t>
            </w:r>
          </w:p>
        </w:tc>
        <w:tc>
          <w:tcPr>
            <w:tcW w:w="614" w:type="pct"/>
            <w:tcBorders>
              <w:tl2br w:val="nil"/>
              <w:tr2bl w:val="nil"/>
            </w:tcBorders>
            <w:shd w:val="clear" w:color="auto" w:fill="auto"/>
            <w:vAlign w:val="center"/>
          </w:tcPr>
          <w:p w14:paraId="73F32E59">
            <w:pPr>
              <w:pStyle w:val="711"/>
              <w:rPr>
                <w:color w:val="auto"/>
              </w:rPr>
            </w:pPr>
            <w:r>
              <w:rPr>
                <w:color w:val="auto"/>
              </w:rPr>
              <w:t>28.83</w:t>
            </w:r>
          </w:p>
        </w:tc>
        <w:tc>
          <w:tcPr>
            <w:tcW w:w="614" w:type="pct"/>
            <w:tcBorders>
              <w:tl2br w:val="nil"/>
              <w:tr2bl w:val="nil"/>
            </w:tcBorders>
            <w:vAlign w:val="center"/>
          </w:tcPr>
          <w:p w14:paraId="53460198">
            <w:pPr>
              <w:pStyle w:val="711"/>
              <w:rPr>
                <w:color w:val="auto"/>
              </w:rPr>
            </w:pPr>
            <w:r>
              <w:rPr>
                <w:color w:val="auto"/>
              </w:rPr>
              <w:t>12.35</w:t>
            </w:r>
          </w:p>
        </w:tc>
        <w:tc>
          <w:tcPr>
            <w:tcW w:w="614" w:type="pct"/>
            <w:tcBorders>
              <w:tl2br w:val="nil"/>
              <w:tr2bl w:val="nil"/>
            </w:tcBorders>
            <w:vAlign w:val="center"/>
          </w:tcPr>
          <w:p w14:paraId="3FB80866">
            <w:pPr>
              <w:pStyle w:val="711"/>
              <w:rPr>
                <w:color w:val="auto"/>
              </w:rPr>
            </w:pPr>
            <w:r>
              <w:rPr>
                <w:color w:val="auto"/>
              </w:rPr>
              <w:t>0.982</w:t>
            </w:r>
          </w:p>
        </w:tc>
        <w:tc>
          <w:tcPr>
            <w:tcW w:w="614" w:type="pct"/>
            <w:tcBorders>
              <w:tl2br w:val="nil"/>
              <w:tr2bl w:val="nil"/>
            </w:tcBorders>
            <w:vAlign w:val="center"/>
          </w:tcPr>
          <w:p w14:paraId="12270547">
            <w:pPr>
              <w:pStyle w:val="711"/>
              <w:rPr>
                <w:color w:val="auto"/>
              </w:rPr>
            </w:pPr>
            <w:r>
              <w:rPr>
                <w:color w:val="auto"/>
              </w:rPr>
              <w:t>0.021</w:t>
            </w:r>
          </w:p>
        </w:tc>
        <w:tc>
          <w:tcPr>
            <w:tcW w:w="614" w:type="pct"/>
            <w:tcBorders>
              <w:tl2br w:val="nil"/>
              <w:tr2bl w:val="nil"/>
            </w:tcBorders>
            <w:vAlign w:val="center"/>
          </w:tcPr>
          <w:p w14:paraId="7E022E8F">
            <w:pPr>
              <w:pStyle w:val="711"/>
              <w:rPr>
                <w:color w:val="auto"/>
              </w:rPr>
            </w:pPr>
            <w:r>
              <w:rPr>
                <w:color w:val="auto"/>
              </w:rPr>
              <w:t>0.242</w:t>
            </w:r>
          </w:p>
        </w:tc>
        <w:tc>
          <w:tcPr>
            <w:tcW w:w="615" w:type="pct"/>
            <w:tcBorders>
              <w:tl2br w:val="nil"/>
              <w:tr2bl w:val="nil"/>
            </w:tcBorders>
            <w:vAlign w:val="center"/>
          </w:tcPr>
          <w:p w14:paraId="34C125E0">
            <w:pPr>
              <w:pStyle w:val="711"/>
              <w:rPr>
                <w:color w:val="auto"/>
              </w:rPr>
            </w:pPr>
            <w:r>
              <w:rPr>
                <w:color w:val="auto"/>
              </w:rPr>
              <w:t>0.242</w:t>
            </w:r>
          </w:p>
        </w:tc>
      </w:tr>
      <w:tr w14:paraId="0E207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7D9CFDB8">
            <w:pPr>
              <w:pStyle w:val="711"/>
              <w:rPr>
                <w:rFonts w:cs="Times New Roman"/>
                <w:color w:val="auto"/>
              </w:rPr>
            </w:pPr>
            <w:r>
              <w:rPr>
                <w:rFonts w:cs="Times New Roman"/>
                <w:color w:val="auto"/>
              </w:rPr>
              <w:t>背景值（mg/L）</w:t>
            </w:r>
          </w:p>
        </w:tc>
        <w:tc>
          <w:tcPr>
            <w:tcW w:w="614" w:type="pct"/>
            <w:tcBorders>
              <w:tl2br w:val="nil"/>
              <w:tr2bl w:val="nil"/>
            </w:tcBorders>
            <w:shd w:val="clear" w:color="auto" w:fill="auto"/>
            <w:vAlign w:val="center"/>
          </w:tcPr>
          <w:p w14:paraId="0ABE70F6">
            <w:pPr>
              <w:pStyle w:val="711"/>
              <w:rPr>
                <w:rFonts w:cs="Times New Roman"/>
                <w:color w:val="auto"/>
              </w:rPr>
            </w:pPr>
            <w:r>
              <w:rPr>
                <w:rFonts w:hint="eastAsia" w:cs="Times New Roman"/>
                <w:color w:val="auto"/>
              </w:rPr>
              <w:t>1.479</w:t>
            </w:r>
          </w:p>
        </w:tc>
        <w:tc>
          <w:tcPr>
            <w:tcW w:w="614" w:type="pct"/>
            <w:tcBorders>
              <w:tl2br w:val="nil"/>
              <w:tr2bl w:val="nil"/>
            </w:tcBorders>
            <w:vAlign w:val="center"/>
          </w:tcPr>
          <w:p w14:paraId="47003D3F">
            <w:pPr>
              <w:pStyle w:val="711"/>
              <w:rPr>
                <w:rFonts w:cs="Times New Roman"/>
                <w:color w:val="auto"/>
              </w:rPr>
            </w:pPr>
            <w:r>
              <w:rPr>
                <w:rFonts w:hint="eastAsia" w:cs="Times New Roman"/>
                <w:color w:val="auto"/>
              </w:rPr>
              <w:t>0.250</w:t>
            </w:r>
          </w:p>
        </w:tc>
        <w:tc>
          <w:tcPr>
            <w:tcW w:w="614" w:type="pct"/>
            <w:tcBorders>
              <w:tl2br w:val="nil"/>
              <w:tr2bl w:val="nil"/>
            </w:tcBorders>
            <w:vAlign w:val="center"/>
          </w:tcPr>
          <w:p w14:paraId="6F3A7658">
            <w:pPr>
              <w:pStyle w:val="711"/>
              <w:rPr>
                <w:rFonts w:cs="Times New Roman"/>
                <w:color w:val="auto"/>
              </w:rPr>
            </w:pPr>
            <w:r>
              <w:rPr>
                <w:rFonts w:hint="eastAsia" w:cs="Times New Roman"/>
                <w:color w:val="auto"/>
              </w:rPr>
              <w:t>0.000</w:t>
            </w:r>
          </w:p>
        </w:tc>
        <w:tc>
          <w:tcPr>
            <w:tcW w:w="614" w:type="pct"/>
            <w:tcBorders>
              <w:tl2br w:val="nil"/>
              <w:tr2bl w:val="nil"/>
            </w:tcBorders>
            <w:vAlign w:val="center"/>
          </w:tcPr>
          <w:p w14:paraId="30DB13B8">
            <w:pPr>
              <w:pStyle w:val="711"/>
              <w:rPr>
                <w:rFonts w:cs="Times New Roman"/>
                <w:color w:val="auto"/>
              </w:rPr>
            </w:pPr>
            <w:r>
              <w:rPr>
                <w:rFonts w:hint="eastAsia" w:cs="Times New Roman"/>
                <w:color w:val="auto"/>
              </w:rPr>
              <w:t>0.000</w:t>
            </w:r>
          </w:p>
        </w:tc>
        <w:tc>
          <w:tcPr>
            <w:tcW w:w="614" w:type="pct"/>
            <w:tcBorders>
              <w:tl2br w:val="nil"/>
              <w:tr2bl w:val="nil"/>
            </w:tcBorders>
            <w:vAlign w:val="center"/>
          </w:tcPr>
          <w:p w14:paraId="5F903629">
            <w:pPr>
              <w:pStyle w:val="711"/>
              <w:rPr>
                <w:rFonts w:cs="Times New Roman"/>
                <w:color w:val="auto"/>
              </w:rPr>
            </w:pPr>
            <w:r>
              <w:rPr>
                <w:rFonts w:hint="eastAsia" w:cs="Times New Roman"/>
                <w:color w:val="auto"/>
              </w:rPr>
              <w:t>0.000</w:t>
            </w:r>
          </w:p>
        </w:tc>
        <w:tc>
          <w:tcPr>
            <w:tcW w:w="615" w:type="pct"/>
            <w:tcBorders>
              <w:tl2br w:val="nil"/>
              <w:tr2bl w:val="nil"/>
            </w:tcBorders>
            <w:vAlign w:val="center"/>
          </w:tcPr>
          <w:p w14:paraId="3A7AA533">
            <w:pPr>
              <w:pStyle w:val="711"/>
              <w:rPr>
                <w:rFonts w:cs="Times New Roman"/>
                <w:color w:val="auto"/>
              </w:rPr>
            </w:pPr>
            <w:r>
              <w:rPr>
                <w:rFonts w:hint="eastAsia" w:cs="Times New Roman"/>
                <w:color w:val="auto"/>
              </w:rPr>
              <w:t>0.000</w:t>
            </w:r>
          </w:p>
        </w:tc>
      </w:tr>
      <w:tr w14:paraId="0225B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0F292622">
            <w:pPr>
              <w:pStyle w:val="711"/>
              <w:rPr>
                <w:rFonts w:cs="Times New Roman"/>
                <w:color w:val="auto"/>
              </w:rPr>
            </w:pPr>
            <w:r>
              <w:rPr>
                <w:rFonts w:cs="Times New Roman"/>
                <w:color w:val="auto"/>
              </w:rPr>
              <w:t>最低检出限（mg/L）</w:t>
            </w:r>
          </w:p>
        </w:tc>
        <w:tc>
          <w:tcPr>
            <w:tcW w:w="614" w:type="pct"/>
            <w:tcBorders>
              <w:tl2br w:val="nil"/>
              <w:tr2bl w:val="nil"/>
            </w:tcBorders>
            <w:shd w:val="clear" w:color="auto" w:fill="auto"/>
            <w:noWrap/>
            <w:vAlign w:val="center"/>
          </w:tcPr>
          <w:p w14:paraId="38A8922F">
            <w:pPr>
              <w:pStyle w:val="711"/>
              <w:rPr>
                <w:rFonts w:cs="Times New Roman"/>
                <w:color w:val="auto"/>
              </w:rPr>
            </w:pPr>
            <w:r>
              <w:rPr>
                <w:rFonts w:cs="Times New Roman"/>
                <w:color w:val="auto"/>
              </w:rPr>
              <w:t>0.</w:t>
            </w:r>
            <w:r>
              <w:rPr>
                <w:rFonts w:hint="eastAsia" w:cs="Times New Roman"/>
                <w:color w:val="auto"/>
              </w:rPr>
              <w:t>0</w:t>
            </w:r>
            <w:r>
              <w:rPr>
                <w:rFonts w:cs="Times New Roman"/>
                <w:color w:val="auto"/>
              </w:rPr>
              <w:t>50</w:t>
            </w:r>
          </w:p>
        </w:tc>
        <w:tc>
          <w:tcPr>
            <w:tcW w:w="614" w:type="pct"/>
            <w:tcBorders>
              <w:tl2br w:val="nil"/>
              <w:tr2bl w:val="nil"/>
            </w:tcBorders>
            <w:vAlign w:val="center"/>
          </w:tcPr>
          <w:p w14:paraId="35FCF8E1">
            <w:pPr>
              <w:pStyle w:val="711"/>
              <w:rPr>
                <w:rFonts w:cs="Times New Roman"/>
                <w:color w:val="auto"/>
              </w:rPr>
            </w:pPr>
            <w:r>
              <w:rPr>
                <w:rFonts w:cs="Times New Roman"/>
                <w:color w:val="auto"/>
              </w:rPr>
              <w:t>0.025</w:t>
            </w:r>
          </w:p>
        </w:tc>
        <w:tc>
          <w:tcPr>
            <w:tcW w:w="614" w:type="pct"/>
            <w:tcBorders>
              <w:tl2br w:val="nil"/>
              <w:tr2bl w:val="nil"/>
            </w:tcBorders>
            <w:vAlign w:val="center"/>
          </w:tcPr>
          <w:p w14:paraId="44E4A77B">
            <w:pPr>
              <w:pStyle w:val="711"/>
              <w:rPr>
                <w:rFonts w:cs="Times New Roman"/>
                <w:color w:val="auto"/>
              </w:rPr>
            </w:pPr>
            <w:r>
              <w:rPr>
                <w:rFonts w:cs="Times New Roman"/>
                <w:color w:val="auto"/>
              </w:rPr>
              <w:t>0.01</w:t>
            </w:r>
          </w:p>
        </w:tc>
        <w:tc>
          <w:tcPr>
            <w:tcW w:w="614" w:type="pct"/>
            <w:tcBorders>
              <w:tl2br w:val="nil"/>
              <w:tr2bl w:val="nil"/>
            </w:tcBorders>
            <w:vAlign w:val="center"/>
          </w:tcPr>
          <w:p w14:paraId="12F9E810">
            <w:pPr>
              <w:pStyle w:val="711"/>
              <w:rPr>
                <w:rFonts w:cs="Times New Roman"/>
                <w:color w:val="auto"/>
              </w:rPr>
            </w:pPr>
            <w:r>
              <w:rPr>
                <w:rFonts w:hint="eastAsia" w:cs="Times New Roman"/>
                <w:color w:val="auto"/>
              </w:rPr>
              <w:t>0.004</w:t>
            </w:r>
          </w:p>
        </w:tc>
        <w:tc>
          <w:tcPr>
            <w:tcW w:w="614" w:type="pct"/>
            <w:tcBorders>
              <w:tl2br w:val="nil"/>
              <w:tr2bl w:val="nil"/>
            </w:tcBorders>
            <w:vAlign w:val="center"/>
          </w:tcPr>
          <w:p w14:paraId="18486124">
            <w:pPr>
              <w:pStyle w:val="711"/>
              <w:rPr>
                <w:rFonts w:cs="Times New Roman"/>
                <w:color w:val="auto"/>
              </w:rPr>
            </w:pPr>
            <w:r>
              <w:rPr>
                <w:rFonts w:hint="eastAsia" w:cs="Times New Roman"/>
                <w:color w:val="auto"/>
              </w:rPr>
              <w:t>0.02</w:t>
            </w:r>
          </w:p>
        </w:tc>
        <w:tc>
          <w:tcPr>
            <w:tcW w:w="615" w:type="pct"/>
            <w:tcBorders>
              <w:tl2br w:val="nil"/>
              <w:tr2bl w:val="nil"/>
            </w:tcBorders>
            <w:vAlign w:val="center"/>
          </w:tcPr>
          <w:p w14:paraId="2BC365D1">
            <w:pPr>
              <w:pStyle w:val="711"/>
              <w:rPr>
                <w:rFonts w:cs="Times New Roman"/>
                <w:color w:val="auto"/>
              </w:rPr>
            </w:pPr>
            <w:r>
              <w:rPr>
                <w:rFonts w:hint="eastAsia" w:cs="Times New Roman"/>
                <w:color w:val="auto"/>
              </w:rPr>
              <w:t>0.01</w:t>
            </w:r>
          </w:p>
        </w:tc>
      </w:tr>
      <w:tr w14:paraId="34D7FA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7CFE51A3">
            <w:pPr>
              <w:pStyle w:val="711"/>
              <w:rPr>
                <w:rFonts w:cs="Times New Roman"/>
                <w:color w:val="auto"/>
              </w:rPr>
            </w:pPr>
            <w:r>
              <w:rPr>
                <w:rFonts w:cs="Times New Roman"/>
                <w:color w:val="auto"/>
              </w:rPr>
              <w:t>标准值</w:t>
            </w:r>
          </w:p>
        </w:tc>
        <w:tc>
          <w:tcPr>
            <w:tcW w:w="614" w:type="pct"/>
            <w:tcBorders>
              <w:tl2br w:val="nil"/>
              <w:tr2bl w:val="nil"/>
            </w:tcBorders>
            <w:shd w:val="clear" w:color="auto" w:fill="auto"/>
            <w:noWrap/>
            <w:vAlign w:val="center"/>
          </w:tcPr>
          <w:p w14:paraId="438ED360">
            <w:pPr>
              <w:pStyle w:val="711"/>
              <w:rPr>
                <w:rFonts w:cs="Times New Roman"/>
                <w:color w:val="auto"/>
              </w:rPr>
            </w:pPr>
            <w:r>
              <w:rPr>
                <w:rFonts w:cs="Times New Roman"/>
                <w:color w:val="auto"/>
              </w:rPr>
              <w:t>≤3.0</w:t>
            </w:r>
          </w:p>
        </w:tc>
        <w:tc>
          <w:tcPr>
            <w:tcW w:w="614" w:type="pct"/>
            <w:tcBorders>
              <w:tl2br w:val="nil"/>
              <w:tr2bl w:val="nil"/>
            </w:tcBorders>
            <w:vAlign w:val="center"/>
          </w:tcPr>
          <w:p w14:paraId="594FEFB4">
            <w:pPr>
              <w:pStyle w:val="711"/>
              <w:rPr>
                <w:rFonts w:cs="Times New Roman"/>
                <w:color w:val="auto"/>
              </w:rPr>
            </w:pPr>
            <w:r>
              <w:rPr>
                <w:rFonts w:cs="Times New Roman"/>
                <w:color w:val="auto"/>
              </w:rPr>
              <w:t>≤0.5</w:t>
            </w:r>
          </w:p>
        </w:tc>
        <w:tc>
          <w:tcPr>
            <w:tcW w:w="614" w:type="pct"/>
            <w:tcBorders>
              <w:tl2br w:val="nil"/>
              <w:tr2bl w:val="nil"/>
            </w:tcBorders>
            <w:vAlign w:val="center"/>
          </w:tcPr>
          <w:p w14:paraId="6AABA075">
            <w:pPr>
              <w:pStyle w:val="711"/>
              <w:rPr>
                <w:rFonts w:cs="Times New Roman"/>
                <w:color w:val="auto"/>
              </w:rPr>
            </w:pPr>
            <w:r>
              <w:rPr>
                <w:rFonts w:cs="Times New Roman"/>
                <w:color w:val="auto"/>
              </w:rPr>
              <w:t>≤</w:t>
            </w:r>
            <w:r>
              <w:rPr>
                <w:rFonts w:hint="eastAsia" w:cs="Times New Roman"/>
                <w:color w:val="auto"/>
              </w:rPr>
              <w:t>0.2</w:t>
            </w:r>
            <w:r>
              <w:rPr>
                <w:rFonts w:cs="Times New Roman"/>
                <w:color w:val="auto"/>
              </w:rPr>
              <w:t>*</w:t>
            </w:r>
          </w:p>
        </w:tc>
        <w:tc>
          <w:tcPr>
            <w:tcW w:w="614" w:type="pct"/>
            <w:tcBorders>
              <w:tl2br w:val="nil"/>
              <w:tr2bl w:val="nil"/>
            </w:tcBorders>
            <w:vAlign w:val="center"/>
          </w:tcPr>
          <w:p w14:paraId="5537A110">
            <w:pPr>
              <w:pStyle w:val="711"/>
              <w:rPr>
                <w:rFonts w:cs="Times New Roman"/>
                <w:color w:val="auto"/>
              </w:rPr>
            </w:pPr>
            <w:r>
              <w:rPr>
                <w:rFonts w:cs="Times New Roman"/>
                <w:color w:val="auto"/>
              </w:rPr>
              <w:t>≤</w:t>
            </w:r>
            <w:r>
              <w:rPr>
                <w:rFonts w:hint="eastAsia" w:cs="Times New Roman"/>
                <w:color w:val="auto"/>
              </w:rPr>
              <w:t>0.01</w:t>
            </w:r>
          </w:p>
        </w:tc>
        <w:tc>
          <w:tcPr>
            <w:tcW w:w="614" w:type="pct"/>
            <w:tcBorders>
              <w:tl2br w:val="nil"/>
              <w:tr2bl w:val="nil"/>
            </w:tcBorders>
            <w:vAlign w:val="center"/>
          </w:tcPr>
          <w:p w14:paraId="522AC69E">
            <w:pPr>
              <w:pStyle w:val="711"/>
              <w:rPr>
                <w:rFonts w:cs="Times New Roman"/>
                <w:color w:val="auto"/>
              </w:rPr>
            </w:pPr>
            <w:r>
              <w:rPr>
                <w:rFonts w:hint="eastAsia" w:cs="Times New Roman"/>
                <w:color w:val="auto"/>
              </w:rPr>
              <w:t>0.9</w:t>
            </w:r>
            <w:r>
              <w:rPr>
                <w:rFonts w:cs="Times New Roman"/>
                <w:color w:val="auto"/>
              </w:rPr>
              <w:t>**</w:t>
            </w:r>
          </w:p>
        </w:tc>
        <w:tc>
          <w:tcPr>
            <w:tcW w:w="615" w:type="pct"/>
            <w:tcBorders>
              <w:tl2br w:val="nil"/>
              <w:tr2bl w:val="nil"/>
            </w:tcBorders>
            <w:vAlign w:val="center"/>
          </w:tcPr>
          <w:p w14:paraId="4E127324">
            <w:pPr>
              <w:pStyle w:val="711"/>
              <w:rPr>
                <w:rFonts w:cs="Times New Roman"/>
                <w:color w:val="auto"/>
              </w:rPr>
            </w:pPr>
            <w:r>
              <w:rPr>
                <w:rFonts w:cs="Times New Roman"/>
                <w:color w:val="auto"/>
              </w:rPr>
              <w:t>≤</w:t>
            </w:r>
            <w:r>
              <w:rPr>
                <w:rFonts w:hint="eastAsia" w:cs="Times New Roman"/>
                <w:color w:val="auto"/>
              </w:rPr>
              <w:t>0.05</w:t>
            </w:r>
            <w:r>
              <w:rPr>
                <w:rFonts w:cs="Times New Roman"/>
                <w:color w:val="auto"/>
              </w:rPr>
              <w:t>*</w:t>
            </w:r>
          </w:p>
        </w:tc>
      </w:tr>
    </w:tbl>
    <w:p w14:paraId="5CB00DD4">
      <w:pPr>
        <w:pStyle w:val="697"/>
        <w:rPr>
          <w:rFonts w:cs="Times New Roman"/>
          <w:b/>
          <w:bCs/>
          <w:color w:val="auto"/>
          <w:sz w:val="21"/>
          <w:szCs w:val="21"/>
        </w:rPr>
      </w:pPr>
      <w:r>
        <w:rPr>
          <w:rFonts w:cs="Times New Roman"/>
          <w:b/>
          <w:bCs/>
          <w:color w:val="auto"/>
          <w:sz w:val="21"/>
          <w:szCs w:val="21"/>
        </w:rPr>
        <w:t>注：“/”表示背景未</w:t>
      </w:r>
      <w:r>
        <w:rPr>
          <w:rFonts w:hint="eastAsia" w:cs="Times New Roman"/>
          <w:b/>
          <w:bCs/>
          <w:color w:val="auto"/>
          <w:sz w:val="21"/>
          <w:szCs w:val="21"/>
        </w:rPr>
        <w:t>检测，以零计</w:t>
      </w:r>
      <w:r>
        <w:rPr>
          <w:rFonts w:cs="Times New Roman"/>
          <w:b/>
          <w:bCs/>
          <w:color w:val="auto"/>
          <w:sz w:val="21"/>
          <w:szCs w:val="21"/>
        </w:rPr>
        <w:t>，“*”为参考GB3838-2002Ⅲ类标准</w:t>
      </w:r>
      <w:r>
        <w:rPr>
          <w:rFonts w:hint="eastAsia" w:cs="Times New Roman"/>
          <w:b/>
          <w:bCs/>
          <w:color w:val="auto"/>
          <w:sz w:val="21"/>
          <w:szCs w:val="21"/>
        </w:rPr>
        <w:t>，“**”为参考</w:t>
      </w:r>
      <w:r>
        <w:rPr>
          <w:rFonts w:cs="Times New Roman"/>
          <w:b/>
          <w:bCs/>
          <w:color w:val="auto"/>
          <w:sz w:val="21"/>
          <w:szCs w:val="21"/>
        </w:rPr>
        <w:t>GB3838-2002</w:t>
      </w:r>
      <w:r>
        <w:rPr>
          <w:rFonts w:hint="eastAsia" w:cs="Times New Roman"/>
          <w:b/>
          <w:bCs/>
          <w:color w:val="auto"/>
          <w:sz w:val="21"/>
          <w:szCs w:val="21"/>
        </w:rPr>
        <w:t>中集中式生活饮用地表水源特定项目标准限值</w:t>
      </w:r>
      <w:r>
        <w:rPr>
          <w:rFonts w:cs="Times New Roman"/>
          <w:b/>
          <w:bCs/>
          <w:color w:val="auto"/>
          <w:sz w:val="21"/>
          <w:szCs w:val="21"/>
        </w:rPr>
        <w:t>。</w:t>
      </w:r>
    </w:p>
    <w:p w14:paraId="690F681D">
      <w:pPr>
        <w:bidi w:val="0"/>
        <w:rPr>
          <w:color w:val="auto"/>
        </w:rPr>
      </w:pPr>
      <w:r>
        <w:rPr>
          <w:color w:val="auto"/>
        </w:rPr>
        <w:t>本项目评价区执行《地下水质量标准》（GB/T1484-2017）中的Ⅲ类标准（CODMn≤3.0 mg/L，氨氮≤0.5mg/L），总磷</w:t>
      </w:r>
      <w:r>
        <w:rPr>
          <w:rFonts w:hint="eastAsia"/>
          <w:color w:val="auto"/>
        </w:rPr>
        <w:t>、甲醛及石油类</w:t>
      </w:r>
      <w:r>
        <w:rPr>
          <w:color w:val="auto"/>
        </w:rPr>
        <w:t>未列入《地下水质量标准》，本次</w:t>
      </w:r>
      <w:r>
        <w:rPr>
          <w:rFonts w:hint="eastAsia"/>
          <w:color w:val="auto"/>
        </w:rPr>
        <w:t>总磷和石油类</w:t>
      </w:r>
      <w:r>
        <w:rPr>
          <w:color w:val="auto"/>
        </w:rPr>
        <w:t>以《地表水环境质量标准》（GB3838-2002）Ⅲ类水体作为参考标准（</w:t>
      </w:r>
      <w:r>
        <w:rPr>
          <w:rFonts w:hint="eastAsia"/>
          <w:color w:val="auto"/>
        </w:rPr>
        <w:t>总磷</w:t>
      </w:r>
      <w:r>
        <w:rPr>
          <w:color w:val="auto"/>
        </w:rPr>
        <w:t>≤0.</w:t>
      </w:r>
      <w:r>
        <w:rPr>
          <w:rFonts w:hint="eastAsia"/>
          <w:color w:val="auto"/>
        </w:rPr>
        <w:t>2</w:t>
      </w:r>
      <w:r>
        <w:rPr>
          <w:color w:val="auto"/>
        </w:rPr>
        <w:t>mg/L</w:t>
      </w:r>
      <w:r>
        <w:rPr>
          <w:rFonts w:hint="eastAsia"/>
          <w:color w:val="auto"/>
        </w:rPr>
        <w:t>，石油类</w:t>
      </w:r>
      <w:r>
        <w:rPr>
          <w:color w:val="auto"/>
        </w:rPr>
        <w:t>≤0.</w:t>
      </w:r>
      <w:r>
        <w:rPr>
          <w:rFonts w:hint="eastAsia"/>
          <w:color w:val="auto"/>
        </w:rPr>
        <w:t>05</w:t>
      </w:r>
      <w:r>
        <w:rPr>
          <w:color w:val="auto"/>
        </w:rPr>
        <w:t>mg/L），</w:t>
      </w:r>
      <w:r>
        <w:rPr>
          <w:rFonts w:hint="eastAsia"/>
          <w:color w:val="auto"/>
        </w:rPr>
        <w:t>甲醛</w:t>
      </w:r>
      <w:r>
        <w:rPr>
          <w:color w:val="auto"/>
        </w:rPr>
        <w:t>以《地表水环境质量标准》（GB3838-2002）</w:t>
      </w:r>
      <w:r>
        <w:rPr>
          <w:rFonts w:hint="eastAsia"/>
          <w:color w:val="auto"/>
        </w:rPr>
        <w:t>集中式生活饮用地表水源特定项目标准限值（0.9</w:t>
      </w:r>
      <w:r>
        <w:rPr>
          <w:color w:val="auto"/>
        </w:rPr>
        <w:t xml:space="preserve"> mg/L</w:t>
      </w:r>
      <w:r>
        <w:rPr>
          <w:rFonts w:hint="eastAsia"/>
          <w:color w:val="auto"/>
        </w:rPr>
        <w:t>）为标准。</w:t>
      </w:r>
      <w:r>
        <w:rPr>
          <w:color w:val="auto"/>
        </w:rPr>
        <w:t>预测结果显示，CODMn预测值叠加背景值（</w:t>
      </w:r>
      <w:r>
        <w:rPr>
          <w:rFonts w:hint="eastAsia"/>
          <w:color w:val="auto"/>
        </w:rPr>
        <w:t>1.479</w:t>
      </w:r>
      <w:r>
        <w:rPr>
          <w:color w:val="auto"/>
        </w:rPr>
        <w:t>mg/L</w:t>
      </w:r>
      <w:r>
        <w:rPr>
          <w:rFonts w:hint="eastAsia"/>
          <w:color w:val="auto"/>
        </w:rPr>
        <w:t>）后，可能造成泄漏点至河边地下水环境中发生超标，超标时段集中于事故发生后0～4650d；氨氮</w:t>
      </w:r>
      <w:r>
        <w:rPr>
          <w:color w:val="auto"/>
        </w:rPr>
        <w:t>预测值叠加背景值（</w:t>
      </w:r>
      <w:r>
        <w:rPr>
          <w:rFonts w:hint="eastAsia"/>
          <w:color w:val="auto"/>
        </w:rPr>
        <w:t>0.250</w:t>
      </w:r>
      <w:r>
        <w:rPr>
          <w:color w:val="auto"/>
        </w:rPr>
        <w:t>mg/L</w:t>
      </w:r>
      <w:r>
        <w:rPr>
          <w:rFonts w:hint="eastAsia"/>
          <w:color w:val="auto"/>
        </w:rPr>
        <w:t>）后，可能造成泄漏点至河边地下水环境中发生超标，超标时段集中于事故发生后0～5650d；总磷可能造成泄漏点至下游约76m地下水环境中发生超标，超标时段集中于事故发生后0～3200d；苯可能造成泄漏点至下游约77m地下水环境中发生超标，超标时段集中于事故发生后0～3200d；甲醛不会地下水环境中发生超标；石油类可能造成泄漏点至下游河边地下水环境中发生超标，超标时段集中于事故发生后0～3200d。</w:t>
      </w:r>
    </w:p>
    <w:p w14:paraId="2FEAEF57">
      <w:pPr>
        <w:bidi w:val="0"/>
        <w:rPr>
          <w:color w:val="auto"/>
        </w:rPr>
      </w:pPr>
      <w:r>
        <w:rPr>
          <w:color w:val="auto"/>
        </w:rPr>
        <w:t>非正常运行状况下，各污染物下渗进入地下水系统后，将污染本项目区下伏含水层，因此应尽量避免非正常状况发生。</w:t>
      </w:r>
    </w:p>
    <w:bookmarkEnd w:id="198"/>
    <w:bookmarkEnd w:id="199"/>
    <w:p w14:paraId="0EE1038B">
      <w:pPr>
        <w:pStyle w:val="5"/>
        <w:bidi w:val="0"/>
        <w:rPr>
          <w:color w:val="auto"/>
        </w:rPr>
      </w:pPr>
      <w:r>
        <w:rPr>
          <w:rFonts w:hint="eastAsia"/>
          <w:color w:val="auto"/>
          <w:lang w:val="en-US" w:eastAsia="zh-CN"/>
        </w:rPr>
        <w:t xml:space="preserve"> </w:t>
      </w:r>
      <w:r>
        <w:rPr>
          <w:color w:val="auto"/>
        </w:rPr>
        <w:t>项目工程对地下水环境影响分析</w:t>
      </w:r>
    </w:p>
    <w:p w14:paraId="6951B79F">
      <w:pPr>
        <w:bidi w:val="0"/>
        <w:rPr>
          <w:color w:val="auto"/>
        </w:rPr>
      </w:pPr>
      <w:r>
        <w:rPr>
          <w:color w:val="auto"/>
        </w:rPr>
        <w:t>（1）项目工程对评价区地下水的影响分析</w:t>
      </w:r>
    </w:p>
    <w:p w14:paraId="7EFE3D94">
      <w:pPr>
        <w:bidi w:val="0"/>
        <w:rPr>
          <w:color w:val="auto"/>
        </w:rPr>
      </w:pPr>
      <w:r>
        <w:rPr>
          <w:color w:val="auto"/>
        </w:rPr>
        <w:t>根据工程分析，本项目重点考虑并预测分析的可能产污构筑物</w:t>
      </w:r>
      <w:r>
        <w:rPr>
          <w:rFonts w:hint="eastAsia"/>
          <w:color w:val="auto"/>
        </w:rPr>
        <w:t>为</w:t>
      </w:r>
      <w:r>
        <w:rPr>
          <w:color w:val="auto"/>
        </w:rPr>
        <w:t>环保工程废水处理站。</w:t>
      </w:r>
    </w:p>
    <w:p w14:paraId="7A8D4967">
      <w:pPr>
        <w:bidi w:val="0"/>
        <w:rPr>
          <w:color w:val="auto"/>
        </w:rPr>
      </w:pPr>
      <w:r>
        <w:rPr>
          <w:color w:val="auto"/>
        </w:rPr>
        <w:t>依据《环境影响评价技术导则-地下水环境》（HJ610-2016）分区防渗要求，以上构筑物均采用重点防渗。在采取上述措施后，本项目正常运行状况对地下水环境影响较小。</w:t>
      </w:r>
    </w:p>
    <w:p w14:paraId="79E39F26">
      <w:pPr>
        <w:bidi w:val="0"/>
        <w:rPr>
          <w:color w:val="auto"/>
        </w:rPr>
      </w:pPr>
      <w:r>
        <w:rPr>
          <w:color w:val="auto"/>
        </w:rPr>
        <w:t>本项目评价区执行《地下水质量标准》（GB/T1484-2017）中的Ⅲ类标准（CODMn≤3.0 mg/L，氨氮≤0.5mg/L），总磷</w:t>
      </w:r>
      <w:r>
        <w:rPr>
          <w:rFonts w:hint="eastAsia"/>
          <w:color w:val="auto"/>
        </w:rPr>
        <w:t>、甲醛及石油类</w:t>
      </w:r>
      <w:r>
        <w:rPr>
          <w:color w:val="auto"/>
        </w:rPr>
        <w:t>未列入《地下水质量标准》，本次</w:t>
      </w:r>
      <w:r>
        <w:rPr>
          <w:rFonts w:hint="eastAsia"/>
          <w:color w:val="auto"/>
        </w:rPr>
        <w:t>总磷和石油类</w:t>
      </w:r>
      <w:r>
        <w:rPr>
          <w:color w:val="auto"/>
        </w:rPr>
        <w:t>以《地表水环境质量标准》（GB3838-2002）Ⅲ类水体作为参考标准（</w:t>
      </w:r>
      <w:r>
        <w:rPr>
          <w:rFonts w:hint="eastAsia"/>
          <w:color w:val="auto"/>
        </w:rPr>
        <w:t>总磷</w:t>
      </w:r>
      <w:r>
        <w:rPr>
          <w:color w:val="auto"/>
        </w:rPr>
        <w:t>≤0.</w:t>
      </w:r>
      <w:r>
        <w:rPr>
          <w:rFonts w:hint="eastAsia"/>
          <w:color w:val="auto"/>
        </w:rPr>
        <w:t>2</w:t>
      </w:r>
      <w:r>
        <w:rPr>
          <w:color w:val="auto"/>
        </w:rPr>
        <w:t>mg/L</w:t>
      </w:r>
      <w:r>
        <w:rPr>
          <w:rFonts w:hint="eastAsia"/>
          <w:color w:val="auto"/>
        </w:rPr>
        <w:t>，石油类</w:t>
      </w:r>
      <w:r>
        <w:rPr>
          <w:color w:val="auto"/>
        </w:rPr>
        <w:t>≤0.</w:t>
      </w:r>
      <w:r>
        <w:rPr>
          <w:rFonts w:hint="eastAsia"/>
          <w:color w:val="auto"/>
        </w:rPr>
        <w:t>05</w:t>
      </w:r>
      <w:r>
        <w:rPr>
          <w:color w:val="auto"/>
        </w:rPr>
        <w:t>mg/L），</w:t>
      </w:r>
      <w:r>
        <w:rPr>
          <w:rFonts w:hint="eastAsia"/>
          <w:color w:val="auto"/>
        </w:rPr>
        <w:t>甲醛</w:t>
      </w:r>
      <w:r>
        <w:rPr>
          <w:color w:val="auto"/>
        </w:rPr>
        <w:t>以《地表水环境质量标准》（GB3838-2002）</w:t>
      </w:r>
      <w:r>
        <w:rPr>
          <w:rFonts w:hint="eastAsia"/>
          <w:color w:val="auto"/>
        </w:rPr>
        <w:t>集中式生活饮用地表水源特定项目标准限值（0.9</w:t>
      </w:r>
      <w:r>
        <w:rPr>
          <w:color w:val="auto"/>
        </w:rPr>
        <w:t xml:space="preserve"> mg/L</w:t>
      </w:r>
      <w:r>
        <w:rPr>
          <w:rFonts w:hint="eastAsia"/>
          <w:color w:val="auto"/>
        </w:rPr>
        <w:t>）为标准。</w:t>
      </w:r>
      <w:r>
        <w:rPr>
          <w:color w:val="auto"/>
        </w:rPr>
        <w:t>预测结果显示，CODMn预测值叠加背景值（</w:t>
      </w:r>
      <w:r>
        <w:rPr>
          <w:rFonts w:hint="eastAsia"/>
          <w:color w:val="auto"/>
        </w:rPr>
        <w:t>1.479</w:t>
      </w:r>
      <w:r>
        <w:rPr>
          <w:color w:val="auto"/>
        </w:rPr>
        <w:t>mg/L</w:t>
      </w:r>
      <w:r>
        <w:rPr>
          <w:rFonts w:hint="eastAsia"/>
          <w:color w:val="auto"/>
        </w:rPr>
        <w:t>）后，可能造成泄漏点至河边地下水环境中发生超标，超标时段集中于事故发生后0～4650d；氨氮</w:t>
      </w:r>
      <w:r>
        <w:rPr>
          <w:color w:val="auto"/>
        </w:rPr>
        <w:t>预测值叠加背景值（</w:t>
      </w:r>
      <w:r>
        <w:rPr>
          <w:rFonts w:hint="eastAsia"/>
          <w:color w:val="auto"/>
        </w:rPr>
        <w:t>0.250</w:t>
      </w:r>
      <w:r>
        <w:rPr>
          <w:color w:val="auto"/>
        </w:rPr>
        <w:t>mg/L</w:t>
      </w:r>
      <w:r>
        <w:rPr>
          <w:rFonts w:hint="eastAsia"/>
          <w:color w:val="auto"/>
        </w:rPr>
        <w:t>）后，可能造成泄漏点至河边地下水环境中发生超标，超标时段集中于事故发生后0～5650d；总磷可能造成泄漏点至下游约76m地下水环境中发生超标，超标时段集中于事故发生后0～3200d；苯可能造成泄漏点至下游约77m地下水环境中发生超标，超标时段集中于事故发生后0～3200d；甲醛不会地下水环境中发生超标；石油类可能造成泄漏点至下游河边地下水环境中发生超标，超标时段集中于事故发生后0～3200d。</w:t>
      </w:r>
    </w:p>
    <w:p w14:paraId="2C5D6EB7">
      <w:pPr>
        <w:bidi w:val="0"/>
        <w:rPr>
          <w:color w:val="auto"/>
        </w:rPr>
      </w:pPr>
      <w:r>
        <w:rPr>
          <w:color w:val="auto"/>
        </w:rPr>
        <w:t>非正常运行状况发生后，项目区下伏含水层将受到污染，因此应尽量避免非正常状况发生。环评要求本项目运行过程中，严格按照环评要求对下游水质监测井进行监测，一旦发现水质异常，立刻采取有效措施（如采用水动力隔离技术）阻止污染羽的扩散迁移，将地下水控制在局部范围，避免对厂区下游地下水造成污染。</w:t>
      </w:r>
    </w:p>
    <w:p w14:paraId="7CE4AD64">
      <w:pPr>
        <w:bidi w:val="0"/>
        <w:rPr>
          <w:color w:val="auto"/>
        </w:rPr>
      </w:pPr>
      <w:r>
        <w:rPr>
          <w:color w:val="auto"/>
        </w:rPr>
        <w:t>（2）项目工程对评价区居民饮用水影响分析</w:t>
      </w:r>
    </w:p>
    <w:p w14:paraId="5555084B">
      <w:pPr>
        <w:bidi w:val="0"/>
        <w:rPr>
          <w:color w:val="auto"/>
        </w:rPr>
      </w:pPr>
      <w:r>
        <w:rPr>
          <w:color w:val="auto"/>
        </w:rPr>
        <w:t>本项目位于</w:t>
      </w:r>
      <w:r>
        <w:rPr>
          <w:rFonts w:hint="eastAsia"/>
          <w:color w:val="auto"/>
        </w:rPr>
        <w:t>巴中市巴州区曾口镇寿星村13</w:t>
      </w:r>
      <w:r>
        <w:rPr>
          <w:color w:val="auto"/>
        </w:rPr>
        <w:t>组</w:t>
      </w:r>
      <w:r>
        <w:rPr>
          <w:rFonts w:hint="eastAsia"/>
          <w:color w:val="auto"/>
        </w:rPr>
        <w:t>，根据现场调查，拟建污水处理厂周边待拆迁居民均以自打浅层水井作为生活饮用水源</w:t>
      </w:r>
      <w:r>
        <w:rPr>
          <w:color w:val="auto"/>
        </w:rPr>
        <w:t>，</w:t>
      </w:r>
      <w:r>
        <w:rPr>
          <w:rFonts w:hint="eastAsia"/>
          <w:color w:val="auto"/>
        </w:rPr>
        <w:t>1户居民或2户及以上居民用1口水井，水井深度一般小于2</w:t>
      </w:r>
      <w:r>
        <w:rPr>
          <w:color w:val="auto"/>
        </w:rPr>
        <w:t>0</w:t>
      </w:r>
      <w:r>
        <w:rPr>
          <w:rFonts w:hint="eastAsia"/>
          <w:color w:val="auto"/>
        </w:rPr>
        <w:t>m。因此本项目地下水环境保护目标为评价范围内的分散式饮用水水源，共16口井，主要分布在污水处理厂的上游（北侧）和侧上游（东北侧）。</w:t>
      </w:r>
    </w:p>
    <w:p w14:paraId="3A2C1231">
      <w:pPr>
        <w:bidi w:val="0"/>
        <w:rPr>
          <w:color w:val="auto"/>
        </w:rPr>
      </w:pPr>
      <w:r>
        <w:rPr>
          <w:rFonts w:hint="eastAsia"/>
          <w:color w:val="auto"/>
        </w:rPr>
        <w:t>本项目模拟预测结果显示，在非正常状况下，CODMn、氨氮、总磷、苯、石油类等污染物受控于地下水流场向南西侧下游巴河方向迁移扩散。地下水扩散下游方向无居民分散水井分布，不会对北部、东北部的上游地下水分散居民饮用水井造成影响。</w:t>
      </w:r>
    </w:p>
    <w:p w14:paraId="10832253">
      <w:pPr>
        <w:pStyle w:val="5"/>
        <w:pageBreakBefore w:val="0"/>
        <w:wordWrap/>
        <w:bidi w:val="0"/>
        <w:adjustRightInd/>
        <w:snapToGrid/>
        <w:spacing w:before="48" w:after="48"/>
        <w:ind w:left="0"/>
        <w:rPr>
          <w:rFonts w:eastAsia="宋体"/>
          <w:color w:val="auto"/>
          <w:sz w:val="28"/>
          <w:szCs w:val="28"/>
        </w:rPr>
      </w:pPr>
      <w:r>
        <w:rPr>
          <w:rFonts w:hint="eastAsia" w:eastAsia="宋体"/>
          <w:color w:val="auto"/>
          <w:sz w:val="28"/>
          <w:szCs w:val="28"/>
        </w:rPr>
        <w:t xml:space="preserve"> </w:t>
      </w:r>
      <w:r>
        <w:rPr>
          <w:rFonts w:eastAsia="宋体"/>
          <w:color w:val="auto"/>
          <w:sz w:val="28"/>
          <w:szCs w:val="28"/>
        </w:rPr>
        <w:t>营运期土壤环境影响分析</w:t>
      </w:r>
    </w:p>
    <w:p w14:paraId="7E086CE5">
      <w:pPr>
        <w:pStyle w:val="6"/>
        <w:bidi w:val="0"/>
        <w:rPr>
          <w:color w:val="auto"/>
        </w:rPr>
      </w:pPr>
      <w:r>
        <w:rPr>
          <w:color w:val="auto"/>
        </w:rPr>
        <w:t>土壤环境污染和影响识别</w:t>
      </w:r>
    </w:p>
    <w:p w14:paraId="0C86E300">
      <w:pPr>
        <w:pageBreakBefore w:val="0"/>
        <w:wordWrap/>
        <w:bidi w:val="0"/>
        <w:adjustRightInd/>
        <w:snapToGrid/>
        <w:ind w:firstLine="480"/>
        <w:rPr>
          <w:b/>
          <w:bCs/>
          <w:color w:val="auto"/>
        </w:rPr>
      </w:pPr>
      <w:r>
        <w:rPr>
          <w:b/>
          <w:bCs/>
          <w:color w:val="auto"/>
        </w:rPr>
        <w:t>1、土壤环境影响评价类别</w:t>
      </w:r>
    </w:p>
    <w:p w14:paraId="5203D2D1">
      <w:pPr>
        <w:bidi w:val="0"/>
        <w:rPr>
          <w:color w:val="auto"/>
        </w:rPr>
      </w:pPr>
      <w:r>
        <w:rPr>
          <w:color w:val="auto"/>
        </w:rPr>
        <w:t>本项目为工业污水处理工程，属于《环境影响评价技术导则 土壤环境（试行）》（HJ964-2018）附录A中</w:t>
      </w:r>
      <w:r>
        <w:rPr>
          <w:rFonts w:hint="eastAsia"/>
          <w:color w:val="auto"/>
          <w:lang w:eastAsia="zh-CN"/>
        </w:rPr>
        <w:t>“</w:t>
      </w:r>
      <w:r>
        <w:rPr>
          <w:color w:val="auto"/>
        </w:rPr>
        <w:t>电力热力燃气及水生产和供应业</w:t>
      </w:r>
      <w:r>
        <w:rPr>
          <w:rFonts w:hint="eastAsia"/>
          <w:color w:val="auto"/>
          <w:lang w:eastAsia="zh-CN"/>
        </w:rPr>
        <w:t>”</w:t>
      </w:r>
      <w:r>
        <w:rPr>
          <w:color w:val="auto"/>
        </w:rPr>
        <w:t>中</w:t>
      </w:r>
      <w:r>
        <w:rPr>
          <w:rFonts w:hint="eastAsia"/>
          <w:color w:val="auto"/>
          <w:lang w:eastAsia="zh-CN"/>
        </w:rPr>
        <w:t>“</w:t>
      </w:r>
      <w:r>
        <w:rPr>
          <w:color w:val="auto"/>
        </w:rPr>
        <w:t>工业废水处理</w:t>
      </w:r>
      <w:r>
        <w:rPr>
          <w:rFonts w:hint="eastAsia"/>
          <w:color w:val="auto"/>
          <w:lang w:eastAsia="zh-CN"/>
        </w:rPr>
        <w:t>”</w:t>
      </w:r>
      <w:r>
        <w:rPr>
          <w:color w:val="auto"/>
        </w:rPr>
        <w:t>项目，因此本项目土壤环境影响评价项目类别为</w:t>
      </w:r>
      <w:r>
        <w:rPr>
          <w:color w:val="auto"/>
        </w:rPr>
        <w:fldChar w:fldCharType="begin"/>
      </w:r>
      <w:r>
        <w:rPr>
          <w:color w:val="auto"/>
        </w:rPr>
        <w:instrText xml:space="preserve"> = 2 \* ROMAN </w:instrText>
      </w:r>
      <w:r>
        <w:rPr>
          <w:color w:val="auto"/>
        </w:rPr>
        <w:fldChar w:fldCharType="separate"/>
      </w:r>
      <w:r>
        <w:rPr>
          <w:color w:val="auto"/>
        </w:rPr>
        <w:t>II</w:t>
      </w:r>
      <w:r>
        <w:rPr>
          <w:color w:val="auto"/>
        </w:rPr>
        <w:fldChar w:fldCharType="end"/>
      </w:r>
      <w:r>
        <w:rPr>
          <w:color w:val="auto"/>
        </w:rPr>
        <w:t>类。</w:t>
      </w:r>
    </w:p>
    <w:p w14:paraId="0AB0126C">
      <w:pPr>
        <w:pageBreakBefore w:val="0"/>
        <w:numPr>
          <w:ilvl w:val="0"/>
          <w:numId w:val="32"/>
        </w:numPr>
        <w:wordWrap/>
        <w:bidi w:val="0"/>
        <w:adjustRightInd/>
        <w:snapToGrid/>
        <w:ind w:firstLine="480"/>
        <w:rPr>
          <w:b/>
          <w:bCs/>
          <w:color w:val="auto"/>
        </w:rPr>
      </w:pPr>
      <w:r>
        <w:rPr>
          <w:b/>
          <w:bCs/>
          <w:color w:val="auto"/>
        </w:rPr>
        <w:t>影响识别</w:t>
      </w:r>
    </w:p>
    <w:p w14:paraId="3C68A253">
      <w:pPr>
        <w:pStyle w:val="190"/>
        <w:pageBreakBefore w:val="0"/>
        <w:wordWrap/>
        <w:bidi w:val="0"/>
        <w:adjustRightInd/>
        <w:snapToGrid/>
        <w:ind w:firstLine="480"/>
        <w:rPr>
          <w:color w:val="auto"/>
        </w:rPr>
      </w:pPr>
      <w:r>
        <w:rPr>
          <w:color w:val="auto"/>
        </w:rPr>
        <w:t>项目对土壤的潜在污染主要是</w:t>
      </w:r>
      <w:r>
        <w:rPr>
          <w:rFonts w:hint="eastAsia"/>
          <w:color w:val="auto"/>
          <w:lang w:eastAsia="zh-CN"/>
        </w:rPr>
        <w:t>来自</w:t>
      </w:r>
      <w:r>
        <w:rPr>
          <w:color w:val="auto"/>
        </w:rPr>
        <w:t>工业污水处理池体</w:t>
      </w:r>
      <w:r>
        <w:rPr>
          <w:rFonts w:hint="eastAsia"/>
          <w:color w:val="auto"/>
          <w:lang w:eastAsia="zh-CN"/>
        </w:rPr>
        <w:t>泄漏</w:t>
      </w:r>
      <w:r>
        <w:rPr>
          <w:color w:val="auto"/>
        </w:rPr>
        <w:t>，废水渗漏，污染物主要包括pH、COD等。</w:t>
      </w:r>
    </w:p>
    <w:p w14:paraId="0F9353DC">
      <w:pPr>
        <w:pStyle w:val="190"/>
        <w:pageBreakBefore w:val="0"/>
        <w:wordWrap/>
        <w:bidi w:val="0"/>
        <w:adjustRightInd/>
        <w:snapToGrid/>
        <w:ind w:firstLine="480"/>
        <w:rPr>
          <w:color w:val="auto"/>
        </w:rPr>
      </w:pPr>
      <w:r>
        <w:rPr>
          <w:color w:val="auto"/>
        </w:rPr>
        <w:t>本项目对土壤的影响类型和途径见下表。本项目土壤环境影响识别见下表。</w:t>
      </w:r>
    </w:p>
    <w:p w14:paraId="5855AE07">
      <w:pPr>
        <w:pStyle w:val="15"/>
        <w:numPr>
          <w:ilvl w:val="0"/>
          <w:numId w:val="31"/>
        </w:numPr>
        <w:bidi w:val="0"/>
        <w:ind w:left="0" w:leftChars="0" w:firstLine="0" w:firstLineChars="0"/>
        <w:rPr>
          <w:color w:val="auto"/>
        </w:rPr>
      </w:pPr>
      <w:r>
        <w:rPr>
          <w:color w:val="auto"/>
        </w:rPr>
        <w:t>本项目土壤影响类型与途径表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36"/>
        <w:gridCol w:w="2236"/>
        <w:gridCol w:w="2237"/>
        <w:gridCol w:w="2237"/>
      </w:tblGrid>
      <w:tr w14:paraId="3257BE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vMerge w:val="restart"/>
            <w:tcBorders>
              <w:tl2br w:val="nil"/>
              <w:tr2bl w:val="nil"/>
            </w:tcBorders>
            <w:noWrap w:val="0"/>
            <w:vAlign w:val="center"/>
          </w:tcPr>
          <w:p w14:paraId="0E2AB17D">
            <w:pPr>
              <w:pStyle w:val="12"/>
              <w:bidi w:val="0"/>
              <w:rPr>
                <w:b/>
                <w:bCs/>
                <w:color w:val="auto"/>
              </w:rPr>
            </w:pPr>
            <w:r>
              <w:rPr>
                <w:b/>
                <w:bCs/>
                <w:color w:val="auto"/>
              </w:rPr>
              <w:t>不同时期</w:t>
            </w:r>
          </w:p>
        </w:tc>
        <w:tc>
          <w:tcPr>
            <w:tcW w:w="6710" w:type="dxa"/>
            <w:gridSpan w:val="3"/>
            <w:tcBorders>
              <w:tl2br w:val="nil"/>
              <w:tr2bl w:val="nil"/>
            </w:tcBorders>
            <w:noWrap w:val="0"/>
            <w:vAlign w:val="center"/>
          </w:tcPr>
          <w:p w14:paraId="0104A35A">
            <w:pPr>
              <w:pStyle w:val="12"/>
              <w:bidi w:val="0"/>
              <w:rPr>
                <w:b/>
                <w:bCs/>
                <w:color w:val="auto"/>
              </w:rPr>
            </w:pPr>
            <w:r>
              <w:rPr>
                <w:b/>
                <w:bCs/>
                <w:color w:val="auto"/>
              </w:rPr>
              <w:t>污染影响型</w:t>
            </w:r>
          </w:p>
        </w:tc>
      </w:tr>
      <w:tr w14:paraId="0240DA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vMerge w:val="continue"/>
            <w:tcBorders>
              <w:tl2br w:val="nil"/>
              <w:tr2bl w:val="nil"/>
            </w:tcBorders>
            <w:noWrap w:val="0"/>
            <w:vAlign w:val="center"/>
          </w:tcPr>
          <w:p w14:paraId="524B6938">
            <w:pPr>
              <w:pStyle w:val="12"/>
              <w:bidi w:val="0"/>
              <w:rPr>
                <w:b/>
                <w:bCs/>
                <w:color w:val="auto"/>
              </w:rPr>
            </w:pPr>
          </w:p>
        </w:tc>
        <w:tc>
          <w:tcPr>
            <w:tcW w:w="2236" w:type="dxa"/>
            <w:tcBorders>
              <w:tl2br w:val="nil"/>
              <w:tr2bl w:val="nil"/>
            </w:tcBorders>
            <w:noWrap w:val="0"/>
            <w:vAlign w:val="center"/>
          </w:tcPr>
          <w:p w14:paraId="53DC1DE9">
            <w:pPr>
              <w:pStyle w:val="12"/>
              <w:bidi w:val="0"/>
              <w:rPr>
                <w:b/>
                <w:bCs/>
                <w:color w:val="auto"/>
              </w:rPr>
            </w:pPr>
            <w:r>
              <w:rPr>
                <w:b/>
                <w:bCs/>
                <w:color w:val="auto"/>
              </w:rPr>
              <w:t>大气沉降</w:t>
            </w:r>
          </w:p>
        </w:tc>
        <w:tc>
          <w:tcPr>
            <w:tcW w:w="2237" w:type="dxa"/>
            <w:tcBorders>
              <w:tl2br w:val="nil"/>
              <w:tr2bl w:val="nil"/>
            </w:tcBorders>
            <w:noWrap w:val="0"/>
            <w:vAlign w:val="center"/>
          </w:tcPr>
          <w:p w14:paraId="78C06663">
            <w:pPr>
              <w:pStyle w:val="12"/>
              <w:bidi w:val="0"/>
              <w:rPr>
                <w:b/>
                <w:bCs/>
                <w:color w:val="auto"/>
              </w:rPr>
            </w:pPr>
            <w:r>
              <w:rPr>
                <w:b/>
                <w:bCs/>
                <w:color w:val="auto"/>
              </w:rPr>
              <w:t>地面漫流</w:t>
            </w:r>
          </w:p>
        </w:tc>
        <w:tc>
          <w:tcPr>
            <w:tcW w:w="2237" w:type="dxa"/>
            <w:tcBorders>
              <w:tl2br w:val="nil"/>
              <w:tr2bl w:val="nil"/>
            </w:tcBorders>
            <w:noWrap w:val="0"/>
            <w:vAlign w:val="center"/>
          </w:tcPr>
          <w:p w14:paraId="55FC19A8">
            <w:pPr>
              <w:pStyle w:val="12"/>
              <w:bidi w:val="0"/>
              <w:rPr>
                <w:b/>
                <w:bCs/>
                <w:color w:val="auto"/>
              </w:rPr>
            </w:pPr>
            <w:r>
              <w:rPr>
                <w:b/>
                <w:bCs/>
                <w:color w:val="auto"/>
              </w:rPr>
              <w:t>垂直渗入</w:t>
            </w:r>
          </w:p>
        </w:tc>
      </w:tr>
      <w:tr w14:paraId="5E8F03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4A0E265D">
            <w:pPr>
              <w:pStyle w:val="12"/>
              <w:bidi w:val="0"/>
              <w:rPr>
                <w:color w:val="auto"/>
              </w:rPr>
            </w:pPr>
            <w:r>
              <w:rPr>
                <w:color w:val="auto"/>
              </w:rPr>
              <w:t>建设期</w:t>
            </w:r>
          </w:p>
        </w:tc>
        <w:tc>
          <w:tcPr>
            <w:tcW w:w="2236" w:type="dxa"/>
            <w:tcBorders>
              <w:tl2br w:val="nil"/>
              <w:tr2bl w:val="nil"/>
            </w:tcBorders>
            <w:noWrap w:val="0"/>
            <w:vAlign w:val="center"/>
          </w:tcPr>
          <w:p w14:paraId="7668DF4A">
            <w:pPr>
              <w:pStyle w:val="12"/>
              <w:bidi w:val="0"/>
              <w:rPr>
                <w:color w:val="auto"/>
              </w:rPr>
            </w:pPr>
            <w:r>
              <w:rPr>
                <w:color w:val="auto"/>
              </w:rPr>
              <w:t>/</w:t>
            </w:r>
          </w:p>
        </w:tc>
        <w:tc>
          <w:tcPr>
            <w:tcW w:w="2237" w:type="dxa"/>
            <w:tcBorders>
              <w:tl2br w:val="nil"/>
              <w:tr2bl w:val="nil"/>
            </w:tcBorders>
            <w:noWrap w:val="0"/>
            <w:vAlign w:val="center"/>
          </w:tcPr>
          <w:p w14:paraId="3CE0391F">
            <w:pPr>
              <w:pStyle w:val="12"/>
              <w:bidi w:val="0"/>
              <w:rPr>
                <w:color w:val="auto"/>
              </w:rPr>
            </w:pPr>
            <w:r>
              <w:rPr>
                <w:color w:val="auto"/>
              </w:rPr>
              <w:t>√</w:t>
            </w:r>
          </w:p>
        </w:tc>
        <w:tc>
          <w:tcPr>
            <w:tcW w:w="2237" w:type="dxa"/>
            <w:tcBorders>
              <w:tl2br w:val="nil"/>
              <w:tr2bl w:val="nil"/>
            </w:tcBorders>
            <w:noWrap w:val="0"/>
            <w:vAlign w:val="center"/>
          </w:tcPr>
          <w:p w14:paraId="5F375E04">
            <w:pPr>
              <w:pStyle w:val="12"/>
              <w:bidi w:val="0"/>
              <w:rPr>
                <w:color w:val="auto"/>
              </w:rPr>
            </w:pPr>
            <w:r>
              <w:rPr>
                <w:color w:val="auto"/>
              </w:rPr>
              <w:t>√</w:t>
            </w:r>
          </w:p>
        </w:tc>
      </w:tr>
      <w:tr w14:paraId="6C936D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6ABDB786">
            <w:pPr>
              <w:pStyle w:val="12"/>
              <w:bidi w:val="0"/>
              <w:rPr>
                <w:color w:val="auto"/>
              </w:rPr>
            </w:pPr>
            <w:r>
              <w:rPr>
                <w:color w:val="auto"/>
              </w:rPr>
              <w:t>营运期</w:t>
            </w:r>
          </w:p>
        </w:tc>
        <w:tc>
          <w:tcPr>
            <w:tcW w:w="2236" w:type="dxa"/>
            <w:tcBorders>
              <w:tl2br w:val="nil"/>
              <w:tr2bl w:val="nil"/>
            </w:tcBorders>
            <w:noWrap w:val="0"/>
            <w:vAlign w:val="center"/>
          </w:tcPr>
          <w:p w14:paraId="3CA0AE0B">
            <w:pPr>
              <w:pStyle w:val="12"/>
              <w:bidi w:val="0"/>
              <w:rPr>
                <w:color w:val="auto"/>
              </w:rPr>
            </w:pPr>
            <w:r>
              <w:rPr>
                <w:color w:val="auto"/>
              </w:rPr>
              <w:t>√</w:t>
            </w:r>
          </w:p>
        </w:tc>
        <w:tc>
          <w:tcPr>
            <w:tcW w:w="2237" w:type="dxa"/>
            <w:tcBorders>
              <w:tl2br w:val="nil"/>
              <w:tr2bl w:val="nil"/>
            </w:tcBorders>
            <w:noWrap w:val="0"/>
            <w:vAlign w:val="center"/>
          </w:tcPr>
          <w:p w14:paraId="19B3B70D">
            <w:pPr>
              <w:pStyle w:val="12"/>
              <w:bidi w:val="0"/>
              <w:rPr>
                <w:color w:val="auto"/>
              </w:rPr>
            </w:pPr>
            <w:r>
              <w:rPr>
                <w:color w:val="auto"/>
              </w:rPr>
              <w:t>√</w:t>
            </w:r>
          </w:p>
        </w:tc>
        <w:tc>
          <w:tcPr>
            <w:tcW w:w="2237" w:type="dxa"/>
            <w:tcBorders>
              <w:tl2br w:val="nil"/>
              <w:tr2bl w:val="nil"/>
            </w:tcBorders>
            <w:noWrap w:val="0"/>
            <w:vAlign w:val="center"/>
          </w:tcPr>
          <w:p w14:paraId="4B5DB263">
            <w:pPr>
              <w:pStyle w:val="12"/>
              <w:bidi w:val="0"/>
              <w:rPr>
                <w:color w:val="auto"/>
              </w:rPr>
            </w:pPr>
            <w:r>
              <w:rPr>
                <w:color w:val="auto"/>
              </w:rPr>
              <w:t>√</w:t>
            </w:r>
          </w:p>
        </w:tc>
      </w:tr>
      <w:tr w14:paraId="1E429A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6AB1441B">
            <w:pPr>
              <w:pStyle w:val="12"/>
              <w:bidi w:val="0"/>
              <w:rPr>
                <w:color w:val="auto"/>
              </w:rPr>
            </w:pPr>
            <w:r>
              <w:rPr>
                <w:color w:val="auto"/>
              </w:rPr>
              <w:t>服务期满后</w:t>
            </w:r>
          </w:p>
        </w:tc>
        <w:tc>
          <w:tcPr>
            <w:tcW w:w="2236" w:type="dxa"/>
            <w:tcBorders>
              <w:tl2br w:val="nil"/>
              <w:tr2bl w:val="nil"/>
            </w:tcBorders>
            <w:noWrap w:val="0"/>
            <w:vAlign w:val="center"/>
          </w:tcPr>
          <w:p w14:paraId="6C6B22D9">
            <w:pPr>
              <w:pStyle w:val="12"/>
              <w:bidi w:val="0"/>
              <w:rPr>
                <w:color w:val="auto"/>
              </w:rPr>
            </w:pPr>
            <w:r>
              <w:rPr>
                <w:color w:val="auto"/>
              </w:rPr>
              <w:t>/</w:t>
            </w:r>
          </w:p>
        </w:tc>
        <w:tc>
          <w:tcPr>
            <w:tcW w:w="2237" w:type="dxa"/>
            <w:tcBorders>
              <w:tl2br w:val="nil"/>
              <w:tr2bl w:val="nil"/>
            </w:tcBorders>
            <w:noWrap w:val="0"/>
            <w:vAlign w:val="center"/>
          </w:tcPr>
          <w:p w14:paraId="08E24DF7">
            <w:pPr>
              <w:pStyle w:val="12"/>
              <w:bidi w:val="0"/>
              <w:rPr>
                <w:color w:val="auto"/>
              </w:rPr>
            </w:pPr>
            <w:r>
              <w:rPr>
                <w:color w:val="auto"/>
              </w:rPr>
              <w:t>/</w:t>
            </w:r>
          </w:p>
        </w:tc>
        <w:tc>
          <w:tcPr>
            <w:tcW w:w="2237" w:type="dxa"/>
            <w:tcBorders>
              <w:tl2br w:val="nil"/>
              <w:tr2bl w:val="nil"/>
            </w:tcBorders>
            <w:noWrap w:val="0"/>
            <w:vAlign w:val="center"/>
          </w:tcPr>
          <w:p w14:paraId="75F70447">
            <w:pPr>
              <w:pStyle w:val="12"/>
              <w:bidi w:val="0"/>
              <w:rPr>
                <w:color w:val="auto"/>
              </w:rPr>
            </w:pPr>
            <w:r>
              <w:rPr>
                <w:color w:val="auto"/>
              </w:rPr>
              <w:t>/</w:t>
            </w:r>
          </w:p>
        </w:tc>
      </w:tr>
    </w:tbl>
    <w:p w14:paraId="319F05BD">
      <w:pPr>
        <w:pStyle w:val="190"/>
        <w:pageBreakBefore w:val="0"/>
        <w:wordWrap/>
        <w:bidi w:val="0"/>
        <w:adjustRightInd/>
        <w:snapToGrid/>
        <w:spacing w:line="240" w:lineRule="auto"/>
        <w:ind w:firstLine="480"/>
        <w:rPr>
          <w:color w:val="auto"/>
        </w:rPr>
      </w:pPr>
    </w:p>
    <w:p w14:paraId="44E5E7FF">
      <w:pPr>
        <w:pageBreakBefore w:val="0"/>
        <w:wordWrap/>
        <w:bidi w:val="0"/>
        <w:adjustRightInd/>
        <w:snapToGrid/>
        <w:ind w:firstLine="480"/>
        <w:textAlignment w:val="center"/>
        <w:rPr>
          <w:color w:val="auto"/>
          <w:kern w:val="0"/>
        </w:rPr>
      </w:pPr>
      <w:r>
        <w:rPr>
          <w:color w:val="auto"/>
          <w:kern w:val="0"/>
        </w:rPr>
        <w:t>项目土壤环境影响源及影响因子识别见下表。</w:t>
      </w:r>
    </w:p>
    <w:p w14:paraId="34E7F5BA">
      <w:pPr>
        <w:pStyle w:val="15"/>
        <w:numPr>
          <w:ilvl w:val="0"/>
          <w:numId w:val="31"/>
        </w:numPr>
        <w:bidi w:val="0"/>
        <w:ind w:left="0" w:leftChars="0" w:firstLine="0" w:firstLineChars="0"/>
        <w:rPr>
          <w:color w:val="auto"/>
        </w:rPr>
      </w:pPr>
      <w:r>
        <w:rPr>
          <w:color w:val="auto"/>
        </w:rPr>
        <w:t>本项目土壤环境影响源及影响因子识别表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26"/>
        <w:gridCol w:w="1811"/>
        <w:gridCol w:w="1093"/>
        <w:gridCol w:w="1639"/>
        <w:gridCol w:w="1093"/>
        <w:gridCol w:w="784"/>
      </w:tblGrid>
      <w:tr w14:paraId="3985E1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582B69B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污染源</w:t>
            </w:r>
          </w:p>
        </w:tc>
        <w:tc>
          <w:tcPr>
            <w:tcW w:w="1811" w:type="dxa"/>
            <w:tcBorders>
              <w:tl2br w:val="nil"/>
              <w:tr2bl w:val="nil"/>
            </w:tcBorders>
            <w:noWrap w:val="0"/>
            <w:vAlign w:val="center"/>
          </w:tcPr>
          <w:p w14:paraId="30B24CF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工艺流程/节点</w:t>
            </w:r>
          </w:p>
        </w:tc>
        <w:tc>
          <w:tcPr>
            <w:tcW w:w="1093" w:type="dxa"/>
            <w:tcBorders>
              <w:tl2br w:val="nil"/>
              <w:tr2bl w:val="nil"/>
            </w:tcBorders>
            <w:noWrap w:val="0"/>
            <w:vAlign w:val="center"/>
          </w:tcPr>
          <w:p w14:paraId="490ABC0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污染途径</w:t>
            </w:r>
          </w:p>
        </w:tc>
        <w:tc>
          <w:tcPr>
            <w:tcW w:w="1639" w:type="dxa"/>
            <w:tcBorders>
              <w:tl2br w:val="nil"/>
              <w:tr2bl w:val="nil"/>
            </w:tcBorders>
            <w:noWrap w:val="0"/>
            <w:vAlign w:val="center"/>
          </w:tcPr>
          <w:p w14:paraId="6994AB9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全部污染指标</w:t>
            </w:r>
            <w:r>
              <w:rPr>
                <w:b/>
                <w:bCs w:val="0"/>
                <w:color w:val="auto"/>
                <w:sz w:val="21"/>
                <w:szCs w:val="21"/>
                <w:vertAlign w:val="superscript"/>
              </w:rPr>
              <w:t>a</w:t>
            </w:r>
          </w:p>
        </w:tc>
        <w:tc>
          <w:tcPr>
            <w:tcW w:w="1093" w:type="dxa"/>
            <w:tcBorders>
              <w:tl2br w:val="nil"/>
              <w:tr2bl w:val="nil"/>
            </w:tcBorders>
            <w:noWrap w:val="0"/>
            <w:vAlign w:val="center"/>
          </w:tcPr>
          <w:p w14:paraId="33107A8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特征因子</w:t>
            </w:r>
          </w:p>
        </w:tc>
        <w:tc>
          <w:tcPr>
            <w:tcW w:w="784" w:type="dxa"/>
            <w:tcBorders>
              <w:tl2br w:val="nil"/>
              <w:tr2bl w:val="nil"/>
            </w:tcBorders>
            <w:noWrap w:val="0"/>
            <w:vAlign w:val="center"/>
          </w:tcPr>
          <w:p w14:paraId="61FE996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备注</w:t>
            </w:r>
            <w:r>
              <w:rPr>
                <w:b/>
                <w:bCs w:val="0"/>
                <w:color w:val="auto"/>
                <w:sz w:val="21"/>
                <w:szCs w:val="21"/>
                <w:vertAlign w:val="superscript"/>
              </w:rPr>
              <w:t>b</w:t>
            </w:r>
          </w:p>
        </w:tc>
      </w:tr>
      <w:tr w14:paraId="290309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74ECD969">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污水处理单元</w:t>
            </w:r>
            <w:r>
              <w:rPr>
                <w:color w:val="auto"/>
                <w:sz w:val="21"/>
                <w:szCs w:val="21"/>
              </w:rPr>
              <w:t>、生物除臭</w:t>
            </w:r>
          </w:p>
        </w:tc>
        <w:tc>
          <w:tcPr>
            <w:tcW w:w="1811" w:type="dxa"/>
            <w:tcBorders>
              <w:tl2br w:val="nil"/>
              <w:tr2bl w:val="nil"/>
            </w:tcBorders>
            <w:noWrap w:val="0"/>
            <w:vAlign w:val="center"/>
          </w:tcPr>
          <w:p w14:paraId="0CB043FC">
            <w:pPr>
              <w:pageBreakBefore w:val="0"/>
              <w:wordWrap/>
              <w:bidi w:val="0"/>
              <w:adjustRightInd/>
              <w:snapToGrid/>
              <w:spacing w:line="240" w:lineRule="auto"/>
              <w:ind w:firstLine="0" w:firstLineChars="0"/>
              <w:jc w:val="center"/>
              <w:rPr>
                <w:color w:val="auto"/>
                <w:sz w:val="21"/>
                <w:szCs w:val="21"/>
              </w:rPr>
            </w:pPr>
            <w:r>
              <w:rPr>
                <w:color w:val="auto"/>
                <w:sz w:val="21"/>
                <w:szCs w:val="21"/>
              </w:rPr>
              <w:t>污水前处理、生化处理、污泥部分以及恶臭处理</w:t>
            </w:r>
          </w:p>
        </w:tc>
        <w:tc>
          <w:tcPr>
            <w:tcW w:w="1093" w:type="dxa"/>
            <w:tcBorders>
              <w:tl2br w:val="nil"/>
              <w:tr2bl w:val="nil"/>
            </w:tcBorders>
            <w:noWrap w:val="0"/>
            <w:vAlign w:val="center"/>
          </w:tcPr>
          <w:p w14:paraId="335AC885">
            <w:pPr>
              <w:pageBreakBefore w:val="0"/>
              <w:wordWrap/>
              <w:bidi w:val="0"/>
              <w:adjustRightInd/>
              <w:snapToGrid/>
              <w:spacing w:line="240" w:lineRule="auto"/>
              <w:ind w:firstLine="0" w:firstLineChars="0"/>
              <w:jc w:val="center"/>
              <w:rPr>
                <w:color w:val="auto"/>
                <w:sz w:val="21"/>
                <w:szCs w:val="21"/>
              </w:rPr>
            </w:pPr>
            <w:r>
              <w:rPr>
                <w:color w:val="auto"/>
                <w:sz w:val="21"/>
                <w:szCs w:val="21"/>
              </w:rPr>
              <w:t>大气沉降</w:t>
            </w:r>
          </w:p>
        </w:tc>
        <w:tc>
          <w:tcPr>
            <w:tcW w:w="1639" w:type="dxa"/>
            <w:tcBorders>
              <w:tl2br w:val="nil"/>
              <w:tr2bl w:val="nil"/>
            </w:tcBorders>
            <w:noWrap w:val="0"/>
            <w:vAlign w:val="center"/>
          </w:tcPr>
          <w:p w14:paraId="40D32B1C">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、H</w:t>
            </w:r>
            <w:r>
              <w:rPr>
                <w:color w:val="auto"/>
                <w:sz w:val="21"/>
                <w:szCs w:val="21"/>
                <w:vertAlign w:val="subscript"/>
              </w:rPr>
              <w:t>2</w:t>
            </w:r>
            <w:r>
              <w:rPr>
                <w:color w:val="auto"/>
                <w:sz w:val="21"/>
                <w:szCs w:val="21"/>
              </w:rPr>
              <w:t>S</w:t>
            </w:r>
          </w:p>
        </w:tc>
        <w:tc>
          <w:tcPr>
            <w:tcW w:w="1093" w:type="dxa"/>
            <w:tcBorders>
              <w:tl2br w:val="nil"/>
              <w:tr2bl w:val="nil"/>
            </w:tcBorders>
            <w:noWrap w:val="0"/>
            <w:vAlign w:val="center"/>
          </w:tcPr>
          <w:p w14:paraId="21DBDEE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84" w:type="dxa"/>
            <w:tcBorders>
              <w:tl2br w:val="nil"/>
              <w:tr2bl w:val="nil"/>
            </w:tcBorders>
            <w:noWrap w:val="0"/>
            <w:vAlign w:val="center"/>
          </w:tcPr>
          <w:p w14:paraId="41383DDB">
            <w:pPr>
              <w:pageBreakBefore w:val="0"/>
              <w:wordWrap/>
              <w:bidi w:val="0"/>
              <w:adjustRightInd/>
              <w:snapToGrid/>
              <w:spacing w:line="240" w:lineRule="auto"/>
              <w:ind w:firstLine="0" w:firstLineChars="0"/>
              <w:jc w:val="center"/>
              <w:rPr>
                <w:color w:val="auto"/>
                <w:sz w:val="21"/>
                <w:szCs w:val="21"/>
              </w:rPr>
            </w:pPr>
            <w:r>
              <w:rPr>
                <w:color w:val="auto"/>
                <w:sz w:val="21"/>
                <w:szCs w:val="21"/>
              </w:rPr>
              <w:t>连续</w:t>
            </w:r>
          </w:p>
        </w:tc>
      </w:tr>
      <w:tr w14:paraId="377155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4B5F49A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污水处理单元</w:t>
            </w:r>
            <w:r>
              <w:rPr>
                <w:color w:val="auto"/>
                <w:sz w:val="21"/>
                <w:szCs w:val="21"/>
              </w:rPr>
              <w:t>、脱水间、生物除臭、加药间、危废暂存间、污水输送管道</w:t>
            </w:r>
            <w:r>
              <w:rPr>
                <w:rFonts w:hint="eastAsia"/>
                <w:color w:val="auto"/>
                <w:sz w:val="21"/>
                <w:szCs w:val="21"/>
                <w:lang w:val="en-US" w:eastAsia="zh-CN"/>
              </w:rPr>
              <w:t>等</w:t>
            </w:r>
          </w:p>
        </w:tc>
        <w:tc>
          <w:tcPr>
            <w:tcW w:w="1811" w:type="dxa"/>
            <w:tcBorders>
              <w:tl2br w:val="nil"/>
              <w:tr2bl w:val="nil"/>
            </w:tcBorders>
            <w:noWrap w:val="0"/>
            <w:vAlign w:val="center"/>
          </w:tcPr>
          <w:p w14:paraId="6EF4EEB0">
            <w:pPr>
              <w:pageBreakBefore w:val="0"/>
              <w:wordWrap/>
              <w:bidi w:val="0"/>
              <w:adjustRightInd/>
              <w:snapToGrid/>
              <w:spacing w:line="240" w:lineRule="auto"/>
              <w:ind w:firstLine="0" w:firstLineChars="0"/>
              <w:jc w:val="center"/>
              <w:rPr>
                <w:color w:val="auto"/>
                <w:sz w:val="21"/>
                <w:szCs w:val="21"/>
              </w:rPr>
            </w:pPr>
            <w:r>
              <w:rPr>
                <w:color w:val="auto"/>
                <w:sz w:val="21"/>
                <w:szCs w:val="21"/>
              </w:rPr>
              <w:t>污水处理全过程</w:t>
            </w:r>
          </w:p>
        </w:tc>
        <w:tc>
          <w:tcPr>
            <w:tcW w:w="1093" w:type="dxa"/>
            <w:tcBorders>
              <w:tl2br w:val="nil"/>
              <w:tr2bl w:val="nil"/>
            </w:tcBorders>
            <w:noWrap w:val="0"/>
            <w:vAlign w:val="center"/>
          </w:tcPr>
          <w:p w14:paraId="194C69C3">
            <w:pPr>
              <w:pageBreakBefore w:val="0"/>
              <w:wordWrap/>
              <w:bidi w:val="0"/>
              <w:adjustRightInd/>
              <w:snapToGrid/>
              <w:spacing w:line="240" w:lineRule="auto"/>
              <w:ind w:firstLine="0" w:firstLineChars="0"/>
              <w:jc w:val="center"/>
              <w:rPr>
                <w:color w:val="auto"/>
                <w:sz w:val="21"/>
                <w:szCs w:val="21"/>
              </w:rPr>
            </w:pPr>
            <w:r>
              <w:rPr>
                <w:color w:val="auto"/>
                <w:sz w:val="21"/>
                <w:szCs w:val="21"/>
              </w:rPr>
              <w:t>垂直渗入</w:t>
            </w:r>
          </w:p>
        </w:tc>
        <w:tc>
          <w:tcPr>
            <w:tcW w:w="1639" w:type="dxa"/>
            <w:tcBorders>
              <w:tl2br w:val="nil"/>
              <w:tr2bl w:val="nil"/>
            </w:tcBorders>
            <w:noWrap w:val="0"/>
            <w:vAlign w:val="center"/>
          </w:tcPr>
          <w:p w14:paraId="5AC839EA">
            <w:pPr>
              <w:pageBreakBefore w:val="0"/>
              <w:pBdr>
                <w:top w:val="none" w:color="auto" w:sz="0" w:space="1"/>
                <w:left w:val="none" w:color="auto" w:sz="0" w:space="4"/>
                <w:bottom w:val="none" w:color="auto" w:sz="0" w:space="1"/>
                <w:right w:val="none" w:color="auto" w:sz="0" w:space="4"/>
              </w:pBdr>
              <w:wordWrap/>
              <w:bidi w:val="0"/>
              <w:adjustRightInd/>
              <w:snapToGrid/>
              <w:spacing w:line="240" w:lineRule="auto"/>
              <w:ind w:firstLine="0" w:firstLineChars="0"/>
              <w:jc w:val="center"/>
              <w:rPr>
                <w:color w:val="auto"/>
                <w:sz w:val="21"/>
                <w:szCs w:val="21"/>
              </w:rPr>
            </w:pPr>
            <w:r>
              <w:rPr>
                <w:color w:val="auto"/>
                <w:sz w:val="21"/>
                <w:szCs w:val="21"/>
              </w:rPr>
              <w:t>COD、BOD、氨氮、总氮、总磷、SS</w:t>
            </w:r>
          </w:p>
        </w:tc>
        <w:tc>
          <w:tcPr>
            <w:tcW w:w="1093" w:type="dxa"/>
            <w:tcBorders>
              <w:tl2br w:val="nil"/>
              <w:tr2bl w:val="nil"/>
            </w:tcBorders>
            <w:noWrap w:val="0"/>
            <w:vAlign w:val="center"/>
          </w:tcPr>
          <w:p w14:paraId="48F1C24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石油类、甲醛</w:t>
            </w:r>
          </w:p>
        </w:tc>
        <w:tc>
          <w:tcPr>
            <w:tcW w:w="784" w:type="dxa"/>
            <w:tcBorders>
              <w:tl2br w:val="nil"/>
              <w:tr2bl w:val="nil"/>
            </w:tcBorders>
            <w:noWrap w:val="0"/>
            <w:vAlign w:val="center"/>
          </w:tcPr>
          <w:p w14:paraId="1996F58F">
            <w:pPr>
              <w:pageBreakBefore w:val="0"/>
              <w:wordWrap/>
              <w:bidi w:val="0"/>
              <w:adjustRightInd/>
              <w:snapToGrid/>
              <w:spacing w:line="240" w:lineRule="auto"/>
              <w:ind w:firstLine="0" w:firstLineChars="0"/>
              <w:jc w:val="center"/>
              <w:rPr>
                <w:color w:val="auto"/>
                <w:sz w:val="21"/>
                <w:szCs w:val="21"/>
              </w:rPr>
            </w:pPr>
            <w:r>
              <w:rPr>
                <w:color w:val="auto"/>
                <w:sz w:val="21"/>
                <w:szCs w:val="21"/>
              </w:rPr>
              <w:t>事故</w:t>
            </w:r>
          </w:p>
        </w:tc>
      </w:tr>
      <w:tr w14:paraId="5A3F7B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946" w:type="dxa"/>
            <w:gridSpan w:val="6"/>
            <w:tcBorders>
              <w:tl2br w:val="nil"/>
              <w:tr2bl w:val="nil"/>
            </w:tcBorders>
            <w:noWrap w:val="0"/>
            <w:vAlign w:val="center"/>
          </w:tcPr>
          <w:p w14:paraId="5A2319DE">
            <w:pPr>
              <w:pageBreakBefore w:val="0"/>
              <w:wordWrap/>
              <w:bidi w:val="0"/>
              <w:adjustRightInd/>
              <w:snapToGrid/>
              <w:spacing w:line="240" w:lineRule="auto"/>
              <w:ind w:firstLine="0" w:firstLineChars="0"/>
              <w:rPr>
                <w:color w:val="auto"/>
                <w:sz w:val="21"/>
                <w:szCs w:val="21"/>
              </w:rPr>
            </w:pPr>
            <w:r>
              <w:rPr>
                <w:color w:val="auto"/>
                <w:sz w:val="21"/>
                <w:szCs w:val="21"/>
              </w:rPr>
              <w:t>注：a根据工程分析结果填写</w:t>
            </w:r>
          </w:p>
          <w:p w14:paraId="42FD1A7B">
            <w:pPr>
              <w:pageBreakBefore w:val="0"/>
              <w:wordWrap/>
              <w:bidi w:val="0"/>
              <w:adjustRightInd/>
              <w:snapToGrid/>
              <w:spacing w:line="240" w:lineRule="auto"/>
              <w:ind w:firstLine="0" w:firstLineChars="0"/>
              <w:rPr>
                <w:color w:val="auto"/>
                <w:sz w:val="21"/>
                <w:szCs w:val="21"/>
              </w:rPr>
            </w:pPr>
            <w:r>
              <w:rPr>
                <w:color w:val="auto"/>
                <w:sz w:val="21"/>
                <w:szCs w:val="21"/>
              </w:rPr>
              <w:t>b应描述污染源特征，如连续、间断、正常、事故等；设计大气沉降途径的，应识别建设项目周边的土壤环境敏感目标。</w:t>
            </w:r>
          </w:p>
        </w:tc>
      </w:tr>
    </w:tbl>
    <w:p w14:paraId="199DD6C8">
      <w:pPr>
        <w:pStyle w:val="6"/>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评价等级和评价范围</w:t>
      </w:r>
    </w:p>
    <w:p w14:paraId="40BDE139">
      <w:pPr>
        <w:pStyle w:val="190"/>
        <w:pageBreakBefore w:val="0"/>
        <w:wordWrap/>
        <w:bidi w:val="0"/>
        <w:adjustRightInd/>
        <w:snapToGrid/>
        <w:ind w:firstLine="480"/>
        <w:rPr>
          <w:color w:val="auto"/>
        </w:rPr>
      </w:pPr>
      <w:r>
        <w:rPr>
          <w:color w:val="auto"/>
        </w:rPr>
        <w:t>本项目为工业污水处理工程，属于《环境影响评价技术导则 土壤环境（试行）》（HJ964-2018）附录A中</w:t>
      </w:r>
      <w:r>
        <w:rPr>
          <w:rFonts w:hint="eastAsia"/>
          <w:color w:val="auto"/>
          <w:lang w:eastAsia="zh-CN"/>
        </w:rPr>
        <w:t>“</w:t>
      </w:r>
      <w:r>
        <w:rPr>
          <w:color w:val="auto"/>
        </w:rPr>
        <w:t>电力热力燃气及水生产和供应业</w:t>
      </w:r>
      <w:r>
        <w:rPr>
          <w:rFonts w:hint="eastAsia"/>
          <w:color w:val="auto"/>
          <w:lang w:eastAsia="zh-CN"/>
        </w:rPr>
        <w:t>”</w:t>
      </w:r>
      <w:r>
        <w:rPr>
          <w:color w:val="auto"/>
        </w:rPr>
        <w:t>中</w:t>
      </w:r>
      <w:r>
        <w:rPr>
          <w:rFonts w:hint="eastAsia"/>
          <w:color w:val="auto"/>
          <w:lang w:eastAsia="zh-CN"/>
        </w:rPr>
        <w:t>“</w:t>
      </w:r>
      <w:r>
        <w:rPr>
          <w:color w:val="auto"/>
        </w:rPr>
        <w:t>工业废水处理</w:t>
      </w:r>
      <w:r>
        <w:rPr>
          <w:rFonts w:hint="eastAsia"/>
          <w:color w:val="auto"/>
          <w:lang w:eastAsia="zh-CN"/>
        </w:rPr>
        <w:t>”</w:t>
      </w:r>
      <w:r>
        <w:rPr>
          <w:color w:val="auto"/>
        </w:rPr>
        <w:t>项目，因此本项目土壤环境影响评价项目类别为Ⅱ类。项目所在地周边</w:t>
      </w:r>
      <w:r>
        <w:rPr>
          <w:rFonts w:hint="eastAsia"/>
          <w:color w:val="auto"/>
          <w:lang w:eastAsia="zh-CN"/>
        </w:rPr>
        <w:t>有</w:t>
      </w:r>
      <w:r>
        <w:rPr>
          <w:rFonts w:hint="eastAsia"/>
          <w:color w:val="auto"/>
          <w:lang w:val="en-US" w:eastAsia="zh-CN"/>
        </w:rPr>
        <w:t>散居居民</w:t>
      </w:r>
      <w:r>
        <w:rPr>
          <w:color w:val="auto"/>
        </w:rPr>
        <w:t>，因此土壤敏感程度为敏感。项目占地面积属于小型规模。因此本项目土壤环境评价等级为</w:t>
      </w:r>
      <w:r>
        <w:rPr>
          <w:rFonts w:hint="eastAsia"/>
          <w:color w:val="auto"/>
          <w:lang w:val="en-US" w:eastAsia="zh-CN"/>
        </w:rPr>
        <w:t>二</w:t>
      </w:r>
      <w:r>
        <w:rPr>
          <w:color w:val="auto"/>
        </w:rPr>
        <w:t>级。项目属污染影响型，土壤评价范围为项目所在地及周边</w:t>
      </w:r>
      <w:r>
        <w:rPr>
          <w:rFonts w:hint="eastAsia"/>
          <w:color w:val="auto"/>
          <w:lang w:val="en-US" w:eastAsia="zh-CN"/>
        </w:rPr>
        <w:t>20</w:t>
      </w:r>
      <w:r>
        <w:rPr>
          <w:color w:val="auto"/>
        </w:rPr>
        <w:t>0m范围。</w:t>
      </w:r>
    </w:p>
    <w:p w14:paraId="4FB4C878">
      <w:pPr>
        <w:pStyle w:val="6"/>
        <w:pageBreakBefore w:val="0"/>
        <w:wordWrap/>
        <w:bidi w:val="0"/>
        <w:adjustRightInd/>
        <w:snapToGrid/>
        <w:rPr>
          <w:color w:val="auto"/>
        </w:rPr>
      </w:pPr>
      <w:r>
        <w:rPr>
          <w:color w:val="auto"/>
        </w:rPr>
        <w:t>土壤现状调查</w:t>
      </w:r>
    </w:p>
    <w:p w14:paraId="24ABA157">
      <w:pPr>
        <w:pageBreakBefore w:val="0"/>
        <w:wordWrap/>
        <w:bidi w:val="0"/>
        <w:adjustRightInd/>
        <w:snapToGrid/>
        <w:ind w:firstLine="480"/>
        <w:rPr>
          <w:color w:val="auto"/>
        </w:rPr>
      </w:pPr>
      <w:r>
        <w:rPr>
          <w:color w:val="auto"/>
        </w:rPr>
        <w:t>1、土地利用现状及规划</w:t>
      </w:r>
    </w:p>
    <w:p w14:paraId="3F6C6C6E">
      <w:pPr>
        <w:pageBreakBefore w:val="0"/>
        <w:wordWrap/>
        <w:bidi w:val="0"/>
        <w:adjustRightInd/>
        <w:snapToGrid/>
        <w:ind w:firstLine="480"/>
        <w:rPr>
          <w:color w:val="auto"/>
        </w:rPr>
      </w:pPr>
      <w:r>
        <w:rPr>
          <w:color w:val="auto"/>
        </w:rPr>
        <w:t>本项目位于</w:t>
      </w:r>
      <w:r>
        <w:rPr>
          <w:rFonts w:hint="eastAsia"/>
          <w:color w:val="auto"/>
          <w:lang w:eastAsia="zh-CN"/>
        </w:rPr>
        <w:t>巴中市巴州区</w:t>
      </w:r>
      <w:r>
        <w:rPr>
          <w:color w:val="auto"/>
        </w:rPr>
        <w:t>内，根据现场调查，项目周边为</w:t>
      </w:r>
      <w:r>
        <w:rPr>
          <w:rFonts w:hint="eastAsia"/>
          <w:color w:val="auto"/>
          <w:lang w:val="en-US" w:eastAsia="zh-CN"/>
        </w:rPr>
        <w:t>耕地和林地</w:t>
      </w:r>
      <w:r>
        <w:rPr>
          <w:color w:val="auto"/>
        </w:rPr>
        <w:t>。本项目用地性质为公共设施用地。</w:t>
      </w:r>
    </w:p>
    <w:p w14:paraId="68331D7B">
      <w:pPr>
        <w:pStyle w:val="304"/>
        <w:pageBreakBefore w:val="0"/>
        <w:wordWrap/>
        <w:bidi w:val="0"/>
        <w:adjustRightInd/>
        <w:snapToGrid/>
        <w:rPr>
          <w:color w:val="auto"/>
        </w:rPr>
      </w:pPr>
      <w:r>
        <w:rPr>
          <w:color w:val="auto"/>
        </w:rPr>
        <w:t>2、土壤理化性质调查</w:t>
      </w:r>
    </w:p>
    <w:p w14:paraId="63AE7434">
      <w:pPr>
        <w:pStyle w:val="190"/>
        <w:pageBreakBefore w:val="0"/>
        <w:wordWrap/>
        <w:bidi w:val="0"/>
        <w:adjustRightInd/>
        <w:snapToGrid/>
        <w:ind w:firstLine="480"/>
        <w:rPr>
          <w:color w:val="auto"/>
        </w:rPr>
      </w:pPr>
      <w:r>
        <w:rPr>
          <w:color w:val="auto"/>
        </w:rPr>
        <w:t>根据监测，项目区域土壤环境质量满足《土壤环境质量 建设用地土壤污染风险管控标准》（GB36600-2018）二类用地筛选值标准要求。</w:t>
      </w:r>
    </w:p>
    <w:p w14:paraId="3CA43BEF">
      <w:pPr>
        <w:pStyle w:val="6"/>
        <w:pageBreakBefore w:val="0"/>
        <w:wordWrap/>
        <w:bidi w:val="0"/>
        <w:adjustRightInd/>
        <w:snapToGrid/>
        <w:rPr>
          <w:color w:val="auto"/>
        </w:rPr>
      </w:pPr>
      <w:r>
        <w:rPr>
          <w:color w:val="auto"/>
        </w:rPr>
        <w:t>土壤污染防治措施及影响分析</w:t>
      </w:r>
    </w:p>
    <w:p w14:paraId="1A333792">
      <w:pPr>
        <w:pageBreakBefore w:val="0"/>
        <w:wordWrap/>
        <w:bidi w:val="0"/>
        <w:adjustRightInd/>
        <w:snapToGrid/>
        <w:ind w:firstLine="482"/>
        <w:textAlignment w:val="center"/>
        <w:rPr>
          <w:b/>
          <w:color w:val="auto"/>
          <w:kern w:val="0"/>
          <w:szCs w:val="20"/>
        </w:rPr>
      </w:pPr>
      <w:r>
        <w:rPr>
          <w:b/>
          <w:color w:val="auto"/>
          <w:kern w:val="0"/>
          <w:szCs w:val="20"/>
        </w:rPr>
        <w:t>1、源头控制措施</w:t>
      </w:r>
    </w:p>
    <w:p w14:paraId="7814342F">
      <w:pPr>
        <w:pageBreakBefore w:val="0"/>
        <w:wordWrap/>
        <w:bidi w:val="0"/>
        <w:adjustRightInd/>
        <w:snapToGrid/>
        <w:ind w:firstLine="480"/>
        <w:textAlignment w:val="center"/>
        <w:rPr>
          <w:color w:val="auto"/>
          <w:kern w:val="0"/>
          <w:szCs w:val="20"/>
        </w:rPr>
      </w:pPr>
      <w:r>
        <w:rPr>
          <w:color w:val="auto"/>
          <w:kern w:val="0"/>
          <w:szCs w:val="20"/>
        </w:rPr>
        <w:t>从污水输送、处理、污染处理装置等全过程控制污水泄漏（含跑、冒、滴、漏），同时对有害物质可能泄漏到地面的区域采取防渗措施，阻止其进入土壤中，即从源头到末端全方位采取控制措施，防止项目的建设对土壤造成污染。</w:t>
      </w:r>
    </w:p>
    <w:p w14:paraId="0E385D7F">
      <w:pPr>
        <w:pageBreakBefore w:val="0"/>
        <w:wordWrap/>
        <w:bidi w:val="0"/>
        <w:adjustRightInd/>
        <w:snapToGrid/>
        <w:ind w:firstLine="480"/>
        <w:textAlignment w:val="center"/>
        <w:rPr>
          <w:color w:val="auto"/>
          <w:kern w:val="0"/>
          <w:szCs w:val="20"/>
        </w:rPr>
      </w:pPr>
      <w:r>
        <w:rPr>
          <w:color w:val="auto"/>
          <w:kern w:val="0"/>
          <w:szCs w:val="20"/>
        </w:rPr>
        <w:t>从生产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硬化处理的地面有效阻止污染物的下渗。</w:t>
      </w:r>
    </w:p>
    <w:p w14:paraId="371BC9F5">
      <w:pPr>
        <w:pageBreakBefore w:val="0"/>
        <w:wordWrap/>
        <w:bidi w:val="0"/>
        <w:adjustRightInd/>
        <w:snapToGrid/>
        <w:ind w:firstLine="482"/>
        <w:textAlignment w:val="center"/>
        <w:rPr>
          <w:b/>
          <w:color w:val="auto"/>
          <w:kern w:val="0"/>
          <w:szCs w:val="20"/>
        </w:rPr>
      </w:pPr>
      <w:r>
        <w:rPr>
          <w:b/>
          <w:color w:val="auto"/>
          <w:kern w:val="0"/>
          <w:szCs w:val="20"/>
        </w:rPr>
        <w:t>2、过程控制措施</w:t>
      </w:r>
    </w:p>
    <w:p w14:paraId="30FA29AC">
      <w:pPr>
        <w:pageBreakBefore w:val="0"/>
        <w:wordWrap/>
        <w:bidi w:val="0"/>
        <w:adjustRightInd/>
        <w:snapToGrid/>
        <w:ind w:firstLine="480"/>
        <w:textAlignment w:val="center"/>
        <w:rPr>
          <w:color w:val="auto"/>
          <w:kern w:val="0"/>
          <w:szCs w:val="20"/>
        </w:rPr>
      </w:pPr>
      <w:r>
        <w:rPr>
          <w:color w:val="auto"/>
          <w:kern w:val="0"/>
          <w:szCs w:val="20"/>
        </w:rPr>
        <w:t>从大气沉降、地面漫流、垂直入渗三个途径分别进行控制。</w:t>
      </w:r>
    </w:p>
    <w:p w14:paraId="039CBAFF">
      <w:pPr>
        <w:pageBreakBefore w:val="0"/>
        <w:wordWrap/>
        <w:bidi w:val="0"/>
        <w:adjustRightInd/>
        <w:snapToGrid/>
        <w:ind w:firstLine="480"/>
        <w:textAlignment w:val="center"/>
        <w:rPr>
          <w:color w:val="auto"/>
          <w:kern w:val="0"/>
          <w:szCs w:val="20"/>
        </w:rPr>
      </w:pPr>
      <w:r>
        <w:rPr>
          <w:color w:val="auto"/>
          <w:kern w:val="0"/>
          <w:szCs w:val="20"/>
        </w:rPr>
        <w:t>（1）大气沉降</w:t>
      </w:r>
    </w:p>
    <w:p w14:paraId="163E4F7A">
      <w:pPr>
        <w:pageBreakBefore w:val="0"/>
        <w:wordWrap/>
        <w:bidi w:val="0"/>
        <w:adjustRightInd/>
        <w:snapToGrid/>
        <w:ind w:firstLine="480"/>
        <w:textAlignment w:val="center"/>
        <w:rPr>
          <w:color w:val="auto"/>
          <w:kern w:val="0"/>
          <w:szCs w:val="20"/>
        </w:rPr>
      </w:pPr>
      <w:r>
        <w:rPr>
          <w:color w:val="auto"/>
          <w:kern w:val="0"/>
          <w:szCs w:val="20"/>
        </w:rPr>
        <w:t>本项目针对各类废气污染物采取了对应的治理措施，确保污染物达标排放，具体措施如下：</w:t>
      </w:r>
    </w:p>
    <w:p w14:paraId="5950D8F6">
      <w:pPr>
        <w:pageBreakBefore w:val="0"/>
        <w:wordWrap/>
        <w:bidi w:val="0"/>
        <w:adjustRightInd/>
        <w:snapToGrid/>
        <w:ind w:firstLine="480"/>
        <w:textAlignment w:val="center"/>
        <w:rPr>
          <w:color w:val="auto"/>
          <w:kern w:val="0"/>
          <w:szCs w:val="20"/>
        </w:rPr>
      </w:pPr>
      <w:r>
        <w:rPr>
          <w:color w:val="auto"/>
          <w:kern w:val="0"/>
          <w:szCs w:val="20"/>
        </w:rPr>
        <w:t>项目厂区内设置</w:t>
      </w:r>
      <w:r>
        <w:rPr>
          <w:rFonts w:hint="eastAsia"/>
          <w:color w:val="auto"/>
          <w:kern w:val="0"/>
          <w:szCs w:val="20"/>
          <w:lang w:val="en-US" w:eastAsia="zh-CN"/>
        </w:rPr>
        <w:t>1</w:t>
      </w:r>
      <w:r>
        <w:rPr>
          <w:color w:val="auto"/>
          <w:kern w:val="0"/>
          <w:szCs w:val="20"/>
        </w:rPr>
        <w:t>套生物滤池脱臭装置，同时配备完善的废气收集系统，例如密闭、加盖以及管网等，对项目污水处理过程中产生的恶臭污染物进行处理，处理后的尾气通过15m排气筒排放。经处理后，排气筒排放的NH</w:t>
      </w:r>
      <w:r>
        <w:rPr>
          <w:color w:val="auto"/>
          <w:kern w:val="0"/>
          <w:szCs w:val="20"/>
          <w:vertAlign w:val="subscript"/>
        </w:rPr>
        <w:t>3</w:t>
      </w:r>
      <w:r>
        <w:rPr>
          <w:color w:val="auto"/>
          <w:kern w:val="0"/>
          <w:szCs w:val="20"/>
        </w:rPr>
        <w:t>、H</w:t>
      </w:r>
      <w:r>
        <w:rPr>
          <w:color w:val="auto"/>
          <w:kern w:val="0"/>
          <w:szCs w:val="20"/>
          <w:vertAlign w:val="subscript"/>
        </w:rPr>
        <w:t>2</w:t>
      </w:r>
      <w:r>
        <w:rPr>
          <w:color w:val="auto"/>
          <w:kern w:val="0"/>
          <w:szCs w:val="20"/>
        </w:rPr>
        <w:t>S均能满足《恶臭污染物排放标准》（GB14554-93）标准限值。</w:t>
      </w:r>
    </w:p>
    <w:p w14:paraId="2AA6795C">
      <w:pPr>
        <w:pageBreakBefore w:val="0"/>
        <w:wordWrap/>
        <w:bidi w:val="0"/>
        <w:adjustRightInd/>
        <w:snapToGrid/>
        <w:ind w:firstLine="480"/>
        <w:textAlignment w:val="center"/>
        <w:rPr>
          <w:color w:val="auto"/>
          <w:kern w:val="0"/>
          <w:szCs w:val="20"/>
        </w:rPr>
      </w:pPr>
      <w:r>
        <w:rPr>
          <w:color w:val="auto"/>
          <w:kern w:val="0"/>
          <w:szCs w:val="20"/>
        </w:rPr>
        <w:t>（2）垂直入渗</w:t>
      </w:r>
    </w:p>
    <w:p w14:paraId="66579F18">
      <w:pPr>
        <w:pageBreakBefore w:val="0"/>
        <w:wordWrap/>
        <w:bidi w:val="0"/>
        <w:adjustRightInd/>
        <w:snapToGrid/>
        <w:ind w:firstLine="480"/>
        <w:textAlignment w:val="center"/>
        <w:rPr>
          <w:color w:val="auto"/>
          <w:kern w:val="0"/>
          <w:szCs w:val="20"/>
        </w:rPr>
      </w:pPr>
      <w:r>
        <w:rPr>
          <w:color w:val="auto"/>
          <w:kern w:val="0"/>
          <w:szCs w:val="20"/>
        </w:rPr>
        <w:t>厂区分为重点污染防治区、一般污染防治区和非污染防治区。其中重点污染防治区包括调节池</w:t>
      </w:r>
      <w:r>
        <w:rPr>
          <w:rFonts w:hint="eastAsia"/>
          <w:color w:val="auto"/>
          <w:kern w:val="0"/>
          <w:szCs w:val="20"/>
          <w:lang w:val="en-US" w:eastAsia="zh-CN"/>
        </w:rPr>
        <w:t>-应急事故池</w:t>
      </w:r>
      <w:r>
        <w:rPr>
          <w:color w:val="auto"/>
          <w:kern w:val="0"/>
          <w:szCs w:val="20"/>
        </w:rPr>
        <w:t>、水解酸化池、</w:t>
      </w:r>
      <w:r>
        <w:rPr>
          <w:rFonts w:hint="eastAsia"/>
          <w:color w:val="auto"/>
          <w:kern w:val="0"/>
          <w:szCs w:val="20"/>
          <w:lang w:val="en-US" w:eastAsia="zh-CN"/>
        </w:rPr>
        <w:t>生化池、二沉池</w:t>
      </w:r>
      <w:r>
        <w:rPr>
          <w:color w:val="auto"/>
          <w:kern w:val="0"/>
          <w:szCs w:val="20"/>
        </w:rPr>
        <w:t>、</w:t>
      </w:r>
      <w:r>
        <w:rPr>
          <w:rFonts w:hint="eastAsia"/>
          <w:color w:val="auto"/>
          <w:kern w:val="0"/>
          <w:szCs w:val="20"/>
          <w:lang w:val="en-US" w:eastAsia="zh-CN"/>
        </w:rPr>
        <w:t>磁混凝</w:t>
      </w:r>
      <w:r>
        <w:rPr>
          <w:color w:val="auto"/>
          <w:kern w:val="0"/>
          <w:szCs w:val="20"/>
        </w:rPr>
        <w:t>沉淀池、</w:t>
      </w:r>
      <w:r>
        <w:rPr>
          <w:rFonts w:hint="eastAsia"/>
          <w:color w:val="auto"/>
          <w:kern w:val="0"/>
          <w:szCs w:val="20"/>
          <w:lang w:val="en-US" w:eastAsia="zh-CN"/>
        </w:rPr>
        <w:t>反硝化深床滤池、高级氧化深度处理、</w:t>
      </w:r>
      <w:r>
        <w:rPr>
          <w:rFonts w:hint="eastAsia"/>
          <w:color w:val="auto"/>
          <w:kern w:val="0"/>
          <w:szCs w:val="20"/>
          <w:lang w:eastAsia="zh-CN"/>
        </w:rPr>
        <w:t>污泥池</w:t>
      </w:r>
      <w:r>
        <w:rPr>
          <w:color w:val="auto"/>
          <w:kern w:val="0"/>
          <w:szCs w:val="20"/>
        </w:rPr>
        <w:t>、脱水间、生物除臭、加药间、危废暂存间、污水输送管道等。一般污染防治区指上述重点污染防治区以外的其它设备间、建筑物等，如污水提升泵房、鼓风机房、机修库房、进水流量计井、出水流量计井等。非污染防治区指除重点污染防治区和一般污染</w:t>
      </w:r>
      <w:r>
        <w:rPr>
          <w:rFonts w:hint="eastAsia"/>
          <w:color w:val="auto"/>
          <w:kern w:val="0"/>
          <w:szCs w:val="20"/>
        </w:rPr>
        <w:t>防治</w:t>
      </w:r>
      <w:r>
        <w:rPr>
          <w:color w:val="auto"/>
          <w:kern w:val="0"/>
          <w:szCs w:val="20"/>
        </w:rPr>
        <w:t>区以外的不会对地下水造成污染的区域。主要包括道路、广场、综合楼、大门、门卫室、在线监测房、配电房等。重点防治区地面采用水泥硬化和严格防渗、防腐和防爆措施，池子周围须设置具有强防渗性的围堰和集水沟。企业在管理方面严加管理，并严格落实相应的防渗措施可有效</w:t>
      </w:r>
      <w:r>
        <w:rPr>
          <w:rFonts w:hint="eastAsia"/>
          <w:color w:val="auto"/>
          <w:kern w:val="0"/>
          <w:szCs w:val="20"/>
          <w:lang w:eastAsia="zh-CN"/>
        </w:rPr>
        <w:t>防止</w:t>
      </w:r>
      <w:r>
        <w:rPr>
          <w:color w:val="auto"/>
          <w:kern w:val="0"/>
          <w:szCs w:val="20"/>
        </w:rPr>
        <w:t>污水处理过程中因污水泄漏造成对区域土壤环境的污染。</w:t>
      </w:r>
    </w:p>
    <w:p w14:paraId="73D9C491">
      <w:pPr>
        <w:pStyle w:val="190"/>
        <w:pageBreakBefore w:val="0"/>
        <w:wordWrap/>
        <w:bidi w:val="0"/>
        <w:adjustRightInd/>
        <w:snapToGrid/>
        <w:ind w:firstLine="480"/>
        <w:rPr>
          <w:color w:val="auto"/>
        </w:rPr>
      </w:pPr>
      <w:r>
        <w:rPr>
          <w:color w:val="auto"/>
        </w:rPr>
        <w:t>本项目为污水处理工程，在采取了上述措施以后，相关污染物不会对区域土壤环境质量产生影响。因此，在落实本次环评提出的各项废气治理措施、地下水污染防治措施的情况下，本项目的建设运行不会对区域土壤环境质量产生不良影响，项目的建设运行不会改变区域土壤环境质量功能。</w:t>
      </w:r>
    </w:p>
    <w:p w14:paraId="4DABE3D5">
      <w:pPr>
        <w:pStyle w:val="6"/>
        <w:pageBreakBefore w:val="0"/>
        <w:wordWrap/>
        <w:bidi w:val="0"/>
        <w:adjustRightInd/>
        <w:snapToGrid/>
        <w:rPr>
          <w:color w:val="auto"/>
        </w:rPr>
      </w:pPr>
      <w:r>
        <w:rPr>
          <w:color w:val="auto"/>
        </w:rPr>
        <w:t>土壤影响评价结论</w:t>
      </w:r>
    </w:p>
    <w:p w14:paraId="414FE15B">
      <w:pPr>
        <w:pStyle w:val="304"/>
        <w:pageBreakBefore w:val="0"/>
        <w:wordWrap/>
        <w:bidi w:val="0"/>
        <w:adjustRightInd/>
        <w:snapToGrid/>
        <w:rPr>
          <w:color w:val="auto"/>
        </w:rPr>
      </w:pPr>
      <w:r>
        <w:rPr>
          <w:color w:val="auto"/>
        </w:rPr>
        <w:t>因此，本项目针对各类污染物均采取了对应的污染治理措施，可确保污染物的达标排放及防止渗漏发生，可从源头上控制项目对区域土壤环境的污染源强，确保项目对区域土壤环境的影响处于可接受水平。因此，只要企业严格落实本报告提出的污染防治措施，项目对区域土壤环境影响是可接受的。</w:t>
      </w:r>
    </w:p>
    <w:p w14:paraId="7BEE763D">
      <w:pPr>
        <w:pStyle w:val="15"/>
        <w:numPr>
          <w:ilvl w:val="0"/>
          <w:numId w:val="31"/>
        </w:numPr>
        <w:bidi w:val="0"/>
        <w:ind w:left="0" w:leftChars="0" w:firstLine="0" w:firstLineChars="0"/>
        <w:rPr>
          <w:color w:val="auto"/>
        </w:rPr>
      </w:pPr>
      <w:r>
        <w:rPr>
          <w:rFonts w:hint="eastAsia"/>
          <w:color w:val="auto"/>
        </w:rPr>
        <w:t>土壤环境影响评价自查表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44"/>
        <w:gridCol w:w="1568"/>
        <w:gridCol w:w="1159"/>
        <w:gridCol w:w="1359"/>
        <w:gridCol w:w="878"/>
        <w:gridCol w:w="376"/>
        <w:gridCol w:w="1791"/>
        <w:gridCol w:w="1106"/>
      </w:tblGrid>
      <w:tr w14:paraId="0E380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pct"/>
            <w:gridSpan w:val="2"/>
            <w:tcBorders>
              <w:tl2br w:val="nil"/>
              <w:tr2bl w:val="nil"/>
            </w:tcBorders>
            <w:noWrap w:val="0"/>
            <w:vAlign w:val="center"/>
          </w:tcPr>
          <w:p w14:paraId="3B9C3A3A">
            <w:pPr>
              <w:spacing w:line="240" w:lineRule="auto"/>
              <w:ind w:firstLine="0" w:firstLineChars="0"/>
              <w:jc w:val="center"/>
              <w:rPr>
                <w:b/>
                <w:bCs/>
                <w:color w:val="auto"/>
                <w:sz w:val="21"/>
                <w:szCs w:val="21"/>
              </w:rPr>
            </w:pPr>
            <w:r>
              <w:rPr>
                <w:rFonts w:hint="eastAsia"/>
                <w:b/>
                <w:bCs/>
                <w:color w:val="auto"/>
                <w:sz w:val="21"/>
                <w:szCs w:val="21"/>
              </w:rPr>
              <w:t>工作内容</w:t>
            </w:r>
          </w:p>
        </w:tc>
        <w:tc>
          <w:tcPr>
            <w:tcW w:w="3168" w:type="pct"/>
            <w:gridSpan w:val="5"/>
            <w:tcBorders>
              <w:tl2br w:val="nil"/>
              <w:tr2bl w:val="nil"/>
            </w:tcBorders>
            <w:noWrap w:val="0"/>
            <w:vAlign w:val="center"/>
          </w:tcPr>
          <w:p w14:paraId="0FA66573">
            <w:pPr>
              <w:spacing w:line="240" w:lineRule="auto"/>
              <w:ind w:firstLine="0" w:firstLineChars="0"/>
              <w:jc w:val="left"/>
              <w:rPr>
                <w:rFonts w:hint="eastAsia"/>
                <w:b/>
                <w:bCs/>
                <w:color w:val="auto"/>
                <w:sz w:val="21"/>
                <w:szCs w:val="21"/>
              </w:rPr>
            </w:pPr>
            <w:r>
              <w:rPr>
                <w:rFonts w:hint="eastAsia"/>
                <w:b/>
                <w:bCs/>
                <w:color w:val="auto"/>
                <w:sz w:val="21"/>
                <w:szCs w:val="21"/>
              </w:rPr>
              <w:t>完成情况</w:t>
            </w:r>
          </w:p>
        </w:tc>
        <w:tc>
          <w:tcPr>
            <w:tcW w:w="627" w:type="pct"/>
            <w:tcBorders>
              <w:tl2br w:val="nil"/>
              <w:tr2bl w:val="nil"/>
            </w:tcBorders>
            <w:noWrap w:val="0"/>
            <w:vAlign w:val="center"/>
          </w:tcPr>
          <w:p w14:paraId="12DD61FA">
            <w:pPr>
              <w:spacing w:line="240" w:lineRule="auto"/>
              <w:ind w:firstLine="0" w:firstLineChars="0"/>
              <w:jc w:val="center"/>
              <w:rPr>
                <w:rFonts w:hint="eastAsia"/>
                <w:b/>
                <w:bCs/>
                <w:color w:val="auto"/>
                <w:sz w:val="21"/>
                <w:szCs w:val="21"/>
              </w:rPr>
            </w:pPr>
            <w:r>
              <w:rPr>
                <w:rFonts w:hint="eastAsia"/>
                <w:b/>
                <w:bCs/>
                <w:color w:val="auto"/>
                <w:sz w:val="21"/>
                <w:szCs w:val="21"/>
              </w:rPr>
              <w:t>备注</w:t>
            </w:r>
          </w:p>
        </w:tc>
      </w:tr>
      <w:tr w14:paraId="03C45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restart"/>
            <w:tcBorders>
              <w:tl2br w:val="nil"/>
              <w:tr2bl w:val="nil"/>
            </w:tcBorders>
            <w:noWrap w:val="0"/>
            <w:vAlign w:val="center"/>
          </w:tcPr>
          <w:p w14:paraId="6104AFC8">
            <w:pPr>
              <w:spacing w:line="240" w:lineRule="auto"/>
              <w:ind w:firstLine="0" w:firstLineChars="0"/>
              <w:jc w:val="center"/>
              <w:rPr>
                <w:rFonts w:hint="eastAsia"/>
                <w:color w:val="auto"/>
                <w:sz w:val="21"/>
                <w:szCs w:val="21"/>
              </w:rPr>
            </w:pPr>
            <w:r>
              <w:rPr>
                <w:rFonts w:hint="eastAsia"/>
                <w:color w:val="auto"/>
                <w:sz w:val="21"/>
                <w:szCs w:val="21"/>
              </w:rPr>
              <w:t>影响识别</w:t>
            </w:r>
          </w:p>
        </w:tc>
        <w:tc>
          <w:tcPr>
            <w:tcW w:w="892" w:type="pct"/>
            <w:tcBorders>
              <w:tl2br w:val="nil"/>
              <w:tr2bl w:val="nil"/>
            </w:tcBorders>
            <w:noWrap w:val="0"/>
            <w:vAlign w:val="center"/>
          </w:tcPr>
          <w:p w14:paraId="52E533BA">
            <w:pPr>
              <w:spacing w:line="240" w:lineRule="auto"/>
              <w:ind w:firstLine="0" w:firstLineChars="0"/>
              <w:jc w:val="center"/>
              <w:rPr>
                <w:rFonts w:hint="eastAsia"/>
                <w:color w:val="auto"/>
                <w:sz w:val="21"/>
                <w:szCs w:val="21"/>
              </w:rPr>
            </w:pPr>
            <w:r>
              <w:rPr>
                <w:rFonts w:hint="eastAsia"/>
                <w:color w:val="auto"/>
                <w:sz w:val="21"/>
                <w:szCs w:val="21"/>
              </w:rPr>
              <w:t>影响类型</w:t>
            </w:r>
          </w:p>
        </w:tc>
        <w:tc>
          <w:tcPr>
            <w:tcW w:w="3168" w:type="pct"/>
            <w:gridSpan w:val="5"/>
            <w:tcBorders>
              <w:tl2br w:val="nil"/>
              <w:tr2bl w:val="nil"/>
            </w:tcBorders>
            <w:noWrap w:val="0"/>
            <w:vAlign w:val="center"/>
          </w:tcPr>
          <w:p w14:paraId="15391CA4">
            <w:pPr>
              <w:spacing w:line="240" w:lineRule="auto"/>
              <w:ind w:firstLine="0" w:firstLineChars="0"/>
              <w:jc w:val="left"/>
              <w:rPr>
                <w:rFonts w:hint="eastAsia"/>
                <w:color w:val="auto"/>
                <w:sz w:val="21"/>
                <w:szCs w:val="21"/>
              </w:rPr>
            </w:pPr>
            <w:r>
              <w:rPr>
                <w:rFonts w:hint="eastAsia"/>
                <w:color w:val="auto"/>
                <w:sz w:val="21"/>
                <w:szCs w:val="21"/>
              </w:rPr>
              <w:t>污染影响型☑；生态影响型□；两种兼有□</w:t>
            </w:r>
          </w:p>
        </w:tc>
        <w:tc>
          <w:tcPr>
            <w:tcW w:w="627" w:type="pct"/>
            <w:tcBorders>
              <w:tl2br w:val="nil"/>
              <w:tr2bl w:val="nil"/>
            </w:tcBorders>
            <w:noWrap w:val="0"/>
            <w:vAlign w:val="center"/>
          </w:tcPr>
          <w:p w14:paraId="3F99313D">
            <w:pPr>
              <w:spacing w:line="240" w:lineRule="auto"/>
              <w:ind w:firstLine="0" w:firstLineChars="0"/>
              <w:jc w:val="center"/>
              <w:rPr>
                <w:color w:val="auto"/>
                <w:sz w:val="21"/>
                <w:szCs w:val="21"/>
              </w:rPr>
            </w:pPr>
          </w:p>
        </w:tc>
      </w:tr>
      <w:tr w14:paraId="37789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711A40E7">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2FE5BF85">
            <w:pPr>
              <w:spacing w:line="240" w:lineRule="auto"/>
              <w:ind w:firstLine="0" w:firstLineChars="0"/>
              <w:jc w:val="center"/>
              <w:rPr>
                <w:rFonts w:hint="eastAsia"/>
                <w:color w:val="auto"/>
                <w:sz w:val="21"/>
                <w:szCs w:val="21"/>
              </w:rPr>
            </w:pPr>
            <w:r>
              <w:rPr>
                <w:rFonts w:hint="eastAsia"/>
                <w:color w:val="auto"/>
                <w:sz w:val="21"/>
                <w:szCs w:val="21"/>
              </w:rPr>
              <w:t>土地利用类型</w:t>
            </w:r>
          </w:p>
        </w:tc>
        <w:tc>
          <w:tcPr>
            <w:tcW w:w="3168" w:type="pct"/>
            <w:gridSpan w:val="5"/>
            <w:tcBorders>
              <w:tl2br w:val="nil"/>
              <w:tr2bl w:val="nil"/>
            </w:tcBorders>
            <w:noWrap w:val="0"/>
            <w:vAlign w:val="center"/>
          </w:tcPr>
          <w:p w14:paraId="6F0F6DA8">
            <w:pPr>
              <w:spacing w:line="240" w:lineRule="auto"/>
              <w:ind w:firstLine="0" w:firstLineChars="0"/>
              <w:jc w:val="left"/>
              <w:rPr>
                <w:rFonts w:hint="eastAsia"/>
                <w:color w:val="auto"/>
                <w:sz w:val="21"/>
                <w:szCs w:val="21"/>
              </w:rPr>
            </w:pPr>
            <w:r>
              <w:rPr>
                <w:rFonts w:hint="eastAsia"/>
                <w:color w:val="auto"/>
                <w:sz w:val="21"/>
                <w:szCs w:val="21"/>
              </w:rPr>
              <w:t>建设用地☑；农用地□；未利用地□</w:t>
            </w:r>
          </w:p>
        </w:tc>
        <w:tc>
          <w:tcPr>
            <w:tcW w:w="627" w:type="pct"/>
            <w:tcBorders>
              <w:tl2br w:val="nil"/>
              <w:tr2bl w:val="nil"/>
            </w:tcBorders>
            <w:noWrap w:val="0"/>
            <w:vAlign w:val="center"/>
          </w:tcPr>
          <w:p w14:paraId="3C965BA9">
            <w:pPr>
              <w:spacing w:line="240" w:lineRule="auto"/>
              <w:ind w:firstLine="0" w:firstLineChars="0"/>
              <w:jc w:val="center"/>
              <w:rPr>
                <w:rFonts w:hint="eastAsia"/>
                <w:color w:val="auto"/>
                <w:sz w:val="21"/>
                <w:szCs w:val="21"/>
              </w:rPr>
            </w:pPr>
            <w:r>
              <w:rPr>
                <w:rFonts w:hint="eastAsia"/>
                <w:color w:val="auto"/>
                <w:sz w:val="21"/>
                <w:szCs w:val="21"/>
              </w:rPr>
              <w:t>土地利用类型图</w:t>
            </w:r>
          </w:p>
        </w:tc>
      </w:tr>
      <w:tr w14:paraId="0EA4F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562CE4B4">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71E1C303">
            <w:pPr>
              <w:spacing w:line="240" w:lineRule="auto"/>
              <w:ind w:firstLine="0" w:firstLineChars="0"/>
              <w:jc w:val="center"/>
              <w:rPr>
                <w:rFonts w:hint="eastAsia"/>
                <w:color w:val="auto"/>
                <w:sz w:val="21"/>
                <w:szCs w:val="21"/>
              </w:rPr>
            </w:pPr>
            <w:r>
              <w:rPr>
                <w:rFonts w:hint="eastAsia"/>
                <w:color w:val="auto"/>
                <w:sz w:val="21"/>
                <w:szCs w:val="21"/>
              </w:rPr>
              <w:t>占地规模</w:t>
            </w:r>
          </w:p>
        </w:tc>
        <w:tc>
          <w:tcPr>
            <w:tcW w:w="3168" w:type="pct"/>
            <w:gridSpan w:val="5"/>
            <w:tcBorders>
              <w:tl2br w:val="nil"/>
              <w:tr2bl w:val="nil"/>
            </w:tcBorders>
            <w:noWrap w:val="0"/>
            <w:vAlign w:val="center"/>
          </w:tcPr>
          <w:p w14:paraId="2CC9D558">
            <w:pPr>
              <w:spacing w:line="240" w:lineRule="auto"/>
              <w:ind w:firstLine="0" w:firstLineChars="0"/>
              <w:jc w:val="left"/>
              <w:rPr>
                <w:color w:val="auto"/>
                <w:sz w:val="21"/>
                <w:szCs w:val="21"/>
              </w:rPr>
            </w:pPr>
            <w:r>
              <w:rPr>
                <w:rFonts w:hint="eastAsia"/>
                <w:color w:val="auto"/>
                <w:sz w:val="21"/>
                <w:szCs w:val="21"/>
              </w:rPr>
              <w:t>（</w:t>
            </w:r>
            <w:r>
              <w:rPr>
                <w:rFonts w:hint="eastAsia"/>
                <w:color w:val="auto"/>
                <w:sz w:val="21"/>
                <w:szCs w:val="21"/>
                <w:lang w:val="en-US" w:eastAsia="zh-CN"/>
              </w:rPr>
              <w:t>4.049</w:t>
            </w:r>
            <w:r>
              <w:rPr>
                <w:rFonts w:hint="eastAsia"/>
                <w:color w:val="auto"/>
                <w:sz w:val="21"/>
                <w:szCs w:val="21"/>
              </w:rPr>
              <w:t>）hm</w:t>
            </w:r>
            <w:r>
              <w:rPr>
                <w:rFonts w:hint="eastAsia"/>
                <w:color w:val="auto"/>
                <w:sz w:val="21"/>
                <w:szCs w:val="21"/>
                <w:vertAlign w:val="superscript"/>
              </w:rPr>
              <w:t>2</w:t>
            </w:r>
          </w:p>
        </w:tc>
        <w:tc>
          <w:tcPr>
            <w:tcW w:w="627" w:type="pct"/>
            <w:tcBorders>
              <w:tl2br w:val="nil"/>
              <w:tr2bl w:val="nil"/>
            </w:tcBorders>
            <w:noWrap w:val="0"/>
            <w:vAlign w:val="center"/>
          </w:tcPr>
          <w:p w14:paraId="180F1F91">
            <w:pPr>
              <w:spacing w:line="240" w:lineRule="auto"/>
              <w:ind w:firstLine="0" w:firstLineChars="0"/>
              <w:jc w:val="center"/>
              <w:rPr>
                <w:color w:val="auto"/>
                <w:sz w:val="21"/>
                <w:szCs w:val="21"/>
              </w:rPr>
            </w:pPr>
          </w:p>
        </w:tc>
      </w:tr>
      <w:tr w14:paraId="1FD7E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52653D9A">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13A392F0">
            <w:pPr>
              <w:spacing w:line="240" w:lineRule="auto"/>
              <w:ind w:firstLine="0" w:firstLineChars="0"/>
              <w:jc w:val="center"/>
              <w:rPr>
                <w:rFonts w:hint="eastAsia"/>
                <w:color w:val="auto"/>
                <w:sz w:val="21"/>
                <w:szCs w:val="21"/>
              </w:rPr>
            </w:pPr>
            <w:r>
              <w:rPr>
                <w:rFonts w:hint="eastAsia"/>
                <w:color w:val="auto"/>
                <w:sz w:val="21"/>
                <w:szCs w:val="21"/>
              </w:rPr>
              <w:t>敏感目标信息</w:t>
            </w:r>
          </w:p>
        </w:tc>
        <w:tc>
          <w:tcPr>
            <w:tcW w:w="3168" w:type="pct"/>
            <w:gridSpan w:val="5"/>
            <w:tcBorders>
              <w:tl2br w:val="nil"/>
              <w:tr2bl w:val="nil"/>
            </w:tcBorders>
            <w:noWrap w:val="0"/>
            <w:vAlign w:val="center"/>
          </w:tcPr>
          <w:p w14:paraId="2D25F397">
            <w:pPr>
              <w:spacing w:line="240" w:lineRule="auto"/>
              <w:ind w:firstLine="0" w:firstLineChars="0"/>
              <w:jc w:val="left"/>
              <w:rPr>
                <w:color w:val="auto"/>
                <w:sz w:val="21"/>
                <w:szCs w:val="21"/>
              </w:rPr>
            </w:pPr>
            <w:r>
              <w:rPr>
                <w:rFonts w:hint="eastAsia"/>
                <w:color w:val="auto"/>
                <w:sz w:val="21"/>
                <w:szCs w:val="21"/>
              </w:rPr>
              <w:t>敏感目标（）、方位（ ）、距离（ ）</w:t>
            </w:r>
          </w:p>
        </w:tc>
        <w:tc>
          <w:tcPr>
            <w:tcW w:w="627" w:type="pct"/>
            <w:tcBorders>
              <w:tl2br w:val="nil"/>
              <w:tr2bl w:val="nil"/>
            </w:tcBorders>
            <w:noWrap w:val="0"/>
            <w:vAlign w:val="center"/>
          </w:tcPr>
          <w:p w14:paraId="67AE68E1">
            <w:pPr>
              <w:spacing w:line="240" w:lineRule="auto"/>
              <w:ind w:firstLine="0" w:firstLineChars="0"/>
              <w:jc w:val="center"/>
              <w:rPr>
                <w:color w:val="auto"/>
                <w:sz w:val="21"/>
                <w:szCs w:val="21"/>
              </w:rPr>
            </w:pPr>
          </w:p>
        </w:tc>
      </w:tr>
      <w:tr w14:paraId="6F191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3CD11567">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68D64ADB">
            <w:pPr>
              <w:spacing w:line="240" w:lineRule="auto"/>
              <w:ind w:firstLine="0" w:firstLineChars="0"/>
              <w:jc w:val="center"/>
              <w:rPr>
                <w:rFonts w:hint="eastAsia"/>
                <w:color w:val="auto"/>
                <w:sz w:val="21"/>
                <w:szCs w:val="21"/>
              </w:rPr>
            </w:pPr>
            <w:r>
              <w:rPr>
                <w:rFonts w:hint="eastAsia"/>
                <w:color w:val="auto"/>
                <w:sz w:val="21"/>
                <w:szCs w:val="21"/>
              </w:rPr>
              <w:t>影响途径</w:t>
            </w:r>
          </w:p>
        </w:tc>
        <w:tc>
          <w:tcPr>
            <w:tcW w:w="3168" w:type="pct"/>
            <w:gridSpan w:val="5"/>
            <w:tcBorders>
              <w:tl2br w:val="nil"/>
              <w:tr2bl w:val="nil"/>
            </w:tcBorders>
            <w:noWrap w:val="0"/>
            <w:vAlign w:val="center"/>
          </w:tcPr>
          <w:p w14:paraId="54484BAB">
            <w:pPr>
              <w:spacing w:line="240" w:lineRule="auto"/>
              <w:ind w:firstLine="0" w:firstLineChars="0"/>
              <w:jc w:val="left"/>
              <w:rPr>
                <w:rFonts w:hint="eastAsia"/>
                <w:color w:val="auto"/>
                <w:sz w:val="21"/>
                <w:szCs w:val="21"/>
              </w:rPr>
            </w:pPr>
            <w:r>
              <w:rPr>
                <w:rFonts w:hint="eastAsia"/>
                <w:color w:val="auto"/>
                <w:sz w:val="21"/>
                <w:szCs w:val="21"/>
              </w:rPr>
              <w:t>大气沉降☑；地面漫流☑；垂直入渗☑；地下水位□；其他（）</w:t>
            </w:r>
          </w:p>
        </w:tc>
        <w:tc>
          <w:tcPr>
            <w:tcW w:w="627" w:type="pct"/>
            <w:tcBorders>
              <w:tl2br w:val="nil"/>
              <w:tr2bl w:val="nil"/>
            </w:tcBorders>
            <w:noWrap w:val="0"/>
            <w:vAlign w:val="center"/>
          </w:tcPr>
          <w:p w14:paraId="58DBB168">
            <w:pPr>
              <w:spacing w:line="240" w:lineRule="auto"/>
              <w:ind w:firstLine="0" w:firstLineChars="0"/>
              <w:jc w:val="center"/>
              <w:rPr>
                <w:color w:val="auto"/>
                <w:sz w:val="21"/>
                <w:szCs w:val="21"/>
              </w:rPr>
            </w:pPr>
          </w:p>
        </w:tc>
      </w:tr>
      <w:tr w14:paraId="173B1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4DF43715">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2F1B3895">
            <w:pPr>
              <w:spacing w:line="240" w:lineRule="auto"/>
              <w:ind w:firstLine="0" w:firstLineChars="0"/>
              <w:jc w:val="center"/>
              <w:rPr>
                <w:rFonts w:hint="eastAsia"/>
                <w:color w:val="auto"/>
                <w:sz w:val="21"/>
                <w:szCs w:val="21"/>
              </w:rPr>
            </w:pPr>
            <w:r>
              <w:rPr>
                <w:rFonts w:hint="eastAsia"/>
                <w:color w:val="auto"/>
                <w:sz w:val="21"/>
                <w:szCs w:val="21"/>
              </w:rPr>
              <w:t>全部污染物</w:t>
            </w:r>
          </w:p>
        </w:tc>
        <w:tc>
          <w:tcPr>
            <w:tcW w:w="3168" w:type="pct"/>
            <w:gridSpan w:val="5"/>
            <w:tcBorders>
              <w:tl2br w:val="nil"/>
              <w:tr2bl w:val="nil"/>
            </w:tcBorders>
            <w:noWrap w:val="0"/>
            <w:vAlign w:val="center"/>
          </w:tcPr>
          <w:p w14:paraId="1242A3E4">
            <w:pPr>
              <w:spacing w:line="240" w:lineRule="auto"/>
              <w:ind w:firstLine="0" w:firstLineChars="0"/>
              <w:jc w:val="left"/>
              <w:rPr>
                <w:rFonts w:hint="eastAsia" w:eastAsia="宋体"/>
                <w:color w:val="auto"/>
                <w:sz w:val="21"/>
                <w:szCs w:val="21"/>
                <w:lang w:eastAsia="zh-CN"/>
              </w:rPr>
            </w:pPr>
            <w:r>
              <w:rPr>
                <w:rFonts w:hint="eastAsia"/>
                <w:color w:val="auto"/>
                <w:sz w:val="21"/>
                <w:szCs w:val="21"/>
                <w:lang w:val="en-US" w:eastAsia="zh-CN"/>
              </w:rPr>
              <w:t>次氯酸钠</w:t>
            </w:r>
          </w:p>
        </w:tc>
        <w:tc>
          <w:tcPr>
            <w:tcW w:w="627" w:type="pct"/>
            <w:tcBorders>
              <w:tl2br w:val="nil"/>
              <w:tr2bl w:val="nil"/>
            </w:tcBorders>
            <w:noWrap w:val="0"/>
            <w:vAlign w:val="center"/>
          </w:tcPr>
          <w:p w14:paraId="545E076C">
            <w:pPr>
              <w:spacing w:line="240" w:lineRule="auto"/>
              <w:ind w:firstLine="0" w:firstLineChars="0"/>
              <w:jc w:val="center"/>
              <w:rPr>
                <w:color w:val="auto"/>
                <w:sz w:val="21"/>
                <w:szCs w:val="21"/>
              </w:rPr>
            </w:pPr>
          </w:p>
        </w:tc>
      </w:tr>
      <w:tr w14:paraId="73ECA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4B7DD3F9">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36C6A2A3">
            <w:pPr>
              <w:spacing w:line="240" w:lineRule="auto"/>
              <w:ind w:firstLine="0" w:firstLineChars="0"/>
              <w:jc w:val="center"/>
              <w:rPr>
                <w:rFonts w:hint="eastAsia"/>
                <w:color w:val="auto"/>
                <w:sz w:val="21"/>
                <w:szCs w:val="21"/>
              </w:rPr>
            </w:pPr>
            <w:r>
              <w:rPr>
                <w:rFonts w:hint="eastAsia"/>
                <w:color w:val="auto"/>
                <w:sz w:val="21"/>
                <w:szCs w:val="21"/>
              </w:rPr>
              <w:t>特征因子</w:t>
            </w:r>
          </w:p>
        </w:tc>
        <w:tc>
          <w:tcPr>
            <w:tcW w:w="3168" w:type="pct"/>
            <w:gridSpan w:val="5"/>
            <w:tcBorders>
              <w:tl2br w:val="nil"/>
              <w:tr2bl w:val="nil"/>
            </w:tcBorders>
            <w:noWrap w:val="0"/>
            <w:vAlign w:val="center"/>
          </w:tcPr>
          <w:p w14:paraId="17D58AB2">
            <w:pPr>
              <w:spacing w:line="240" w:lineRule="auto"/>
              <w:ind w:firstLine="0" w:firstLineChars="0"/>
              <w:jc w:val="left"/>
              <w:rPr>
                <w:rFonts w:hint="default" w:eastAsia="宋体"/>
                <w:color w:val="auto"/>
                <w:sz w:val="21"/>
                <w:szCs w:val="21"/>
                <w:lang w:val="en-US" w:eastAsia="zh-CN"/>
              </w:rPr>
            </w:pPr>
            <w:r>
              <w:rPr>
                <w:rFonts w:hint="eastAsia"/>
                <w:color w:val="auto"/>
                <w:sz w:val="21"/>
                <w:szCs w:val="21"/>
                <w:lang w:val="en-US" w:eastAsia="zh-CN"/>
              </w:rPr>
              <w:t>石油类、甲醛</w:t>
            </w:r>
          </w:p>
        </w:tc>
        <w:tc>
          <w:tcPr>
            <w:tcW w:w="627" w:type="pct"/>
            <w:tcBorders>
              <w:tl2br w:val="nil"/>
              <w:tr2bl w:val="nil"/>
            </w:tcBorders>
            <w:noWrap w:val="0"/>
            <w:vAlign w:val="center"/>
          </w:tcPr>
          <w:p w14:paraId="76505BD4">
            <w:pPr>
              <w:spacing w:line="240" w:lineRule="auto"/>
              <w:ind w:firstLine="0" w:firstLineChars="0"/>
              <w:jc w:val="center"/>
              <w:rPr>
                <w:color w:val="auto"/>
                <w:sz w:val="21"/>
                <w:szCs w:val="21"/>
              </w:rPr>
            </w:pPr>
          </w:p>
        </w:tc>
      </w:tr>
      <w:tr w14:paraId="0D885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26232E4E">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60400D0E">
            <w:pPr>
              <w:spacing w:line="240" w:lineRule="auto"/>
              <w:ind w:firstLine="0" w:firstLineChars="0"/>
              <w:jc w:val="center"/>
              <w:rPr>
                <w:rFonts w:hint="eastAsia"/>
                <w:color w:val="auto"/>
                <w:sz w:val="21"/>
                <w:szCs w:val="21"/>
              </w:rPr>
            </w:pPr>
            <w:r>
              <w:rPr>
                <w:rFonts w:hint="eastAsia"/>
                <w:color w:val="auto"/>
                <w:sz w:val="21"/>
                <w:szCs w:val="21"/>
              </w:rPr>
              <w:t>所属土壤环境影响评价类别</w:t>
            </w:r>
          </w:p>
        </w:tc>
        <w:tc>
          <w:tcPr>
            <w:tcW w:w="3168" w:type="pct"/>
            <w:gridSpan w:val="5"/>
            <w:tcBorders>
              <w:tl2br w:val="nil"/>
              <w:tr2bl w:val="nil"/>
            </w:tcBorders>
            <w:noWrap w:val="0"/>
            <w:vAlign w:val="center"/>
          </w:tcPr>
          <w:p w14:paraId="0082BFFC">
            <w:pPr>
              <w:spacing w:line="240" w:lineRule="auto"/>
              <w:ind w:firstLine="0" w:firstLineChars="0"/>
              <w:jc w:val="left"/>
              <w:rPr>
                <w:color w:val="auto"/>
                <w:sz w:val="21"/>
                <w:szCs w:val="21"/>
              </w:rPr>
            </w:pPr>
            <w:r>
              <w:rPr>
                <w:rFonts w:hint="eastAsia"/>
                <w:color w:val="auto"/>
                <w:sz w:val="21"/>
                <w:szCs w:val="21"/>
              </w:rPr>
              <w:t>I类</w:t>
            </w:r>
            <w:r>
              <w:rPr>
                <w:rFonts w:hint="eastAsia"/>
                <w:color w:val="auto"/>
                <w:sz w:val="21"/>
                <w:szCs w:val="21"/>
                <w:lang w:eastAsia="zh-CN"/>
              </w:rPr>
              <w:t>□</w:t>
            </w:r>
            <w:r>
              <w:rPr>
                <w:rFonts w:hint="eastAsia"/>
                <w:color w:val="auto"/>
                <w:sz w:val="21"/>
                <w:szCs w:val="21"/>
              </w:rPr>
              <w:t>；II类</w:t>
            </w:r>
            <w:r>
              <w:rPr>
                <w:rFonts w:hint="eastAsia"/>
                <w:color w:val="auto"/>
                <w:sz w:val="21"/>
                <w:szCs w:val="21"/>
                <w:lang w:eastAsia="zh-CN"/>
              </w:rPr>
              <w:t>☑</w:t>
            </w:r>
            <w:r>
              <w:rPr>
                <w:rFonts w:hint="eastAsia"/>
                <w:color w:val="auto"/>
                <w:sz w:val="21"/>
                <w:szCs w:val="21"/>
              </w:rPr>
              <w:t>；III类□；IV类□</w:t>
            </w:r>
          </w:p>
        </w:tc>
        <w:tc>
          <w:tcPr>
            <w:tcW w:w="627" w:type="pct"/>
            <w:tcBorders>
              <w:tl2br w:val="nil"/>
              <w:tr2bl w:val="nil"/>
            </w:tcBorders>
            <w:noWrap w:val="0"/>
            <w:vAlign w:val="center"/>
          </w:tcPr>
          <w:p w14:paraId="21772C00">
            <w:pPr>
              <w:spacing w:line="240" w:lineRule="auto"/>
              <w:ind w:firstLine="0" w:firstLineChars="0"/>
              <w:jc w:val="center"/>
              <w:rPr>
                <w:color w:val="auto"/>
                <w:sz w:val="21"/>
                <w:szCs w:val="21"/>
              </w:rPr>
            </w:pPr>
          </w:p>
        </w:tc>
      </w:tr>
      <w:tr w14:paraId="410C4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2B0FE2AC">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4D7CE398">
            <w:pPr>
              <w:spacing w:line="240" w:lineRule="auto"/>
              <w:ind w:firstLine="0" w:firstLineChars="0"/>
              <w:jc w:val="center"/>
              <w:rPr>
                <w:rFonts w:hint="eastAsia"/>
                <w:color w:val="auto"/>
                <w:sz w:val="21"/>
                <w:szCs w:val="21"/>
              </w:rPr>
            </w:pPr>
            <w:r>
              <w:rPr>
                <w:rFonts w:hint="eastAsia"/>
                <w:color w:val="auto"/>
                <w:sz w:val="21"/>
                <w:szCs w:val="21"/>
              </w:rPr>
              <w:t>敏感程度</w:t>
            </w:r>
          </w:p>
        </w:tc>
        <w:tc>
          <w:tcPr>
            <w:tcW w:w="3168" w:type="pct"/>
            <w:gridSpan w:val="5"/>
            <w:tcBorders>
              <w:tl2br w:val="nil"/>
              <w:tr2bl w:val="nil"/>
            </w:tcBorders>
            <w:noWrap w:val="0"/>
            <w:vAlign w:val="center"/>
          </w:tcPr>
          <w:p w14:paraId="4A4DF6DE">
            <w:pPr>
              <w:spacing w:line="240" w:lineRule="auto"/>
              <w:ind w:firstLine="0" w:firstLineChars="0"/>
              <w:jc w:val="left"/>
              <w:rPr>
                <w:rFonts w:hint="eastAsia" w:eastAsia="宋体"/>
                <w:color w:val="auto"/>
                <w:sz w:val="21"/>
                <w:szCs w:val="21"/>
                <w:lang w:eastAsia="zh-CN"/>
              </w:rPr>
            </w:pPr>
            <w:r>
              <w:rPr>
                <w:rFonts w:hint="eastAsia"/>
                <w:color w:val="auto"/>
                <w:sz w:val="21"/>
                <w:szCs w:val="21"/>
              </w:rPr>
              <w:t>敏感</w:t>
            </w:r>
            <w:r>
              <w:rPr>
                <w:rFonts w:hint="eastAsia"/>
                <w:color w:val="auto"/>
                <w:sz w:val="21"/>
                <w:szCs w:val="21"/>
                <w:lang w:eastAsia="zh-CN"/>
              </w:rPr>
              <w:t>☑</w:t>
            </w:r>
            <w:r>
              <w:rPr>
                <w:rFonts w:hint="eastAsia"/>
                <w:color w:val="auto"/>
                <w:sz w:val="21"/>
                <w:szCs w:val="21"/>
              </w:rPr>
              <w:t>；较敏感□；不敏感</w:t>
            </w:r>
            <w:r>
              <w:rPr>
                <w:rFonts w:hint="eastAsia"/>
                <w:color w:val="auto"/>
                <w:sz w:val="21"/>
                <w:szCs w:val="21"/>
                <w:lang w:eastAsia="zh-CN"/>
              </w:rPr>
              <w:t>□</w:t>
            </w:r>
          </w:p>
        </w:tc>
        <w:tc>
          <w:tcPr>
            <w:tcW w:w="627" w:type="pct"/>
            <w:tcBorders>
              <w:tl2br w:val="nil"/>
              <w:tr2bl w:val="nil"/>
            </w:tcBorders>
            <w:noWrap w:val="0"/>
            <w:vAlign w:val="center"/>
          </w:tcPr>
          <w:p w14:paraId="7129BFA7">
            <w:pPr>
              <w:spacing w:line="240" w:lineRule="auto"/>
              <w:ind w:firstLine="0" w:firstLineChars="0"/>
              <w:jc w:val="center"/>
              <w:rPr>
                <w:color w:val="auto"/>
                <w:sz w:val="21"/>
                <w:szCs w:val="21"/>
              </w:rPr>
            </w:pPr>
          </w:p>
        </w:tc>
      </w:tr>
      <w:tr w14:paraId="62722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pct"/>
            <w:gridSpan w:val="2"/>
            <w:tcBorders>
              <w:tl2br w:val="nil"/>
              <w:tr2bl w:val="nil"/>
            </w:tcBorders>
            <w:noWrap w:val="0"/>
            <w:vAlign w:val="center"/>
          </w:tcPr>
          <w:p w14:paraId="2AB7D00D">
            <w:pPr>
              <w:spacing w:line="240" w:lineRule="auto"/>
              <w:ind w:firstLine="0" w:firstLineChars="0"/>
              <w:jc w:val="center"/>
              <w:rPr>
                <w:color w:val="auto"/>
                <w:sz w:val="21"/>
                <w:szCs w:val="21"/>
              </w:rPr>
            </w:pPr>
            <w:r>
              <w:rPr>
                <w:rFonts w:hint="eastAsia"/>
                <w:color w:val="auto"/>
                <w:sz w:val="21"/>
                <w:szCs w:val="21"/>
              </w:rPr>
              <w:t>评价工作等级</w:t>
            </w:r>
          </w:p>
        </w:tc>
        <w:tc>
          <w:tcPr>
            <w:tcW w:w="3168" w:type="pct"/>
            <w:gridSpan w:val="5"/>
            <w:tcBorders>
              <w:tl2br w:val="nil"/>
              <w:tr2bl w:val="nil"/>
            </w:tcBorders>
            <w:noWrap w:val="0"/>
            <w:vAlign w:val="center"/>
          </w:tcPr>
          <w:p w14:paraId="152D648C">
            <w:pPr>
              <w:spacing w:line="240" w:lineRule="auto"/>
              <w:ind w:firstLine="0" w:firstLineChars="0"/>
              <w:jc w:val="left"/>
              <w:rPr>
                <w:rFonts w:hint="eastAsia"/>
                <w:color w:val="auto"/>
                <w:sz w:val="21"/>
                <w:szCs w:val="21"/>
              </w:rPr>
            </w:pPr>
            <w:r>
              <w:rPr>
                <w:rFonts w:hint="eastAsia"/>
                <w:color w:val="auto"/>
                <w:sz w:val="21"/>
                <w:szCs w:val="21"/>
              </w:rPr>
              <w:t>一级□；二级☑；三级□</w:t>
            </w:r>
          </w:p>
        </w:tc>
        <w:tc>
          <w:tcPr>
            <w:tcW w:w="627" w:type="pct"/>
            <w:tcBorders>
              <w:tl2br w:val="nil"/>
              <w:tr2bl w:val="nil"/>
            </w:tcBorders>
            <w:noWrap w:val="0"/>
            <w:vAlign w:val="center"/>
          </w:tcPr>
          <w:p w14:paraId="4C92EBFD">
            <w:pPr>
              <w:spacing w:line="240" w:lineRule="auto"/>
              <w:ind w:firstLine="0" w:firstLineChars="0"/>
              <w:jc w:val="center"/>
              <w:rPr>
                <w:color w:val="auto"/>
                <w:sz w:val="21"/>
                <w:szCs w:val="21"/>
              </w:rPr>
            </w:pPr>
          </w:p>
        </w:tc>
      </w:tr>
      <w:tr w14:paraId="4DE7C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restart"/>
            <w:tcBorders>
              <w:tl2br w:val="nil"/>
              <w:tr2bl w:val="nil"/>
            </w:tcBorders>
            <w:noWrap w:val="0"/>
            <w:vAlign w:val="center"/>
          </w:tcPr>
          <w:p w14:paraId="6E6A82DB">
            <w:pPr>
              <w:spacing w:line="240" w:lineRule="auto"/>
              <w:ind w:firstLine="0" w:firstLineChars="0"/>
              <w:jc w:val="center"/>
              <w:rPr>
                <w:rFonts w:hint="eastAsia"/>
                <w:color w:val="auto"/>
                <w:sz w:val="21"/>
                <w:szCs w:val="21"/>
              </w:rPr>
            </w:pPr>
            <w:r>
              <w:rPr>
                <w:rFonts w:hint="eastAsia"/>
                <w:color w:val="auto"/>
                <w:sz w:val="21"/>
                <w:szCs w:val="21"/>
              </w:rPr>
              <w:t>现状调查内容</w:t>
            </w:r>
          </w:p>
        </w:tc>
        <w:tc>
          <w:tcPr>
            <w:tcW w:w="892" w:type="pct"/>
            <w:tcBorders>
              <w:tl2br w:val="nil"/>
              <w:tr2bl w:val="nil"/>
            </w:tcBorders>
            <w:noWrap w:val="0"/>
            <w:vAlign w:val="center"/>
          </w:tcPr>
          <w:p w14:paraId="02EE2118">
            <w:pPr>
              <w:spacing w:line="240" w:lineRule="auto"/>
              <w:ind w:firstLine="0" w:firstLineChars="0"/>
              <w:jc w:val="center"/>
              <w:rPr>
                <w:rFonts w:hint="eastAsia"/>
                <w:color w:val="auto"/>
                <w:sz w:val="21"/>
                <w:szCs w:val="21"/>
              </w:rPr>
            </w:pPr>
            <w:r>
              <w:rPr>
                <w:rFonts w:hint="eastAsia"/>
                <w:color w:val="auto"/>
                <w:sz w:val="21"/>
                <w:szCs w:val="21"/>
              </w:rPr>
              <w:t>资料收集</w:t>
            </w:r>
          </w:p>
        </w:tc>
        <w:tc>
          <w:tcPr>
            <w:tcW w:w="3168" w:type="pct"/>
            <w:gridSpan w:val="5"/>
            <w:tcBorders>
              <w:tl2br w:val="nil"/>
              <w:tr2bl w:val="nil"/>
            </w:tcBorders>
            <w:noWrap w:val="0"/>
            <w:vAlign w:val="center"/>
          </w:tcPr>
          <w:p w14:paraId="2A3B421A">
            <w:pPr>
              <w:spacing w:line="240" w:lineRule="auto"/>
              <w:ind w:firstLine="0" w:firstLineChars="0"/>
              <w:jc w:val="left"/>
              <w:rPr>
                <w:color w:val="auto"/>
                <w:sz w:val="21"/>
                <w:szCs w:val="21"/>
              </w:rPr>
            </w:pPr>
            <w:r>
              <w:rPr>
                <w:rFonts w:hint="eastAsia"/>
                <w:color w:val="auto"/>
                <w:sz w:val="21"/>
                <w:szCs w:val="21"/>
              </w:rPr>
              <w:t>a）□；b）□；c）□；d）□</w:t>
            </w:r>
          </w:p>
        </w:tc>
        <w:tc>
          <w:tcPr>
            <w:tcW w:w="627" w:type="pct"/>
            <w:tcBorders>
              <w:tl2br w:val="nil"/>
              <w:tr2bl w:val="nil"/>
            </w:tcBorders>
            <w:noWrap w:val="0"/>
            <w:vAlign w:val="center"/>
          </w:tcPr>
          <w:p w14:paraId="2749AE2E">
            <w:pPr>
              <w:spacing w:line="240" w:lineRule="auto"/>
              <w:ind w:firstLine="0" w:firstLineChars="0"/>
              <w:jc w:val="center"/>
              <w:rPr>
                <w:color w:val="auto"/>
                <w:sz w:val="21"/>
                <w:szCs w:val="21"/>
              </w:rPr>
            </w:pPr>
          </w:p>
        </w:tc>
      </w:tr>
      <w:tr w14:paraId="5D26B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1AF018D4">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30BDC554">
            <w:pPr>
              <w:spacing w:line="240" w:lineRule="auto"/>
              <w:ind w:firstLine="0" w:firstLineChars="0"/>
              <w:jc w:val="center"/>
              <w:rPr>
                <w:rFonts w:hint="eastAsia"/>
                <w:color w:val="auto"/>
                <w:sz w:val="21"/>
                <w:szCs w:val="21"/>
              </w:rPr>
            </w:pPr>
            <w:r>
              <w:rPr>
                <w:rFonts w:hint="eastAsia"/>
                <w:color w:val="auto"/>
                <w:sz w:val="21"/>
                <w:szCs w:val="21"/>
              </w:rPr>
              <w:t>理化特性</w:t>
            </w:r>
          </w:p>
        </w:tc>
        <w:tc>
          <w:tcPr>
            <w:tcW w:w="3168" w:type="pct"/>
            <w:gridSpan w:val="5"/>
            <w:tcBorders>
              <w:tl2br w:val="nil"/>
              <w:tr2bl w:val="nil"/>
            </w:tcBorders>
            <w:noWrap w:val="0"/>
            <w:vAlign w:val="center"/>
          </w:tcPr>
          <w:p w14:paraId="3C01327E">
            <w:pPr>
              <w:spacing w:line="240" w:lineRule="auto"/>
              <w:ind w:firstLine="0" w:firstLineChars="0"/>
              <w:jc w:val="left"/>
              <w:rPr>
                <w:color w:val="auto"/>
                <w:sz w:val="21"/>
                <w:szCs w:val="21"/>
              </w:rPr>
            </w:pPr>
          </w:p>
        </w:tc>
        <w:tc>
          <w:tcPr>
            <w:tcW w:w="627" w:type="pct"/>
            <w:tcBorders>
              <w:tl2br w:val="nil"/>
              <w:tr2bl w:val="nil"/>
            </w:tcBorders>
            <w:noWrap w:val="0"/>
            <w:vAlign w:val="center"/>
          </w:tcPr>
          <w:p w14:paraId="78409074">
            <w:pPr>
              <w:spacing w:line="240" w:lineRule="auto"/>
              <w:ind w:firstLine="0" w:firstLineChars="0"/>
              <w:jc w:val="center"/>
              <w:rPr>
                <w:color w:val="auto"/>
                <w:sz w:val="21"/>
                <w:szCs w:val="21"/>
              </w:rPr>
            </w:pPr>
            <w:r>
              <w:rPr>
                <w:rFonts w:hint="eastAsia"/>
                <w:color w:val="auto"/>
                <w:sz w:val="21"/>
                <w:szCs w:val="21"/>
              </w:rPr>
              <w:t>同附录C</w:t>
            </w:r>
          </w:p>
        </w:tc>
      </w:tr>
      <w:tr w14:paraId="59D6C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6989B06E">
            <w:pPr>
              <w:spacing w:line="240" w:lineRule="auto"/>
              <w:ind w:firstLine="0" w:firstLineChars="0"/>
              <w:jc w:val="center"/>
              <w:rPr>
                <w:color w:val="auto"/>
                <w:sz w:val="21"/>
                <w:szCs w:val="21"/>
              </w:rPr>
            </w:pPr>
          </w:p>
        </w:tc>
        <w:tc>
          <w:tcPr>
            <w:tcW w:w="892" w:type="pct"/>
            <w:vMerge w:val="restart"/>
            <w:tcBorders>
              <w:tl2br w:val="nil"/>
              <w:tr2bl w:val="nil"/>
            </w:tcBorders>
            <w:noWrap w:val="0"/>
            <w:vAlign w:val="center"/>
          </w:tcPr>
          <w:p w14:paraId="74C61C42">
            <w:pPr>
              <w:spacing w:line="240" w:lineRule="auto"/>
              <w:ind w:firstLine="0" w:firstLineChars="0"/>
              <w:jc w:val="center"/>
              <w:rPr>
                <w:rFonts w:hint="eastAsia"/>
                <w:color w:val="auto"/>
                <w:sz w:val="21"/>
                <w:szCs w:val="21"/>
              </w:rPr>
            </w:pPr>
            <w:r>
              <w:rPr>
                <w:rFonts w:hint="eastAsia"/>
                <w:color w:val="auto"/>
                <w:sz w:val="21"/>
                <w:szCs w:val="21"/>
              </w:rPr>
              <w:t>现状监测点位</w:t>
            </w:r>
          </w:p>
        </w:tc>
        <w:tc>
          <w:tcPr>
            <w:tcW w:w="660" w:type="pct"/>
            <w:tcBorders>
              <w:tl2br w:val="nil"/>
              <w:tr2bl w:val="nil"/>
            </w:tcBorders>
            <w:noWrap w:val="0"/>
            <w:vAlign w:val="center"/>
          </w:tcPr>
          <w:p w14:paraId="3B22DDAE">
            <w:pPr>
              <w:spacing w:line="240" w:lineRule="auto"/>
              <w:ind w:firstLine="0" w:firstLineChars="0"/>
              <w:jc w:val="center"/>
              <w:rPr>
                <w:color w:val="auto"/>
                <w:sz w:val="21"/>
                <w:szCs w:val="21"/>
              </w:rPr>
            </w:pPr>
          </w:p>
        </w:tc>
        <w:tc>
          <w:tcPr>
            <w:tcW w:w="774" w:type="pct"/>
            <w:tcBorders>
              <w:tl2br w:val="nil"/>
              <w:tr2bl w:val="nil"/>
            </w:tcBorders>
            <w:noWrap w:val="0"/>
            <w:vAlign w:val="center"/>
          </w:tcPr>
          <w:p w14:paraId="16910846">
            <w:pPr>
              <w:spacing w:line="240" w:lineRule="auto"/>
              <w:ind w:firstLine="0" w:firstLineChars="0"/>
              <w:jc w:val="center"/>
              <w:rPr>
                <w:rFonts w:hint="eastAsia"/>
                <w:color w:val="auto"/>
                <w:sz w:val="21"/>
                <w:szCs w:val="21"/>
              </w:rPr>
            </w:pPr>
            <w:r>
              <w:rPr>
                <w:rFonts w:hint="eastAsia"/>
                <w:color w:val="auto"/>
                <w:sz w:val="21"/>
                <w:szCs w:val="21"/>
              </w:rPr>
              <w:t>占地范围内</w:t>
            </w:r>
          </w:p>
        </w:tc>
        <w:tc>
          <w:tcPr>
            <w:tcW w:w="714" w:type="pct"/>
            <w:gridSpan w:val="2"/>
            <w:tcBorders>
              <w:tl2br w:val="nil"/>
              <w:tr2bl w:val="nil"/>
            </w:tcBorders>
            <w:noWrap w:val="0"/>
            <w:vAlign w:val="center"/>
          </w:tcPr>
          <w:p w14:paraId="747AFE7B">
            <w:pPr>
              <w:spacing w:line="240" w:lineRule="auto"/>
              <w:ind w:firstLine="0" w:firstLineChars="0"/>
              <w:jc w:val="center"/>
              <w:rPr>
                <w:rFonts w:hint="eastAsia"/>
                <w:color w:val="auto"/>
                <w:sz w:val="21"/>
                <w:szCs w:val="21"/>
              </w:rPr>
            </w:pPr>
            <w:r>
              <w:rPr>
                <w:rFonts w:hint="eastAsia"/>
                <w:color w:val="auto"/>
                <w:sz w:val="21"/>
                <w:szCs w:val="21"/>
              </w:rPr>
              <w:t>占地范围外</w:t>
            </w:r>
          </w:p>
        </w:tc>
        <w:tc>
          <w:tcPr>
            <w:tcW w:w="1018" w:type="pct"/>
            <w:tcBorders>
              <w:tl2br w:val="nil"/>
              <w:tr2bl w:val="nil"/>
            </w:tcBorders>
            <w:noWrap w:val="0"/>
            <w:vAlign w:val="center"/>
          </w:tcPr>
          <w:p w14:paraId="3A040649">
            <w:pPr>
              <w:spacing w:line="240" w:lineRule="auto"/>
              <w:ind w:firstLine="0" w:firstLineChars="0"/>
              <w:jc w:val="center"/>
              <w:rPr>
                <w:rFonts w:hint="eastAsia"/>
                <w:color w:val="auto"/>
                <w:sz w:val="21"/>
                <w:szCs w:val="21"/>
              </w:rPr>
            </w:pPr>
            <w:r>
              <w:rPr>
                <w:rFonts w:hint="eastAsia"/>
                <w:color w:val="auto"/>
                <w:sz w:val="21"/>
                <w:szCs w:val="21"/>
              </w:rPr>
              <w:t>深度</w:t>
            </w:r>
          </w:p>
        </w:tc>
        <w:tc>
          <w:tcPr>
            <w:tcW w:w="627" w:type="pct"/>
            <w:tcBorders>
              <w:tl2br w:val="nil"/>
              <w:tr2bl w:val="nil"/>
            </w:tcBorders>
            <w:noWrap w:val="0"/>
            <w:vAlign w:val="center"/>
          </w:tcPr>
          <w:p w14:paraId="6D717618">
            <w:pPr>
              <w:spacing w:line="240" w:lineRule="auto"/>
              <w:ind w:firstLine="0" w:firstLineChars="0"/>
              <w:jc w:val="center"/>
              <w:rPr>
                <w:color w:val="auto"/>
                <w:sz w:val="21"/>
                <w:szCs w:val="21"/>
              </w:rPr>
            </w:pPr>
          </w:p>
        </w:tc>
      </w:tr>
      <w:tr w14:paraId="3E967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37987F41">
            <w:pPr>
              <w:spacing w:line="240" w:lineRule="auto"/>
              <w:ind w:firstLine="0" w:firstLineChars="0"/>
              <w:jc w:val="center"/>
              <w:rPr>
                <w:color w:val="auto"/>
                <w:sz w:val="21"/>
                <w:szCs w:val="21"/>
              </w:rPr>
            </w:pPr>
          </w:p>
        </w:tc>
        <w:tc>
          <w:tcPr>
            <w:tcW w:w="892" w:type="pct"/>
            <w:vMerge w:val="continue"/>
            <w:tcBorders>
              <w:tl2br w:val="nil"/>
              <w:tr2bl w:val="nil"/>
            </w:tcBorders>
            <w:noWrap w:val="0"/>
            <w:vAlign w:val="center"/>
          </w:tcPr>
          <w:p w14:paraId="1E178F3D">
            <w:pPr>
              <w:spacing w:line="240" w:lineRule="auto"/>
              <w:ind w:firstLine="0" w:firstLineChars="0"/>
              <w:jc w:val="center"/>
              <w:rPr>
                <w:color w:val="auto"/>
                <w:sz w:val="21"/>
                <w:szCs w:val="21"/>
              </w:rPr>
            </w:pPr>
          </w:p>
        </w:tc>
        <w:tc>
          <w:tcPr>
            <w:tcW w:w="660" w:type="pct"/>
            <w:tcBorders>
              <w:tl2br w:val="nil"/>
              <w:tr2bl w:val="nil"/>
            </w:tcBorders>
            <w:noWrap w:val="0"/>
            <w:vAlign w:val="center"/>
          </w:tcPr>
          <w:p w14:paraId="5DC7C9E9">
            <w:pPr>
              <w:spacing w:line="240" w:lineRule="auto"/>
              <w:ind w:firstLine="0" w:firstLineChars="0"/>
              <w:jc w:val="center"/>
              <w:rPr>
                <w:rFonts w:hint="eastAsia"/>
                <w:color w:val="auto"/>
                <w:sz w:val="21"/>
                <w:szCs w:val="21"/>
              </w:rPr>
            </w:pPr>
            <w:r>
              <w:rPr>
                <w:rFonts w:hint="eastAsia"/>
                <w:color w:val="auto"/>
                <w:sz w:val="21"/>
                <w:szCs w:val="21"/>
              </w:rPr>
              <w:t>表层样点数</w:t>
            </w:r>
          </w:p>
        </w:tc>
        <w:tc>
          <w:tcPr>
            <w:tcW w:w="774" w:type="pct"/>
            <w:tcBorders>
              <w:tl2br w:val="nil"/>
              <w:tr2bl w:val="nil"/>
            </w:tcBorders>
            <w:noWrap w:val="0"/>
            <w:vAlign w:val="center"/>
          </w:tcPr>
          <w:p w14:paraId="76552A65">
            <w:pPr>
              <w:spacing w:line="240" w:lineRule="auto"/>
              <w:ind w:firstLine="0" w:firstLineChars="0"/>
              <w:jc w:val="center"/>
              <w:rPr>
                <w:rFonts w:hint="eastAsia" w:eastAsia="宋体"/>
                <w:color w:val="auto"/>
                <w:sz w:val="21"/>
                <w:szCs w:val="21"/>
                <w:lang w:eastAsia="zh-CN"/>
              </w:rPr>
            </w:pPr>
          </w:p>
        </w:tc>
        <w:tc>
          <w:tcPr>
            <w:tcW w:w="714" w:type="pct"/>
            <w:gridSpan w:val="2"/>
            <w:tcBorders>
              <w:tl2br w:val="nil"/>
              <w:tr2bl w:val="nil"/>
            </w:tcBorders>
            <w:noWrap w:val="0"/>
            <w:vAlign w:val="center"/>
          </w:tcPr>
          <w:p w14:paraId="2C32F971">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2</w:t>
            </w:r>
          </w:p>
        </w:tc>
        <w:tc>
          <w:tcPr>
            <w:tcW w:w="1018" w:type="pct"/>
            <w:tcBorders>
              <w:tl2br w:val="nil"/>
              <w:tr2bl w:val="nil"/>
            </w:tcBorders>
            <w:noWrap w:val="0"/>
            <w:vAlign w:val="center"/>
          </w:tcPr>
          <w:p w14:paraId="5E8B1CB2">
            <w:pPr>
              <w:spacing w:line="240" w:lineRule="auto"/>
              <w:ind w:firstLine="0" w:firstLineChars="0"/>
              <w:jc w:val="center"/>
              <w:rPr>
                <w:color w:val="auto"/>
                <w:sz w:val="21"/>
                <w:szCs w:val="21"/>
              </w:rPr>
            </w:pPr>
            <w:r>
              <w:rPr>
                <w:bCs/>
                <w:color w:val="auto"/>
                <w:sz w:val="21"/>
                <w:szCs w:val="21"/>
              </w:rPr>
              <w:t>0~20cm</w:t>
            </w:r>
          </w:p>
        </w:tc>
        <w:tc>
          <w:tcPr>
            <w:tcW w:w="627" w:type="pct"/>
            <w:tcBorders>
              <w:tl2br w:val="nil"/>
              <w:tr2bl w:val="nil"/>
            </w:tcBorders>
            <w:noWrap w:val="0"/>
            <w:vAlign w:val="center"/>
          </w:tcPr>
          <w:p w14:paraId="6A0BFC05">
            <w:pPr>
              <w:spacing w:line="240" w:lineRule="auto"/>
              <w:ind w:firstLine="0" w:firstLineChars="0"/>
              <w:jc w:val="center"/>
              <w:rPr>
                <w:rFonts w:hint="eastAsia"/>
                <w:color w:val="auto"/>
                <w:sz w:val="21"/>
                <w:szCs w:val="21"/>
              </w:rPr>
            </w:pPr>
            <w:r>
              <w:rPr>
                <w:rFonts w:hint="eastAsia"/>
                <w:color w:val="auto"/>
                <w:sz w:val="21"/>
                <w:szCs w:val="21"/>
              </w:rPr>
              <w:t>点位布置图</w:t>
            </w:r>
          </w:p>
        </w:tc>
      </w:tr>
      <w:tr w14:paraId="011CB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7343D2AA">
            <w:pPr>
              <w:spacing w:line="240" w:lineRule="auto"/>
              <w:ind w:firstLine="0" w:firstLineChars="0"/>
              <w:jc w:val="center"/>
              <w:rPr>
                <w:color w:val="auto"/>
                <w:sz w:val="21"/>
                <w:szCs w:val="21"/>
              </w:rPr>
            </w:pPr>
          </w:p>
        </w:tc>
        <w:tc>
          <w:tcPr>
            <w:tcW w:w="892" w:type="pct"/>
            <w:vMerge w:val="continue"/>
            <w:tcBorders>
              <w:tl2br w:val="nil"/>
              <w:tr2bl w:val="nil"/>
            </w:tcBorders>
            <w:noWrap w:val="0"/>
            <w:vAlign w:val="center"/>
          </w:tcPr>
          <w:p w14:paraId="2ABCC3F5">
            <w:pPr>
              <w:spacing w:line="240" w:lineRule="auto"/>
              <w:ind w:firstLine="0" w:firstLineChars="0"/>
              <w:jc w:val="center"/>
              <w:rPr>
                <w:color w:val="auto"/>
                <w:sz w:val="21"/>
                <w:szCs w:val="21"/>
              </w:rPr>
            </w:pPr>
          </w:p>
        </w:tc>
        <w:tc>
          <w:tcPr>
            <w:tcW w:w="660" w:type="pct"/>
            <w:tcBorders>
              <w:tl2br w:val="nil"/>
              <w:tr2bl w:val="nil"/>
            </w:tcBorders>
            <w:noWrap w:val="0"/>
            <w:vAlign w:val="center"/>
          </w:tcPr>
          <w:p w14:paraId="2DC58D15">
            <w:pPr>
              <w:spacing w:line="240" w:lineRule="auto"/>
              <w:ind w:firstLine="0" w:firstLineChars="0"/>
              <w:jc w:val="center"/>
              <w:rPr>
                <w:rFonts w:hint="eastAsia"/>
                <w:color w:val="auto"/>
                <w:sz w:val="21"/>
                <w:szCs w:val="21"/>
              </w:rPr>
            </w:pPr>
            <w:r>
              <w:rPr>
                <w:rFonts w:hint="eastAsia"/>
                <w:color w:val="auto"/>
                <w:sz w:val="21"/>
                <w:szCs w:val="21"/>
              </w:rPr>
              <w:t>柱状样点数</w:t>
            </w:r>
          </w:p>
        </w:tc>
        <w:tc>
          <w:tcPr>
            <w:tcW w:w="774" w:type="pct"/>
            <w:tcBorders>
              <w:tl2br w:val="nil"/>
              <w:tr2bl w:val="nil"/>
            </w:tcBorders>
            <w:noWrap w:val="0"/>
            <w:vAlign w:val="center"/>
          </w:tcPr>
          <w:p w14:paraId="1AEE6B50">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4</w:t>
            </w:r>
          </w:p>
        </w:tc>
        <w:tc>
          <w:tcPr>
            <w:tcW w:w="714" w:type="pct"/>
            <w:gridSpan w:val="2"/>
            <w:tcBorders>
              <w:tl2br w:val="nil"/>
              <w:tr2bl w:val="nil"/>
            </w:tcBorders>
            <w:noWrap w:val="0"/>
            <w:vAlign w:val="center"/>
          </w:tcPr>
          <w:p w14:paraId="5D8407CE">
            <w:pPr>
              <w:spacing w:line="240" w:lineRule="auto"/>
              <w:ind w:firstLine="0" w:firstLineChars="0"/>
              <w:jc w:val="center"/>
              <w:rPr>
                <w:rFonts w:hint="eastAsia"/>
                <w:color w:val="auto"/>
                <w:sz w:val="21"/>
                <w:szCs w:val="21"/>
              </w:rPr>
            </w:pPr>
          </w:p>
        </w:tc>
        <w:tc>
          <w:tcPr>
            <w:tcW w:w="1018" w:type="pct"/>
            <w:tcBorders>
              <w:tl2br w:val="nil"/>
              <w:tr2bl w:val="nil"/>
            </w:tcBorders>
            <w:noWrap w:val="0"/>
            <w:vAlign w:val="center"/>
          </w:tcPr>
          <w:p w14:paraId="27472BE6">
            <w:pPr>
              <w:spacing w:line="240" w:lineRule="auto"/>
              <w:ind w:firstLine="0" w:firstLineChars="0"/>
              <w:jc w:val="center"/>
              <w:rPr>
                <w:color w:val="auto"/>
                <w:sz w:val="21"/>
                <w:szCs w:val="21"/>
              </w:rPr>
            </w:pPr>
            <w:r>
              <w:rPr>
                <w:color w:val="auto"/>
                <w:sz w:val="21"/>
                <w:szCs w:val="21"/>
              </w:rPr>
              <w:t>0~3m</w:t>
            </w:r>
          </w:p>
        </w:tc>
        <w:tc>
          <w:tcPr>
            <w:tcW w:w="627" w:type="pct"/>
            <w:tcBorders>
              <w:tl2br w:val="nil"/>
              <w:tr2bl w:val="nil"/>
            </w:tcBorders>
            <w:noWrap w:val="0"/>
            <w:vAlign w:val="center"/>
          </w:tcPr>
          <w:p w14:paraId="3DE02B5A">
            <w:pPr>
              <w:spacing w:line="240" w:lineRule="auto"/>
              <w:ind w:firstLine="0" w:firstLineChars="0"/>
              <w:jc w:val="center"/>
              <w:rPr>
                <w:color w:val="auto"/>
                <w:sz w:val="21"/>
                <w:szCs w:val="21"/>
              </w:rPr>
            </w:pPr>
            <w:r>
              <w:rPr>
                <w:rFonts w:hint="eastAsia"/>
                <w:color w:val="auto"/>
                <w:sz w:val="21"/>
                <w:szCs w:val="21"/>
              </w:rPr>
              <w:t>点位布置图</w:t>
            </w:r>
          </w:p>
        </w:tc>
      </w:tr>
      <w:tr w14:paraId="03E28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55FC0B19">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40443967">
            <w:pPr>
              <w:spacing w:line="240" w:lineRule="auto"/>
              <w:ind w:firstLine="0" w:firstLineChars="0"/>
              <w:jc w:val="center"/>
              <w:rPr>
                <w:rFonts w:hint="eastAsia"/>
                <w:color w:val="auto"/>
                <w:sz w:val="21"/>
                <w:szCs w:val="21"/>
              </w:rPr>
            </w:pPr>
            <w:r>
              <w:rPr>
                <w:rFonts w:hint="eastAsia"/>
                <w:color w:val="auto"/>
                <w:sz w:val="21"/>
                <w:szCs w:val="21"/>
              </w:rPr>
              <w:t>现状监测因子</w:t>
            </w:r>
          </w:p>
        </w:tc>
        <w:tc>
          <w:tcPr>
            <w:tcW w:w="3168" w:type="pct"/>
            <w:gridSpan w:val="5"/>
            <w:tcBorders>
              <w:tl2br w:val="nil"/>
              <w:tr2bl w:val="nil"/>
            </w:tcBorders>
            <w:noWrap w:val="0"/>
            <w:vAlign w:val="center"/>
          </w:tcPr>
          <w:p w14:paraId="0C387118">
            <w:pPr>
              <w:spacing w:line="240" w:lineRule="auto"/>
              <w:ind w:firstLine="0" w:firstLineChars="0"/>
              <w:jc w:val="left"/>
              <w:rPr>
                <w:color w:val="auto"/>
                <w:sz w:val="21"/>
                <w:szCs w:val="21"/>
              </w:rPr>
            </w:pPr>
            <w:r>
              <w:rPr>
                <w:rFonts w:hint="eastAsia"/>
                <w:color w:val="auto"/>
                <w:sz w:val="21"/>
                <w:szCs w:val="21"/>
              </w:rPr>
              <w:t>pH、《土壤环境质量 建设用地土壤污染风险管控标准》（GB36600-2018）表1中45个基本项目</w:t>
            </w:r>
          </w:p>
        </w:tc>
        <w:tc>
          <w:tcPr>
            <w:tcW w:w="627" w:type="pct"/>
            <w:tcBorders>
              <w:tl2br w:val="nil"/>
              <w:tr2bl w:val="nil"/>
            </w:tcBorders>
            <w:noWrap w:val="0"/>
            <w:vAlign w:val="center"/>
          </w:tcPr>
          <w:p w14:paraId="1C5790AE">
            <w:pPr>
              <w:spacing w:line="240" w:lineRule="auto"/>
              <w:ind w:firstLine="0" w:firstLineChars="0"/>
              <w:jc w:val="center"/>
              <w:rPr>
                <w:color w:val="auto"/>
                <w:sz w:val="21"/>
                <w:szCs w:val="21"/>
              </w:rPr>
            </w:pPr>
          </w:p>
        </w:tc>
      </w:tr>
      <w:tr w14:paraId="13631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restart"/>
            <w:tcBorders>
              <w:tl2br w:val="nil"/>
              <w:tr2bl w:val="nil"/>
            </w:tcBorders>
            <w:noWrap w:val="0"/>
            <w:vAlign w:val="center"/>
          </w:tcPr>
          <w:p w14:paraId="5A4A113B">
            <w:pPr>
              <w:spacing w:line="240" w:lineRule="auto"/>
              <w:ind w:firstLine="0" w:firstLineChars="0"/>
              <w:jc w:val="center"/>
              <w:rPr>
                <w:rFonts w:hint="eastAsia"/>
                <w:color w:val="auto"/>
                <w:sz w:val="21"/>
                <w:szCs w:val="21"/>
              </w:rPr>
            </w:pPr>
            <w:r>
              <w:rPr>
                <w:rFonts w:hint="eastAsia"/>
                <w:color w:val="auto"/>
                <w:sz w:val="21"/>
                <w:szCs w:val="21"/>
              </w:rPr>
              <w:t>现状评价</w:t>
            </w:r>
          </w:p>
        </w:tc>
        <w:tc>
          <w:tcPr>
            <w:tcW w:w="892" w:type="pct"/>
            <w:tcBorders>
              <w:tl2br w:val="nil"/>
              <w:tr2bl w:val="nil"/>
            </w:tcBorders>
            <w:noWrap w:val="0"/>
            <w:vAlign w:val="center"/>
          </w:tcPr>
          <w:p w14:paraId="7A477456">
            <w:pPr>
              <w:spacing w:line="240" w:lineRule="auto"/>
              <w:ind w:firstLine="0" w:firstLineChars="0"/>
              <w:jc w:val="center"/>
              <w:rPr>
                <w:rFonts w:hint="eastAsia"/>
                <w:color w:val="auto"/>
                <w:sz w:val="21"/>
                <w:szCs w:val="21"/>
              </w:rPr>
            </w:pPr>
            <w:r>
              <w:rPr>
                <w:rFonts w:hint="eastAsia"/>
                <w:color w:val="auto"/>
                <w:sz w:val="21"/>
                <w:szCs w:val="21"/>
              </w:rPr>
              <w:t>评价因子</w:t>
            </w:r>
          </w:p>
        </w:tc>
        <w:tc>
          <w:tcPr>
            <w:tcW w:w="3168" w:type="pct"/>
            <w:gridSpan w:val="5"/>
            <w:tcBorders>
              <w:tl2br w:val="nil"/>
              <w:tr2bl w:val="nil"/>
            </w:tcBorders>
            <w:noWrap w:val="0"/>
            <w:vAlign w:val="center"/>
          </w:tcPr>
          <w:p w14:paraId="3561CF25">
            <w:pPr>
              <w:spacing w:line="240" w:lineRule="auto"/>
              <w:ind w:firstLine="0" w:firstLineChars="0"/>
              <w:jc w:val="left"/>
              <w:rPr>
                <w:color w:val="auto"/>
                <w:sz w:val="21"/>
                <w:szCs w:val="21"/>
              </w:rPr>
            </w:pPr>
          </w:p>
        </w:tc>
        <w:tc>
          <w:tcPr>
            <w:tcW w:w="627" w:type="pct"/>
            <w:tcBorders>
              <w:tl2br w:val="nil"/>
              <w:tr2bl w:val="nil"/>
            </w:tcBorders>
            <w:noWrap w:val="0"/>
            <w:vAlign w:val="center"/>
          </w:tcPr>
          <w:p w14:paraId="1F651F80">
            <w:pPr>
              <w:spacing w:line="240" w:lineRule="auto"/>
              <w:ind w:firstLine="0" w:firstLineChars="0"/>
              <w:jc w:val="center"/>
              <w:rPr>
                <w:color w:val="auto"/>
                <w:sz w:val="21"/>
                <w:szCs w:val="21"/>
              </w:rPr>
            </w:pPr>
          </w:p>
        </w:tc>
      </w:tr>
      <w:tr w14:paraId="6D518D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6B32A8D2">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31E2EFAA">
            <w:pPr>
              <w:spacing w:line="240" w:lineRule="auto"/>
              <w:ind w:firstLine="0" w:firstLineChars="0"/>
              <w:jc w:val="center"/>
              <w:rPr>
                <w:rFonts w:hint="eastAsia"/>
                <w:color w:val="auto"/>
                <w:sz w:val="21"/>
                <w:szCs w:val="21"/>
              </w:rPr>
            </w:pPr>
            <w:r>
              <w:rPr>
                <w:rFonts w:hint="eastAsia"/>
                <w:color w:val="auto"/>
                <w:sz w:val="21"/>
                <w:szCs w:val="21"/>
              </w:rPr>
              <w:t>评价标准</w:t>
            </w:r>
          </w:p>
        </w:tc>
        <w:tc>
          <w:tcPr>
            <w:tcW w:w="3168" w:type="pct"/>
            <w:gridSpan w:val="5"/>
            <w:tcBorders>
              <w:tl2br w:val="nil"/>
              <w:tr2bl w:val="nil"/>
            </w:tcBorders>
            <w:noWrap w:val="0"/>
            <w:vAlign w:val="center"/>
          </w:tcPr>
          <w:p w14:paraId="48682D4E">
            <w:pPr>
              <w:spacing w:line="240" w:lineRule="auto"/>
              <w:ind w:firstLine="0" w:firstLineChars="0"/>
              <w:jc w:val="left"/>
              <w:rPr>
                <w:color w:val="auto"/>
                <w:sz w:val="21"/>
                <w:szCs w:val="21"/>
              </w:rPr>
            </w:pPr>
            <w:r>
              <w:rPr>
                <w:rFonts w:hint="eastAsia"/>
                <w:color w:val="auto"/>
                <w:sz w:val="21"/>
                <w:szCs w:val="21"/>
              </w:rPr>
              <w:t>GB15618</w:t>
            </w:r>
            <w:r>
              <w:rPr>
                <w:rFonts w:hint="eastAsia"/>
                <w:color w:val="auto"/>
                <w:sz w:val="21"/>
                <w:szCs w:val="21"/>
                <w:lang w:eastAsia="zh-CN"/>
              </w:rPr>
              <w:t>☑</w:t>
            </w:r>
            <w:r>
              <w:rPr>
                <w:rFonts w:hint="eastAsia"/>
                <w:color w:val="auto"/>
                <w:sz w:val="21"/>
                <w:szCs w:val="21"/>
              </w:rPr>
              <w:t>；GB36600</w:t>
            </w:r>
            <w:r>
              <w:rPr>
                <w:rFonts w:hint="eastAsia"/>
                <w:color w:val="auto"/>
                <w:sz w:val="21"/>
                <w:szCs w:val="21"/>
                <w:lang w:eastAsia="zh-CN"/>
              </w:rPr>
              <w:t>☑</w:t>
            </w:r>
            <w:r>
              <w:rPr>
                <w:rFonts w:hint="eastAsia"/>
                <w:color w:val="auto"/>
                <w:sz w:val="21"/>
                <w:szCs w:val="21"/>
              </w:rPr>
              <w:t>；表D.1□；表D.2</w:t>
            </w:r>
            <w:r>
              <w:rPr>
                <w:rFonts w:hint="eastAsia"/>
                <w:color w:val="auto"/>
                <w:sz w:val="21"/>
                <w:szCs w:val="21"/>
                <w:lang w:eastAsia="zh-CN"/>
              </w:rPr>
              <w:t>□</w:t>
            </w:r>
            <w:r>
              <w:rPr>
                <w:rFonts w:hint="eastAsia"/>
                <w:color w:val="auto"/>
                <w:sz w:val="21"/>
                <w:szCs w:val="21"/>
              </w:rPr>
              <w:t>；其他（）</w:t>
            </w:r>
          </w:p>
        </w:tc>
        <w:tc>
          <w:tcPr>
            <w:tcW w:w="627" w:type="pct"/>
            <w:tcBorders>
              <w:tl2br w:val="nil"/>
              <w:tr2bl w:val="nil"/>
            </w:tcBorders>
            <w:noWrap w:val="0"/>
            <w:vAlign w:val="center"/>
          </w:tcPr>
          <w:p w14:paraId="1581535F">
            <w:pPr>
              <w:spacing w:line="240" w:lineRule="auto"/>
              <w:ind w:firstLine="0" w:firstLineChars="0"/>
              <w:jc w:val="center"/>
              <w:rPr>
                <w:color w:val="auto"/>
                <w:sz w:val="21"/>
                <w:szCs w:val="21"/>
              </w:rPr>
            </w:pPr>
          </w:p>
        </w:tc>
      </w:tr>
      <w:tr w14:paraId="430D7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264B33BD">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73C74FCA">
            <w:pPr>
              <w:spacing w:line="240" w:lineRule="auto"/>
              <w:ind w:firstLine="0" w:firstLineChars="0"/>
              <w:jc w:val="center"/>
              <w:rPr>
                <w:rFonts w:hint="eastAsia"/>
                <w:color w:val="auto"/>
                <w:sz w:val="21"/>
                <w:szCs w:val="21"/>
              </w:rPr>
            </w:pPr>
            <w:r>
              <w:rPr>
                <w:rFonts w:hint="eastAsia"/>
                <w:color w:val="auto"/>
                <w:sz w:val="21"/>
                <w:szCs w:val="21"/>
              </w:rPr>
              <w:t>现状评价结论</w:t>
            </w:r>
          </w:p>
        </w:tc>
        <w:tc>
          <w:tcPr>
            <w:tcW w:w="3168" w:type="pct"/>
            <w:gridSpan w:val="5"/>
            <w:tcBorders>
              <w:tl2br w:val="nil"/>
              <w:tr2bl w:val="nil"/>
            </w:tcBorders>
            <w:noWrap w:val="0"/>
            <w:vAlign w:val="center"/>
          </w:tcPr>
          <w:p w14:paraId="39626E18">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达标</w:t>
            </w:r>
          </w:p>
        </w:tc>
        <w:tc>
          <w:tcPr>
            <w:tcW w:w="627" w:type="pct"/>
            <w:tcBorders>
              <w:tl2br w:val="nil"/>
              <w:tr2bl w:val="nil"/>
            </w:tcBorders>
            <w:noWrap w:val="0"/>
            <w:vAlign w:val="center"/>
          </w:tcPr>
          <w:p w14:paraId="344F76ED">
            <w:pPr>
              <w:spacing w:line="240" w:lineRule="auto"/>
              <w:ind w:firstLine="0" w:firstLineChars="0"/>
              <w:jc w:val="center"/>
              <w:rPr>
                <w:color w:val="auto"/>
                <w:sz w:val="21"/>
                <w:szCs w:val="21"/>
              </w:rPr>
            </w:pPr>
          </w:p>
        </w:tc>
      </w:tr>
      <w:tr w14:paraId="7C57C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restart"/>
            <w:tcBorders>
              <w:tl2br w:val="nil"/>
              <w:tr2bl w:val="nil"/>
            </w:tcBorders>
            <w:noWrap w:val="0"/>
            <w:vAlign w:val="center"/>
          </w:tcPr>
          <w:p w14:paraId="44F25146">
            <w:pPr>
              <w:spacing w:line="240" w:lineRule="auto"/>
              <w:ind w:firstLine="0" w:firstLineChars="0"/>
              <w:jc w:val="center"/>
              <w:rPr>
                <w:rFonts w:hint="eastAsia"/>
                <w:color w:val="auto"/>
                <w:sz w:val="21"/>
                <w:szCs w:val="21"/>
              </w:rPr>
            </w:pPr>
            <w:r>
              <w:rPr>
                <w:rFonts w:hint="eastAsia"/>
                <w:color w:val="auto"/>
                <w:sz w:val="21"/>
                <w:szCs w:val="21"/>
              </w:rPr>
              <w:t>影响预测</w:t>
            </w:r>
          </w:p>
        </w:tc>
        <w:tc>
          <w:tcPr>
            <w:tcW w:w="892" w:type="pct"/>
            <w:tcBorders>
              <w:tl2br w:val="nil"/>
              <w:tr2bl w:val="nil"/>
            </w:tcBorders>
            <w:noWrap w:val="0"/>
            <w:vAlign w:val="center"/>
          </w:tcPr>
          <w:p w14:paraId="3240B29B">
            <w:pPr>
              <w:spacing w:line="240" w:lineRule="auto"/>
              <w:ind w:firstLine="0" w:firstLineChars="0"/>
              <w:jc w:val="center"/>
              <w:rPr>
                <w:rFonts w:hint="eastAsia"/>
                <w:color w:val="auto"/>
                <w:sz w:val="21"/>
                <w:szCs w:val="21"/>
              </w:rPr>
            </w:pPr>
            <w:r>
              <w:rPr>
                <w:rFonts w:hint="eastAsia"/>
                <w:color w:val="auto"/>
                <w:sz w:val="21"/>
                <w:szCs w:val="21"/>
              </w:rPr>
              <w:t>预测因子</w:t>
            </w:r>
          </w:p>
        </w:tc>
        <w:tc>
          <w:tcPr>
            <w:tcW w:w="3168" w:type="pct"/>
            <w:gridSpan w:val="5"/>
            <w:tcBorders>
              <w:tl2br w:val="nil"/>
              <w:tr2bl w:val="nil"/>
            </w:tcBorders>
            <w:noWrap w:val="0"/>
            <w:vAlign w:val="center"/>
          </w:tcPr>
          <w:p w14:paraId="5ECC232B">
            <w:pPr>
              <w:spacing w:line="240" w:lineRule="auto"/>
              <w:ind w:firstLine="0" w:firstLineChars="0"/>
              <w:jc w:val="left"/>
              <w:rPr>
                <w:color w:val="auto"/>
                <w:sz w:val="21"/>
                <w:szCs w:val="21"/>
              </w:rPr>
            </w:pPr>
          </w:p>
        </w:tc>
        <w:tc>
          <w:tcPr>
            <w:tcW w:w="627" w:type="pct"/>
            <w:tcBorders>
              <w:tl2br w:val="nil"/>
              <w:tr2bl w:val="nil"/>
            </w:tcBorders>
            <w:noWrap w:val="0"/>
            <w:vAlign w:val="center"/>
          </w:tcPr>
          <w:p w14:paraId="229A7283">
            <w:pPr>
              <w:spacing w:line="240" w:lineRule="auto"/>
              <w:ind w:firstLine="0" w:firstLineChars="0"/>
              <w:jc w:val="center"/>
              <w:rPr>
                <w:color w:val="auto"/>
                <w:sz w:val="21"/>
                <w:szCs w:val="21"/>
              </w:rPr>
            </w:pPr>
          </w:p>
        </w:tc>
      </w:tr>
      <w:tr w14:paraId="71062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1C0A4FFD">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1EC1B615">
            <w:pPr>
              <w:spacing w:line="240" w:lineRule="auto"/>
              <w:ind w:firstLine="0" w:firstLineChars="0"/>
              <w:jc w:val="center"/>
              <w:rPr>
                <w:rFonts w:hint="eastAsia"/>
                <w:color w:val="auto"/>
                <w:sz w:val="21"/>
                <w:szCs w:val="21"/>
              </w:rPr>
            </w:pPr>
            <w:r>
              <w:rPr>
                <w:rFonts w:hint="eastAsia"/>
                <w:color w:val="auto"/>
                <w:sz w:val="21"/>
                <w:szCs w:val="21"/>
              </w:rPr>
              <w:t>预测方法</w:t>
            </w:r>
          </w:p>
        </w:tc>
        <w:tc>
          <w:tcPr>
            <w:tcW w:w="3168" w:type="pct"/>
            <w:gridSpan w:val="5"/>
            <w:tcBorders>
              <w:tl2br w:val="nil"/>
              <w:tr2bl w:val="nil"/>
            </w:tcBorders>
            <w:noWrap w:val="0"/>
            <w:vAlign w:val="center"/>
          </w:tcPr>
          <w:p w14:paraId="642288BC">
            <w:pPr>
              <w:spacing w:line="240" w:lineRule="auto"/>
              <w:ind w:firstLine="0" w:firstLineChars="0"/>
              <w:jc w:val="left"/>
              <w:rPr>
                <w:color w:val="auto"/>
                <w:sz w:val="21"/>
                <w:szCs w:val="21"/>
              </w:rPr>
            </w:pPr>
            <w:r>
              <w:rPr>
                <w:rFonts w:hint="eastAsia"/>
                <w:color w:val="auto"/>
                <w:sz w:val="21"/>
                <w:szCs w:val="21"/>
              </w:rPr>
              <w:t>附录E□；附录F□；其他（）</w:t>
            </w:r>
          </w:p>
        </w:tc>
        <w:tc>
          <w:tcPr>
            <w:tcW w:w="627" w:type="pct"/>
            <w:tcBorders>
              <w:tl2br w:val="nil"/>
              <w:tr2bl w:val="nil"/>
            </w:tcBorders>
            <w:noWrap w:val="0"/>
            <w:vAlign w:val="center"/>
          </w:tcPr>
          <w:p w14:paraId="0FB7CFBA">
            <w:pPr>
              <w:spacing w:line="240" w:lineRule="auto"/>
              <w:ind w:firstLine="0" w:firstLineChars="0"/>
              <w:jc w:val="center"/>
              <w:rPr>
                <w:color w:val="auto"/>
                <w:sz w:val="21"/>
                <w:szCs w:val="21"/>
              </w:rPr>
            </w:pPr>
          </w:p>
        </w:tc>
      </w:tr>
      <w:tr w14:paraId="66481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76AA7424">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40323FD3">
            <w:pPr>
              <w:spacing w:line="240" w:lineRule="auto"/>
              <w:ind w:firstLine="0" w:firstLineChars="0"/>
              <w:jc w:val="center"/>
              <w:rPr>
                <w:rFonts w:hint="eastAsia"/>
                <w:color w:val="auto"/>
                <w:sz w:val="21"/>
                <w:szCs w:val="21"/>
              </w:rPr>
            </w:pPr>
            <w:r>
              <w:rPr>
                <w:rFonts w:hint="eastAsia"/>
                <w:color w:val="auto"/>
                <w:sz w:val="21"/>
                <w:szCs w:val="21"/>
              </w:rPr>
              <w:t>预测分析内容</w:t>
            </w:r>
          </w:p>
        </w:tc>
        <w:tc>
          <w:tcPr>
            <w:tcW w:w="3168" w:type="pct"/>
            <w:gridSpan w:val="5"/>
            <w:tcBorders>
              <w:tl2br w:val="nil"/>
              <w:tr2bl w:val="nil"/>
            </w:tcBorders>
            <w:noWrap w:val="0"/>
            <w:vAlign w:val="center"/>
          </w:tcPr>
          <w:p w14:paraId="645622F1">
            <w:pPr>
              <w:spacing w:line="240" w:lineRule="auto"/>
              <w:ind w:firstLine="0" w:firstLineChars="0"/>
              <w:jc w:val="left"/>
              <w:rPr>
                <w:rFonts w:hint="eastAsia"/>
                <w:color w:val="auto"/>
                <w:sz w:val="21"/>
                <w:szCs w:val="21"/>
              </w:rPr>
            </w:pPr>
            <w:r>
              <w:rPr>
                <w:rFonts w:hint="eastAsia"/>
                <w:color w:val="auto"/>
                <w:sz w:val="21"/>
                <w:szCs w:val="21"/>
              </w:rPr>
              <w:t>影响范围（）</w:t>
            </w:r>
          </w:p>
          <w:p w14:paraId="1F923BF9">
            <w:pPr>
              <w:spacing w:line="240" w:lineRule="auto"/>
              <w:ind w:firstLine="0" w:firstLineChars="0"/>
              <w:jc w:val="left"/>
              <w:rPr>
                <w:rFonts w:hint="eastAsia"/>
                <w:color w:val="auto"/>
                <w:sz w:val="21"/>
                <w:szCs w:val="21"/>
              </w:rPr>
            </w:pPr>
            <w:r>
              <w:rPr>
                <w:rFonts w:hint="eastAsia"/>
                <w:color w:val="auto"/>
                <w:sz w:val="21"/>
                <w:szCs w:val="21"/>
              </w:rPr>
              <w:t>影响程度（）</w:t>
            </w:r>
          </w:p>
        </w:tc>
        <w:tc>
          <w:tcPr>
            <w:tcW w:w="627" w:type="pct"/>
            <w:tcBorders>
              <w:tl2br w:val="nil"/>
              <w:tr2bl w:val="nil"/>
            </w:tcBorders>
            <w:noWrap w:val="0"/>
            <w:vAlign w:val="center"/>
          </w:tcPr>
          <w:p w14:paraId="15C95136">
            <w:pPr>
              <w:spacing w:line="240" w:lineRule="auto"/>
              <w:ind w:firstLine="0" w:firstLineChars="0"/>
              <w:jc w:val="center"/>
              <w:rPr>
                <w:color w:val="auto"/>
                <w:sz w:val="21"/>
                <w:szCs w:val="21"/>
              </w:rPr>
            </w:pPr>
          </w:p>
        </w:tc>
      </w:tr>
      <w:tr w14:paraId="315518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3902F758">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47817880">
            <w:pPr>
              <w:spacing w:line="240" w:lineRule="auto"/>
              <w:ind w:firstLine="0" w:firstLineChars="0"/>
              <w:jc w:val="center"/>
              <w:rPr>
                <w:rFonts w:hint="eastAsia"/>
                <w:color w:val="auto"/>
                <w:sz w:val="21"/>
                <w:szCs w:val="21"/>
              </w:rPr>
            </w:pPr>
            <w:r>
              <w:rPr>
                <w:rFonts w:hint="eastAsia"/>
                <w:color w:val="auto"/>
                <w:sz w:val="21"/>
                <w:szCs w:val="21"/>
              </w:rPr>
              <w:t>预测结论</w:t>
            </w:r>
          </w:p>
        </w:tc>
        <w:tc>
          <w:tcPr>
            <w:tcW w:w="3168" w:type="pct"/>
            <w:gridSpan w:val="5"/>
            <w:tcBorders>
              <w:tl2br w:val="nil"/>
              <w:tr2bl w:val="nil"/>
            </w:tcBorders>
            <w:noWrap w:val="0"/>
            <w:vAlign w:val="center"/>
          </w:tcPr>
          <w:p w14:paraId="5A61A34F">
            <w:pPr>
              <w:spacing w:line="240" w:lineRule="auto"/>
              <w:ind w:firstLine="0" w:firstLineChars="0"/>
              <w:jc w:val="left"/>
              <w:rPr>
                <w:rFonts w:hint="eastAsia"/>
                <w:color w:val="auto"/>
                <w:sz w:val="21"/>
                <w:szCs w:val="21"/>
              </w:rPr>
            </w:pPr>
            <w:r>
              <w:rPr>
                <w:rFonts w:hint="eastAsia"/>
                <w:color w:val="auto"/>
                <w:sz w:val="21"/>
                <w:szCs w:val="21"/>
              </w:rPr>
              <w:t>达标结论：a）□；b）□；c）□</w:t>
            </w:r>
          </w:p>
          <w:p w14:paraId="546D8559">
            <w:pPr>
              <w:spacing w:line="240" w:lineRule="auto"/>
              <w:ind w:firstLine="0" w:firstLineChars="0"/>
              <w:jc w:val="left"/>
              <w:rPr>
                <w:rFonts w:hint="eastAsia"/>
                <w:color w:val="auto"/>
                <w:sz w:val="21"/>
                <w:szCs w:val="21"/>
              </w:rPr>
            </w:pPr>
            <w:r>
              <w:rPr>
                <w:rFonts w:hint="eastAsia"/>
                <w:color w:val="auto"/>
                <w:sz w:val="21"/>
                <w:szCs w:val="21"/>
              </w:rPr>
              <w:t>不达标结论：a）□；b）□</w:t>
            </w:r>
          </w:p>
        </w:tc>
        <w:tc>
          <w:tcPr>
            <w:tcW w:w="627" w:type="pct"/>
            <w:tcBorders>
              <w:tl2br w:val="nil"/>
              <w:tr2bl w:val="nil"/>
            </w:tcBorders>
            <w:noWrap w:val="0"/>
            <w:vAlign w:val="center"/>
          </w:tcPr>
          <w:p w14:paraId="070F4040">
            <w:pPr>
              <w:spacing w:line="240" w:lineRule="auto"/>
              <w:ind w:firstLine="0" w:firstLineChars="0"/>
              <w:jc w:val="center"/>
              <w:rPr>
                <w:color w:val="auto"/>
                <w:sz w:val="21"/>
                <w:szCs w:val="21"/>
              </w:rPr>
            </w:pPr>
          </w:p>
        </w:tc>
      </w:tr>
      <w:tr w14:paraId="359B5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restart"/>
            <w:tcBorders>
              <w:tl2br w:val="nil"/>
              <w:tr2bl w:val="nil"/>
            </w:tcBorders>
            <w:noWrap w:val="0"/>
            <w:vAlign w:val="center"/>
          </w:tcPr>
          <w:p w14:paraId="3265A64A">
            <w:pPr>
              <w:spacing w:line="240" w:lineRule="auto"/>
              <w:ind w:firstLine="0" w:firstLineChars="0"/>
              <w:jc w:val="center"/>
              <w:rPr>
                <w:rFonts w:hint="eastAsia"/>
                <w:color w:val="auto"/>
                <w:sz w:val="21"/>
                <w:szCs w:val="21"/>
              </w:rPr>
            </w:pPr>
            <w:r>
              <w:rPr>
                <w:rFonts w:hint="eastAsia"/>
                <w:color w:val="auto"/>
                <w:sz w:val="21"/>
                <w:szCs w:val="21"/>
              </w:rPr>
              <w:t>防治措施</w:t>
            </w:r>
          </w:p>
        </w:tc>
        <w:tc>
          <w:tcPr>
            <w:tcW w:w="892" w:type="pct"/>
            <w:tcBorders>
              <w:tl2br w:val="nil"/>
              <w:tr2bl w:val="nil"/>
            </w:tcBorders>
            <w:noWrap w:val="0"/>
            <w:vAlign w:val="center"/>
          </w:tcPr>
          <w:p w14:paraId="06111496">
            <w:pPr>
              <w:spacing w:line="240" w:lineRule="auto"/>
              <w:ind w:firstLine="0" w:firstLineChars="0"/>
              <w:jc w:val="center"/>
              <w:rPr>
                <w:rFonts w:hint="eastAsia"/>
                <w:color w:val="auto"/>
                <w:sz w:val="21"/>
                <w:szCs w:val="21"/>
              </w:rPr>
            </w:pPr>
            <w:r>
              <w:rPr>
                <w:rFonts w:hint="eastAsia"/>
                <w:color w:val="auto"/>
                <w:sz w:val="21"/>
                <w:szCs w:val="21"/>
              </w:rPr>
              <w:t>防控措施</w:t>
            </w:r>
          </w:p>
        </w:tc>
        <w:tc>
          <w:tcPr>
            <w:tcW w:w="3168" w:type="pct"/>
            <w:gridSpan w:val="5"/>
            <w:tcBorders>
              <w:tl2br w:val="nil"/>
              <w:tr2bl w:val="nil"/>
            </w:tcBorders>
            <w:noWrap w:val="0"/>
            <w:vAlign w:val="center"/>
          </w:tcPr>
          <w:p w14:paraId="7DC00013">
            <w:pPr>
              <w:spacing w:line="240" w:lineRule="auto"/>
              <w:ind w:firstLine="0" w:firstLineChars="0"/>
              <w:jc w:val="left"/>
              <w:rPr>
                <w:rFonts w:hint="eastAsia"/>
                <w:color w:val="auto"/>
                <w:sz w:val="21"/>
                <w:szCs w:val="21"/>
              </w:rPr>
            </w:pPr>
            <w:r>
              <w:rPr>
                <w:rFonts w:hint="eastAsia"/>
                <w:color w:val="auto"/>
                <w:sz w:val="21"/>
                <w:szCs w:val="21"/>
              </w:rPr>
              <w:t>土壤环境质量现状保障□；源头控制□；过程防控□；其他（）</w:t>
            </w:r>
          </w:p>
        </w:tc>
        <w:tc>
          <w:tcPr>
            <w:tcW w:w="627" w:type="pct"/>
            <w:tcBorders>
              <w:tl2br w:val="nil"/>
              <w:tr2bl w:val="nil"/>
            </w:tcBorders>
            <w:noWrap w:val="0"/>
            <w:vAlign w:val="center"/>
          </w:tcPr>
          <w:p w14:paraId="4A49F349">
            <w:pPr>
              <w:spacing w:line="240" w:lineRule="auto"/>
              <w:ind w:firstLine="0" w:firstLineChars="0"/>
              <w:jc w:val="center"/>
              <w:rPr>
                <w:color w:val="auto"/>
                <w:sz w:val="21"/>
                <w:szCs w:val="21"/>
              </w:rPr>
            </w:pPr>
          </w:p>
        </w:tc>
      </w:tr>
      <w:tr w14:paraId="58B03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67F37D05">
            <w:pPr>
              <w:spacing w:line="240" w:lineRule="auto"/>
              <w:ind w:firstLine="0" w:firstLineChars="0"/>
              <w:jc w:val="center"/>
              <w:rPr>
                <w:color w:val="auto"/>
                <w:sz w:val="21"/>
                <w:szCs w:val="21"/>
              </w:rPr>
            </w:pPr>
          </w:p>
        </w:tc>
        <w:tc>
          <w:tcPr>
            <w:tcW w:w="892" w:type="pct"/>
            <w:vMerge w:val="restart"/>
            <w:tcBorders>
              <w:tl2br w:val="nil"/>
              <w:tr2bl w:val="nil"/>
            </w:tcBorders>
            <w:noWrap w:val="0"/>
            <w:vAlign w:val="center"/>
          </w:tcPr>
          <w:p w14:paraId="0AB19218">
            <w:pPr>
              <w:spacing w:line="240" w:lineRule="auto"/>
              <w:ind w:firstLine="0" w:firstLineChars="0"/>
              <w:jc w:val="center"/>
              <w:rPr>
                <w:rFonts w:hint="eastAsia"/>
                <w:color w:val="auto"/>
                <w:sz w:val="21"/>
                <w:szCs w:val="21"/>
              </w:rPr>
            </w:pPr>
            <w:r>
              <w:rPr>
                <w:rFonts w:hint="eastAsia"/>
                <w:color w:val="auto"/>
                <w:sz w:val="21"/>
                <w:szCs w:val="21"/>
              </w:rPr>
              <w:t>跟踪监测</w:t>
            </w:r>
          </w:p>
        </w:tc>
        <w:tc>
          <w:tcPr>
            <w:tcW w:w="660" w:type="pct"/>
            <w:tcBorders>
              <w:tl2br w:val="nil"/>
              <w:tr2bl w:val="nil"/>
            </w:tcBorders>
            <w:noWrap w:val="0"/>
            <w:vAlign w:val="center"/>
          </w:tcPr>
          <w:p w14:paraId="4DC671F8">
            <w:pPr>
              <w:spacing w:line="240" w:lineRule="auto"/>
              <w:ind w:firstLine="0" w:firstLineChars="0"/>
              <w:jc w:val="center"/>
              <w:rPr>
                <w:rFonts w:hint="eastAsia"/>
                <w:color w:val="auto"/>
                <w:sz w:val="21"/>
                <w:szCs w:val="21"/>
              </w:rPr>
            </w:pPr>
            <w:r>
              <w:rPr>
                <w:rFonts w:hint="eastAsia"/>
                <w:color w:val="auto"/>
                <w:sz w:val="21"/>
                <w:szCs w:val="21"/>
              </w:rPr>
              <w:t>监测点数</w:t>
            </w:r>
          </w:p>
        </w:tc>
        <w:tc>
          <w:tcPr>
            <w:tcW w:w="1274" w:type="pct"/>
            <w:gridSpan w:val="2"/>
            <w:tcBorders>
              <w:tl2br w:val="nil"/>
              <w:tr2bl w:val="nil"/>
            </w:tcBorders>
            <w:noWrap w:val="0"/>
            <w:vAlign w:val="center"/>
          </w:tcPr>
          <w:p w14:paraId="37E0AFB2">
            <w:pPr>
              <w:spacing w:line="240" w:lineRule="auto"/>
              <w:ind w:firstLine="0" w:firstLineChars="0"/>
              <w:jc w:val="center"/>
              <w:rPr>
                <w:color w:val="auto"/>
                <w:sz w:val="21"/>
                <w:szCs w:val="21"/>
              </w:rPr>
            </w:pPr>
            <w:r>
              <w:rPr>
                <w:rFonts w:hint="eastAsia"/>
                <w:color w:val="auto"/>
                <w:sz w:val="21"/>
                <w:szCs w:val="21"/>
              </w:rPr>
              <w:t>监测指标</w:t>
            </w:r>
          </w:p>
        </w:tc>
        <w:tc>
          <w:tcPr>
            <w:tcW w:w="1232" w:type="pct"/>
            <w:gridSpan w:val="2"/>
            <w:tcBorders>
              <w:tl2br w:val="nil"/>
              <w:tr2bl w:val="nil"/>
            </w:tcBorders>
            <w:noWrap w:val="0"/>
            <w:vAlign w:val="center"/>
          </w:tcPr>
          <w:p w14:paraId="555DA7ED">
            <w:pPr>
              <w:spacing w:line="240" w:lineRule="auto"/>
              <w:ind w:firstLine="0" w:firstLineChars="0"/>
              <w:jc w:val="center"/>
              <w:rPr>
                <w:rFonts w:hint="eastAsia"/>
                <w:color w:val="auto"/>
                <w:sz w:val="21"/>
                <w:szCs w:val="21"/>
              </w:rPr>
            </w:pPr>
            <w:r>
              <w:rPr>
                <w:rFonts w:hint="eastAsia"/>
                <w:color w:val="auto"/>
                <w:sz w:val="21"/>
                <w:szCs w:val="21"/>
              </w:rPr>
              <w:t>监测频次</w:t>
            </w:r>
          </w:p>
        </w:tc>
        <w:tc>
          <w:tcPr>
            <w:tcW w:w="627" w:type="pct"/>
            <w:tcBorders>
              <w:tl2br w:val="nil"/>
              <w:tr2bl w:val="nil"/>
            </w:tcBorders>
            <w:noWrap w:val="0"/>
            <w:vAlign w:val="center"/>
          </w:tcPr>
          <w:p w14:paraId="42881098">
            <w:pPr>
              <w:spacing w:line="240" w:lineRule="auto"/>
              <w:ind w:firstLine="0" w:firstLineChars="0"/>
              <w:jc w:val="center"/>
              <w:rPr>
                <w:color w:val="auto"/>
                <w:sz w:val="21"/>
                <w:szCs w:val="21"/>
              </w:rPr>
            </w:pPr>
          </w:p>
        </w:tc>
      </w:tr>
      <w:tr w14:paraId="47086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4FB1E771">
            <w:pPr>
              <w:spacing w:line="240" w:lineRule="auto"/>
              <w:ind w:firstLine="0" w:firstLineChars="0"/>
              <w:jc w:val="center"/>
              <w:rPr>
                <w:color w:val="auto"/>
                <w:sz w:val="21"/>
                <w:szCs w:val="21"/>
              </w:rPr>
            </w:pPr>
          </w:p>
        </w:tc>
        <w:tc>
          <w:tcPr>
            <w:tcW w:w="892" w:type="pct"/>
            <w:vMerge w:val="continue"/>
            <w:tcBorders>
              <w:tl2br w:val="nil"/>
              <w:tr2bl w:val="nil"/>
            </w:tcBorders>
            <w:noWrap w:val="0"/>
            <w:vAlign w:val="center"/>
          </w:tcPr>
          <w:p w14:paraId="501FFD35">
            <w:pPr>
              <w:spacing w:line="240" w:lineRule="auto"/>
              <w:ind w:firstLine="0" w:firstLineChars="0"/>
              <w:jc w:val="center"/>
              <w:rPr>
                <w:color w:val="auto"/>
                <w:sz w:val="21"/>
                <w:szCs w:val="21"/>
              </w:rPr>
            </w:pPr>
          </w:p>
        </w:tc>
        <w:tc>
          <w:tcPr>
            <w:tcW w:w="660" w:type="pct"/>
            <w:tcBorders>
              <w:tl2br w:val="nil"/>
              <w:tr2bl w:val="nil"/>
            </w:tcBorders>
            <w:noWrap w:val="0"/>
            <w:vAlign w:val="center"/>
          </w:tcPr>
          <w:p w14:paraId="50066990">
            <w:pPr>
              <w:spacing w:line="240" w:lineRule="auto"/>
              <w:ind w:firstLine="0" w:firstLineChars="0"/>
              <w:jc w:val="center"/>
              <w:rPr>
                <w:rFonts w:hint="eastAsia"/>
                <w:color w:val="auto"/>
                <w:sz w:val="21"/>
                <w:szCs w:val="21"/>
              </w:rPr>
            </w:pPr>
          </w:p>
        </w:tc>
        <w:tc>
          <w:tcPr>
            <w:tcW w:w="1274" w:type="pct"/>
            <w:gridSpan w:val="2"/>
            <w:tcBorders>
              <w:tl2br w:val="nil"/>
              <w:tr2bl w:val="nil"/>
            </w:tcBorders>
            <w:noWrap w:val="0"/>
            <w:vAlign w:val="center"/>
          </w:tcPr>
          <w:p w14:paraId="4EAFF0E7">
            <w:pPr>
              <w:spacing w:line="240" w:lineRule="auto"/>
              <w:ind w:firstLine="0" w:firstLineChars="0"/>
              <w:jc w:val="center"/>
              <w:rPr>
                <w:color w:val="auto"/>
                <w:sz w:val="21"/>
                <w:szCs w:val="21"/>
              </w:rPr>
            </w:pPr>
          </w:p>
        </w:tc>
        <w:tc>
          <w:tcPr>
            <w:tcW w:w="1232" w:type="pct"/>
            <w:gridSpan w:val="2"/>
            <w:tcBorders>
              <w:tl2br w:val="nil"/>
              <w:tr2bl w:val="nil"/>
            </w:tcBorders>
            <w:noWrap w:val="0"/>
            <w:vAlign w:val="center"/>
          </w:tcPr>
          <w:p w14:paraId="3AB53E32">
            <w:pPr>
              <w:spacing w:line="240" w:lineRule="auto"/>
              <w:ind w:firstLine="0" w:firstLineChars="0"/>
              <w:jc w:val="center"/>
              <w:rPr>
                <w:color w:val="auto"/>
                <w:sz w:val="21"/>
                <w:szCs w:val="21"/>
              </w:rPr>
            </w:pPr>
          </w:p>
        </w:tc>
        <w:tc>
          <w:tcPr>
            <w:tcW w:w="627" w:type="pct"/>
            <w:tcBorders>
              <w:tl2br w:val="nil"/>
              <w:tr2bl w:val="nil"/>
            </w:tcBorders>
            <w:noWrap w:val="0"/>
            <w:vAlign w:val="center"/>
          </w:tcPr>
          <w:p w14:paraId="6A8DF9E0">
            <w:pPr>
              <w:spacing w:line="240" w:lineRule="auto"/>
              <w:ind w:firstLine="0" w:firstLineChars="0"/>
              <w:jc w:val="center"/>
              <w:rPr>
                <w:color w:val="auto"/>
                <w:sz w:val="21"/>
                <w:szCs w:val="21"/>
              </w:rPr>
            </w:pPr>
          </w:p>
        </w:tc>
      </w:tr>
      <w:tr w14:paraId="10DB0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0" w:type="pct"/>
            <w:vMerge w:val="continue"/>
            <w:tcBorders>
              <w:tl2br w:val="nil"/>
              <w:tr2bl w:val="nil"/>
            </w:tcBorders>
            <w:noWrap w:val="0"/>
            <w:vAlign w:val="center"/>
          </w:tcPr>
          <w:p w14:paraId="49E56EB6">
            <w:pPr>
              <w:spacing w:line="240" w:lineRule="auto"/>
              <w:ind w:firstLine="0" w:firstLineChars="0"/>
              <w:jc w:val="center"/>
              <w:rPr>
                <w:color w:val="auto"/>
                <w:sz w:val="21"/>
                <w:szCs w:val="21"/>
              </w:rPr>
            </w:pPr>
          </w:p>
        </w:tc>
        <w:tc>
          <w:tcPr>
            <w:tcW w:w="892" w:type="pct"/>
            <w:tcBorders>
              <w:tl2br w:val="nil"/>
              <w:tr2bl w:val="nil"/>
            </w:tcBorders>
            <w:noWrap w:val="0"/>
            <w:vAlign w:val="center"/>
          </w:tcPr>
          <w:p w14:paraId="589FC971">
            <w:pPr>
              <w:spacing w:line="240" w:lineRule="auto"/>
              <w:ind w:firstLine="0" w:firstLineChars="0"/>
              <w:jc w:val="center"/>
              <w:rPr>
                <w:rFonts w:hint="eastAsia"/>
                <w:color w:val="auto"/>
                <w:sz w:val="21"/>
                <w:szCs w:val="21"/>
              </w:rPr>
            </w:pPr>
            <w:r>
              <w:rPr>
                <w:rFonts w:hint="eastAsia"/>
                <w:color w:val="auto"/>
                <w:sz w:val="21"/>
                <w:szCs w:val="21"/>
              </w:rPr>
              <w:t>信息公开指标</w:t>
            </w:r>
          </w:p>
        </w:tc>
        <w:tc>
          <w:tcPr>
            <w:tcW w:w="3168" w:type="pct"/>
            <w:gridSpan w:val="5"/>
            <w:tcBorders>
              <w:tl2br w:val="nil"/>
              <w:tr2bl w:val="nil"/>
            </w:tcBorders>
            <w:noWrap w:val="0"/>
            <w:vAlign w:val="center"/>
          </w:tcPr>
          <w:p w14:paraId="7771BDDF">
            <w:pPr>
              <w:spacing w:line="240" w:lineRule="auto"/>
              <w:ind w:firstLine="0" w:firstLineChars="0"/>
              <w:jc w:val="left"/>
              <w:rPr>
                <w:color w:val="auto"/>
                <w:sz w:val="21"/>
                <w:szCs w:val="21"/>
              </w:rPr>
            </w:pPr>
          </w:p>
        </w:tc>
        <w:tc>
          <w:tcPr>
            <w:tcW w:w="627" w:type="pct"/>
            <w:tcBorders>
              <w:tl2br w:val="nil"/>
              <w:tr2bl w:val="nil"/>
            </w:tcBorders>
            <w:noWrap w:val="0"/>
            <w:vAlign w:val="center"/>
          </w:tcPr>
          <w:p w14:paraId="589A5C9D">
            <w:pPr>
              <w:spacing w:line="240" w:lineRule="auto"/>
              <w:ind w:firstLine="0" w:firstLineChars="0"/>
              <w:jc w:val="center"/>
              <w:rPr>
                <w:color w:val="auto"/>
                <w:sz w:val="21"/>
                <w:szCs w:val="21"/>
              </w:rPr>
            </w:pPr>
          </w:p>
        </w:tc>
      </w:tr>
      <w:tr w14:paraId="6DC44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pct"/>
            <w:gridSpan w:val="2"/>
            <w:tcBorders>
              <w:tl2br w:val="nil"/>
              <w:tr2bl w:val="nil"/>
            </w:tcBorders>
            <w:noWrap w:val="0"/>
            <w:vAlign w:val="center"/>
          </w:tcPr>
          <w:p w14:paraId="7D64F412">
            <w:pPr>
              <w:spacing w:line="240" w:lineRule="auto"/>
              <w:ind w:firstLine="0" w:firstLineChars="0"/>
              <w:jc w:val="center"/>
              <w:rPr>
                <w:rFonts w:hint="eastAsia"/>
                <w:color w:val="auto"/>
                <w:sz w:val="21"/>
                <w:szCs w:val="21"/>
              </w:rPr>
            </w:pPr>
            <w:r>
              <w:rPr>
                <w:rFonts w:hint="eastAsia"/>
                <w:color w:val="auto"/>
                <w:sz w:val="21"/>
                <w:szCs w:val="21"/>
              </w:rPr>
              <w:t>评价结论</w:t>
            </w:r>
          </w:p>
        </w:tc>
        <w:tc>
          <w:tcPr>
            <w:tcW w:w="3168" w:type="pct"/>
            <w:gridSpan w:val="5"/>
            <w:tcBorders>
              <w:tl2br w:val="nil"/>
              <w:tr2bl w:val="nil"/>
            </w:tcBorders>
            <w:noWrap w:val="0"/>
            <w:vAlign w:val="center"/>
          </w:tcPr>
          <w:p w14:paraId="1CD04913">
            <w:pPr>
              <w:spacing w:line="240" w:lineRule="auto"/>
              <w:ind w:firstLine="0" w:firstLineChars="0"/>
              <w:jc w:val="left"/>
              <w:rPr>
                <w:color w:val="auto"/>
                <w:sz w:val="21"/>
                <w:szCs w:val="21"/>
              </w:rPr>
            </w:pPr>
            <w:r>
              <w:rPr>
                <w:rFonts w:hint="eastAsia"/>
                <w:color w:val="auto"/>
                <w:sz w:val="21"/>
                <w:szCs w:val="21"/>
              </w:rPr>
              <w:t>项目所在区域土壤环境质量满足《土壤环境质量 建设用地土壤污染风险管控标准》（GB36600-2018）二类用地筛选值标准要求</w:t>
            </w:r>
          </w:p>
        </w:tc>
        <w:tc>
          <w:tcPr>
            <w:tcW w:w="627" w:type="pct"/>
            <w:tcBorders>
              <w:tl2br w:val="nil"/>
              <w:tr2bl w:val="nil"/>
            </w:tcBorders>
            <w:noWrap w:val="0"/>
            <w:vAlign w:val="center"/>
          </w:tcPr>
          <w:p w14:paraId="45DC24D7">
            <w:pPr>
              <w:spacing w:line="240" w:lineRule="auto"/>
              <w:ind w:firstLine="0" w:firstLineChars="0"/>
              <w:jc w:val="center"/>
              <w:rPr>
                <w:color w:val="auto"/>
                <w:sz w:val="21"/>
                <w:szCs w:val="21"/>
              </w:rPr>
            </w:pPr>
          </w:p>
        </w:tc>
      </w:tr>
      <w:tr w14:paraId="73E85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8"/>
            <w:tcBorders>
              <w:tl2br w:val="nil"/>
              <w:tr2bl w:val="nil"/>
            </w:tcBorders>
            <w:noWrap w:val="0"/>
            <w:vAlign w:val="center"/>
          </w:tcPr>
          <w:p w14:paraId="4F5A9BE5">
            <w:pPr>
              <w:spacing w:line="240" w:lineRule="auto"/>
              <w:ind w:firstLine="0" w:firstLineChars="0"/>
              <w:rPr>
                <w:rFonts w:hint="eastAsia"/>
                <w:color w:val="auto"/>
                <w:sz w:val="21"/>
                <w:szCs w:val="21"/>
              </w:rPr>
            </w:pPr>
            <w:r>
              <w:rPr>
                <w:rFonts w:hint="eastAsia"/>
                <w:color w:val="auto"/>
                <w:sz w:val="21"/>
                <w:szCs w:val="21"/>
              </w:rPr>
              <w:t>注1：“□”为勾选项，可√；“（）”为内容填写项；“备注”为其他补充内容。</w:t>
            </w:r>
          </w:p>
          <w:p w14:paraId="480FCCD5">
            <w:pPr>
              <w:spacing w:line="240" w:lineRule="auto"/>
              <w:ind w:firstLine="0" w:firstLineChars="0"/>
              <w:rPr>
                <w:color w:val="auto"/>
                <w:sz w:val="21"/>
                <w:szCs w:val="21"/>
              </w:rPr>
            </w:pPr>
            <w:r>
              <w:rPr>
                <w:rFonts w:hint="eastAsia"/>
                <w:color w:val="auto"/>
                <w:sz w:val="21"/>
                <w:szCs w:val="21"/>
              </w:rPr>
              <w:t>注2：需要分别开展土壤环境影响评级工作的，分别填写自查表。</w:t>
            </w:r>
          </w:p>
        </w:tc>
      </w:tr>
    </w:tbl>
    <w:p w14:paraId="287B362E">
      <w:pPr>
        <w:pStyle w:val="304"/>
        <w:pageBreakBefore w:val="0"/>
        <w:wordWrap/>
        <w:bidi w:val="0"/>
        <w:adjustRightInd/>
        <w:snapToGrid/>
        <w:rPr>
          <w:color w:val="auto"/>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556E9704">
      <w:pPr>
        <w:pStyle w:val="3"/>
        <w:bidi w:val="0"/>
        <w:rPr>
          <w:color w:val="auto"/>
        </w:rPr>
      </w:pPr>
      <w:bookmarkStart w:id="200" w:name="_Toc14567"/>
      <w:r>
        <w:rPr>
          <w:rFonts w:hint="eastAsia"/>
          <w:color w:val="auto"/>
        </w:rPr>
        <w:t xml:space="preserve"> </w:t>
      </w:r>
      <w:bookmarkStart w:id="201" w:name="_Toc26655"/>
      <w:r>
        <w:rPr>
          <w:color w:val="auto"/>
        </w:rPr>
        <w:t>环境风险</w:t>
      </w:r>
      <w:bookmarkEnd w:id="200"/>
      <w:r>
        <w:rPr>
          <w:rFonts w:hint="eastAsia"/>
          <w:color w:val="auto"/>
          <w:lang w:val="en-US" w:eastAsia="zh-CN"/>
        </w:rPr>
        <w:t>评价</w:t>
      </w:r>
      <w:bookmarkEnd w:id="201"/>
    </w:p>
    <w:bookmarkEnd w:id="186"/>
    <w:bookmarkEnd w:id="187"/>
    <w:p w14:paraId="526CD3A1">
      <w:pPr>
        <w:pStyle w:val="4"/>
        <w:bidi w:val="0"/>
        <w:rPr>
          <w:color w:val="auto"/>
        </w:rPr>
      </w:pPr>
      <w:bookmarkStart w:id="202" w:name="_Toc374627810"/>
      <w:bookmarkStart w:id="203" w:name="_Toc10368"/>
      <w:bookmarkStart w:id="204" w:name="_Toc505087365"/>
      <w:r>
        <w:rPr>
          <w:rFonts w:hint="eastAsia"/>
          <w:color w:val="auto"/>
        </w:rPr>
        <w:t xml:space="preserve"> </w:t>
      </w:r>
      <w:bookmarkStart w:id="205" w:name="_Toc15525"/>
      <w:r>
        <w:rPr>
          <w:color w:val="auto"/>
        </w:rPr>
        <w:t>环境风险评价的目的与重点</w:t>
      </w:r>
      <w:bookmarkEnd w:id="202"/>
      <w:bookmarkEnd w:id="203"/>
      <w:bookmarkEnd w:id="204"/>
      <w:bookmarkEnd w:id="205"/>
    </w:p>
    <w:p w14:paraId="456BE784">
      <w:pPr>
        <w:bidi w:val="0"/>
        <w:rPr>
          <w:color w:val="auto"/>
        </w:rPr>
      </w:pPr>
      <w:r>
        <w:rPr>
          <w:color w:val="auto"/>
        </w:rPr>
        <w:t>环境风险评价的目的是分析和预测建设项目存在的潜在危险、有害因素，建设项目建设和运行</w:t>
      </w:r>
      <w:r>
        <w:rPr>
          <w:rFonts w:hint="eastAsia"/>
          <w:color w:val="auto"/>
          <w:lang w:eastAsia="zh-CN"/>
        </w:rPr>
        <w:t>期间</w:t>
      </w:r>
      <w:r>
        <w:rPr>
          <w:color w:val="auto"/>
        </w:rPr>
        <w:t>可能发生的突发性事件和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1005DD08">
      <w:pPr>
        <w:pStyle w:val="4"/>
        <w:bidi w:val="0"/>
        <w:rPr>
          <w:color w:val="auto"/>
        </w:rPr>
      </w:pPr>
      <w:r>
        <w:rPr>
          <w:rFonts w:hint="eastAsia"/>
          <w:color w:val="auto"/>
        </w:rPr>
        <w:t xml:space="preserve"> </w:t>
      </w:r>
      <w:bookmarkStart w:id="206" w:name="_Toc21237"/>
      <w:r>
        <w:rPr>
          <w:color w:val="auto"/>
        </w:rPr>
        <w:t>评价依据</w:t>
      </w:r>
      <w:bookmarkEnd w:id="206"/>
    </w:p>
    <w:p w14:paraId="04AFC052">
      <w:pPr>
        <w:pStyle w:val="5"/>
        <w:bidi w:val="0"/>
        <w:rPr>
          <w:color w:val="auto"/>
        </w:rPr>
      </w:pPr>
      <w:bookmarkStart w:id="207" w:name="_Toc295324135"/>
      <w:r>
        <w:rPr>
          <w:rFonts w:hint="eastAsia"/>
          <w:color w:val="auto"/>
          <w:lang w:val="en-US" w:eastAsia="zh-CN"/>
        </w:rPr>
        <w:t xml:space="preserve"> </w:t>
      </w:r>
      <w:r>
        <w:rPr>
          <w:color w:val="auto"/>
        </w:rPr>
        <w:t>风险调查</w:t>
      </w:r>
    </w:p>
    <w:p w14:paraId="23C0D29A">
      <w:pPr>
        <w:bidi w:val="0"/>
        <w:rPr>
          <w:color w:val="auto"/>
        </w:rPr>
      </w:pPr>
      <w:r>
        <w:rPr>
          <w:color w:val="auto"/>
        </w:rPr>
        <w:t>本次事故风险评价主要考虑</w:t>
      </w:r>
      <w:r>
        <w:rPr>
          <w:rFonts w:hint="eastAsia"/>
          <w:color w:val="auto"/>
          <w:lang w:eastAsia="zh-CN"/>
        </w:rPr>
        <w:t>污水处理厂</w:t>
      </w:r>
      <w:r>
        <w:rPr>
          <w:color w:val="auto"/>
        </w:rPr>
        <w:t>因临近</w:t>
      </w:r>
      <w:r>
        <w:rPr>
          <w:rFonts w:hint="eastAsia"/>
          <w:color w:val="auto"/>
          <w:lang w:eastAsia="zh-CN"/>
        </w:rPr>
        <w:t>巴河</w:t>
      </w:r>
      <w:r>
        <w:rPr>
          <w:color w:val="auto"/>
        </w:rPr>
        <w:t>存在的选址风险以及在运行过程中自身原因产生的风险、园区内拟接入管网的企业因独立处理设施处理能力下降等使污水超标排放进入厂区内进行分析，评价存在的潜在危险、有害因素及其种类、可能性和程度，从中筛选出最大可信灾害事故及其源项，进行有代表性的事故后果计算，最终从保护环境的角度确定存在的环境风险，并提出防范措施和相应的防治对策，为园区完善规划、项目建设提供技术支撑，把风险降低至可接受水平，并为环境保护行政主管部门的风险决策提供依据。</w:t>
      </w:r>
    </w:p>
    <w:p w14:paraId="56340238">
      <w:pPr>
        <w:bidi w:val="0"/>
        <w:rPr>
          <w:color w:val="auto"/>
        </w:rPr>
      </w:pPr>
      <w:r>
        <w:rPr>
          <w:color w:val="auto"/>
        </w:rPr>
        <w:t>本项目的环境风险是废水的事故排放、废气事故排放、加药间危险化学品的泄漏挥发、腐蚀风险事故、火灾及管线破裂、断裂、堵塞等。</w:t>
      </w:r>
    </w:p>
    <w:p w14:paraId="2086B86C">
      <w:pPr>
        <w:pStyle w:val="5"/>
        <w:bidi w:val="0"/>
        <w:rPr>
          <w:color w:val="auto"/>
        </w:rPr>
      </w:pPr>
      <w:bookmarkStart w:id="208" w:name="_Toc574"/>
      <w:r>
        <w:rPr>
          <w:rFonts w:hint="eastAsia"/>
          <w:color w:val="auto"/>
          <w:lang w:val="en-US" w:eastAsia="zh-CN"/>
        </w:rPr>
        <w:t xml:space="preserve"> </w:t>
      </w:r>
      <w:r>
        <w:rPr>
          <w:color w:val="auto"/>
        </w:rPr>
        <w:t>风险潜势初判及评价等级</w:t>
      </w:r>
    </w:p>
    <w:p w14:paraId="1D94232C">
      <w:pPr>
        <w:bidi w:val="0"/>
        <w:rPr>
          <w:color w:val="auto"/>
        </w:rPr>
      </w:pPr>
      <w:r>
        <w:rPr>
          <w:color w:val="auto"/>
        </w:rPr>
        <w:t>根据《建设项目环境风险评价技术导则》（HJ</w:t>
      </w:r>
      <w:r>
        <w:rPr>
          <w:rFonts w:hint="eastAsia"/>
          <w:color w:val="auto"/>
          <w:lang w:eastAsia="zh-CN"/>
        </w:rPr>
        <w:t>1</w:t>
      </w:r>
      <w:r>
        <w:rPr>
          <w:color w:val="auto"/>
        </w:rPr>
        <w:t>69-2018），评价工作等级划分见</w:t>
      </w:r>
      <w:r>
        <w:rPr>
          <w:rFonts w:hint="eastAsia"/>
          <w:color w:val="auto"/>
          <w:lang w:val="en-US" w:eastAsia="zh-CN"/>
        </w:rPr>
        <w:t>下表</w:t>
      </w:r>
      <w:r>
        <w:rPr>
          <w:color w:val="auto"/>
        </w:rPr>
        <w:t>。</w:t>
      </w:r>
    </w:p>
    <w:p w14:paraId="36C31C6D">
      <w:pPr>
        <w:pStyle w:val="15"/>
        <w:numPr>
          <w:ilvl w:val="0"/>
          <w:numId w:val="33"/>
        </w:numPr>
        <w:bidi w:val="0"/>
        <w:ind w:left="0" w:leftChars="0" w:firstLine="0" w:firstLineChars="0"/>
        <w:rPr>
          <w:color w:val="auto"/>
        </w:rPr>
      </w:pPr>
      <w:r>
        <w:rPr>
          <w:color w:val="auto"/>
        </w:rPr>
        <w:t>评价工作等级划分</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775"/>
        <w:gridCol w:w="1775"/>
        <w:gridCol w:w="1775"/>
        <w:gridCol w:w="1776"/>
      </w:tblGrid>
      <w:tr w14:paraId="053FD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pct"/>
            <w:tcBorders>
              <w:tl2br w:val="nil"/>
              <w:tr2bl w:val="nil"/>
            </w:tcBorders>
            <w:noWrap w:val="0"/>
            <w:vAlign w:val="center"/>
          </w:tcPr>
          <w:p w14:paraId="79B9581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环境风险潜势</w:t>
            </w:r>
          </w:p>
        </w:tc>
        <w:tc>
          <w:tcPr>
            <w:tcW w:w="992" w:type="pct"/>
            <w:tcBorders>
              <w:tl2br w:val="nil"/>
              <w:tr2bl w:val="nil"/>
            </w:tcBorders>
            <w:noWrap w:val="0"/>
            <w:vAlign w:val="center"/>
          </w:tcPr>
          <w:p w14:paraId="657AD48C">
            <w:pPr>
              <w:pageBreakBefore w:val="0"/>
              <w:wordWrap/>
              <w:bidi w:val="0"/>
              <w:adjustRightInd/>
              <w:snapToGrid/>
              <w:spacing w:line="240" w:lineRule="auto"/>
              <w:ind w:firstLine="0" w:firstLineChars="0"/>
              <w:jc w:val="center"/>
              <w:rPr>
                <w:bCs/>
                <w:color w:val="auto"/>
                <w:sz w:val="21"/>
                <w:szCs w:val="21"/>
                <w:vertAlign w:val="superscript"/>
              </w:rPr>
            </w:pPr>
            <w:r>
              <w:rPr>
                <w:bCs/>
                <w:color w:val="auto"/>
                <w:sz w:val="21"/>
                <w:szCs w:val="21"/>
              </w:rPr>
              <w:t>IV、IV</w:t>
            </w:r>
            <w:r>
              <w:rPr>
                <w:bCs/>
                <w:color w:val="auto"/>
                <w:sz w:val="21"/>
                <w:szCs w:val="21"/>
                <w:vertAlign w:val="superscript"/>
              </w:rPr>
              <w:t>+</w:t>
            </w:r>
          </w:p>
        </w:tc>
        <w:tc>
          <w:tcPr>
            <w:tcW w:w="992" w:type="pct"/>
            <w:tcBorders>
              <w:tl2br w:val="nil"/>
              <w:tr2bl w:val="nil"/>
            </w:tcBorders>
            <w:noWrap w:val="0"/>
            <w:vAlign w:val="center"/>
          </w:tcPr>
          <w:p w14:paraId="4190135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III</w:t>
            </w:r>
          </w:p>
        </w:tc>
        <w:tc>
          <w:tcPr>
            <w:tcW w:w="992" w:type="pct"/>
            <w:tcBorders>
              <w:tl2br w:val="nil"/>
              <w:tr2bl w:val="nil"/>
            </w:tcBorders>
            <w:noWrap w:val="0"/>
            <w:vAlign w:val="center"/>
          </w:tcPr>
          <w:p w14:paraId="6ACEC55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II</w:t>
            </w:r>
          </w:p>
        </w:tc>
        <w:tc>
          <w:tcPr>
            <w:tcW w:w="992" w:type="pct"/>
            <w:tcBorders>
              <w:tl2br w:val="nil"/>
              <w:tr2bl w:val="nil"/>
            </w:tcBorders>
            <w:noWrap w:val="0"/>
            <w:vAlign w:val="center"/>
          </w:tcPr>
          <w:p w14:paraId="284B562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w:t>
            </w:r>
          </w:p>
        </w:tc>
      </w:tr>
      <w:tr w14:paraId="7A88E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pct"/>
            <w:tcBorders>
              <w:tl2br w:val="nil"/>
              <w:tr2bl w:val="nil"/>
            </w:tcBorders>
            <w:noWrap w:val="0"/>
            <w:vAlign w:val="center"/>
          </w:tcPr>
          <w:p w14:paraId="6B5E5F76">
            <w:pPr>
              <w:pageBreakBefore w:val="0"/>
              <w:wordWrap/>
              <w:bidi w:val="0"/>
              <w:adjustRightInd/>
              <w:snapToGrid/>
              <w:spacing w:line="240" w:lineRule="auto"/>
              <w:ind w:firstLine="0" w:firstLineChars="0"/>
              <w:jc w:val="center"/>
              <w:rPr>
                <w:b/>
                <w:color w:val="auto"/>
                <w:sz w:val="21"/>
                <w:szCs w:val="21"/>
              </w:rPr>
            </w:pPr>
            <w:r>
              <w:rPr>
                <w:b/>
                <w:color w:val="auto"/>
                <w:sz w:val="21"/>
                <w:szCs w:val="21"/>
              </w:rPr>
              <w:t>评价工作等级</w:t>
            </w:r>
          </w:p>
        </w:tc>
        <w:tc>
          <w:tcPr>
            <w:tcW w:w="992" w:type="pct"/>
            <w:tcBorders>
              <w:tl2br w:val="nil"/>
              <w:tr2bl w:val="nil"/>
            </w:tcBorders>
            <w:noWrap w:val="0"/>
            <w:vAlign w:val="center"/>
          </w:tcPr>
          <w:p w14:paraId="25D304D1">
            <w:pPr>
              <w:pageBreakBefore w:val="0"/>
              <w:wordWrap/>
              <w:bidi w:val="0"/>
              <w:adjustRightInd/>
              <w:snapToGrid/>
              <w:spacing w:line="240" w:lineRule="auto"/>
              <w:ind w:firstLine="0" w:firstLineChars="0"/>
              <w:jc w:val="center"/>
              <w:rPr>
                <w:color w:val="auto"/>
                <w:sz w:val="21"/>
                <w:szCs w:val="21"/>
              </w:rPr>
            </w:pPr>
            <w:r>
              <w:rPr>
                <w:color w:val="auto"/>
                <w:sz w:val="21"/>
                <w:szCs w:val="21"/>
              </w:rPr>
              <w:t>一</w:t>
            </w:r>
          </w:p>
        </w:tc>
        <w:tc>
          <w:tcPr>
            <w:tcW w:w="992" w:type="pct"/>
            <w:tcBorders>
              <w:tl2br w:val="nil"/>
              <w:tr2bl w:val="nil"/>
            </w:tcBorders>
            <w:noWrap w:val="0"/>
            <w:vAlign w:val="center"/>
          </w:tcPr>
          <w:p w14:paraId="0A68F82E">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二</w:t>
            </w:r>
          </w:p>
        </w:tc>
        <w:tc>
          <w:tcPr>
            <w:tcW w:w="992" w:type="pct"/>
            <w:tcBorders>
              <w:tl2br w:val="nil"/>
              <w:tr2bl w:val="nil"/>
            </w:tcBorders>
            <w:noWrap w:val="0"/>
            <w:vAlign w:val="center"/>
          </w:tcPr>
          <w:p w14:paraId="4B223071">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三</w:t>
            </w:r>
          </w:p>
        </w:tc>
        <w:tc>
          <w:tcPr>
            <w:tcW w:w="992" w:type="pct"/>
            <w:tcBorders>
              <w:tl2br w:val="nil"/>
              <w:tr2bl w:val="nil"/>
            </w:tcBorders>
            <w:noWrap w:val="0"/>
            <w:vAlign w:val="center"/>
          </w:tcPr>
          <w:p w14:paraId="629AE3A3">
            <w:pPr>
              <w:pageBreakBefore w:val="0"/>
              <w:wordWrap/>
              <w:bidi w:val="0"/>
              <w:adjustRightInd/>
              <w:snapToGrid/>
              <w:spacing w:line="240" w:lineRule="auto"/>
              <w:ind w:firstLine="0" w:firstLineChars="0"/>
              <w:jc w:val="center"/>
              <w:rPr>
                <w:color w:val="auto"/>
                <w:sz w:val="21"/>
                <w:szCs w:val="21"/>
              </w:rPr>
            </w:pPr>
            <w:r>
              <w:rPr>
                <w:color w:val="auto"/>
                <w:sz w:val="21"/>
                <w:szCs w:val="21"/>
              </w:rPr>
              <w:t>简单分析</w:t>
            </w:r>
          </w:p>
        </w:tc>
      </w:tr>
    </w:tbl>
    <w:p w14:paraId="6863C99C">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rPr>
        <w:t>建设项目环境风险潜势划分为Ⅰ、Ⅱ、Ⅲ、Ⅳ/Ⅳ级，根据项目涉及的物质和工艺系统的危险性及其所在地的环境敏感程度，结合事故情形下环境影响途径，对建设项目潜在环境危害程度进行概化分析，计算项目所涉及的每种危险物质在厂界内的最大存在总量与其在《建设项目环境风险评价技术导则》（HJ</w:t>
      </w:r>
      <w:r>
        <w:rPr>
          <w:rFonts w:hint="default" w:ascii="Times New Roman" w:hAnsi="Times New Roman" w:cs="Times New Roman"/>
          <w:color w:val="auto"/>
          <w:lang w:eastAsia="zh-CN"/>
        </w:rPr>
        <w:t>1</w:t>
      </w:r>
      <w:r>
        <w:rPr>
          <w:rFonts w:hint="default" w:ascii="Times New Roman" w:hAnsi="Times New Roman" w:cs="Times New Roman"/>
          <w:color w:val="auto"/>
        </w:rPr>
        <w:t>69-2018）附录B中对应临界量的比值Q。</w:t>
      </w:r>
    </w:p>
    <w:p w14:paraId="64E460AD">
      <w:pPr>
        <w:bidi w:val="0"/>
        <w:rPr>
          <w:color w:val="auto"/>
        </w:rPr>
      </w:pPr>
      <w:r>
        <w:rPr>
          <w:color w:val="auto"/>
        </w:rPr>
        <w:t>当只涉及一种危险物质时，计算该物质的总量与其临界量比值，即为Q；</w:t>
      </w:r>
    </w:p>
    <w:p w14:paraId="76B72EB8">
      <w:pPr>
        <w:bidi w:val="0"/>
        <w:rPr>
          <w:color w:val="auto"/>
        </w:rPr>
      </w:pPr>
      <w:r>
        <w:rPr>
          <w:color w:val="auto"/>
        </w:rPr>
        <w:t>当存在多种危险物质时，则按下式计算物质总量与其临界量比值（Q）：</w:t>
      </w:r>
    </w:p>
    <w:p w14:paraId="3C655EF3">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rPr>
          <w:color w:val="auto"/>
        </w:rPr>
      </w:pPr>
      <w:r>
        <w:rPr>
          <w:color w:val="auto"/>
        </w:rPr>
        <w:t>Q=q</w:t>
      </w:r>
      <w:r>
        <w:rPr>
          <w:color w:val="auto"/>
          <w:vertAlign w:val="subscript"/>
        </w:rPr>
        <w:t>1</w:t>
      </w:r>
      <w:r>
        <w:rPr>
          <w:color w:val="auto"/>
        </w:rPr>
        <w:t>/Q</w:t>
      </w:r>
      <w:r>
        <w:rPr>
          <w:color w:val="auto"/>
          <w:vertAlign w:val="subscript"/>
        </w:rPr>
        <w:t>1</w:t>
      </w:r>
      <w:r>
        <w:rPr>
          <w:color w:val="auto"/>
        </w:rPr>
        <w:t>+q</w:t>
      </w:r>
      <w:r>
        <w:rPr>
          <w:color w:val="auto"/>
          <w:vertAlign w:val="subscript"/>
        </w:rPr>
        <w:t>2</w:t>
      </w:r>
      <w:r>
        <w:rPr>
          <w:color w:val="auto"/>
        </w:rPr>
        <w:t>/Q</w:t>
      </w:r>
      <w:r>
        <w:rPr>
          <w:color w:val="auto"/>
          <w:vertAlign w:val="subscript"/>
        </w:rPr>
        <w:t>2</w:t>
      </w:r>
      <w:r>
        <w:rPr>
          <w:color w:val="auto"/>
        </w:rPr>
        <w:t>+……+q</w:t>
      </w:r>
      <w:r>
        <w:rPr>
          <w:color w:val="auto"/>
          <w:vertAlign w:val="subscript"/>
        </w:rPr>
        <w:t>n</w:t>
      </w:r>
      <w:r>
        <w:rPr>
          <w:color w:val="auto"/>
        </w:rPr>
        <w:t>/Q</w:t>
      </w:r>
      <w:r>
        <w:rPr>
          <w:color w:val="auto"/>
          <w:vertAlign w:val="subscript"/>
        </w:rPr>
        <w:t>n</w:t>
      </w:r>
    </w:p>
    <w:p w14:paraId="7F034A40">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式中：q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—每种危险物质的最大存在总量，t；</w:t>
      </w:r>
    </w:p>
    <w:p w14:paraId="67CEBBE5">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—每种危险物质的临界量，t。</w:t>
      </w:r>
    </w:p>
    <w:p w14:paraId="451FEF7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当Q＜1时，该项目环境风险潜势为I。</w:t>
      </w:r>
    </w:p>
    <w:p w14:paraId="0A6FD2E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当Q≥1时，将Q值划分为：（1）1≤Q＜10；（2）10≤Q＜100；（3）Q≥100。</w:t>
      </w:r>
    </w:p>
    <w:p w14:paraId="4B6179C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根据《建设项目环境风险评价技术导则》（HJ/T169-2018）目录B，计算厂区最大存储量与临界量比值如下表所示。</w:t>
      </w:r>
    </w:p>
    <w:p w14:paraId="338F7BC6">
      <w:pPr>
        <w:pStyle w:val="15"/>
        <w:numPr>
          <w:ilvl w:val="0"/>
          <w:numId w:val="33"/>
        </w:numPr>
        <w:bidi w:val="0"/>
        <w:ind w:left="0" w:leftChars="0" w:firstLine="0" w:firstLineChars="0"/>
        <w:rPr>
          <w:rFonts w:hint="default"/>
          <w:color w:val="auto"/>
        </w:rPr>
      </w:pPr>
      <w:r>
        <w:rPr>
          <w:rFonts w:hint="default"/>
          <w:color w:val="auto"/>
          <w:lang w:val="en-US" w:eastAsia="zh-CN"/>
        </w:rPr>
        <w:t>本项目环境风险物质与临界量Q值确定表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90"/>
        <w:gridCol w:w="1553"/>
        <w:gridCol w:w="1639"/>
        <w:gridCol w:w="1675"/>
        <w:gridCol w:w="1238"/>
        <w:gridCol w:w="2145"/>
      </w:tblGrid>
      <w:tr w14:paraId="52018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34" w:type="pct"/>
            <w:tcBorders>
              <w:top w:val="single" w:color="auto" w:sz="12" w:space="0"/>
            </w:tcBorders>
            <w:noWrap w:val="0"/>
            <w:vAlign w:val="center"/>
          </w:tcPr>
          <w:p w14:paraId="53DD6FDC">
            <w:pPr>
              <w:pStyle w:val="12"/>
              <w:bidi w:val="0"/>
              <w:rPr>
                <w:rFonts w:hint="default"/>
                <w:b/>
                <w:bCs/>
                <w:color w:val="auto"/>
              </w:rPr>
            </w:pPr>
            <w:r>
              <w:rPr>
                <w:rFonts w:hint="default"/>
                <w:b/>
                <w:bCs/>
                <w:color w:val="auto"/>
              </w:rPr>
              <w:t>序号</w:t>
            </w:r>
          </w:p>
        </w:tc>
        <w:tc>
          <w:tcPr>
            <w:tcW w:w="878" w:type="pct"/>
            <w:tcBorders>
              <w:top w:val="single" w:color="auto" w:sz="12" w:space="0"/>
            </w:tcBorders>
            <w:noWrap w:val="0"/>
            <w:vAlign w:val="center"/>
          </w:tcPr>
          <w:p w14:paraId="78EC92B7">
            <w:pPr>
              <w:pStyle w:val="12"/>
              <w:bidi w:val="0"/>
              <w:rPr>
                <w:rFonts w:hint="default"/>
                <w:b/>
                <w:bCs/>
                <w:color w:val="auto"/>
              </w:rPr>
            </w:pPr>
            <w:r>
              <w:rPr>
                <w:rFonts w:hint="default"/>
                <w:b/>
                <w:bCs/>
                <w:color w:val="auto"/>
              </w:rPr>
              <w:t>危险物质名称</w:t>
            </w:r>
          </w:p>
        </w:tc>
        <w:tc>
          <w:tcPr>
            <w:tcW w:w="927" w:type="pct"/>
            <w:tcBorders>
              <w:top w:val="single" w:color="auto" w:sz="12" w:space="0"/>
            </w:tcBorders>
            <w:noWrap w:val="0"/>
            <w:vAlign w:val="center"/>
          </w:tcPr>
          <w:p w14:paraId="06814AA6">
            <w:pPr>
              <w:pStyle w:val="12"/>
              <w:bidi w:val="0"/>
              <w:rPr>
                <w:rFonts w:hint="default"/>
                <w:b/>
                <w:bCs/>
                <w:color w:val="auto"/>
                <w:lang w:val="en-US" w:eastAsia="zh-CN"/>
              </w:rPr>
            </w:pPr>
            <w:r>
              <w:rPr>
                <w:rFonts w:hint="eastAsia"/>
                <w:b/>
                <w:bCs/>
                <w:color w:val="auto"/>
                <w:lang w:val="en-US" w:eastAsia="zh-CN"/>
              </w:rPr>
              <w:t>用途</w:t>
            </w:r>
          </w:p>
        </w:tc>
        <w:tc>
          <w:tcPr>
            <w:tcW w:w="947" w:type="pct"/>
            <w:tcBorders>
              <w:top w:val="single" w:color="auto" w:sz="12" w:space="0"/>
            </w:tcBorders>
            <w:noWrap w:val="0"/>
            <w:vAlign w:val="center"/>
          </w:tcPr>
          <w:p w14:paraId="49F27D16">
            <w:pPr>
              <w:pStyle w:val="12"/>
              <w:bidi w:val="0"/>
              <w:rPr>
                <w:rFonts w:hint="default"/>
                <w:b/>
                <w:bCs/>
                <w:color w:val="auto"/>
              </w:rPr>
            </w:pPr>
            <w:r>
              <w:rPr>
                <w:rFonts w:hint="default"/>
                <w:b/>
                <w:bCs/>
                <w:color w:val="auto"/>
              </w:rPr>
              <w:t>最大存在总量t</w:t>
            </w:r>
          </w:p>
        </w:tc>
        <w:tc>
          <w:tcPr>
            <w:tcW w:w="698" w:type="pct"/>
            <w:tcBorders>
              <w:top w:val="single" w:color="auto" w:sz="12" w:space="0"/>
            </w:tcBorders>
            <w:noWrap w:val="0"/>
            <w:vAlign w:val="center"/>
          </w:tcPr>
          <w:p w14:paraId="3ED331DD">
            <w:pPr>
              <w:pStyle w:val="12"/>
              <w:bidi w:val="0"/>
              <w:rPr>
                <w:rFonts w:hint="default"/>
                <w:b/>
                <w:bCs/>
                <w:color w:val="auto"/>
              </w:rPr>
            </w:pPr>
            <w:r>
              <w:rPr>
                <w:rFonts w:hint="default"/>
                <w:b/>
                <w:bCs/>
                <w:color w:val="auto"/>
              </w:rPr>
              <w:t>临界量t</w:t>
            </w:r>
          </w:p>
        </w:tc>
        <w:tc>
          <w:tcPr>
            <w:tcW w:w="1213" w:type="pct"/>
            <w:tcBorders>
              <w:top w:val="single" w:color="auto" w:sz="12" w:space="0"/>
            </w:tcBorders>
            <w:noWrap w:val="0"/>
            <w:vAlign w:val="center"/>
          </w:tcPr>
          <w:p w14:paraId="0A39C4EB">
            <w:pPr>
              <w:pStyle w:val="12"/>
              <w:bidi w:val="0"/>
              <w:rPr>
                <w:rFonts w:hint="default"/>
                <w:b/>
                <w:bCs/>
                <w:color w:val="auto"/>
              </w:rPr>
            </w:pPr>
            <w:r>
              <w:rPr>
                <w:rFonts w:hint="default"/>
                <w:b/>
                <w:bCs/>
                <w:color w:val="auto"/>
              </w:rPr>
              <w:t>该种危险物质Q值</w:t>
            </w:r>
          </w:p>
        </w:tc>
      </w:tr>
      <w:tr w14:paraId="5CE5A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34" w:type="pct"/>
            <w:noWrap w:val="0"/>
            <w:vAlign w:val="center"/>
          </w:tcPr>
          <w:p w14:paraId="2288314A">
            <w:pPr>
              <w:pStyle w:val="12"/>
              <w:bidi w:val="0"/>
              <w:rPr>
                <w:rFonts w:hint="default"/>
                <w:color w:val="auto"/>
              </w:rPr>
            </w:pPr>
            <w:r>
              <w:rPr>
                <w:rFonts w:hint="default"/>
                <w:color w:val="auto"/>
              </w:rPr>
              <w:t>1</w:t>
            </w:r>
          </w:p>
        </w:tc>
        <w:tc>
          <w:tcPr>
            <w:tcW w:w="878" w:type="pct"/>
            <w:noWrap w:val="0"/>
            <w:vAlign w:val="center"/>
          </w:tcPr>
          <w:p w14:paraId="7CAF07E6">
            <w:pPr>
              <w:pStyle w:val="12"/>
              <w:bidi w:val="0"/>
              <w:ind w:left="0" w:leftChars="0" w:firstLine="0" w:firstLineChars="0"/>
              <w:rPr>
                <w:rFonts w:hint="default"/>
                <w:color w:val="auto"/>
              </w:rPr>
            </w:pPr>
            <w:r>
              <w:rPr>
                <w:rFonts w:hint="eastAsia"/>
                <w:color w:val="auto"/>
                <w:lang w:val="en-US" w:eastAsia="zh-CN"/>
              </w:rPr>
              <w:t>次氯酸钠</w:t>
            </w:r>
          </w:p>
        </w:tc>
        <w:tc>
          <w:tcPr>
            <w:tcW w:w="927" w:type="pct"/>
            <w:noWrap w:val="0"/>
            <w:vAlign w:val="center"/>
          </w:tcPr>
          <w:p w14:paraId="5C9AC619">
            <w:pPr>
              <w:pStyle w:val="12"/>
              <w:bidi w:val="0"/>
              <w:ind w:left="0" w:leftChars="0" w:firstLine="0" w:firstLineChars="0"/>
              <w:rPr>
                <w:rFonts w:hint="default"/>
                <w:color w:val="auto"/>
                <w:lang w:val="en-US" w:eastAsia="zh-CN"/>
              </w:rPr>
            </w:pPr>
            <w:r>
              <w:rPr>
                <w:rFonts w:hint="eastAsia"/>
                <w:color w:val="auto"/>
                <w:lang w:val="en-US" w:eastAsia="zh-CN"/>
              </w:rPr>
              <w:t>消毒</w:t>
            </w:r>
          </w:p>
        </w:tc>
        <w:tc>
          <w:tcPr>
            <w:tcW w:w="947" w:type="pct"/>
            <w:noWrap w:val="0"/>
            <w:vAlign w:val="center"/>
          </w:tcPr>
          <w:p w14:paraId="39912AC6">
            <w:pPr>
              <w:pStyle w:val="12"/>
              <w:bidi w:val="0"/>
              <w:ind w:left="0" w:leftChars="0" w:firstLine="0" w:firstLineChars="0"/>
              <w:rPr>
                <w:rFonts w:hint="default"/>
                <w:color w:val="auto"/>
                <w:lang w:val="en-US"/>
              </w:rPr>
            </w:pPr>
            <w:r>
              <w:rPr>
                <w:rFonts w:hint="eastAsia"/>
                <w:color w:val="auto"/>
                <w:lang w:val="en-US" w:eastAsia="zh-CN"/>
              </w:rPr>
              <w:t>0.2</w:t>
            </w:r>
          </w:p>
        </w:tc>
        <w:tc>
          <w:tcPr>
            <w:tcW w:w="698" w:type="pct"/>
            <w:noWrap w:val="0"/>
            <w:vAlign w:val="center"/>
          </w:tcPr>
          <w:p w14:paraId="58369A08">
            <w:pPr>
              <w:pStyle w:val="12"/>
              <w:bidi w:val="0"/>
              <w:ind w:left="0" w:leftChars="0" w:firstLine="0" w:firstLineChars="0"/>
              <w:rPr>
                <w:rFonts w:hint="default"/>
                <w:color w:val="auto"/>
              </w:rPr>
            </w:pPr>
            <w:r>
              <w:rPr>
                <w:rFonts w:hint="eastAsia"/>
                <w:color w:val="auto"/>
                <w:lang w:val="en-US" w:eastAsia="zh-CN"/>
              </w:rPr>
              <w:t>5</w:t>
            </w:r>
          </w:p>
        </w:tc>
        <w:tc>
          <w:tcPr>
            <w:tcW w:w="1213" w:type="pct"/>
            <w:noWrap w:val="0"/>
            <w:vAlign w:val="center"/>
          </w:tcPr>
          <w:p w14:paraId="768E2539">
            <w:pPr>
              <w:pStyle w:val="12"/>
              <w:bidi w:val="0"/>
              <w:ind w:left="0" w:leftChars="0" w:firstLine="0" w:firstLineChars="0"/>
              <w:rPr>
                <w:rFonts w:hint="default"/>
                <w:color w:val="auto"/>
                <w:lang w:val="en-US"/>
              </w:rPr>
            </w:pPr>
            <w:r>
              <w:rPr>
                <w:rFonts w:hint="eastAsia"/>
                <w:color w:val="auto"/>
                <w:lang w:val="en-US" w:eastAsia="zh-CN"/>
              </w:rPr>
              <w:t>0.04</w:t>
            </w:r>
          </w:p>
        </w:tc>
      </w:tr>
      <w:tr w14:paraId="28A12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6" w:type="pct"/>
            <w:gridSpan w:val="5"/>
            <w:noWrap w:val="0"/>
            <w:vAlign w:val="center"/>
          </w:tcPr>
          <w:p w14:paraId="1DD1FBE6">
            <w:pPr>
              <w:pStyle w:val="12"/>
              <w:bidi w:val="0"/>
              <w:rPr>
                <w:rFonts w:hint="default"/>
                <w:color w:val="auto"/>
              </w:rPr>
            </w:pPr>
            <w:r>
              <w:rPr>
                <w:rFonts w:hint="default"/>
                <w:color w:val="auto"/>
              </w:rPr>
              <w:t>合计</w:t>
            </w:r>
          </w:p>
        </w:tc>
        <w:tc>
          <w:tcPr>
            <w:tcW w:w="1213" w:type="pct"/>
            <w:noWrap w:val="0"/>
            <w:vAlign w:val="center"/>
          </w:tcPr>
          <w:p w14:paraId="7CC82C03">
            <w:pPr>
              <w:pStyle w:val="12"/>
              <w:bidi w:val="0"/>
              <w:rPr>
                <w:rFonts w:hint="default"/>
                <w:color w:val="auto"/>
                <w:lang w:val="en-US" w:eastAsia="zh-CN"/>
              </w:rPr>
            </w:pPr>
            <w:r>
              <w:rPr>
                <w:rFonts w:hint="eastAsia"/>
                <w:color w:val="auto"/>
                <w:lang w:val="en-US" w:eastAsia="zh-CN"/>
              </w:rPr>
              <w:t>0.04</w:t>
            </w:r>
          </w:p>
        </w:tc>
      </w:tr>
    </w:tbl>
    <w:p w14:paraId="0B55FDA8">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根据计算，本项目风险物质存储量与临界量</w:t>
      </w:r>
      <w:r>
        <w:rPr>
          <w:rFonts w:hint="default" w:ascii="Times New Roman" w:hAnsi="Times New Roman" w:cs="Times New Roman"/>
          <w:color w:val="auto"/>
          <w:sz w:val="24"/>
          <w:szCs w:val="24"/>
        </w:rPr>
        <w:t>比值Q=</w:t>
      </w:r>
      <w:r>
        <w:rPr>
          <w:rFonts w:hint="eastAsia" w:cs="Times New Roman"/>
          <w:color w:val="auto"/>
          <w:sz w:val="24"/>
          <w:szCs w:val="24"/>
          <w:lang w:val="en-US" w:eastAsia="zh-CN"/>
        </w:rPr>
        <w:t>0.04</w:t>
      </w:r>
      <w:r>
        <w:rPr>
          <w:rFonts w:hint="default" w:ascii="Times New Roman" w:hAnsi="Times New Roman" w:cs="Times New Roman"/>
          <w:color w:val="auto"/>
          <w:sz w:val="24"/>
          <w:szCs w:val="24"/>
        </w:rPr>
        <w:t>＜1，未</w:t>
      </w:r>
      <w:r>
        <w:rPr>
          <w:rFonts w:hint="default" w:ascii="Times New Roman" w:hAnsi="Times New Roman" w:cs="Times New Roman"/>
          <w:color w:val="auto"/>
          <w:sz w:val="24"/>
        </w:rPr>
        <w:t>超过临界量。因此，本项目环境风险潜势为Ⅰ级，评价等级为“简单分析”。</w:t>
      </w:r>
    </w:p>
    <w:p w14:paraId="430AC6BD">
      <w:pPr>
        <w:pStyle w:val="4"/>
        <w:bidi w:val="0"/>
        <w:rPr>
          <w:color w:val="auto"/>
        </w:rPr>
      </w:pPr>
      <w:r>
        <w:rPr>
          <w:rFonts w:hint="eastAsia"/>
          <w:color w:val="auto"/>
        </w:rPr>
        <w:t xml:space="preserve"> </w:t>
      </w:r>
      <w:bookmarkStart w:id="209" w:name="_Toc6926"/>
      <w:r>
        <w:rPr>
          <w:color w:val="auto"/>
        </w:rPr>
        <w:t>环境风险识别</w:t>
      </w:r>
      <w:bookmarkEnd w:id="209"/>
    </w:p>
    <w:p w14:paraId="70047FF3">
      <w:pPr>
        <w:pageBreakBefore w:val="0"/>
        <w:wordWrap/>
        <w:bidi w:val="0"/>
        <w:adjustRightInd/>
        <w:snapToGrid/>
        <w:ind w:firstLine="482"/>
        <w:rPr>
          <w:b/>
          <w:color w:val="auto"/>
        </w:rPr>
      </w:pPr>
      <w:r>
        <w:rPr>
          <w:b/>
          <w:color w:val="auto"/>
        </w:rPr>
        <w:t>（1）物质危险性识别</w:t>
      </w:r>
    </w:p>
    <w:p w14:paraId="7371DFBF">
      <w:pPr>
        <w:bidi w:val="0"/>
        <w:rPr>
          <w:color w:val="auto"/>
        </w:rPr>
      </w:pPr>
      <w:r>
        <w:rPr>
          <w:color w:val="auto"/>
        </w:rPr>
        <w:t>按照《建设项目环境风险评价技术导则》（HJ</w:t>
      </w:r>
      <w:r>
        <w:rPr>
          <w:rFonts w:hint="eastAsia"/>
          <w:color w:val="auto"/>
          <w:lang w:eastAsia="zh-CN"/>
        </w:rPr>
        <w:t>1</w:t>
      </w:r>
      <w:r>
        <w:rPr>
          <w:color w:val="auto"/>
        </w:rPr>
        <w:t>69-2018，以下简称</w:t>
      </w:r>
      <w:r>
        <w:rPr>
          <w:rFonts w:hint="eastAsia"/>
          <w:color w:val="auto"/>
          <w:lang w:eastAsia="zh-CN"/>
        </w:rPr>
        <w:t>“</w:t>
      </w:r>
      <w:r>
        <w:rPr>
          <w:color w:val="auto"/>
        </w:rPr>
        <w:t>导则</w:t>
      </w:r>
      <w:r>
        <w:rPr>
          <w:rFonts w:hint="eastAsia"/>
          <w:color w:val="auto"/>
          <w:lang w:eastAsia="zh-CN"/>
        </w:rPr>
        <w:t>”</w:t>
      </w:r>
      <w:r>
        <w:rPr>
          <w:color w:val="auto"/>
        </w:rPr>
        <w:t>）和《环境风险评价实用技术和方法》（以下简称</w:t>
      </w:r>
      <w:r>
        <w:rPr>
          <w:rFonts w:hint="eastAsia"/>
          <w:color w:val="auto"/>
          <w:lang w:eastAsia="zh-CN"/>
        </w:rPr>
        <w:t>“</w:t>
      </w:r>
      <w:r>
        <w:rPr>
          <w:color w:val="auto"/>
        </w:rPr>
        <w:t>方法</w:t>
      </w:r>
      <w:r>
        <w:rPr>
          <w:rFonts w:hint="eastAsia"/>
          <w:color w:val="auto"/>
          <w:lang w:eastAsia="zh-CN"/>
        </w:rPr>
        <w:t>”</w:t>
      </w:r>
      <w:r>
        <w:rPr>
          <w:color w:val="auto"/>
        </w:rPr>
        <w:t>）规定，风险评价首先要确定建设项目所用原辅材料的毒性、易燃易爆性等危险性级别。分级标准见</w:t>
      </w:r>
      <w:r>
        <w:rPr>
          <w:rFonts w:hint="eastAsia"/>
          <w:color w:val="auto"/>
          <w:lang w:val="en-US" w:eastAsia="zh-CN"/>
        </w:rPr>
        <w:t>下表</w:t>
      </w:r>
      <w:r>
        <w:rPr>
          <w:color w:val="auto"/>
        </w:rPr>
        <w:t>。</w:t>
      </w:r>
    </w:p>
    <w:p w14:paraId="64E2F767">
      <w:pPr>
        <w:pStyle w:val="15"/>
        <w:numPr>
          <w:ilvl w:val="0"/>
          <w:numId w:val="34"/>
        </w:numPr>
        <w:bidi w:val="0"/>
        <w:ind w:left="0" w:leftChars="0" w:firstLine="0" w:firstLineChars="0"/>
        <w:rPr>
          <w:color w:val="auto"/>
        </w:rPr>
      </w:pPr>
      <w:r>
        <w:rPr>
          <w:color w:val="auto"/>
        </w:rPr>
        <w:t>物质危险性标准</w:t>
      </w:r>
    </w:p>
    <w:tbl>
      <w:tblPr>
        <w:tblStyle w:val="48"/>
        <w:tblW w:w="89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33"/>
        <w:gridCol w:w="1513"/>
        <w:gridCol w:w="2337"/>
        <w:gridCol w:w="1631"/>
        <w:gridCol w:w="2861"/>
      </w:tblGrid>
      <w:tr w14:paraId="3D088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146" w:type="dxa"/>
            <w:gridSpan w:val="2"/>
            <w:tcBorders>
              <w:tl2br w:val="nil"/>
              <w:tr2bl w:val="nil"/>
            </w:tcBorders>
            <w:noWrap w:val="0"/>
            <w:vAlign w:val="center"/>
          </w:tcPr>
          <w:p w14:paraId="6F7DF40D">
            <w:pPr>
              <w:pStyle w:val="12"/>
              <w:bidi w:val="0"/>
              <w:rPr>
                <w:color w:val="auto"/>
              </w:rPr>
            </w:pPr>
            <w:r>
              <w:rPr>
                <w:color w:val="auto"/>
              </w:rPr>
              <w:t>类别</w:t>
            </w:r>
          </w:p>
        </w:tc>
        <w:tc>
          <w:tcPr>
            <w:tcW w:w="2337" w:type="dxa"/>
            <w:tcBorders>
              <w:tl2br w:val="nil"/>
              <w:tr2bl w:val="nil"/>
            </w:tcBorders>
            <w:noWrap w:val="0"/>
            <w:vAlign w:val="center"/>
          </w:tcPr>
          <w:p w14:paraId="6A602BC5">
            <w:pPr>
              <w:pStyle w:val="12"/>
              <w:bidi w:val="0"/>
              <w:rPr>
                <w:color w:val="auto"/>
              </w:rPr>
            </w:pPr>
            <w:r>
              <w:rPr>
                <w:color w:val="auto"/>
              </w:rPr>
              <w:t>LD50</w:t>
            </w:r>
            <w:r>
              <w:rPr>
                <w:rFonts w:hint="eastAsia"/>
                <w:color w:val="auto"/>
                <w:lang w:eastAsia="zh-CN"/>
              </w:rPr>
              <w:t>（</w:t>
            </w:r>
            <w:r>
              <w:rPr>
                <w:color w:val="auto"/>
              </w:rPr>
              <w:t>大鼠经口</w:t>
            </w:r>
            <w:r>
              <w:rPr>
                <w:rFonts w:hint="eastAsia"/>
                <w:color w:val="auto"/>
                <w:lang w:eastAsia="zh-CN"/>
              </w:rPr>
              <w:t>）</w:t>
            </w:r>
            <w:r>
              <w:rPr>
                <w:color w:val="auto"/>
              </w:rPr>
              <w:t>mg/kg</w:t>
            </w:r>
          </w:p>
        </w:tc>
        <w:tc>
          <w:tcPr>
            <w:tcW w:w="1631" w:type="dxa"/>
            <w:tcBorders>
              <w:tl2br w:val="nil"/>
              <w:tr2bl w:val="nil"/>
            </w:tcBorders>
            <w:noWrap w:val="0"/>
            <w:vAlign w:val="center"/>
          </w:tcPr>
          <w:p w14:paraId="2334CCBD">
            <w:pPr>
              <w:pStyle w:val="12"/>
              <w:bidi w:val="0"/>
              <w:rPr>
                <w:color w:val="auto"/>
              </w:rPr>
            </w:pPr>
            <w:r>
              <w:rPr>
                <w:color w:val="auto"/>
              </w:rPr>
              <w:t>LD50</w:t>
            </w:r>
            <w:r>
              <w:rPr>
                <w:rFonts w:hint="eastAsia"/>
                <w:color w:val="auto"/>
                <w:lang w:eastAsia="zh-CN"/>
              </w:rPr>
              <w:t>（</w:t>
            </w:r>
            <w:r>
              <w:rPr>
                <w:color w:val="auto"/>
              </w:rPr>
              <w:t>大鼠经皮</w:t>
            </w:r>
            <w:r>
              <w:rPr>
                <w:rFonts w:hint="eastAsia"/>
                <w:color w:val="auto"/>
                <w:lang w:eastAsia="zh-CN"/>
              </w:rPr>
              <w:t>）</w:t>
            </w:r>
            <w:r>
              <w:rPr>
                <w:color w:val="auto"/>
              </w:rPr>
              <w:t>mg/kg</w:t>
            </w:r>
          </w:p>
        </w:tc>
        <w:tc>
          <w:tcPr>
            <w:tcW w:w="2861" w:type="dxa"/>
            <w:tcBorders>
              <w:tl2br w:val="nil"/>
              <w:tr2bl w:val="nil"/>
            </w:tcBorders>
            <w:noWrap w:val="0"/>
            <w:vAlign w:val="center"/>
          </w:tcPr>
          <w:p w14:paraId="71EBD87C">
            <w:pPr>
              <w:pStyle w:val="12"/>
              <w:bidi w:val="0"/>
              <w:rPr>
                <w:rFonts w:hint="eastAsia"/>
                <w:color w:val="auto"/>
                <w:lang w:eastAsia="zh-CN"/>
              </w:rPr>
            </w:pPr>
            <w:r>
              <w:rPr>
                <w:color w:val="auto"/>
              </w:rPr>
              <w:t>LC50</w:t>
            </w:r>
            <w:r>
              <w:rPr>
                <w:rFonts w:hint="eastAsia"/>
                <w:color w:val="auto"/>
                <w:lang w:eastAsia="zh-CN"/>
              </w:rPr>
              <w:t>（</w:t>
            </w:r>
            <w:r>
              <w:rPr>
                <w:color w:val="auto"/>
              </w:rPr>
              <w:t>小鼠吸入</w:t>
            </w:r>
            <w:r>
              <w:rPr>
                <w:rFonts w:hint="eastAsia"/>
                <w:color w:val="auto"/>
                <w:lang w:eastAsia="zh-CN"/>
              </w:rPr>
              <w:t>，</w:t>
            </w:r>
            <w:r>
              <w:rPr>
                <w:color w:val="auto"/>
              </w:rPr>
              <w:t>4h</w:t>
            </w:r>
            <w:r>
              <w:rPr>
                <w:rFonts w:hint="eastAsia"/>
                <w:color w:val="auto"/>
                <w:lang w:eastAsia="zh-CN"/>
              </w:rPr>
              <w:t>）</w:t>
            </w:r>
            <w:r>
              <w:rPr>
                <w:color w:val="auto"/>
              </w:rPr>
              <w:t>mg/</w:t>
            </w:r>
            <w:r>
              <w:rPr>
                <w:rFonts w:hint="eastAsia"/>
                <w:color w:val="auto"/>
                <w:lang w:eastAsia="zh-CN"/>
              </w:rPr>
              <w:t>m³</w:t>
            </w:r>
          </w:p>
        </w:tc>
      </w:tr>
      <w:tr w14:paraId="19480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restart"/>
            <w:tcBorders>
              <w:tl2br w:val="nil"/>
              <w:tr2bl w:val="nil"/>
            </w:tcBorders>
            <w:noWrap w:val="0"/>
            <w:vAlign w:val="center"/>
          </w:tcPr>
          <w:p w14:paraId="3FD628F1">
            <w:pPr>
              <w:pStyle w:val="12"/>
              <w:bidi w:val="0"/>
              <w:rPr>
                <w:color w:val="auto"/>
              </w:rPr>
            </w:pPr>
            <w:r>
              <w:rPr>
                <w:color w:val="auto"/>
              </w:rPr>
              <w:t>有毒物质</w:t>
            </w:r>
          </w:p>
        </w:tc>
        <w:tc>
          <w:tcPr>
            <w:tcW w:w="1513" w:type="dxa"/>
            <w:tcBorders>
              <w:tl2br w:val="nil"/>
              <w:tr2bl w:val="nil"/>
            </w:tcBorders>
            <w:noWrap w:val="0"/>
            <w:vAlign w:val="center"/>
          </w:tcPr>
          <w:p w14:paraId="2E183ABD">
            <w:pPr>
              <w:pStyle w:val="12"/>
              <w:bidi w:val="0"/>
              <w:rPr>
                <w:rFonts w:hint="eastAsia"/>
                <w:color w:val="auto"/>
                <w:lang w:eastAsia="zh-CN"/>
              </w:rPr>
            </w:pPr>
            <w:r>
              <w:rPr>
                <w:color w:val="auto"/>
              </w:rPr>
              <w:t>1</w:t>
            </w:r>
            <w:r>
              <w:rPr>
                <w:rFonts w:hint="eastAsia"/>
                <w:color w:val="auto"/>
                <w:lang w:eastAsia="zh-CN"/>
              </w:rPr>
              <w:t>（</w:t>
            </w:r>
            <w:r>
              <w:rPr>
                <w:color w:val="auto"/>
              </w:rPr>
              <w:t>剧毒物质</w:t>
            </w:r>
            <w:r>
              <w:rPr>
                <w:rFonts w:hint="eastAsia"/>
                <w:color w:val="auto"/>
                <w:lang w:eastAsia="zh-CN"/>
              </w:rPr>
              <w:t>）</w:t>
            </w:r>
          </w:p>
        </w:tc>
        <w:tc>
          <w:tcPr>
            <w:tcW w:w="2337" w:type="dxa"/>
            <w:tcBorders>
              <w:tl2br w:val="nil"/>
              <w:tr2bl w:val="nil"/>
            </w:tcBorders>
            <w:noWrap w:val="0"/>
            <w:vAlign w:val="center"/>
          </w:tcPr>
          <w:p w14:paraId="45C332D4">
            <w:pPr>
              <w:pStyle w:val="12"/>
              <w:bidi w:val="0"/>
              <w:rPr>
                <w:color w:val="auto"/>
              </w:rPr>
            </w:pPr>
            <w:r>
              <w:rPr>
                <w:color w:val="auto"/>
              </w:rPr>
              <w:t>&lt;5</w:t>
            </w:r>
          </w:p>
        </w:tc>
        <w:tc>
          <w:tcPr>
            <w:tcW w:w="1631" w:type="dxa"/>
            <w:tcBorders>
              <w:tl2br w:val="nil"/>
              <w:tr2bl w:val="nil"/>
            </w:tcBorders>
            <w:noWrap w:val="0"/>
            <w:vAlign w:val="center"/>
          </w:tcPr>
          <w:p w14:paraId="51709F8D">
            <w:pPr>
              <w:pStyle w:val="12"/>
              <w:bidi w:val="0"/>
              <w:rPr>
                <w:color w:val="auto"/>
              </w:rPr>
            </w:pPr>
            <w:r>
              <w:rPr>
                <w:color w:val="auto"/>
              </w:rPr>
              <w:t>&lt;1</w:t>
            </w:r>
          </w:p>
        </w:tc>
        <w:tc>
          <w:tcPr>
            <w:tcW w:w="2861" w:type="dxa"/>
            <w:tcBorders>
              <w:tl2br w:val="nil"/>
              <w:tr2bl w:val="nil"/>
            </w:tcBorders>
            <w:noWrap w:val="0"/>
            <w:vAlign w:val="center"/>
          </w:tcPr>
          <w:p w14:paraId="0065174F">
            <w:pPr>
              <w:pStyle w:val="12"/>
              <w:bidi w:val="0"/>
              <w:rPr>
                <w:color w:val="auto"/>
              </w:rPr>
            </w:pPr>
            <w:r>
              <w:rPr>
                <w:color w:val="auto"/>
              </w:rPr>
              <w:t>&lt;10</w:t>
            </w:r>
          </w:p>
        </w:tc>
      </w:tr>
      <w:tr w14:paraId="779AB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12BB9E8E">
            <w:pPr>
              <w:pStyle w:val="12"/>
              <w:bidi w:val="0"/>
              <w:rPr>
                <w:color w:val="auto"/>
              </w:rPr>
            </w:pPr>
          </w:p>
        </w:tc>
        <w:tc>
          <w:tcPr>
            <w:tcW w:w="1513" w:type="dxa"/>
            <w:tcBorders>
              <w:tl2br w:val="nil"/>
              <w:tr2bl w:val="nil"/>
            </w:tcBorders>
            <w:noWrap w:val="0"/>
            <w:vAlign w:val="center"/>
          </w:tcPr>
          <w:p w14:paraId="2F78D34B">
            <w:pPr>
              <w:pStyle w:val="12"/>
              <w:bidi w:val="0"/>
              <w:rPr>
                <w:rFonts w:hint="eastAsia"/>
                <w:color w:val="auto"/>
                <w:lang w:eastAsia="zh-CN"/>
              </w:rPr>
            </w:pPr>
            <w:r>
              <w:rPr>
                <w:color w:val="auto"/>
              </w:rPr>
              <w:t>2</w:t>
            </w:r>
            <w:r>
              <w:rPr>
                <w:rFonts w:hint="eastAsia"/>
                <w:color w:val="auto"/>
                <w:lang w:eastAsia="zh-CN"/>
              </w:rPr>
              <w:t>（</w:t>
            </w:r>
            <w:r>
              <w:rPr>
                <w:color w:val="auto"/>
              </w:rPr>
              <w:t>剧毒物质</w:t>
            </w:r>
            <w:r>
              <w:rPr>
                <w:rFonts w:hint="eastAsia"/>
                <w:color w:val="auto"/>
                <w:lang w:eastAsia="zh-CN"/>
              </w:rPr>
              <w:t>）</w:t>
            </w:r>
          </w:p>
        </w:tc>
        <w:tc>
          <w:tcPr>
            <w:tcW w:w="2337" w:type="dxa"/>
            <w:tcBorders>
              <w:tl2br w:val="nil"/>
              <w:tr2bl w:val="nil"/>
            </w:tcBorders>
            <w:noWrap w:val="0"/>
            <w:vAlign w:val="center"/>
          </w:tcPr>
          <w:p w14:paraId="76A5C1E4">
            <w:pPr>
              <w:pStyle w:val="12"/>
              <w:bidi w:val="0"/>
              <w:rPr>
                <w:color w:val="auto"/>
              </w:rPr>
            </w:pPr>
            <w:r>
              <w:rPr>
                <w:color w:val="auto"/>
              </w:rPr>
              <w:t>5&lt;LD50&lt;25</w:t>
            </w:r>
          </w:p>
        </w:tc>
        <w:tc>
          <w:tcPr>
            <w:tcW w:w="1631" w:type="dxa"/>
            <w:tcBorders>
              <w:tl2br w:val="nil"/>
              <w:tr2bl w:val="nil"/>
            </w:tcBorders>
            <w:noWrap w:val="0"/>
            <w:vAlign w:val="center"/>
          </w:tcPr>
          <w:p w14:paraId="60701CED">
            <w:pPr>
              <w:pStyle w:val="12"/>
              <w:bidi w:val="0"/>
              <w:rPr>
                <w:color w:val="auto"/>
              </w:rPr>
            </w:pPr>
            <w:r>
              <w:rPr>
                <w:color w:val="auto"/>
              </w:rPr>
              <w:t>10&lt;LD50&lt;50</w:t>
            </w:r>
          </w:p>
        </w:tc>
        <w:tc>
          <w:tcPr>
            <w:tcW w:w="2861" w:type="dxa"/>
            <w:tcBorders>
              <w:tl2br w:val="nil"/>
              <w:tr2bl w:val="nil"/>
            </w:tcBorders>
            <w:noWrap w:val="0"/>
            <w:vAlign w:val="center"/>
          </w:tcPr>
          <w:p w14:paraId="43F7D693">
            <w:pPr>
              <w:pStyle w:val="12"/>
              <w:bidi w:val="0"/>
              <w:rPr>
                <w:color w:val="auto"/>
              </w:rPr>
            </w:pPr>
            <w:r>
              <w:rPr>
                <w:color w:val="auto"/>
              </w:rPr>
              <w:t>100&lt;LC50&lt;500</w:t>
            </w:r>
          </w:p>
        </w:tc>
      </w:tr>
      <w:tr w14:paraId="56689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3839692A">
            <w:pPr>
              <w:pStyle w:val="12"/>
              <w:bidi w:val="0"/>
              <w:rPr>
                <w:color w:val="auto"/>
              </w:rPr>
            </w:pPr>
          </w:p>
        </w:tc>
        <w:tc>
          <w:tcPr>
            <w:tcW w:w="1513" w:type="dxa"/>
            <w:tcBorders>
              <w:tl2br w:val="nil"/>
              <w:tr2bl w:val="nil"/>
            </w:tcBorders>
            <w:noWrap w:val="0"/>
            <w:vAlign w:val="center"/>
          </w:tcPr>
          <w:p w14:paraId="69AFF752">
            <w:pPr>
              <w:pStyle w:val="12"/>
              <w:bidi w:val="0"/>
              <w:rPr>
                <w:rFonts w:hint="eastAsia"/>
                <w:color w:val="auto"/>
                <w:lang w:eastAsia="zh-CN"/>
              </w:rPr>
            </w:pPr>
            <w:r>
              <w:rPr>
                <w:color w:val="auto"/>
              </w:rPr>
              <w:t>3</w:t>
            </w:r>
            <w:r>
              <w:rPr>
                <w:rFonts w:hint="eastAsia"/>
                <w:color w:val="auto"/>
                <w:lang w:eastAsia="zh-CN"/>
              </w:rPr>
              <w:t>（</w:t>
            </w:r>
            <w:r>
              <w:rPr>
                <w:color w:val="auto"/>
              </w:rPr>
              <w:t>一般毒物</w:t>
            </w:r>
            <w:r>
              <w:rPr>
                <w:rFonts w:hint="eastAsia"/>
                <w:color w:val="auto"/>
                <w:lang w:eastAsia="zh-CN"/>
              </w:rPr>
              <w:t>）</w:t>
            </w:r>
          </w:p>
        </w:tc>
        <w:tc>
          <w:tcPr>
            <w:tcW w:w="2337" w:type="dxa"/>
            <w:tcBorders>
              <w:tl2br w:val="nil"/>
              <w:tr2bl w:val="nil"/>
            </w:tcBorders>
            <w:noWrap w:val="0"/>
            <w:vAlign w:val="center"/>
          </w:tcPr>
          <w:p w14:paraId="050D48CD">
            <w:pPr>
              <w:pStyle w:val="12"/>
              <w:bidi w:val="0"/>
              <w:rPr>
                <w:color w:val="auto"/>
              </w:rPr>
            </w:pPr>
            <w:r>
              <w:rPr>
                <w:color w:val="auto"/>
              </w:rPr>
              <w:t>25&lt;LD50&lt;200</w:t>
            </w:r>
          </w:p>
        </w:tc>
        <w:tc>
          <w:tcPr>
            <w:tcW w:w="1631" w:type="dxa"/>
            <w:tcBorders>
              <w:tl2br w:val="nil"/>
              <w:tr2bl w:val="nil"/>
            </w:tcBorders>
            <w:noWrap w:val="0"/>
            <w:vAlign w:val="center"/>
          </w:tcPr>
          <w:p w14:paraId="1E83D3AB">
            <w:pPr>
              <w:pStyle w:val="12"/>
              <w:bidi w:val="0"/>
              <w:rPr>
                <w:color w:val="auto"/>
              </w:rPr>
            </w:pPr>
            <w:r>
              <w:rPr>
                <w:color w:val="auto"/>
              </w:rPr>
              <w:t>50&lt;LD50&lt;400</w:t>
            </w:r>
          </w:p>
        </w:tc>
        <w:tc>
          <w:tcPr>
            <w:tcW w:w="2861" w:type="dxa"/>
            <w:tcBorders>
              <w:tl2br w:val="nil"/>
              <w:tr2bl w:val="nil"/>
            </w:tcBorders>
            <w:noWrap w:val="0"/>
            <w:vAlign w:val="center"/>
          </w:tcPr>
          <w:p w14:paraId="3F3DE77D">
            <w:pPr>
              <w:pStyle w:val="12"/>
              <w:bidi w:val="0"/>
              <w:rPr>
                <w:color w:val="auto"/>
              </w:rPr>
            </w:pPr>
            <w:r>
              <w:rPr>
                <w:color w:val="auto"/>
              </w:rPr>
              <w:t>500&lt;LC50&lt;2000</w:t>
            </w:r>
          </w:p>
        </w:tc>
      </w:tr>
      <w:tr w14:paraId="5CAED6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restart"/>
            <w:tcBorders>
              <w:tl2br w:val="nil"/>
              <w:tr2bl w:val="nil"/>
            </w:tcBorders>
            <w:noWrap w:val="0"/>
            <w:vAlign w:val="center"/>
          </w:tcPr>
          <w:p w14:paraId="104A59B1">
            <w:pPr>
              <w:pStyle w:val="12"/>
              <w:bidi w:val="0"/>
              <w:rPr>
                <w:color w:val="auto"/>
              </w:rPr>
            </w:pPr>
            <w:r>
              <w:rPr>
                <w:color w:val="auto"/>
              </w:rPr>
              <w:t>易燃物质</w:t>
            </w:r>
          </w:p>
        </w:tc>
        <w:tc>
          <w:tcPr>
            <w:tcW w:w="1513" w:type="dxa"/>
            <w:tcBorders>
              <w:tl2br w:val="nil"/>
              <w:tr2bl w:val="nil"/>
            </w:tcBorders>
            <w:noWrap w:val="0"/>
            <w:vAlign w:val="center"/>
          </w:tcPr>
          <w:p w14:paraId="7715A592">
            <w:pPr>
              <w:pStyle w:val="12"/>
              <w:bidi w:val="0"/>
              <w:rPr>
                <w:rFonts w:hint="eastAsia"/>
                <w:color w:val="auto"/>
                <w:lang w:eastAsia="zh-CN"/>
              </w:rPr>
            </w:pPr>
            <w:r>
              <w:rPr>
                <w:color w:val="auto"/>
              </w:rPr>
              <w:t>1</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2DF77908">
            <w:pPr>
              <w:pStyle w:val="12"/>
              <w:bidi w:val="0"/>
              <w:rPr>
                <w:color w:val="auto"/>
              </w:rPr>
            </w:pPr>
            <w:r>
              <w:rPr>
                <w:color w:val="auto"/>
              </w:rPr>
              <w:t>可燃气体：在常压下以气态存在并与空气混合形成可燃混合物；其沸点</w:t>
            </w:r>
            <w:r>
              <w:rPr>
                <w:rFonts w:hint="eastAsia"/>
                <w:color w:val="auto"/>
                <w:lang w:eastAsia="zh-CN"/>
              </w:rPr>
              <w:t>（</w:t>
            </w:r>
            <w:r>
              <w:rPr>
                <w:color w:val="auto"/>
              </w:rPr>
              <w:t>常压下</w:t>
            </w:r>
            <w:r>
              <w:rPr>
                <w:rFonts w:hint="eastAsia"/>
                <w:color w:val="auto"/>
                <w:lang w:eastAsia="zh-CN"/>
              </w:rPr>
              <w:t>）</w:t>
            </w:r>
            <w:r>
              <w:rPr>
                <w:color w:val="auto"/>
              </w:rPr>
              <w:t>是20℃或以下的物质。</w:t>
            </w:r>
          </w:p>
        </w:tc>
      </w:tr>
      <w:tr w14:paraId="1BAB9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2429C6BB">
            <w:pPr>
              <w:pStyle w:val="12"/>
              <w:bidi w:val="0"/>
              <w:rPr>
                <w:color w:val="auto"/>
              </w:rPr>
            </w:pPr>
          </w:p>
        </w:tc>
        <w:tc>
          <w:tcPr>
            <w:tcW w:w="1513" w:type="dxa"/>
            <w:tcBorders>
              <w:tl2br w:val="nil"/>
              <w:tr2bl w:val="nil"/>
            </w:tcBorders>
            <w:noWrap w:val="0"/>
            <w:vAlign w:val="center"/>
          </w:tcPr>
          <w:p w14:paraId="7E3E8CC7">
            <w:pPr>
              <w:pStyle w:val="12"/>
              <w:bidi w:val="0"/>
              <w:rPr>
                <w:rFonts w:hint="eastAsia"/>
                <w:color w:val="auto"/>
                <w:lang w:eastAsia="zh-CN"/>
              </w:rPr>
            </w:pPr>
            <w:r>
              <w:rPr>
                <w:color w:val="auto"/>
              </w:rPr>
              <w:t>2</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59A0DE30">
            <w:pPr>
              <w:pStyle w:val="12"/>
              <w:bidi w:val="0"/>
              <w:rPr>
                <w:color w:val="auto"/>
              </w:rPr>
            </w:pPr>
            <w:r>
              <w:rPr>
                <w:color w:val="auto"/>
              </w:rPr>
              <w:t>易燃液体：闪点低于21℃，沸点高于20℃的物质。</w:t>
            </w:r>
          </w:p>
        </w:tc>
      </w:tr>
      <w:tr w14:paraId="1838B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735E55D6">
            <w:pPr>
              <w:pStyle w:val="12"/>
              <w:bidi w:val="0"/>
              <w:rPr>
                <w:color w:val="auto"/>
              </w:rPr>
            </w:pPr>
          </w:p>
        </w:tc>
        <w:tc>
          <w:tcPr>
            <w:tcW w:w="1513" w:type="dxa"/>
            <w:tcBorders>
              <w:tl2br w:val="nil"/>
              <w:tr2bl w:val="nil"/>
            </w:tcBorders>
            <w:noWrap w:val="0"/>
            <w:vAlign w:val="center"/>
          </w:tcPr>
          <w:p w14:paraId="4B1D0F9F">
            <w:pPr>
              <w:pStyle w:val="12"/>
              <w:bidi w:val="0"/>
              <w:rPr>
                <w:rFonts w:hint="eastAsia"/>
                <w:color w:val="auto"/>
                <w:lang w:eastAsia="zh-CN"/>
              </w:rPr>
            </w:pPr>
            <w:r>
              <w:rPr>
                <w:color w:val="auto"/>
              </w:rPr>
              <w:t>3</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2CF4AF8E">
            <w:pPr>
              <w:pStyle w:val="12"/>
              <w:bidi w:val="0"/>
              <w:rPr>
                <w:color w:val="auto"/>
              </w:rPr>
            </w:pPr>
            <w:r>
              <w:rPr>
                <w:color w:val="auto"/>
              </w:rPr>
              <w:t>可燃液体：闪点低于55℃，压力下保持液态，在实际操作条件下</w:t>
            </w:r>
            <w:r>
              <w:rPr>
                <w:rFonts w:hint="eastAsia"/>
                <w:color w:val="auto"/>
                <w:lang w:eastAsia="zh-CN"/>
              </w:rPr>
              <w:t>（</w:t>
            </w:r>
            <w:r>
              <w:rPr>
                <w:color w:val="auto"/>
              </w:rPr>
              <w:t>如高温高压</w:t>
            </w:r>
            <w:r>
              <w:rPr>
                <w:rFonts w:hint="eastAsia"/>
                <w:color w:val="auto"/>
                <w:lang w:eastAsia="zh-CN"/>
              </w:rPr>
              <w:t>）</w:t>
            </w:r>
            <w:r>
              <w:rPr>
                <w:color w:val="auto"/>
              </w:rPr>
              <w:t>可引起重大事故的物质。</w:t>
            </w:r>
          </w:p>
        </w:tc>
      </w:tr>
      <w:tr w14:paraId="56037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146" w:type="dxa"/>
            <w:gridSpan w:val="2"/>
            <w:tcBorders>
              <w:tl2br w:val="nil"/>
              <w:tr2bl w:val="nil"/>
            </w:tcBorders>
            <w:noWrap w:val="0"/>
            <w:vAlign w:val="center"/>
          </w:tcPr>
          <w:p w14:paraId="3A13BAFC">
            <w:pPr>
              <w:pStyle w:val="12"/>
              <w:bidi w:val="0"/>
              <w:rPr>
                <w:rFonts w:hint="eastAsia"/>
                <w:color w:val="auto"/>
                <w:lang w:eastAsia="zh-CN"/>
              </w:rPr>
            </w:pPr>
            <w:r>
              <w:rPr>
                <w:color w:val="auto"/>
              </w:rPr>
              <w:t>爆炸性物质</w:t>
            </w:r>
            <w:r>
              <w:rPr>
                <w:rFonts w:hint="eastAsia"/>
                <w:color w:val="auto"/>
                <w:lang w:eastAsia="zh-CN"/>
              </w:rPr>
              <w:t>（</w:t>
            </w:r>
            <w:r>
              <w:rPr>
                <w:color w:val="auto"/>
              </w:rPr>
              <w:t>易爆物质</w:t>
            </w:r>
            <w:r>
              <w:rPr>
                <w:rFonts w:hint="eastAsia"/>
                <w:color w:val="auto"/>
                <w:lang w:eastAsia="zh-CN"/>
              </w:rPr>
              <w:t>）</w:t>
            </w:r>
          </w:p>
        </w:tc>
        <w:tc>
          <w:tcPr>
            <w:tcW w:w="6829" w:type="dxa"/>
            <w:gridSpan w:val="3"/>
            <w:tcBorders>
              <w:tl2br w:val="nil"/>
              <w:tr2bl w:val="nil"/>
            </w:tcBorders>
            <w:noWrap w:val="0"/>
            <w:vAlign w:val="center"/>
          </w:tcPr>
          <w:p w14:paraId="52B872BE">
            <w:pPr>
              <w:pStyle w:val="12"/>
              <w:bidi w:val="0"/>
              <w:rPr>
                <w:color w:val="auto"/>
              </w:rPr>
            </w:pPr>
            <w:r>
              <w:rPr>
                <w:color w:val="auto"/>
              </w:rPr>
              <w:t>在火焰影响下可以爆炸，或者对冲击、摩擦比硝基苯更为敏感的物质</w:t>
            </w:r>
          </w:p>
        </w:tc>
      </w:tr>
    </w:tbl>
    <w:p w14:paraId="1917F13F">
      <w:pPr>
        <w:pStyle w:val="15"/>
        <w:keepNext w:val="0"/>
        <w:keepLines w:val="0"/>
        <w:pageBreakBefore w:val="0"/>
        <w:widowControl w:val="0"/>
        <w:numPr>
          <w:ilvl w:val="0"/>
          <w:numId w:val="34"/>
        </w:numPr>
        <w:kinsoku/>
        <w:wordWrap/>
        <w:overflowPunct/>
        <w:topLinePunct w:val="0"/>
        <w:autoSpaceDE/>
        <w:autoSpaceDN/>
        <w:bidi w:val="0"/>
        <w:adjustRightInd/>
        <w:snapToGrid/>
        <w:spacing w:before="157" w:beforeLines="50"/>
        <w:ind w:left="0" w:leftChars="0" w:firstLine="0" w:firstLineChars="0"/>
        <w:textAlignment w:val="auto"/>
        <w:rPr>
          <w:color w:val="auto"/>
        </w:rPr>
      </w:pPr>
      <w:r>
        <w:rPr>
          <w:color w:val="auto"/>
        </w:rPr>
        <w:t>毒物危害程度分级</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81"/>
        <w:gridCol w:w="2110"/>
        <w:gridCol w:w="1508"/>
        <w:gridCol w:w="1580"/>
        <w:gridCol w:w="1545"/>
        <w:gridCol w:w="1560"/>
      </w:tblGrid>
      <w:tr w14:paraId="7B35A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vMerge w:val="restart"/>
            <w:tcBorders>
              <w:tl2br w:val="nil"/>
              <w:tr2bl w:val="nil"/>
            </w:tcBorders>
            <w:noWrap w:val="0"/>
            <w:vAlign w:val="center"/>
          </w:tcPr>
          <w:p w14:paraId="60456396">
            <w:pPr>
              <w:pStyle w:val="423"/>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指标</w:t>
            </w:r>
          </w:p>
        </w:tc>
        <w:tc>
          <w:tcPr>
            <w:tcW w:w="3524" w:type="pct"/>
            <w:gridSpan w:val="4"/>
            <w:tcBorders>
              <w:tl2br w:val="nil"/>
              <w:tr2bl w:val="nil"/>
            </w:tcBorders>
            <w:noWrap w:val="0"/>
            <w:vAlign w:val="center"/>
          </w:tcPr>
          <w:p w14:paraId="19023858">
            <w:pPr>
              <w:pStyle w:val="423"/>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分级</w:t>
            </w:r>
          </w:p>
        </w:tc>
      </w:tr>
      <w:tr w14:paraId="44365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vMerge w:val="continue"/>
            <w:tcBorders>
              <w:tl2br w:val="nil"/>
              <w:tr2bl w:val="nil"/>
            </w:tcBorders>
            <w:noWrap w:val="0"/>
            <w:vAlign w:val="center"/>
          </w:tcPr>
          <w:p w14:paraId="62ECCD9D">
            <w:pPr>
              <w:pStyle w:val="423"/>
              <w:pageBreakBefore w:val="0"/>
              <w:wordWrap/>
              <w:bidi w:val="0"/>
              <w:adjustRightInd/>
              <w:snapToGrid/>
              <w:spacing w:line="240" w:lineRule="auto"/>
              <w:ind w:firstLine="0" w:firstLineChars="0"/>
              <w:jc w:val="center"/>
              <w:rPr>
                <w:b/>
                <w:bCs w:val="0"/>
                <w:color w:val="auto"/>
                <w:sz w:val="21"/>
                <w:szCs w:val="21"/>
              </w:rPr>
            </w:pPr>
          </w:p>
        </w:tc>
        <w:tc>
          <w:tcPr>
            <w:tcW w:w="858" w:type="pct"/>
            <w:tcBorders>
              <w:tl2br w:val="nil"/>
              <w:tr2bl w:val="nil"/>
            </w:tcBorders>
            <w:noWrap w:val="0"/>
            <w:vAlign w:val="center"/>
          </w:tcPr>
          <w:p w14:paraId="7B36CC1B">
            <w:pPr>
              <w:pStyle w:val="423"/>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w:t>
            </w:r>
            <w:r>
              <w:rPr>
                <w:rFonts w:hint="eastAsia"/>
                <w:b/>
                <w:bCs w:val="0"/>
                <w:color w:val="auto"/>
                <w:sz w:val="21"/>
                <w:szCs w:val="21"/>
                <w:lang w:eastAsia="zh-CN"/>
              </w:rPr>
              <w:t>（</w:t>
            </w:r>
            <w:r>
              <w:rPr>
                <w:b/>
                <w:bCs w:val="0"/>
                <w:color w:val="auto"/>
                <w:sz w:val="21"/>
                <w:szCs w:val="21"/>
              </w:rPr>
              <w:t>极度危害</w:t>
            </w:r>
            <w:r>
              <w:rPr>
                <w:rFonts w:hint="eastAsia"/>
                <w:b/>
                <w:bCs w:val="0"/>
                <w:color w:val="auto"/>
                <w:sz w:val="21"/>
                <w:szCs w:val="21"/>
                <w:lang w:eastAsia="zh-CN"/>
              </w:rPr>
              <w:t>）</w:t>
            </w:r>
          </w:p>
        </w:tc>
        <w:tc>
          <w:tcPr>
            <w:tcW w:w="899" w:type="pct"/>
            <w:tcBorders>
              <w:tl2br w:val="nil"/>
              <w:tr2bl w:val="nil"/>
            </w:tcBorders>
            <w:noWrap w:val="0"/>
            <w:vAlign w:val="center"/>
          </w:tcPr>
          <w:p w14:paraId="1EE25FCF">
            <w:pPr>
              <w:pStyle w:val="423"/>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II</w:t>
            </w:r>
            <w:r>
              <w:rPr>
                <w:rFonts w:hint="eastAsia"/>
                <w:b/>
                <w:bCs w:val="0"/>
                <w:color w:val="auto"/>
                <w:sz w:val="21"/>
                <w:szCs w:val="21"/>
                <w:lang w:eastAsia="zh-CN"/>
              </w:rPr>
              <w:t>（</w:t>
            </w:r>
            <w:r>
              <w:rPr>
                <w:b/>
                <w:bCs w:val="0"/>
                <w:color w:val="auto"/>
                <w:sz w:val="21"/>
                <w:szCs w:val="21"/>
              </w:rPr>
              <w:t>高度危害</w:t>
            </w:r>
            <w:r>
              <w:rPr>
                <w:rFonts w:hint="eastAsia"/>
                <w:b/>
                <w:bCs w:val="0"/>
                <w:color w:val="auto"/>
                <w:sz w:val="21"/>
                <w:szCs w:val="21"/>
                <w:lang w:eastAsia="zh-CN"/>
              </w:rPr>
              <w:t>）</w:t>
            </w:r>
          </w:p>
        </w:tc>
        <w:tc>
          <w:tcPr>
            <w:tcW w:w="879" w:type="pct"/>
            <w:tcBorders>
              <w:tl2br w:val="nil"/>
              <w:tr2bl w:val="nil"/>
            </w:tcBorders>
            <w:noWrap w:val="0"/>
            <w:vAlign w:val="center"/>
          </w:tcPr>
          <w:p w14:paraId="6E89500C">
            <w:pPr>
              <w:pStyle w:val="423"/>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III</w:t>
            </w:r>
            <w:r>
              <w:rPr>
                <w:rFonts w:hint="eastAsia"/>
                <w:b/>
                <w:bCs w:val="0"/>
                <w:color w:val="auto"/>
                <w:sz w:val="21"/>
                <w:szCs w:val="21"/>
                <w:lang w:eastAsia="zh-CN"/>
              </w:rPr>
              <w:t>（</w:t>
            </w:r>
            <w:r>
              <w:rPr>
                <w:b/>
                <w:bCs w:val="0"/>
                <w:color w:val="auto"/>
                <w:sz w:val="21"/>
                <w:szCs w:val="21"/>
              </w:rPr>
              <w:t>中度危害</w:t>
            </w:r>
            <w:r>
              <w:rPr>
                <w:rFonts w:hint="eastAsia"/>
                <w:b/>
                <w:bCs w:val="0"/>
                <w:color w:val="auto"/>
                <w:sz w:val="21"/>
                <w:szCs w:val="21"/>
                <w:lang w:eastAsia="zh-CN"/>
              </w:rPr>
              <w:t>）</w:t>
            </w:r>
          </w:p>
        </w:tc>
        <w:tc>
          <w:tcPr>
            <w:tcW w:w="887" w:type="pct"/>
            <w:tcBorders>
              <w:tl2br w:val="nil"/>
              <w:tr2bl w:val="nil"/>
            </w:tcBorders>
            <w:noWrap w:val="0"/>
            <w:vAlign w:val="center"/>
          </w:tcPr>
          <w:p w14:paraId="0A9F62E4">
            <w:pPr>
              <w:pStyle w:val="423"/>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IV</w:t>
            </w:r>
            <w:r>
              <w:rPr>
                <w:rFonts w:hint="eastAsia"/>
                <w:b/>
                <w:bCs w:val="0"/>
                <w:color w:val="auto"/>
                <w:sz w:val="21"/>
                <w:szCs w:val="21"/>
                <w:lang w:eastAsia="zh-CN"/>
              </w:rPr>
              <w:t>（</w:t>
            </w:r>
            <w:r>
              <w:rPr>
                <w:b/>
                <w:bCs w:val="0"/>
                <w:color w:val="auto"/>
                <w:sz w:val="21"/>
                <w:szCs w:val="21"/>
              </w:rPr>
              <w:t>轻度危害</w:t>
            </w:r>
            <w:r>
              <w:rPr>
                <w:rFonts w:hint="eastAsia"/>
                <w:b/>
                <w:bCs w:val="0"/>
                <w:color w:val="auto"/>
                <w:sz w:val="21"/>
                <w:szCs w:val="21"/>
                <w:lang w:eastAsia="zh-CN"/>
              </w:rPr>
              <w:t>）</w:t>
            </w:r>
          </w:p>
        </w:tc>
      </w:tr>
      <w:tr w14:paraId="51C29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restart"/>
            <w:tcBorders>
              <w:tl2br w:val="nil"/>
              <w:tr2bl w:val="nil"/>
            </w:tcBorders>
            <w:noWrap w:val="0"/>
            <w:vAlign w:val="center"/>
          </w:tcPr>
          <w:p w14:paraId="3E07667A">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危害</w:t>
            </w:r>
          </w:p>
          <w:p w14:paraId="59843E43">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中毒</w:t>
            </w:r>
          </w:p>
        </w:tc>
        <w:tc>
          <w:tcPr>
            <w:tcW w:w="1200" w:type="pct"/>
            <w:tcBorders>
              <w:tl2br w:val="nil"/>
              <w:tr2bl w:val="nil"/>
            </w:tcBorders>
            <w:noWrap w:val="0"/>
            <w:vAlign w:val="center"/>
          </w:tcPr>
          <w:p w14:paraId="218B782E">
            <w:pPr>
              <w:pStyle w:val="423"/>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吸入LC</w:t>
            </w:r>
            <w:r>
              <w:rPr>
                <w:color w:val="auto"/>
                <w:sz w:val="21"/>
                <w:szCs w:val="21"/>
                <w:vertAlign w:val="subscript"/>
              </w:rPr>
              <w:t>50</w:t>
            </w:r>
            <w:r>
              <w:rPr>
                <w:rFonts w:hint="eastAsia"/>
                <w:color w:val="auto"/>
                <w:sz w:val="21"/>
                <w:szCs w:val="21"/>
                <w:lang w:eastAsia="zh-CN"/>
              </w:rPr>
              <w:t>（</w:t>
            </w:r>
            <w:r>
              <w:rPr>
                <w:color w:val="auto"/>
                <w:sz w:val="21"/>
                <w:szCs w:val="21"/>
              </w:rPr>
              <w:t>mg/</w:t>
            </w:r>
            <w:r>
              <w:rPr>
                <w:rFonts w:hint="eastAsia"/>
                <w:color w:val="auto"/>
                <w:sz w:val="21"/>
                <w:szCs w:val="21"/>
                <w:lang w:eastAsia="zh-CN"/>
              </w:rPr>
              <w:t>m³）</w:t>
            </w:r>
          </w:p>
        </w:tc>
        <w:tc>
          <w:tcPr>
            <w:tcW w:w="858" w:type="pct"/>
            <w:tcBorders>
              <w:tl2br w:val="nil"/>
              <w:tr2bl w:val="nil"/>
            </w:tcBorders>
            <w:noWrap w:val="0"/>
            <w:vAlign w:val="center"/>
          </w:tcPr>
          <w:p w14:paraId="79C5EF58">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&lt;200</w:t>
            </w:r>
          </w:p>
        </w:tc>
        <w:tc>
          <w:tcPr>
            <w:tcW w:w="899" w:type="pct"/>
            <w:tcBorders>
              <w:tl2br w:val="nil"/>
              <w:tr2bl w:val="nil"/>
            </w:tcBorders>
            <w:noWrap w:val="0"/>
            <w:vAlign w:val="center"/>
          </w:tcPr>
          <w:p w14:paraId="7CD79251">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879" w:type="pct"/>
            <w:tcBorders>
              <w:tl2br w:val="nil"/>
              <w:tr2bl w:val="nil"/>
            </w:tcBorders>
            <w:noWrap w:val="0"/>
            <w:vAlign w:val="center"/>
          </w:tcPr>
          <w:p w14:paraId="1652C5A2">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2000—</w:t>
            </w:r>
          </w:p>
        </w:tc>
        <w:tc>
          <w:tcPr>
            <w:tcW w:w="887" w:type="pct"/>
            <w:tcBorders>
              <w:tl2br w:val="nil"/>
              <w:tr2bl w:val="nil"/>
            </w:tcBorders>
            <w:noWrap w:val="0"/>
            <w:vAlign w:val="center"/>
          </w:tcPr>
          <w:p w14:paraId="4EA96F92">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&gt;20000</w:t>
            </w:r>
          </w:p>
        </w:tc>
      </w:tr>
      <w:tr w14:paraId="24E22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continue"/>
            <w:tcBorders>
              <w:tl2br w:val="nil"/>
              <w:tr2bl w:val="nil"/>
            </w:tcBorders>
            <w:noWrap w:val="0"/>
            <w:vAlign w:val="center"/>
          </w:tcPr>
          <w:p w14:paraId="41F2A7AB">
            <w:pPr>
              <w:pStyle w:val="423"/>
              <w:pageBreakBefore w:val="0"/>
              <w:wordWrap/>
              <w:bidi w:val="0"/>
              <w:adjustRightInd/>
              <w:snapToGrid/>
              <w:spacing w:line="240" w:lineRule="auto"/>
              <w:ind w:firstLine="0" w:firstLineChars="0"/>
              <w:jc w:val="center"/>
              <w:rPr>
                <w:color w:val="auto"/>
                <w:sz w:val="21"/>
                <w:szCs w:val="21"/>
              </w:rPr>
            </w:pPr>
          </w:p>
        </w:tc>
        <w:tc>
          <w:tcPr>
            <w:tcW w:w="1200" w:type="pct"/>
            <w:tcBorders>
              <w:tl2br w:val="nil"/>
              <w:tr2bl w:val="nil"/>
            </w:tcBorders>
            <w:noWrap w:val="0"/>
            <w:vAlign w:val="center"/>
          </w:tcPr>
          <w:p w14:paraId="682DC8B8">
            <w:pPr>
              <w:pStyle w:val="423"/>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经皮LD</w:t>
            </w:r>
            <w:r>
              <w:rPr>
                <w:color w:val="auto"/>
                <w:sz w:val="21"/>
                <w:szCs w:val="21"/>
                <w:vertAlign w:val="subscript"/>
              </w:rPr>
              <w:t>50</w:t>
            </w:r>
            <w:r>
              <w:rPr>
                <w:rFonts w:hint="eastAsia"/>
                <w:color w:val="auto"/>
                <w:sz w:val="21"/>
                <w:szCs w:val="21"/>
                <w:lang w:eastAsia="zh-CN"/>
              </w:rPr>
              <w:t>（</w:t>
            </w:r>
            <w:r>
              <w:rPr>
                <w:color w:val="auto"/>
                <w:sz w:val="21"/>
                <w:szCs w:val="21"/>
              </w:rPr>
              <w:t>mg/kg</w:t>
            </w:r>
            <w:r>
              <w:rPr>
                <w:rFonts w:hint="eastAsia"/>
                <w:color w:val="auto"/>
                <w:sz w:val="21"/>
                <w:szCs w:val="21"/>
                <w:lang w:eastAsia="zh-CN"/>
              </w:rPr>
              <w:t>）</w:t>
            </w:r>
          </w:p>
        </w:tc>
        <w:tc>
          <w:tcPr>
            <w:tcW w:w="858" w:type="pct"/>
            <w:tcBorders>
              <w:tl2br w:val="nil"/>
              <w:tr2bl w:val="nil"/>
            </w:tcBorders>
            <w:noWrap w:val="0"/>
            <w:vAlign w:val="center"/>
          </w:tcPr>
          <w:p w14:paraId="616EF491">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&lt;100</w:t>
            </w:r>
          </w:p>
        </w:tc>
        <w:tc>
          <w:tcPr>
            <w:tcW w:w="899" w:type="pct"/>
            <w:tcBorders>
              <w:tl2br w:val="nil"/>
              <w:tr2bl w:val="nil"/>
            </w:tcBorders>
            <w:noWrap w:val="0"/>
            <w:vAlign w:val="center"/>
          </w:tcPr>
          <w:p w14:paraId="52D38B89">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100—</w:t>
            </w:r>
          </w:p>
        </w:tc>
        <w:tc>
          <w:tcPr>
            <w:tcW w:w="879" w:type="pct"/>
            <w:tcBorders>
              <w:tl2br w:val="nil"/>
              <w:tr2bl w:val="nil"/>
            </w:tcBorders>
            <w:noWrap w:val="0"/>
            <w:vAlign w:val="center"/>
          </w:tcPr>
          <w:p w14:paraId="5DAF94A4">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500—</w:t>
            </w:r>
          </w:p>
        </w:tc>
        <w:tc>
          <w:tcPr>
            <w:tcW w:w="887" w:type="pct"/>
            <w:tcBorders>
              <w:tl2br w:val="nil"/>
              <w:tr2bl w:val="nil"/>
            </w:tcBorders>
            <w:noWrap w:val="0"/>
            <w:vAlign w:val="center"/>
          </w:tcPr>
          <w:p w14:paraId="0D2E867A">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&gt;2500</w:t>
            </w:r>
          </w:p>
        </w:tc>
      </w:tr>
      <w:tr w14:paraId="790C9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continue"/>
            <w:tcBorders>
              <w:tl2br w:val="nil"/>
              <w:tr2bl w:val="nil"/>
            </w:tcBorders>
            <w:noWrap w:val="0"/>
            <w:vAlign w:val="center"/>
          </w:tcPr>
          <w:p w14:paraId="41A193E7">
            <w:pPr>
              <w:pStyle w:val="423"/>
              <w:pageBreakBefore w:val="0"/>
              <w:wordWrap/>
              <w:bidi w:val="0"/>
              <w:adjustRightInd/>
              <w:snapToGrid/>
              <w:spacing w:line="240" w:lineRule="auto"/>
              <w:ind w:firstLine="0" w:firstLineChars="0"/>
              <w:jc w:val="center"/>
              <w:rPr>
                <w:color w:val="auto"/>
                <w:sz w:val="21"/>
                <w:szCs w:val="21"/>
              </w:rPr>
            </w:pPr>
          </w:p>
        </w:tc>
        <w:tc>
          <w:tcPr>
            <w:tcW w:w="1200" w:type="pct"/>
            <w:tcBorders>
              <w:tl2br w:val="nil"/>
              <w:tr2bl w:val="nil"/>
            </w:tcBorders>
            <w:noWrap w:val="0"/>
            <w:vAlign w:val="center"/>
          </w:tcPr>
          <w:p w14:paraId="3B56018E">
            <w:pPr>
              <w:pStyle w:val="423"/>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经口LD</w:t>
            </w:r>
            <w:r>
              <w:rPr>
                <w:color w:val="auto"/>
                <w:sz w:val="21"/>
                <w:szCs w:val="21"/>
                <w:vertAlign w:val="subscript"/>
              </w:rPr>
              <w:t>50</w:t>
            </w:r>
            <w:r>
              <w:rPr>
                <w:rFonts w:hint="eastAsia"/>
                <w:color w:val="auto"/>
                <w:sz w:val="21"/>
                <w:szCs w:val="21"/>
                <w:lang w:eastAsia="zh-CN"/>
              </w:rPr>
              <w:t>（</w:t>
            </w:r>
            <w:r>
              <w:rPr>
                <w:color w:val="auto"/>
                <w:sz w:val="21"/>
                <w:szCs w:val="21"/>
              </w:rPr>
              <w:t>mg/kg</w:t>
            </w:r>
            <w:r>
              <w:rPr>
                <w:rFonts w:hint="eastAsia"/>
                <w:color w:val="auto"/>
                <w:sz w:val="21"/>
                <w:szCs w:val="21"/>
                <w:lang w:eastAsia="zh-CN"/>
              </w:rPr>
              <w:t>）</w:t>
            </w:r>
          </w:p>
        </w:tc>
        <w:tc>
          <w:tcPr>
            <w:tcW w:w="858" w:type="pct"/>
            <w:tcBorders>
              <w:tl2br w:val="nil"/>
              <w:tr2bl w:val="nil"/>
            </w:tcBorders>
            <w:noWrap w:val="0"/>
            <w:vAlign w:val="center"/>
          </w:tcPr>
          <w:p w14:paraId="0CA76A53">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&lt;25</w:t>
            </w:r>
          </w:p>
        </w:tc>
        <w:tc>
          <w:tcPr>
            <w:tcW w:w="899" w:type="pct"/>
            <w:tcBorders>
              <w:tl2br w:val="nil"/>
              <w:tr2bl w:val="nil"/>
            </w:tcBorders>
            <w:noWrap w:val="0"/>
            <w:vAlign w:val="center"/>
          </w:tcPr>
          <w:p w14:paraId="3977983E">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879" w:type="pct"/>
            <w:tcBorders>
              <w:tl2br w:val="nil"/>
              <w:tr2bl w:val="nil"/>
            </w:tcBorders>
            <w:noWrap w:val="0"/>
            <w:vAlign w:val="center"/>
          </w:tcPr>
          <w:p w14:paraId="40F170EF">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500—</w:t>
            </w:r>
          </w:p>
        </w:tc>
        <w:tc>
          <w:tcPr>
            <w:tcW w:w="887" w:type="pct"/>
            <w:tcBorders>
              <w:tl2br w:val="nil"/>
              <w:tr2bl w:val="nil"/>
            </w:tcBorders>
            <w:noWrap w:val="0"/>
            <w:vAlign w:val="center"/>
          </w:tcPr>
          <w:p w14:paraId="507B1801">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&gt;5000</w:t>
            </w:r>
          </w:p>
        </w:tc>
      </w:tr>
      <w:tr w14:paraId="2A08E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tcBorders>
              <w:tl2br w:val="nil"/>
              <w:tr2bl w:val="nil"/>
            </w:tcBorders>
            <w:noWrap w:val="0"/>
            <w:vAlign w:val="center"/>
          </w:tcPr>
          <w:p w14:paraId="3941DAE1">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致癌性</w:t>
            </w:r>
          </w:p>
        </w:tc>
        <w:tc>
          <w:tcPr>
            <w:tcW w:w="858" w:type="pct"/>
            <w:tcBorders>
              <w:tl2br w:val="nil"/>
              <w:tr2bl w:val="nil"/>
            </w:tcBorders>
            <w:noWrap w:val="0"/>
            <w:vAlign w:val="center"/>
          </w:tcPr>
          <w:p w14:paraId="451971C2">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人体致癌物</w:t>
            </w:r>
          </w:p>
        </w:tc>
        <w:tc>
          <w:tcPr>
            <w:tcW w:w="899" w:type="pct"/>
            <w:tcBorders>
              <w:tl2br w:val="nil"/>
              <w:tr2bl w:val="nil"/>
            </w:tcBorders>
            <w:noWrap w:val="0"/>
            <w:vAlign w:val="center"/>
          </w:tcPr>
          <w:p w14:paraId="2B36E0A6">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可疑人体致癌</w:t>
            </w:r>
          </w:p>
        </w:tc>
        <w:tc>
          <w:tcPr>
            <w:tcW w:w="879" w:type="pct"/>
            <w:tcBorders>
              <w:tl2br w:val="nil"/>
              <w:tr2bl w:val="nil"/>
            </w:tcBorders>
            <w:noWrap w:val="0"/>
            <w:vAlign w:val="center"/>
          </w:tcPr>
          <w:p w14:paraId="2E1A6077">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实验动物致癌</w:t>
            </w:r>
          </w:p>
        </w:tc>
        <w:tc>
          <w:tcPr>
            <w:tcW w:w="887" w:type="pct"/>
            <w:tcBorders>
              <w:tl2br w:val="nil"/>
              <w:tr2bl w:val="nil"/>
            </w:tcBorders>
            <w:noWrap w:val="0"/>
            <w:vAlign w:val="center"/>
          </w:tcPr>
          <w:p w14:paraId="49CCF06A">
            <w:pPr>
              <w:pStyle w:val="423"/>
              <w:pageBreakBefore w:val="0"/>
              <w:wordWrap/>
              <w:bidi w:val="0"/>
              <w:adjustRightInd/>
              <w:snapToGrid/>
              <w:spacing w:line="240" w:lineRule="auto"/>
              <w:ind w:firstLine="0" w:firstLineChars="0"/>
              <w:jc w:val="center"/>
              <w:rPr>
                <w:color w:val="auto"/>
                <w:sz w:val="21"/>
                <w:szCs w:val="21"/>
              </w:rPr>
            </w:pPr>
            <w:r>
              <w:rPr>
                <w:color w:val="auto"/>
                <w:sz w:val="21"/>
                <w:szCs w:val="21"/>
              </w:rPr>
              <w:t>无致癌性</w:t>
            </w:r>
          </w:p>
        </w:tc>
      </w:tr>
    </w:tbl>
    <w:p w14:paraId="60952449">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rPr>
      </w:pPr>
      <w:r>
        <w:rPr>
          <w:color w:val="auto"/>
        </w:rPr>
        <w:t>根据工程分析及调查，项目涉及</w:t>
      </w:r>
      <w:r>
        <w:rPr>
          <w:rFonts w:hint="eastAsia"/>
          <w:color w:val="auto"/>
        </w:rPr>
        <w:t>的危险化学品为次氯酸钠，其理化性质和危险特性如下：</w:t>
      </w:r>
    </w:p>
    <w:p w14:paraId="727FF85B">
      <w:pPr>
        <w:pStyle w:val="15"/>
        <w:numPr>
          <w:ilvl w:val="0"/>
          <w:numId w:val="34"/>
        </w:numPr>
        <w:bidi w:val="0"/>
        <w:ind w:left="0" w:leftChars="0" w:firstLine="0" w:firstLineChars="0"/>
        <w:rPr>
          <w:rFonts w:hint="eastAsia"/>
          <w:color w:val="auto"/>
        </w:rPr>
      </w:pPr>
      <w:r>
        <w:rPr>
          <w:rFonts w:hint="eastAsia"/>
          <w:color w:val="auto"/>
        </w:rPr>
        <w:t>次氯酸钠理化性质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381"/>
        <w:gridCol w:w="2852"/>
        <w:gridCol w:w="1238"/>
        <w:gridCol w:w="3368"/>
      </w:tblGrid>
      <w:tr w14:paraId="054B7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6D1F4A5E">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中文名称</w:t>
            </w:r>
          </w:p>
        </w:tc>
        <w:tc>
          <w:tcPr>
            <w:tcW w:w="4218" w:type="pct"/>
            <w:gridSpan w:val="3"/>
            <w:tcBorders>
              <w:tl2br w:val="nil"/>
              <w:tr2bl w:val="nil"/>
            </w:tcBorders>
            <w:noWrap w:val="0"/>
            <w:vAlign w:val="center"/>
          </w:tcPr>
          <w:p w14:paraId="22B1711A">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次氯酸钠溶液</w:t>
            </w:r>
          </w:p>
        </w:tc>
      </w:tr>
      <w:tr w14:paraId="441E1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7265998D">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别名</w:t>
            </w:r>
          </w:p>
        </w:tc>
        <w:tc>
          <w:tcPr>
            <w:tcW w:w="4218" w:type="pct"/>
            <w:gridSpan w:val="3"/>
            <w:tcBorders>
              <w:tl2br w:val="nil"/>
              <w:tr2bl w:val="nil"/>
            </w:tcBorders>
            <w:noWrap w:val="0"/>
            <w:vAlign w:val="center"/>
          </w:tcPr>
          <w:p w14:paraId="0C19205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w:t>
            </w:r>
          </w:p>
        </w:tc>
      </w:tr>
      <w:tr w14:paraId="0BF4C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53EA57A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分子式</w:t>
            </w:r>
          </w:p>
        </w:tc>
        <w:tc>
          <w:tcPr>
            <w:tcW w:w="1613" w:type="pct"/>
            <w:tcBorders>
              <w:tl2br w:val="nil"/>
              <w:tr2bl w:val="nil"/>
            </w:tcBorders>
            <w:noWrap w:val="0"/>
            <w:vAlign w:val="center"/>
          </w:tcPr>
          <w:p w14:paraId="1490F950">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NaClO</w:t>
            </w:r>
          </w:p>
        </w:tc>
        <w:tc>
          <w:tcPr>
            <w:tcW w:w="700" w:type="pct"/>
            <w:tcBorders>
              <w:tl2br w:val="nil"/>
              <w:tr2bl w:val="nil"/>
            </w:tcBorders>
            <w:noWrap w:val="0"/>
            <w:vAlign w:val="center"/>
          </w:tcPr>
          <w:p w14:paraId="7410A5F8">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外观与性状</w:t>
            </w:r>
          </w:p>
        </w:tc>
        <w:tc>
          <w:tcPr>
            <w:tcW w:w="1904" w:type="pct"/>
            <w:tcBorders>
              <w:tl2br w:val="nil"/>
              <w:tr2bl w:val="nil"/>
            </w:tcBorders>
            <w:noWrap w:val="0"/>
            <w:vAlign w:val="center"/>
          </w:tcPr>
          <w:p w14:paraId="04D5809C">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微黄色溶液，有似氯气的气味</w:t>
            </w:r>
          </w:p>
        </w:tc>
      </w:tr>
      <w:tr w14:paraId="7B00B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144FA1E6">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分子量</w:t>
            </w:r>
          </w:p>
        </w:tc>
        <w:tc>
          <w:tcPr>
            <w:tcW w:w="1613" w:type="pct"/>
            <w:tcBorders>
              <w:tl2br w:val="nil"/>
              <w:tr2bl w:val="nil"/>
            </w:tcBorders>
            <w:noWrap w:val="0"/>
            <w:vAlign w:val="center"/>
          </w:tcPr>
          <w:p w14:paraId="67468AE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74.44</w:t>
            </w:r>
          </w:p>
        </w:tc>
        <w:tc>
          <w:tcPr>
            <w:tcW w:w="700" w:type="pct"/>
            <w:tcBorders>
              <w:tl2br w:val="nil"/>
              <w:tr2bl w:val="nil"/>
            </w:tcBorders>
            <w:noWrap w:val="0"/>
            <w:vAlign w:val="center"/>
          </w:tcPr>
          <w:p w14:paraId="60BB85D6">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蒸汽压</w:t>
            </w:r>
          </w:p>
        </w:tc>
        <w:tc>
          <w:tcPr>
            <w:tcW w:w="1904" w:type="pct"/>
            <w:tcBorders>
              <w:tl2br w:val="nil"/>
              <w:tr2bl w:val="nil"/>
            </w:tcBorders>
            <w:noWrap w:val="0"/>
            <w:vAlign w:val="center"/>
          </w:tcPr>
          <w:p w14:paraId="28675747">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w:t>
            </w:r>
          </w:p>
        </w:tc>
      </w:tr>
      <w:tr w14:paraId="25E93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28208F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熔点</w:t>
            </w:r>
          </w:p>
        </w:tc>
        <w:tc>
          <w:tcPr>
            <w:tcW w:w="1613" w:type="pct"/>
            <w:tcBorders>
              <w:tl2br w:val="nil"/>
              <w:tr2bl w:val="nil"/>
            </w:tcBorders>
            <w:noWrap w:val="0"/>
            <w:vAlign w:val="center"/>
          </w:tcPr>
          <w:p w14:paraId="69AACED5">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-6</w:t>
            </w:r>
          </w:p>
        </w:tc>
        <w:tc>
          <w:tcPr>
            <w:tcW w:w="700" w:type="pct"/>
            <w:tcBorders>
              <w:tl2br w:val="nil"/>
              <w:tr2bl w:val="nil"/>
            </w:tcBorders>
            <w:noWrap w:val="0"/>
            <w:vAlign w:val="center"/>
          </w:tcPr>
          <w:p w14:paraId="36090DE5">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溶解性</w:t>
            </w:r>
          </w:p>
        </w:tc>
        <w:tc>
          <w:tcPr>
            <w:tcW w:w="1904" w:type="pct"/>
            <w:tcBorders>
              <w:tl2br w:val="nil"/>
              <w:tr2bl w:val="nil"/>
            </w:tcBorders>
            <w:noWrap w:val="0"/>
            <w:vAlign w:val="center"/>
          </w:tcPr>
          <w:p w14:paraId="611B77B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溶于水</w:t>
            </w:r>
          </w:p>
        </w:tc>
      </w:tr>
      <w:tr w14:paraId="49352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8143185">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密度</w:t>
            </w:r>
          </w:p>
        </w:tc>
        <w:tc>
          <w:tcPr>
            <w:tcW w:w="1613" w:type="pct"/>
            <w:tcBorders>
              <w:tl2br w:val="nil"/>
              <w:tr2bl w:val="nil"/>
            </w:tcBorders>
            <w:noWrap w:val="0"/>
            <w:vAlign w:val="center"/>
          </w:tcPr>
          <w:p w14:paraId="55F91532">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相对密度（水=1）1.</w:t>
            </w:r>
            <w:r>
              <w:rPr>
                <w:rFonts w:hint="eastAsia" w:cs="宋体"/>
                <w:color w:val="auto"/>
                <w:kern w:val="0"/>
                <w:sz w:val="21"/>
                <w:szCs w:val="21"/>
                <w:lang w:eastAsia="zh-CN"/>
              </w:rPr>
              <w:t>1</w:t>
            </w:r>
          </w:p>
        </w:tc>
        <w:tc>
          <w:tcPr>
            <w:tcW w:w="700" w:type="pct"/>
            <w:tcBorders>
              <w:tl2br w:val="nil"/>
              <w:tr2bl w:val="nil"/>
            </w:tcBorders>
            <w:noWrap w:val="0"/>
            <w:vAlign w:val="center"/>
          </w:tcPr>
          <w:p w14:paraId="111E3FD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 xml:space="preserve">稳定性  </w:t>
            </w:r>
          </w:p>
        </w:tc>
        <w:tc>
          <w:tcPr>
            <w:tcW w:w="1904" w:type="pct"/>
            <w:tcBorders>
              <w:tl2br w:val="nil"/>
              <w:tr2bl w:val="nil"/>
            </w:tcBorders>
            <w:noWrap w:val="0"/>
            <w:vAlign w:val="center"/>
          </w:tcPr>
          <w:p w14:paraId="466ABED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ascii="Arial" w:hAnsi="Arial" w:cs="Arial"/>
                <w:color w:val="auto"/>
                <w:sz w:val="21"/>
                <w:szCs w:val="21"/>
                <w:shd w:val="clear" w:color="auto" w:fill="FFFFFF"/>
              </w:rPr>
              <w:t>不稳定，见光分解</w:t>
            </w:r>
          </w:p>
        </w:tc>
      </w:tr>
      <w:tr w14:paraId="27A4E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4E48F5A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危险标记</w:t>
            </w:r>
          </w:p>
        </w:tc>
        <w:tc>
          <w:tcPr>
            <w:tcW w:w="1613" w:type="pct"/>
            <w:tcBorders>
              <w:tl2br w:val="nil"/>
              <w:tr2bl w:val="nil"/>
            </w:tcBorders>
            <w:noWrap w:val="0"/>
            <w:vAlign w:val="center"/>
          </w:tcPr>
          <w:p w14:paraId="25C5C988">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 xml:space="preserve">其他腐蚀品 </w:t>
            </w:r>
          </w:p>
        </w:tc>
        <w:tc>
          <w:tcPr>
            <w:tcW w:w="700" w:type="pct"/>
            <w:tcBorders>
              <w:tl2br w:val="nil"/>
              <w:tr2bl w:val="nil"/>
            </w:tcBorders>
            <w:noWrap w:val="0"/>
            <w:vAlign w:val="center"/>
          </w:tcPr>
          <w:p w14:paraId="31537B6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主要用途</w:t>
            </w:r>
          </w:p>
        </w:tc>
        <w:tc>
          <w:tcPr>
            <w:tcW w:w="1904" w:type="pct"/>
            <w:tcBorders>
              <w:tl2br w:val="nil"/>
              <w:tr2bl w:val="nil"/>
            </w:tcBorders>
            <w:noWrap w:val="0"/>
            <w:vAlign w:val="center"/>
          </w:tcPr>
          <w:p w14:paraId="7EFECE45">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用于水的净化，以及作消毒剂、纸浆漂白等，医药工业中用制氯胺等</w:t>
            </w:r>
          </w:p>
        </w:tc>
      </w:tr>
      <w:tr w14:paraId="00313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152E4C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侵入途径</w:t>
            </w:r>
          </w:p>
        </w:tc>
        <w:tc>
          <w:tcPr>
            <w:tcW w:w="1613" w:type="pct"/>
            <w:tcBorders>
              <w:tl2br w:val="nil"/>
              <w:tr2bl w:val="nil"/>
            </w:tcBorders>
            <w:noWrap w:val="0"/>
            <w:vAlign w:val="center"/>
          </w:tcPr>
          <w:p w14:paraId="410417B1">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ascii="Arial" w:hAnsi="Arial" w:cs="Arial"/>
                <w:color w:val="auto"/>
                <w:sz w:val="21"/>
                <w:szCs w:val="21"/>
                <w:shd w:val="clear" w:color="auto" w:fill="FFFFFF"/>
              </w:rPr>
              <w:t>吸入、食入、皮肤接触吸收</w:t>
            </w:r>
          </w:p>
        </w:tc>
        <w:tc>
          <w:tcPr>
            <w:tcW w:w="700" w:type="pct"/>
            <w:vMerge w:val="restart"/>
            <w:tcBorders>
              <w:tl2br w:val="nil"/>
              <w:tr2bl w:val="nil"/>
            </w:tcBorders>
            <w:noWrap w:val="0"/>
            <w:vAlign w:val="center"/>
          </w:tcPr>
          <w:p w14:paraId="616627B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健康危害</w:t>
            </w:r>
          </w:p>
        </w:tc>
        <w:tc>
          <w:tcPr>
            <w:tcW w:w="1904" w:type="pct"/>
            <w:vMerge w:val="restart"/>
            <w:tcBorders>
              <w:tl2br w:val="nil"/>
              <w:tr2bl w:val="nil"/>
            </w:tcBorders>
            <w:noWrap w:val="0"/>
            <w:vAlign w:val="center"/>
          </w:tcPr>
          <w:p w14:paraId="004B4191">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olor w:val="auto"/>
                <w:sz w:val="21"/>
                <w:szCs w:val="21"/>
              </w:rPr>
              <w:t>经常用手接触本品的工人，手掌大量出汗，指甲变薄，毛发脱落。本品有致敏作用。本品放出的游离氯有可能引起中毒。</w:t>
            </w:r>
          </w:p>
        </w:tc>
      </w:tr>
      <w:tr w14:paraId="3DBB5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707718E8">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急性毒性</w:t>
            </w:r>
          </w:p>
        </w:tc>
        <w:tc>
          <w:tcPr>
            <w:tcW w:w="1613" w:type="pct"/>
            <w:tcBorders>
              <w:tl2br w:val="nil"/>
              <w:tr2bl w:val="nil"/>
            </w:tcBorders>
            <w:noWrap w:val="0"/>
            <w:vAlign w:val="center"/>
          </w:tcPr>
          <w:p w14:paraId="21A96AC5">
            <w:pPr>
              <w:pageBreakBefore w:val="0"/>
              <w:wordWrap/>
              <w:autoSpaceDE w:val="0"/>
              <w:autoSpaceDN w:val="0"/>
              <w:bidi w:val="0"/>
              <w:adjustRightInd/>
              <w:snapToGrid/>
              <w:spacing w:line="240" w:lineRule="auto"/>
              <w:ind w:firstLine="0" w:firstLineChars="0"/>
              <w:jc w:val="center"/>
              <w:rPr>
                <w:rFonts w:hint="eastAsia" w:eastAsia="宋体" w:cs="宋体"/>
                <w:color w:val="auto"/>
                <w:kern w:val="0"/>
                <w:sz w:val="21"/>
                <w:szCs w:val="21"/>
                <w:lang w:eastAsia="zh-CN"/>
              </w:rPr>
            </w:pPr>
            <w:r>
              <w:rPr>
                <w:rFonts w:hint="eastAsia" w:cs="宋体"/>
                <w:color w:val="auto"/>
                <w:kern w:val="0"/>
                <w:sz w:val="21"/>
                <w:szCs w:val="21"/>
              </w:rPr>
              <w:t>LD</w:t>
            </w:r>
            <w:r>
              <w:rPr>
                <w:rFonts w:hint="eastAsia" w:cs="宋体"/>
                <w:color w:val="auto"/>
                <w:kern w:val="0"/>
                <w:sz w:val="21"/>
                <w:szCs w:val="21"/>
                <w:vertAlign w:val="subscript"/>
              </w:rPr>
              <w:t>50</w:t>
            </w:r>
            <w:r>
              <w:rPr>
                <w:rFonts w:hint="eastAsia" w:cs="宋体"/>
                <w:color w:val="auto"/>
                <w:kern w:val="0"/>
                <w:sz w:val="21"/>
                <w:szCs w:val="21"/>
              </w:rPr>
              <w:t>：8500mg/kg</w:t>
            </w:r>
            <w:r>
              <w:rPr>
                <w:rFonts w:hint="eastAsia" w:cs="宋体"/>
                <w:color w:val="auto"/>
                <w:kern w:val="0"/>
                <w:sz w:val="21"/>
                <w:szCs w:val="21"/>
                <w:lang w:eastAsia="zh-CN"/>
              </w:rPr>
              <w:t>（</w:t>
            </w:r>
            <w:r>
              <w:rPr>
                <w:rFonts w:hint="eastAsia" w:cs="宋体"/>
                <w:color w:val="auto"/>
                <w:kern w:val="0"/>
                <w:sz w:val="21"/>
                <w:szCs w:val="21"/>
              </w:rPr>
              <w:t>小鼠经口</w:t>
            </w:r>
            <w:r>
              <w:rPr>
                <w:rFonts w:hint="eastAsia" w:cs="宋体"/>
                <w:color w:val="auto"/>
                <w:kern w:val="0"/>
                <w:sz w:val="21"/>
                <w:szCs w:val="21"/>
                <w:lang w:eastAsia="zh-CN"/>
              </w:rPr>
              <w:t>）</w:t>
            </w:r>
          </w:p>
          <w:p w14:paraId="2AAAF2F2">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LC</w:t>
            </w:r>
            <w:r>
              <w:rPr>
                <w:rFonts w:hint="eastAsia" w:cs="宋体"/>
                <w:color w:val="auto"/>
                <w:kern w:val="0"/>
                <w:sz w:val="21"/>
                <w:szCs w:val="21"/>
                <w:vertAlign w:val="subscript"/>
              </w:rPr>
              <w:t>50</w:t>
            </w:r>
            <w:r>
              <w:rPr>
                <w:rFonts w:hint="eastAsia" w:cs="宋体"/>
                <w:color w:val="auto"/>
                <w:kern w:val="0"/>
                <w:sz w:val="21"/>
                <w:szCs w:val="21"/>
              </w:rPr>
              <w:t>：无资料</w:t>
            </w:r>
          </w:p>
        </w:tc>
        <w:tc>
          <w:tcPr>
            <w:tcW w:w="700" w:type="pct"/>
            <w:vMerge w:val="continue"/>
            <w:tcBorders>
              <w:tl2br w:val="nil"/>
              <w:tr2bl w:val="nil"/>
            </w:tcBorders>
            <w:noWrap w:val="0"/>
            <w:vAlign w:val="center"/>
          </w:tcPr>
          <w:p w14:paraId="4810141A">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p>
        </w:tc>
        <w:tc>
          <w:tcPr>
            <w:tcW w:w="1904" w:type="pct"/>
            <w:vMerge w:val="continue"/>
            <w:tcBorders>
              <w:tl2br w:val="nil"/>
              <w:tr2bl w:val="nil"/>
            </w:tcBorders>
            <w:noWrap w:val="0"/>
            <w:vAlign w:val="center"/>
          </w:tcPr>
          <w:p w14:paraId="25D02146">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p>
        </w:tc>
      </w:tr>
      <w:tr w14:paraId="20BA1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4E4D58A7">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危险特性</w:t>
            </w:r>
          </w:p>
        </w:tc>
        <w:tc>
          <w:tcPr>
            <w:tcW w:w="4218" w:type="pct"/>
            <w:gridSpan w:val="3"/>
            <w:tcBorders>
              <w:tl2br w:val="nil"/>
              <w:tr2bl w:val="nil"/>
            </w:tcBorders>
            <w:noWrap w:val="0"/>
            <w:vAlign w:val="center"/>
          </w:tcPr>
          <w:p w14:paraId="6FE5E41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受高热分解产生有毒的腐蚀性烟气，具有腐蚀性</w:t>
            </w:r>
          </w:p>
        </w:tc>
      </w:tr>
      <w:tr w14:paraId="20439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2813EBFF">
            <w:pPr>
              <w:pageBreakBefore w:val="0"/>
              <w:wordWrap/>
              <w:autoSpaceDE w:val="0"/>
              <w:autoSpaceDN w:val="0"/>
              <w:bidi w:val="0"/>
              <w:adjustRightInd/>
              <w:snapToGrid/>
              <w:spacing w:line="240" w:lineRule="auto"/>
              <w:ind w:firstLine="0" w:firstLineChars="0"/>
              <w:jc w:val="center"/>
              <w:rPr>
                <w:rFonts w:hint="eastAsia" w:cs="宋体"/>
                <w:color w:val="auto"/>
                <w:kern w:val="0"/>
                <w:sz w:val="21"/>
                <w:szCs w:val="21"/>
              </w:rPr>
            </w:pPr>
            <w:r>
              <w:rPr>
                <w:rFonts w:hint="eastAsia" w:cs="宋体"/>
                <w:color w:val="auto"/>
                <w:kern w:val="0"/>
                <w:sz w:val="21"/>
                <w:szCs w:val="21"/>
              </w:rPr>
              <w:t>急救</w:t>
            </w:r>
          </w:p>
        </w:tc>
        <w:tc>
          <w:tcPr>
            <w:tcW w:w="4218" w:type="pct"/>
            <w:gridSpan w:val="3"/>
            <w:tcBorders>
              <w:tl2br w:val="nil"/>
              <w:tr2bl w:val="nil"/>
            </w:tcBorders>
            <w:noWrap w:val="0"/>
            <w:vAlign w:val="center"/>
          </w:tcPr>
          <w:p w14:paraId="6D5F6A86">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吸入：如果吸入，请将患者移到新鲜空气处。</w:t>
            </w:r>
          </w:p>
          <w:p w14:paraId="209BA882">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皮肤接触：脱去污染的衣着，用肥皂水和清水彻底冲洗皮肤。如有不适感，就医。</w:t>
            </w:r>
          </w:p>
          <w:p w14:paraId="434D9CBB">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lang w:eastAsia="zh-CN"/>
              </w:rPr>
              <w:t>眼睛</w:t>
            </w:r>
            <w:r>
              <w:rPr>
                <w:rFonts w:hint="eastAsia" w:cs="宋体"/>
                <w:color w:val="auto"/>
                <w:kern w:val="0"/>
                <w:sz w:val="21"/>
                <w:szCs w:val="21"/>
              </w:rPr>
              <w:t>接触：分开眼睑，用流动清水或生理盐水冲洗。立即就医。</w:t>
            </w:r>
          </w:p>
          <w:p w14:paraId="4143E7EA">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食入：漱口，禁止催吐。立即就医。</w:t>
            </w:r>
          </w:p>
        </w:tc>
      </w:tr>
      <w:tr w14:paraId="7A430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49F5C513">
            <w:pPr>
              <w:pageBreakBefore w:val="0"/>
              <w:wordWrap/>
              <w:autoSpaceDE w:val="0"/>
              <w:autoSpaceDN w:val="0"/>
              <w:bidi w:val="0"/>
              <w:adjustRightInd/>
              <w:snapToGrid/>
              <w:spacing w:line="240" w:lineRule="auto"/>
              <w:ind w:firstLine="0" w:firstLineChars="0"/>
              <w:jc w:val="center"/>
              <w:rPr>
                <w:rFonts w:hint="eastAsia" w:cs="宋体"/>
                <w:color w:val="auto"/>
                <w:kern w:val="0"/>
                <w:sz w:val="21"/>
                <w:szCs w:val="21"/>
              </w:rPr>
            </w:pPr>
            <w:r>
              <w:rPr>
                <w:rFonts w:hint="eastAsia" w:cs="宋体"/>
                <w:color w:val="auto"/>
                <w:kern w:val="0"/>
                <w:sz w:val="21"/>
                <w:szCs w:val="21"/>
              </w:rPr>
              <w:t>防护</w:t>
            </w:r>
          </w:p>
        </w:tc>
        <w:tc>
          <w:tcPr>
            <w:tcW w:w="4218" w:type="pct"/>
            <w:gridSpan w:val="3"/>
            <w:tcBorders>
              <w:tl2br w:val="nil"/>
              <w:tr2bl w:val="nil"/>
            </w:tcBorders>
            <w:noWrap w:val="0"/>
            <w:vAlign w:val="center"/>
          </w:tcPr>
          <w:p w14:paraId="33723AE3">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工程防护：生产过程密闭，全面通风。提供安全淋浴和洗眼设备。</w:t>
            </w:r>
          </w:p>
          <w:p w14:paraId="3572B0EE">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个人防护：高浓度环境中，应该佩戴直接式防毒面具（半面罩）。戴化学安全防护眼镜。穿防腐工作服。戴橡胶手套。工作现场禁止吸烟、进食和饮水。工作完毕，淋浴更衣。注意个人清洁卫生。</w:t>
            </w:r>
          </w:p>
        </w:tc>
      </w:tr>
      <w:tr w14:paraId="657D3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EECBA8D">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泄漏应急处理</w:t>
            </w:r>
          </w:p>
        </w:tc>
        <w:tc>
          <w:tcPr>
            <w:tcW w:w="4218" w:type="pct"/>
            <w:gridSpan w:val="3"/>
            <w:tcBorders>
              <w:tl2br w:val="nil"/>
              <w:tr2bl w:val="nil"/>
            </w:tcBorders>
            <w:noWrap w:val="0"/>
            <w:vAlign w:val="center"/>
          </w:tcPr>
          <w:p w14:paraId="41EC8A0F">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小量泄漏：尽可能将泄漏液体收集在可密闭的容器中。用沙土、活性炭</w:t>
            </w:r>
            <w:r>
              <w:rPr>
                <w:rFonts w:hint="eastAsia" w:cs="宋体"/>
                <w:color w:val="auto"/>
                <w:kern w:val="0"/>
                <w:sz w:val="21"/>
                <w:szCs w:val="21"/>
                <w:lang w:eastAsia="zh-CN"/>
              </w:rPr>
              <w:t>或其他</w:t>
            </w:r>
            <w:r>
              <w:rPr>
                <w:rFonts w:hint="eastAsia" w:cs="宋体"/>
                <w:color w:val="auto"/>
                <w:kern w:val="0"/>
                <w:sz w:val="21"/>
                <w:szCs w:val="21"/>
              </w:rPr>
              <w:t>惰性材料吸收，并转移至安全场所。禁止冲入下水道。</w:t>
            </w:r>
          </w:p>
          <w:p w14:paraId="71AADBE9">
            <w:pPr>
              <w:pageBreakBefore w:val="0"/>
              <w:wordWrap/>
              <w:autoSpaceDE w:val="0"/>
              <w:autoSpaceDN w:val="0"/>
              <w:bidi w:val="0"/>
              <w:adjustRightInd/>
              <w:snapToGrid/>
              <w:spacing w:line="240" w:lineRule="auto"/>
              <w:ind w:firstLine="0" w:firstLineChars="0"/>
              <w:jc w:val="left"/>
              <w:rPr>
                <w:rFonts w:cs="宋体"/>
                <w:color w:val="auto"/>
                <w:kern w:val="0"/>
                <w:sz w:val="21"/>
                <w:szCs w:val="21"/>
              </w:rPr>
            </w:pPr>
            <w:r>
              <w:rPr>
                <w:rFonts w:hint="eastAsia" w:cs="宋体"/>
                <w:color w:val="auto"/>
                <w:kern w:val="0"/>
                <w:sz w:val="21"/>
                <w:szCs w:val="21"/>
              </w:rPr>
              <w:t>大量泄漏：构筑围堤或挖坑收容。封闭排水管道。用泡沫覆盖，抑制蒸发。用防爆泵转移至槽车或专用收集器内，回收或运至废物处理场所处置</w:t>
            </w:r>
          </w:p>
        </w:tc>
      </w:tr>
      <w:tr w14:paraId="657AD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30F89367">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储运</w:t>
            </w:r>
          </w:p>
        </w:tc>
        <w:tc>
          <w:tcPr>
            <w:tcW w:w="4218" w:type="pct"/>
            <w:gridSpan w:val="3"/>
            <w:tcBorders>
              <w:tl2br w:val="nil"/>
              <w:tr2bl w:val="nil"/>
            </w:tcBorders>
            <w:noWrap w:val="0"/>
            <w:vAlign w:val="center"/>
          </w:tcPr>
          <w:p w14:paraId="3C0724D2">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包装标志：</w:t>
            </w:r>
            <w:r>
              <w:rPr>
                <w:rFonts w:hint="eastAsia" w:cs="宋体"/>
                <w:color w:val="auto"/>
                <w:kern w:val="0"/>
                <w:sz w:val="21"/>
                <w:szCs w:val="21"/>
                <w:lang w:val="en-US" w:eastAsia="zh-CN"/>
              </w:rPr>
              <w:t xml:space="preserve">  </w:t>
            </w:r>
            <w:r>
              <w:rPr>
                <w:rFonts w:hint="eastAsia" w:cs="宋体"/>
                <w:color w:val="auto"/>
                <w:kern w:val="0"/>
                <w:sz w:val="21"/>
                <w:szCs w:val="21"/>
              </w:rPr>
              <w:t>UN编号：</w:t>
            </w:r>
            <w:r>
              <w:rPr>
                <w:rFonts w:hint="eastAsia" w:cs="宋体"/>
                <w:color w:val="auto"/>
                <w:kern w:val="0"/>
                <w:sz w:val="21"/>
                <w:szCs w:val="21"/>
                <w:lang w:eastAsia="zh-CN"/>
              </w:rPr>
              <w:t>1</w:t>
            </w:r>
            <w:r>
              <w:rPr>
                <w:rFonts w:hint="eastAsia" w:cs="宋体"/>
                <w:color w:val="auto"/>
                <w:kern w:val="0"/>
                <w:sz w:val="21"/>
                <w:szCs w:val="21"/>
              </w:rPr>
              <w:t>79</w:t>
            </w:r>
            <w:r>
              <w:rPr>
                <w:rFonts w:hint="eastAsia" w:cs="宋体"/>
                <w:color w:val="auto"/>
                <w:kern w:val="0"/>
                <w:sz w:val="21"/>
                <w:szCs w:val="21"/>
                <w:lang w:eastAsia="zh-CN"/>
              </w:rPr>
              <w:t>1</w:t>
            </w:r>
            <w:r>
              <w:rPr>
                <w:rFonts w:hint="eastAsia" w:cs="宋体"/>
                <w:color w:val="auto"/>
                <w:kern w:val="0"/>
                <w:sz w:val="21"/>
                <w:szCs w:val="21"/>
              </w:rPr>
              <w:t xml:space="preserve">  包装分类：Ⅲ</w:t>
            </w:r>
          </w:p>
          <w:p w14:paraId="34C379E1">
            <w:pPr>
              <w:pageBreakBefore w:val="0"/>
              <w:wordWrap/>
              <w:autoSpaceDE w:val="0"/>
              <w:autoSpaceDN w:val="0"/>
              <w:bidi w:val="0"/>
              <w:adjustRightInd/>
              <w:snapToGrid/>
              <w:spacing w:line="240" w:lineRule="auto"/>
              <w:ind w:firstLine="0" w:firstLineChars="0"/>
              <w:jc w:val="left"/>
              <w:rPr>
                <w:rFonts w:cs="宋体"/>
                <w:color w:val="auto"/>
                <w:kern w:val="0"/>
                <w:sz w:val="21"/>
                <w:szCs w:val="21"/>
              </w:rPr>
            </w:pPr>
            <w:r>
              <w:rPr>
                <w:rFonts w:hint="eastAsia" w:cs="宋体"/>
                <w:color w:val="auto"/>
                <w:kern w:val="0"/>
                <w:sz w:val="21"/>
                <w:szCs w:val="21"/>
              </w:rPr>
              <w:t>储运条件：储存于阴凉、通风的库房。远离火种、热源。库温不宜超过30℃。应与碱类分开存放，切忌混储。储区应备有泄漏应急处理设备和合适的收容材料。起运时包装要完整，装载应稳妥。运输过程中要确保容器不泄漏、不倒塌、不坠落、不损坏。严禁与碱类、食用化学品等混装混运。运输时运输车辆应配备泄漏应急处理设备。运输途中应防</w:t>
            </w:r>
            <w:r>
              <w:rPr>
                <w:rFonts w:hint="eastAsia" w:cs="宋体"/>
                <w:color w:val="auto"/>
                <w:kern w:val="0"/>
                <w:sz w:val="21"/>
                <w:szCs w:val="21"/>
                <w:lang w:eastAsia="zh-CN"/>
              </w:rPr>
              <w:t>暴晒</w:t>
            </w:r>
            <w:r>
              <w:rPr>
                <w:rFonts w:hint="eastAsia" w:cs="宋体"/>
                <w:color w:val="auto"/>
                <w:kern w:val="0"/>
                <w:sz w:val="21"/>
                <w:szCs w:val="21"/>
              </w:rPr>
              <w:t>、雨淋，防高温。公路运输时要按规定路线行驶，勿在居民区和人口稠密区停留。</w:t>
            </w:r>
          </w:p>
        </w:tc>
      </w:tr>
    </w:tbl>
    <w:p w14:paraId="40D0A6F8">
      <w:pPr>
        <w:pageBreakBefore w:val="0"/>
        <w:wordWrap/>
        <w:bidi w:val="0"/>
        <w:adjustRightInd/>
        <w:snapToGrid/>
        <w:spacing w:before="120" w:beforeLines="50"/>
        <w:ind w:firstLine="482"/>
        <w:rPr>
          <w:b/>
          <w:color w:val="auto"/>
        </w:rPr>
      </w:pPr>
      <w:r>
        <w:rPr>
          <w:b/>
          <w:color w:val="auto"/>
        </w:rPr>
        <w:t>（2）生产过程潜在风险识别</w:t>
      </w:r>
    </w:p>
    <w:p w14:paraId="3A70087C">
      <w:pPr>
        <w:pageBreakBefore w:val="0"/>
        <w:wordWrap/>
        <w:bidi w:val="0"/>
        <w:adjustRightInd/>
        <w:snapToGrid/>
        <w:ind w:firstLine="482"/>
        <w:rPr>
          <w:b/>
          <w:color w:val="auto"/>
        </w:rPr>
      </w:pPr>
      <w:r>
        <w:rPr>
          <w:b/>
          <w:color w:val="auto"/>
        </w:rPr>
        <w:t>1、加药装置风险因素分析</w:t>
      </w:r>
    </w:p>
    <w:p w14:paraId="6D7B5718">
      <w:pPr>
        <w:pageBreakBefore w:val="0"/>
        <w:wordWrap/>
        <w:bidi w:val="0"/>
        <w:adjustRightInd/>
        <w:snapToGrid/>
        <w:ind w:firstLine="480"/>
        <w:rPr>
          <w:color w:val="auto"/>
        </w:rPr>
      </w:pPr>
      <w:r>
        <w:rPr>
          <w:color w:val="auto"/>
        </w:rPr>
        <w:t>项目使用危险化学品主要为</w:t>
      </w:r>
      <w:r>
        <w:rPr>
          <w:rFonts w:hint="eastAsia"/>
          <w:color w:val="auto"/>
        </w:rPr>
        <w:t>次氯酸钠</w:t>
      </w:r>
      <w:r>
        <w:rPr>
          <w:color w:val="auto"/>
        </w:rPr>
        <w:t>。</w:t>
      </w:r>
    </w:p>
    <w:p w14:paraId="4ABF4E31">
      <w:pPr>
        <w:pageBreakBefore w:val="0"/>
        <w:wordWrap/>
        <w:bidi w:val="0"/>
        <w:adjustRightInd/>
        <w:snapToGrid/>
        <w:ind w:firstLine="480"/>
        <w:rPr>
          <w:color w:val="auto"/>
        </w:rPr>
      </w:pPr>
      <w:r>
        <w:rPr>
          <w:color w:val="auto"/>
          <w:kern w:val="0"/>
        </w:rPr>
        <w:t>本项目加药设备因操作失误、设备故障等原因，可能导致</w:t>
      </w:r>
      <w:r>
        <w:rPr>
          <w:rFonts w:hint="eastAsia"/>
          <w:color w:val="auto"/>
          <w:kern w:val="0"/>
        </w:rPr>
        <w:t>次氯酸钠</w:t>
      </w:r>
      <w:r>
        <w:rPr>
          <w:color w:val="auto"/>
          <w:kern w:val="0"/>
        </w:rPr>
        <w:t>等</w:t>
      </w:r>
      <w:r>
        <w:rPr>
          <w:rFonts w:hint="eastAsia"/>
          <w:color w:val="auto"/>
          <w:kern w:val="0"/>
          <w:lang w:eastAsia="zh-CN"/>
        </w:rPr>
        <w:t>化学品泄漏</w:t>
      </w:r>
      <w:r>
        <w:rPr>
          <w:color w:val="auto"/>
          <w:kern w:val="0"/>
        </w:rPr>
        <w:t>，形成危害</w:t>
      </w:r>
      <w:r>
        <w:rPr>
          <w:color w:val="auto"/>
        </w:rPr>
        <w:t>。</w:t>
      </w:r>
    </w:p>
    <w:p w14:paraId="1DC2801E">
      <w:pPr>
        <w:pageBreakBefore w:val="0"/>
        <w:wordWrap/>
        <w:bidi w:val="0"/>
        <w:adjustRightInd/>
        <w:snapToGrid/>
        <w:ind w:firstLine="482"/>
        <w:rPr>
          <w:b/>
          <w:color w:val="auto"/>
        </w:rPr>
      </w:pPr>
      <w:r>
        <w:rPr>
          <w:b/>
          <w:color w:val="auto"/>
        </w:rPr>
        <w:t>2、储存环节风险隐患分析</w:t>
      </w:r>
    </w:p>
    <w:p w14:paraId="122548EA">
      <w:pPr>
        <w:pageBreakBefore w:val="0"/>
        <w:wordWrap/>
        <w:bidi w:val="0"/>
        <w:adjustRightInd/>
        <w:snapToGrid/>
        <w:ind w:firstLine="480"/>
        <w:rPr>
          <w:color w:val="auto"/>
        </w:rPr>
      </w:pPr>
      <w:r>
        <w:rPr>
          <w:color w:val="auto"/>
        </w:rPr>
        <w:t>由于本项目使用的</w:t>
      </w:r>
      <w:r>
        <w:rPr>
          <w:rFonts w:hint="eastAsia"/>
          <w:color w:val="auto"/>
          <w:kern w:val="0"/>
        </w:rPr>
        <w:t>次氯酸钠</w:t>
      </w:r>
      <w:r>
        <w:rPr>
          <w:color w:val="auto"/>
        </w:rPr>
        <w:t>外购原料</w:t>
      </w:r>
      <w:r>
        <w:rPr>
          <w:rFonts w:hint="eastAsia"/>
          <w:color w:val="auto"/>
          <w:lang w:val="en-US" w:eastAsia="zh-CN"/>
        </w:rPr>
        <w:t>成品</w:t>
      </w:r>
      <w:r>
        <w:rPr>
          <w:color w:val="auto"/>
        </w:rPr>
        <w:t>，</w:t>
      </w:r>
      <w:r>
        <w:rPr>
          <w:rFonts w:hint="eastAsia"/>
          <w:color w:val="auto"/>
          <w:lang w:val="en-US" w:eastAsia="zh-CN"/>
        </w:rPr>
        <w:t>次氯酸钠加药时</w:t>
      </w:r>
      <w:r>
        <w:rPr>
          <w:color w:val="auto"/>
        </w:rPr>
        <w:t>一旦容器发生破损则会导致物料泄漏，其中的</w:t>
      </w:r>
      <w:r>
        <w:rPr>
          <w:rFonts w:hint="eastAsia"/>
          <w:color w:val="auto"/>
          <w:kern w:val="0"/>
        </w:rPr>
        <w:t>次氯酸钠</w:t>
      </w:r>
      <w:r>
        <w:rPr>
          <w:color w:val="auto"/>
        </w:rPr>
        <w:t>也会引起中毒事件。</w:t>
      </w:r>
    </w:p>
    <w:p w14:paraId="62D4961B">
      <w:pPr>
        <w:pageBreakBefore w:val="0"/>
        <w:wordWrap/>
        <w:bidi w:val="0"/>
        <w:adjustRightInd/>
        <w:snapToGrid/>
        <w:ind w:firstLine="482"/>
        <w:rPr>
          <w:b/>
          <w:color w:val="auto"/>
        </w:rPr>
      </w:pPr>
      <w:r>
        <w:rPr>
          <w:b/>
          <w:color w:val="auto"/>
        </w:rPr>
        <w:t>3、装卸作业分析隐患分析</w:t>
      </w:r>
    </w:p>
    <w:p w14:paraId="1C6953BB">
      <w:pPr>
        <w:pageBreakBefore w:val="0"/>
        <w:wordWrap/>
        <w:bidi w:val="0"/>
        <w:adjustRightInd/>
        <w:snapToGrid/>
        <w:ind w:firstLine="480"/>
        <w:rPr>
          <w:color w:val="auto"/>
        </w:rPr>
      </w:pPr>
      <w:r>
        <w:rPr>
          <w:color w:val="auto"/>
        </w:rPr>
        <w:t>在危险化学品的装卸过程中，易出现因工作人员操作不当而致使危险化学品外泄。外泄的物质具有腐蚀性，也会引起中毒事故。</w:t>
      </w:r>
    </w:p>
    <w:p w14:paraId="09A1084E">
      <w:pPr>
        <w:pageBreakBefore w:val="0"/>
        <w:wordWrap/>
        <w:bidi w:val="0"/>
        <w:adjustRightInd/>
        <w:snapToGrid/>
        <w:ind w:firstLine="482"/>
        <w:rPr>
          <w:b/>
          <w:color w:val="auto"/>
        </w:rPr>
      </w:pPr>
      <w:r>
        <w:rPr>
          <w:b/>
          <w:color w:val="auto"/>
        </w:rPr>
        <w:t>4、运输环节风险隐患分析</w:t>
      </w:r>
    </w:p>
    <w:p w14:paraId="43774462">
      <w:pPr>
        <w:pageBreakBefore w:val="0"/>
        <w:wordWrap/>
        <w:bidi w:val="0"/>
        <w:adjustRightInd/>
        <w:snapToGrid/>
        <w:ind w:firstLine="480"/>
        <w:rPr>
          <w:color w:val="auto"/>
        </w:rPr>
      </w:pPr>
      <w:r>
        <w:rPr>
          <w:color w:val="auto"/>
        </w:rPr>
        <w:t>危险化学品在运输过程因发生</w:t>
      </w:r>
      <w:r>
        <w:rPr>
          <w:rFonts w:hint="eastAsia"/>
          <w:color w:val="auto"/>
          <w:lang w:eastAsia="zh-CN"/>
        </w:rPr>
        <w:t>翻车</w:t>
      </w:r>
      <w:r>
        <w:rPr>
          <w:color w:val="auto"/>
        </w:rPr>
        <w:t>、撞击等事故，存在造成危险化学品储运设施开裂和爆炸的危险，并由此而引发危险化学品的大量泄漏进入环境中，从而导致中毒事故。</w:t>
      </w:r>
    </w:p>
    <w:p w14:paraId="2F162D4A">
      <w:pPr>
        <w:pageBreakBefore w:val="0"/>
        <w:wordWrap/>
        <w:bidi w:val="0"/>
        <w:adjustRightInd/>
        <w:snapToGrid/>
        <w:ind w:firstLine="482"/>
        <w:rPr>
          <w:b/>
          <w:bCs/>
          <w:color w:val="auto"/>
        </w:rPr>
      </w:pPr>
      <w:r>
        <w:rPr>
          <w:b/>
          <w:bCs/>
          <w:color w:val="auto"/>
        </w:rPr>
        <w:t>（3）其他因素</w:t>
      </w:r>
    </w:p>
    <w:p w14:paraId="48E4FA2D">
      <w:pPr>
        <w:pageBreakBefore w:val="0"/>
        <w:wordWrap/>
        <w:bidi w:val="0"/>
        <w:adjustRightInd/>
        <w:snapToGrid/>
        <w:ind w:firstLine="480"/>
        <w:rPr>
          <w:color w:val="auto"/>
        </w:rPr>
      </w:pPr>
      <w:r>
        <w:rPr>
          <w:color w:val="auto"/>
        </w:rPr>
        <w:t>可能引发事故风险的还有：①战争；②自然灾害；③人为破坏等。第一个因素为不可抗拒因素，后两个因素只要从设计和管理上加强防范还是可以避免和减缓影响的。</w:t>
      </w:r>
    </w:p>
    <w:p w14:paraId="540C6B32">
      <w:pPr>
        <w:pageBreakBefore w:val="0"/>
        <w:wordWrap/>
        <w:bidi w:val="0"/>
        <w:adjustRightInd/>
        <w:snapToGrid/>
        <w:ind w:firstLine="482"/>
        <w:rPr>
          <w:b/>
          <w:bCs/>
          <w:color w:val="auto"/>
        </w:rPr>
      </w:pPr>
      <w:r>
        <w:rPr>
          <w:b/>
          <w:bCs/>
          <w:color w:val="auto"/>
        </w:rPr>
        <w:t>（4）风险识别结果</w:t>
      </w:r>
    </w:p>
    <w:p w14:paraId="5A7DD56C">
      <w:pPr>
        <w:pageBreakBefore w:val="0"/>
        <w:wordWrap/>
        <w:bidi w:val="0"/>
        <w:adjustRightInd/>
        <w:snapToGrid/>
        <w:ind w:firstLine="480"/>
        <w:rPr>
          <w:color w:val="auto"/>
        </w:rPr>
      </w:pPr>
      <w:r>
        <w:rPr>
          <w:color w:val="auto"/>
        </w:rPr>
        <w:t>本项目的特点是工艺中使用</w:t>
      </w:r>
      <w:r>
        <w:rPr>
          <w:rFonts w:hint="eastAsia"/>
          <w:color w:val="auto"/>
          <w:kern w:val="0"/>
        </w:rPr>
        <w:t>次氯酸钠</w:t>
      </w:r>
      <w:r>
        <w:rPr>
          <w:color w:val="auto"/>
        </w:rPr>
        <w:t>，属</w:t>
      </w:r>
      <w:r>
        <w:rPr>
          <w:rFonts w:hint="eastAsia"/>
          <w:color w:val="auto"/>
        </w:rPr>
        <w:t>危险化学品</w:t>
      </w:r>
      <w:r>
        <w:rPr>
          <w:color w:val="auto"/>
        </w:rPr>
        <w:t>。该物质在运输、贮存、使用等方面存在不同程度的事故潜在危险因素。综合考虑物料数量、性状及危险特性，本项目风险事故隐患主要为：</w:t>
      </w:r>
      <w:r>
        <w:rPr>
          <w:rFonts w:hint="eastAsia"/>
          <w:color w:val="auto"/>
          <w:lang w:eastAsia="zh-CN"/>
        </w:rPr>
        <w:t>泄漏</w:t>
      </w:r>
      <w:r>
        <w:rPr>
          <w:color w:val="auto"/>
        </w:rPr>
        <w:t>直接进入周围水体导致的水环境污染。</w:t>
      </w:r>
    </w:p>
    <w:p w14:paraId="3E770E68">
      <w:pPr>
        <w:pStyle w:val="4"/>
        <w:bidi w:val="0"/>
        <w:rPr>
          <w:color w:val="auto"/>
        </w:rPr>
      </w:pPr>
      <w:r>
        <w:rPr>
          <w:rFonts w:hint="eastAsia"/>
          <w:color w:val="auto"/>
        </w:rPr>
        <w:t xml:space="preserve"> </w:t>
      </w:r>
      <w:bookmarkStart w:id="210" w:name="_Toc3476"/>
      <w:r>
        <w:rPr>
          <w:color w:val="auto"/>
        </w:rPr>
        <w:t>环境风险事故类型</w:t>
      </w:r>
      <w:bookmarkEnd w:id="210"/>
    </w:p>
    <w:p w14:paraId="7573667A">
      <w:pPr>
        <w:bidi w:val="0"/>
        <w:rPr>
          <w:color w:val="auto"/>
        </w:rPr>
      </w:pPr>
      <w:r>
        <w:rPr>
          <w:color w:val="auto"/>
        </w:rPr>
        <w:t>本项目存在的风险事故类型主要有：</w:t>
      </w:r>
    </w:p>
    <w:p w14:paraId="19C895BD">
      <w:pPr>
        <w:pageBreakBefore w:val="0"/>
        <w:wordWrap/>
        <w:bidi w:val="0"/>
        <w:adjustRightInd/>
        <w:snapToGrid/>
        <w:ind w:firstLine="480"/>
        <w:rPr>
          <w:b/>
          <w:bCs/>
          <w:color w:val="auto"/>
        </w:rPr>
      </w:pPr>
      <w:r>
        <w:rPr>
          <w:b/>
          <w:bCs/>
          <w:color w:val="auto"/>
        </w:rPr>
        <w:t>1、进水污染事故</w:t>
      </w:r>
    </w:p>
    <w:p w14:paraId="46EF1235">
      <w:pPr>
        <w:pageBreakBefore w:val="0"/>
        <w:wordWrap/>
        <w:bidi w:val="0"/>
        <w:adjustRightInd/>
        <w:snapToGrid/>
        <w:ind w:firstLine="480"/>
        <w:rPr>
          <w:color w:val="auto"/>
        </w:rPr>
      </w:pPr>
      <w:r>
        <w:rPr>
          <w:color w:val="auto"/>
        </w:rPr>
        <w:t>（1）进水污染事故</w:t>
      </w:r>
    </w:p>
    <w:p w14:paraId="0AD682AF">
      <w:pPr>
        <w:pageBreakBefore w:val="0"/>
        <w:wordWrap/>
        <w:bidi w:val="0"/>
        <w:adjustRightInd/>
        <w:snapToGrid/>
        <w:ind w:firstLine="480"/>
        <w:rPr>
          <w:color w:val="auto"/>
        </w:rPr>
      </w:pPr>
      <w:r>
        <w:rPr>
          <w:color w:val="auto"/>
        </w:rPr>
        <w:t>工业企业生产的不连续性、生活污水</w:t>
      </w:r>
      <w:r>
        <w:rPr>
          <w:rFonts w:hint="eastAsia"/>
          <w:color w:val="auto"/>
          <w:lang w:eastAsia="zh-CN"/>
        </w:rPr>
        <w:t>出水水质</w:t>
      </w:r>
      <w:r>
        <w:rPr>
          <w:color w:val="auto"/>
        </w:rPr>
        <w:t>的不稳定、个别工业企业的生产设备或废水的预处理设施故障而发生污染事故等，都可能对污水处理厂的处理效率产生不利影响。</w:t>
      </w:r>
    </w:p>
    <w:p w14:paraId="4893292D">
      <w:pPr>
        <w:pageBreakBefore w:val="0"/>
        <w:wordWrap/>
        <w:bidi w:val="0"/>
        <w:adjustRightInd/>
        <w:snapToGrid/>
        <w:ind w:firstLine="480"/>
        <w:rPr>
          <w:color w:val="auto"/>
        </w:rPr>
      </w:pPr>
      <w:r>
        <w:rPr>
          <w:color w:val="auto"/>
        </w:rPr>
        <w:t>不连续性及</w:t>
      </w:r>
      <w:r>
        <w:rPr>
          <w:rFonts w:hint="eastAsia"/>
          <w:color w:val="auto"/>
          <w:lang w:eastAsia="zh-CN"/>
        </w:rPr>
        <w:t>出水水质</w:t>
      </w:r>
      <w:r>
        <w:rPr>
          <w:color w:val="auto"/>
        </w:rPr>
        <w:t>的不稳定属于普通的经常性问题，正常范围内的排水水质的不稳定并不会影响本污水处理厂整体进水水质，设计的处理工艺完全能够对付这样的不稳定，使尾水做到达标排放。</w:t>
      </w:r>
    </w:p>
    <w:p w14:paraId="37072DA9">
      <w:pPr>
        <w:pageBreakBefore w:val="0"/>
        <w:wordWrap/>
        <w:bidi w:val="0"/>
        <w:adjustRightInd/>
        <w:snapToGrid/>
        <w:ind w:firstLine="480"/>
        <w:rPr>
          <w:color w:val="auto"/>
        </w:rPr>
      </w:pPr>
      <w:r>
        <w:rPr>
          <w:color w:val="auto"/>
        </w:rPr>
        <w:t>进水水质对本污水处理厂的威胁可能来自个别工业企业的生产设备或废水的预处理设施故障而发生的污染事故。虽然对这个企业来说，排放的污染物质可能成倍或成几十倍的增加，但对污水处理厂的进水来说，只要这些增加的物质不是重金属或有毒物质，大多数这类事故并不会对处理效率构成明显的影响。在极少数的情况下，发生事故的企业排放的废水量在污水处理厂进水中所占的分量较大，从而使处理效率下降，此时排放的尾水水质有超标的可能。</w:t>
      </w:r>
    </w:p>
    <w:p w14:paraId="7D5B3016">
      <w:pPr>
        <w:pageBreakBefore w:val="0"/>
        <w:wordWrap/>
        <w:bidi w:val="0"/>
        <w:adjustRightInd/>
        <w:snapToGrid/>
        <w:ind w:firstLine="480"/>
        <w:rPr>
          <w:color w:val="auto"/>
        </w:rPr>
      </w:pPr>
      <w:r>
        <w:rPr>
          <w:color w:val="auto"/>
        </w:rPr>
        <w:t>（2）设备故障事故及检修</w:t>
      </w:r>
    </w:p>
    <w:p w14:paraId="014FF678">
      <w:pPr>
        <w:pageBreakBefore w:val="0"/>
        <w:wordWrap/>
        <w:bidi w:val="0"/>
        <w:adjustRightInd/>
        <w:snapToGrid/>
        <w:ind w:firstLine="480"/>
        <w:rPr>
          <w:color w:val="auto"/>
        </w:rPr>
      </w:pPr>
      <w:r>
        <w:rPr>
          <w:color w:val="auto"/>
        </w:rPr>
        <w:t>本项目主要设备采用进口设备和国产优质设备。监测仪表和控制系统采用进口设备，自动监控水平较高。因此，本污水处理厂发生设备故障事故的可能性小。</w:t>
      </w:r>
    </w:p>
    <w:p w14:paraId="71DAC06A">
      <w:pPr>
        <w:pageBreakBefore w:val="0"/>
        <w:wordWrap/>
        <w:bidi w:val="0"/>
        <w:adjustRightInd/>
        <w:snapToGrid/>
        <w:ind w:firstLine="480"/>
        <w:rPr>
          <w:b/>
          <w:bCs/>
          <w:color w:val="auto"/>
        </w:rPr>
      </w:pPr>
      <w:r>
        <w:rPr>
          <w:b/>
          <w:bCs/>
          <w:color w:val="auto"/>
        </w:rPr>
        <w:t>2、尾水事故排放</w:t>
      </w:r>
    </w:p>
    <w:p w14:paraId="62200326">
      <w:pPr>
        <w:pageBreakBefore w:val="0"/>
        <w:wordWrap/>
        <w:bidi w:val="0"/>
        <w:adjustRightInd/>
        <w:snapToGrid/>
        <w:ind w:firstLine="480"/>
        <w:rPr>
          <w:color w:val="auto"/>
        </w:rPr>
      </w:pPr>
      <w:r>
        <w:rPr>
          <w:color w:val="auto"/>
        </w:rPr>
        <w:t>造成尾水事故排放的主要原因包括设备故障、污泥膨胀等。</w:t>
      </w:r>
    </w:p>
    <w:p w14:paraId="1D7DC971">
      <w:pPr>
        <w:pageBreakBefore w:val="0"/>
        <w:wordWrap/>
        <w:bidi w:val="0"/>
        <w:adjustRightInd/>
        <w:snapToGrid/>
        <w:ind w:firstLine="480"/>
        <w:rPr>
          <w:color w:val="auto"/>
        </w:rPr>
      </w:pPr>
      <w:r>
        <w:rPr>
          <w:color w:val="auto"/>
        </w:rPr>
        <w:t>污水处理厂一旦出现机械故障或停电，会直接影响污水处理厂的正常运行，尤其是遇到机械故障或长时间停电不运转将造成生化池中微生物大批死亡，而微生物培养需很长一段时间，这段时间污水只能从沉砂池后越过生化系统，直接排入</w:t>
      </w:r>
      <w:r>
        <w:rPr>
          <w:rFonts w:hint="eastAsia"/>
          <w:color w:val="auto"/>
          <w:lang w:eastAsia="zh-CN"/>
        </w:rPr>
        <w:t>巴河</w:t>
      </w:r>
      <w:r>
        <w:rPr>
          <w:color w:val="auto"/>
        </w:rPr>
        <w:t>，进而对</w:t>
      </w:r>
      <w:r>
        <w:rPr>
          <w:rFonts w:hint="eastAsia"/>
          <w:color w:val="auto"/>
          <w:lang w:eastAsia="zh-CN"/>
        </w:rPr>
        <w:t>巴河</w:t>
      </w:r>
      <w:r>
        <w:rPr>
          <w:color w:val="auto"/>
        </w:rPr>
        <w:t>水质造成污染。</w:t>
      </w:r>
    </w:p>
    <w:p w14:paraId="6D65BBC4">
      <w:pPr>
        <w:pageBreakBefore w:val="0"/>
        <w:wordWrap/>
        <w:bidi w:val="0"/>
        <w:adjustRightInd/>
        <w:snapToGrid/>
        <w:ind w:firstLine="480"/>
        <w:rPr>
          <w:color w:val="auto"/>
        </w:rPr>
      </w:pPr>
      <w:r>
        <w:rPr>
          <w:color w:val="auto"/>
        </w:rPr>
        <w:t>正常的活性污泥沉降性能很好，含水率一般在99%左右，当活性污泥变质时，污泥就不易沉淀，含水率上升，体积膨胀，澄清液减少，这就是污泥膨胀。根据国内外活性污泥系统调查结果，无论是普通活性污泥系统，还是生物脱氮除磷系统都会</w:t>
      </w:r>
      <w:r>
        <w:rPr>
          <w:rFonts w:hint="eastAsia"/>
          <w:color w:val="auto"/>
          <w:lang w:eastAsia="zh-CN"/>
        </w:rPr>
        <w:t>发生</w:t>
      </w:r>
      <w:r>
        <w:rPr>
          <w:color w:val="auto"/>
        </w:rPr>
        <w:t>污泥膨胀，污泥膨胀是自活性污泥法问世以来在运行管理上一直困扰人们的难题之一。污泥膨胀一般是由丝状菌和真菌引起的，其中由丝状菌过量繁殖引起的污泥膨胀最为常见。目前已知的近30种丝状菌中，与污泥膨胀问题密切相关的有十几种。有的丝状菌引起的污泥膨胀发展迅速，2</w:t>
      </w:r>
      <w:r>
        <w:rPr>
          <w:rFonts w:hint="eastAsia"/>
          <w:color w:val="auto"/>
          <w:lang w:eastAsia="zh-CN"/>
        </w:rPr>
        <w:t>～</w:t>
      </w:r>
      <w:r>
        <w:rPr>
          <w:color w:val="auto"/>
        </w:rPr>
        <w:t>4d就可达到非常严重的结果，而且非常持久。当发生污泥膨胀时，会严重影响污水处理设施的处理效果，甚至完全失效时，尾水将严重超标排放。</w:t>
      </w:r>
    </w:p>
    <w:p w14:paraId="18F0F640">
      <w:pPr>
        <w:pageBreakBefore w:val="0"/>
        <w:wordWrap/>
        <w:bidi w:val="0"/>
        <w:adjustRightInd/>
        <w:snapToGrid/>
        <w:ind w:firstLine="480"/>
        <w:rPr>
          <w:b/>
          <w:bCs/>
          <w:color w:val="auto"/>
        </w:rPr>
      </w:pPr>
      <w:r>
        <w:rPr>
          <w:b/>
          <w:bCs/>
          <w:color w:val="auto"/>
        </w:rPr>
        <w:t>3、管道故障</w:t>
      </w:r>
    </w:p>
    <w:p w14:paraId="711D4F54">
      <w:pPr>
        <w:pageBreakBefore w:val="0"/>
        <w:wordWrap/>
        <w:bidi w:val="0"/>
        <w:adjustRightInd/>
        <w:snapToGrid/>
        <w:ind w:firstLine="480"/>
        <w:rPr>
          <w:color w:val="auto"/>
        </w:rPr>
      </w:pPr>
      <w:r>
        <w:rPr>
          <w:color w:val="auto"/>
        </w:rPr>
        <w:t>当管道发生堵塞或管壁由于受外部冲击压力或其他原因产生裂缝，会造成污水的渗漏，污染地表水、土壤及地下水。本工程敷设污水尾水排放管线时须做好相应的防渗措施。为减少管道故障所引起的环境风险影响，应有专门的管道工程养护管理队伍，对负责的管线进行日常的养护和管理，系统地检查管道的淤塞及损坏情况，有计划地安排管道的修理。养护工作人员必须熟悉管线情况、各项设备的安装部位和性能、用户接管的方位等，以便及时处理。同时要制定好管线故障时的应急处理方案。管道维修开挖的土方要合理堆放，有效围栏施工场地，尽量减少扬尘和施工噪声等。</w:t>
      </w:r>
    </w:p>
    <w:p w14:paraId="44115A9E">
      <w:pPr>
        <w:pageBreakBefore w:val="0"/>
        <w:wordWrap/>
        <w:bidi w:val="0"/>
        <w:adjustRightInd/>
        <w:snapToGrid/>
        <w:ind w:firstLine="480"/>
        <w:rPr>
          <w:b/>
          <w:bCs/>
          <w:color w:val="auto"/>
        </w:rPr>
      </w:pPr>
      <w:r>
        <w:rPr>
          <w:b/>
          <w:bCs/>
          <w:color w:val="auto"/>
        </w:rPr>
        <w:t>4、地震对工程的风险影响</w:t>
      </w:r>
    </w:p>
    <w:p w14:paraId="61655AC8">
      <w:pPr>
        <w:pageBreakBefore w:val="0"/>
        <w:wordWrap/>
        <w:bidi w:val="0"/>
        <w:adjustRightInd/>
        <w:snapToGrid/>
        <w:ind w:firstLine="480"/>
        <w:rPr>
          <w:color w:val="auto"/>
        </w:rPr>
      </w:pPr>
      <w:r>
        <w:rPr>
          <w:color w:val="auto"/>
        </w:rPr>
        <w:t>地震是一种破坏性极大的自然灾害，波及的范围也很大，万一发生强震，必将造成很大破坏，致使构筑物破坏，污水将溢流附近地区及区域，造成严重的局部污染。</w:t>
      </w:r>
    </w:p>
    <w:p w14:paraId="3A1FFBEF">
      <w:pPr>
        <w:pageBreakBefore w:val="0"/>
        <w:wordWrap/>
        <w:bidi w:val="0"/>
        <w:adjustRightInd/>
        <w:snapToGrid/>
        <w:ind w:firstLine="480"/>
        <w:rPr>
          <w:color w:val="auto"/>
        </w:rPr>
      </w:pPr>
      <w:r>
        <w:rPr>
          <w:color w:val="auto"/>
        </w:rPr>
        <w:t>本工程设计建筑抗震设防烈度</w:t>
      </w:r>
      <w:r>
        <w:rPr>
          <w:rFonts w:hint="eastAsia"/>
          <w:color w:val="auto"/>
          <w:lang w:val="en-US" w:eastAsia="zh-CN"/>
        </w:rPr>
        <w:t>6</w:t>
      </w:r>
      <w:r>
        <w:rPr>
          <w:color w:val="auto"/>
        </w:rPr>
        <w:t>度，设计基本地震加速度值为0.</w:t>
      </w:r>
      <w:r>
        <w:rPr>
          <w:rFonts w:hint="eastAsia"/>
          <w:color w:val="auto"/>
          <w:lang w:val="en-US" w:eastAsia="zh-CN"/>
        </w:rPr>
        <w:t>05</w:t>
      </w:r>
      <w:r>
        <w:rPr>
          <w:color w:val="auto"/>
        </w:rPr>
        <w:t>g，设计地震分组为一组。根据《室外给水排水和燃气热力工程抗震设计规范》GB50032-2003，</w:t>
      </w:r>
      <w:r>
        <w:rPr>
          <w:rFonts w:hint="eastAsia"/>
          <w:color w:val="auto"/>
          <w:lang w:eastAsia="zh-CN"/>
        </w:rPr>
        <w:t>污水处理厂</w:t>
      </w:r>
      <w:r>
        <w:rPr>
          <w:color w:val="auto"/>
        </w:rPr>
        <w:t>主要建构筑物抗震类别为乙类，按</w:t>
      </w:r>
      <w:r>
        <w:rPr>
          <w:rFonts w:hint="eastAsia"/>
          <w:color w:val="auto"/>
          <w:lang w:val="en-US" w:eastAsia="zh-CN"/>
        </w:rPr>
        <w:t>6</w:t>
      </w:r>
      <w:r>
        <w:rPr>
          <w:color w:val="auto"/>
        </w:rPr>
        <w:t>度采取抗震措施。工程施工过程中，严格按照设计方案建设，并加强施工监理，可有效避免地震对工程破坏造成不良环境影响的风险。</w:t>
      </w:r>
    </w:p>
    <w:p w14:paraId="3DE16E0F">
      <w:pPr>
        <w:pageBreakBefore w:val="0"/>
        <w:wordWrap/>
        <w:bidi w:val="0"/>
        <w:adjustRightInd/>
        <w:snapToGrid/>
        <w:ind w:firstLine="480"/>
        <w:rPr>
          <w:b/>
          <w:bCs/>
          <w:color w:val="auto"/>
        </w:rPr>
      </w:pPr>
      <w:r>
        <w:rPr>
          <w:b/>
          <w:bCs/>
          <w:color w:val="auto"/>
        </w:rPr>
        <w:t>5、洪水期排水风险影响</w:t>
      </w:r>
    </w:p>
    <w:p w14:paraId="0827F18A">
      <w:pPr>
        <w:pageBreakBefore w:val="0"/>
        <w:wordWrap/>
        <w:bidi w:val="0"/>
        <w:adjustRightInd/>
        <w:snapToGrid/>
        <w:ind w:firstLine="480"/>
        <w:rPr>
          <w:color w:val="auto"/>
        </w:rPr>
      </w:pPr>
      <w:r>
        <w:rPr>
          <w:color w:val="auto"/>
        </w:rPr>
        <w:t>本污水处理厂污水排放为连续排放，排放方式为近岸设置排口排入</w:t>
      </w:r>
      <w:r>
        <w:rPr>
          <w:rFonts w:hint="eastAsia"/>
          <w:color w:val="auto"/>
          <w:lang w:eastAsia="zh-CN"/>
        </w:rPr>
        <w:t>巴河</w:t>
      </w:r>
      <w:r>
        <w:rPr>
          <w:color w:val="auto"/>
        </w:rPr>
        <w:t>，满足防洪设计要求。</w:t>
      </w:r>
    </w:p>
    <w:p w14:paraId="7F526FCB">
      <w:pPr>
        <w:pStyle w:val="4"/>
        <w:bidi w:val="0"/>
        <w:rPr>
          <w:color w:val="auto"/>
        </w:rPr>
      </w:pPr>
      <w:r>
        <w:rPr>
          <w:rFonts w:hint="eastAsia"/>
          <w:color w:val="auto"/>
        </w:rPr>
        <w:t xml:space="preserve"> </w:t>
      </w:r>
      <w:bookmarkStart w:id="211" w:name="_Toc20926"/>
      <w:r>
        <w:rPr>
          <w:color w:val="auto"/>
        </w:rPr>
        <w:t>环境风险源项分析</w:t>
      </w:r>
      <w:bookmarkEnd w:id="211"/>
    </w:p>
    <w:p w14:paraId="478E1E8F">
      <w:pPr>
        <w:pageBreakBefore w:val="0"/>
        <w:wordWrap/>
        <w:autoSpaceDE w:val="0"/>
        <w:autoSpaceDN w:val="0"/>
        <w:bidi w:val="0"/>
        <w:adjustRightInd/>
        <w:snapToGrid/>
        <w:ind w:firstLine="480"/>
        <w:rPr>
          <w:color w:val="auto"/>
          <w:kern w:val="0"/>
        </w:rPr>
      </w:pPr>
      <w:r>
        <w:rPr>
          <w:color w:val="auto"/>
          <w:kern w:val="0"/>
        </w:rPr>
        <w:t>根据国内同类型污水处理装置事故案例资料类比调查分析，污水处理厂运行过程中存在的环境风险主要为污水处理系统故障或停运造成的污水事故性排放。本环评主要对项目废水事故性排放导致的环境影响进行分析、评价。</w:t>
      </w:r>
    </w:p>
    <w:p w14:paraId="108FDE83">
      <w:pPr>
        <w:pageBreakBefore w:val="0"/>
        <w:wordWrap/>
        <w:autoSpaceDE w:val="0"/>
        <w:autoSpaceDN w:val="0"/>
        <w:bidi w:val="0"/>
        <w:adjustRightInd/>
        <w:snapToGrid/>
        <w:ind w:firstLine="480"/>
        <w:rPr>
          <w:b/>
          <w:bCs/>
          <w:color w:val="auto"/>
          <w:kern w:val="0"/>
        </w:rPr>
      </w:pPr>
      <w:r>
        <w:rPr>
          <w:b/>
          <w:bCs/>
          <w:color w:val="auto"/>
          <w:kern w:val="0"/>
        </w:rPr>
        <w:t>1、大气环境风险分析</w:t>
      </w:r>
    </w:p>
    <w:p w14:paraId="7889AC71">
      <w:pPr>
        <w:pageBreakBefore w:val="0"/>
        <w:wordWrap/>
        <w:autoSpaceDE w:val="0"/>
        <w:autoSpaceDN w:val="0"/>
        <w:bidi w:val="0"/>
        <w:adjustRightInd/>
        <w:snapToGrid/>
        <w:ind w:firstLine="480"/>
        <w:rPr>
          <w:color w:val="auto"/>
          <w:kern w:val="0"/>
        </w:rPr>
      </w:pPr>
      <w:r>
        <w:rPr>
          <w:color w:val="auto"/>
          <w:kern w:val="0"/>
        </w:rPr>
        <w:t>本项目厂区内贮存的危险化学品为</w:t>
      </w:r>
      <w:r>
        <w:rPr>
          <w:rFonts w:hint="eastAsia"/>
          <w:color w:val="auto"/>
          <w:kern w:val="0"/>
        </w:rPr>
        <w:t>次氯酸钠</w:t>
      </w:r>
      <w:r>
        <w:rPr>
          <w:color w:val="auto"/>
          <w:kern w:val="0"/>
        </w:rPr>
        <w:t>，不挥发。项目采用</w:t>
      </w:r>
      <w:r>
        <w:rPr>
          <w:rFonts w:hint="eastAsia"/>
          <w:color w:val="auto"/>
          <w:kern w:val="0"/>
        </w:rPr>
        <w:t>半</w:t>
      </w:r>
      <w:r>
        <w:rPr>
          <w:color w:val="auto"/>
          <w:kern w:val="0"/>
        </w:rPr>
        <w:t>地上式</w:t>
      </w:r>
      <w:r>
        <w:rPr>
          <w:rFonts w:hint="eastAsia"/>
          <w:color w:val="auto"/>
          <w:kern w:val="0"/>
          <w:lang w:eastAsia="zh-CN"/>
        </w:rPr>
        <w:t>污水处理厂</w:t>
      </w:r>
      <w:r>
        <w:rPr>
          <w:color w:val="auto"/>
          <w:kern w:val="0"/>
        </w:rPr>
        <w:t>型式，主要构建筑物均进行加盖，有效地防止了恶臭气体向周边扩散，故本项目环境风险事故对大气环境影响较小。</w:t>
      </w:r>
    </w:p>
    <w:p w14:paraId="457697AD">
      <w:pPr>
        <w:pageBreakBefore w:val="0"/>
        <w:wordWrap/>
        <w:autoSpaceDE w:val="0"/>
        <w:autoSpaceDN w:val="0"/>
        <w:bidi w:val="0"/>
        <w:adjustRightInd/>
        <w:snapToGrid/>
        <w:ind w:firstLine="480"/>
        <w:rPr>
          <w:b/>
          <w:bCs/>
          <w:color w:val="auto"/>
          <w:kern w:val="0"/>
        </w:rPr>
      </w:pPr>
      <w:r>
        <w:rPr>
          <w:b/>
          <w:bCs/>
          <w:color w:val="auto"/>
          <w:kern w:val="0"/>
        </w:rPr>
        <w:t>2、地表水环境风险分析</w:t>
      </w:r>
    </w:p>
    <w:p w14:paraId="69C11ADA">
      <w:pPr>
        <w:pageBreakBefore w:val="0"/>
        <w:wordWrap/>
        <w:bidi w:val="0"/>
        <w:adjustRightInd/>
        <w:snapToGrid/>
        <w:ind w:firstLine="480"/>
        <w:rPr>
          <w:color w:val="auto"/>
        </w:rPr>
      </w:pPr>
      <w:r>
        <w:rPr>
          <w:color w:val="auto"/>
          <w:kern w:val="0"/>
        </w:rPr>
        <w:t>根据国内同类型污水处理装置事故案例资料类比调查分析，污水处理厂运行过程中存在的环境风险主要为污水处理系统故障或停运造成的污水事故性排放。污水处理厂正常运转、尾水达标排放的情况下，对</w:t>
      </w:r>
      <w:r>
        <w:rPr>
          <w:rFonts w:hint="eastAsia"/>
          <w:color w:val="auto"/>
          <w:kern w:val="0"/>
          <w:lang w:eastAsia="zh-CN"/>
        </w:rPr>
        <w:t>巴河</w:t>
      </w:r>
      <w:r>
        <w:rPr>
          <w:color w:val="auto"/>
          <w:kern w:val="0"/>
        </w:rPr>
        <w:t>水质不会造成污染性影响。但在非正常运转的条件（事故状态）下，由于污水集中于一处排放，将对集中排放口下游河段产生较大污染影响。环评要求：在任何情况下，</w:t>
      </w:r>
      <w:r>
        <w:rPr>
          <w:rFonts w:hint="eastAsia"/>
          <w:color w:val="auto"/>
          <w:kern w:val="0"/>
          <w:lang w:eastAsia="zh-CN"/>
        </w:rPr>
        <w:t>污水处理厂</w:t>
      </w:r>
      <w:r>
        <w:rPr>
          <w:color w:val="auto"/>
          <w:kern w:val="0"/>
        </w:rPr>
        <w:t>未经处理的废水不得直接排入地表水水体。一旦发生污水处理设施或供电系统故障等事故，</w:t>
      </w:r>
      <w:r>
        <w:rPr>
          <w:rFonts w:hint="eastAsia"/>
          <w:color w:val="auto"/>
          <w:kern w:val="0"/>
          <w:lang w:eastAsia="zh-CN"/>
        </w:rPr>
        <w:t>污水处理厂</w:t>
      </w:r>
      <w:r>
        <w:rPr>
          <w:color w:val="auto"/>
          <w:kern w:val="0"/>
        </w:rPr>
        <w:t>应将来水暂存于事故水池（容积为</w:t>
      </w:r>
      <w:r>
        <w:rPr>
          <w:rFonts w:hint="eastAsia"/>
          <w:color w:val="auto"/>
          <w:kern w:val="0"/>
          <w:lang w:val="en-US" w:eastAsia="zh-CN"/>
        </w:rPr>
        <w:t>3000</w:t>
      </w:r>
      <w:r>
        <w:rPr>
          <w:rFonts w:hint="eastAsia"/>
          <w:color w:val="auto"/>
          <w:kern w:val="0"/>
          <w:lang w:eastAsia="zh-CN"/>
        </w:rPr>
        <w:t>m³</w:t>
      </w:r>
      <w:r>
        <w:rPr>
          <w:color w:val="auto"/>
          <w:kern w:val="0"/>
        </w:rPr>
        <w:t>）中，可满足项目</w:t>
      </w:r>
      <w:r>
        <w:rPr>
          <w:rFonts w:hint="eastAsia"/>
          <w:color w:val="auto"/>
          <w:kern w:val="0"/>
          <w:lang w:val="en-US" w:eastAsia="zh-CN"/>
        </w:rPr>
        <w:t>24</w:t>
      </w:r>
      <w:r>
        <w:rPr>
          <w:color w:val="auto"/>
          <w:kern w:val="0"/>
        </w:rPr>
        <w:t>小时废水收纳</w:t>
      </w:r>
      <w:r>
        <w:rPr>
          <w:rFonts w:hint="eastAsia"/>
          <w:color w:val="auto"/>
          <w:kern w:val="0"/>
        </w:rPr>
        <w:t>（废水量</w:t>
      </w:r>
      <w:r>
        <w:rPr>
          <w:color w:val="auto"/>
          <w:kern w:val="0"/>
        </w:rPr>
        <w:t>为</w:t>
      </w:r>
      <w:r>
        <w:rPr>
          <w:rFonts w:hint="eastAsia"/>
          <w:color w:val="auto"/>
          <w:kern w:val="0"/>
          <w:lang w:val="en-US" w:eastAsia="zh-CN"/>
        </w:rPr>
        <w:t>3000</w:t>
      </w:r>
      <w:r>
        <w:rPr>
          <w:rFonts w:hint="eastAsia"/>
          <w:color w:val="auto"/>
          <w:kern w:val="0"/>
          <w:lang w:eastAsia="zh-CN"/>
        </w:rPr>
        <w:t>m³</w:t>
      </w:r>
      <w:r>
        <w:rPr>
          <w:rFonts w:hint="eastAsia"/>
          <w:color w:val="auto"/>
          <w:kern w:val="0"/>
        </w:rPr>
        <w:t>）</w:t>
      </w:r>
      <w:r>
        <w:rPr>
          <w:color w:val="auto"/>
          <w:kern w:val="0"/>
        </w:rPr>
        <w:t>；</w:t>
      </w:r>
      <w:r>
        <w:rPr>
          <w:rFonts w:hint="eastAsia"/>
          <w:color w:val="auto"/>
          <w:kern w:val="0"/>
        </w:rPr>
        <w:t>将事故情况汇报相关主管部门，要求园区内</w:t>
      </w:r>
      <w:r>
        <w:rPr>
          <w:color w:val="auto"/>
          <w:kern w:val="0"/>
        </w:rPr>
        <w:t>企业将处理后废水引至自身设置的事故水池，关闭出水阀门，待</w:t>
      </w:r>
      <w:r>
        <w:rPr>
          <w:color w:val="auto"/>
        </w:rPr>
        <w:t>园区</w:t>
      </w:r>
      <w:r>
        <w:rPr>
          <w:rFonts w:hint="eastAsia"/>
          <w:color w:val="auto"/>
          <w:lang w:eastAsia="zh-CN"/>
        </w:rPr>
        <w:t>污水处理厂</w:t>
      </w:r>
      <w:r>
        <w:rPr>
          <w:color w:val="auto"/>
        </w:rPr>
        <w:t>恢复正常时再外排废水。此外，污水处理厂设计应有相应措施，加强对污水处理设施的管理，杜绝事故性排放。</w:t>
      </w:r>
    </w:p>
    <w:p w14:paraId="11439D39">
      <w:pPr>
        <w:pageBreakBefore w:val="0"/>
        <w:wordWrap/>
        <w:bidi w:val="0"/>
        <w:adjustRightInd/>
        <w:snapToGrid/>
        <w:ind w:firstLine="480"/>
        <w:rPr>
          <w:b/>
          <w:bCs/>
          <w:color w:val="auto"/>
        </w:rPr>
      </w:pPr>
      <w:r>
        <w:rPr>
          <w:b/>
          <w:bCs/>
          <w:color w:val="auto"/>
        </w:rPr>
        <w:t>3、地下水环境风险分析</w:t>
      </w:r>
    </w:p>
    <w:p w14:paraId="1BD57346">
      <w:pPr>
        <w:pageBreakBefore w:val="0"/>
        <w:wordWrap/>
        <w:bidi w:val="0"/>
        <w:adjustRightInd/>
        <w:snapToGrid/>
        <w:ind w:firstLine="480"/>
        <w:rPr>
          <w:color w:val="auto"/>
        </w:rPr>
      </w:pPr>
      <w:r>
        <w:rPr>
          <w:color w:val="auto"/>
        </w:rPr>
        <w:t xml:space="preserve">报告书第 </w:t>
      </w:r>
      <w:r>
        <w:rPr>
          <w:rFonts w:hint="eastAsia"/>
          <w:color w:val="auto"/>
        </w:rPr>
        <w:t>4.2</w:t>
      </w:r>
      <w:r>
        <w:rPr>
          <w:color w:val="auto"/>
        </w:rPr>
        <w:t>小节对项目因池底泄露情形下，污水通过裂缝逐渐渗漏到地下水含水层中，对地下水水质造成污染的非正常工况进行了影响预测。详见报告书</w:t>
      </w:r>
      <w:r>
        <w:rPr>
          <w:rFonts w:hint="eastAsia"/>
          <w:color w:val="auto"/>
          <w:lang w:eastAsia="zh-CN"/>
        </w:rPr>
        <w:t>“</w:t>
      </w:r>
      <w:r>
        <w:rPr>
          <w:rFonts w:hint="eastAsia"/>
          <w:color w:val="auto"/>
        </w:rPr>
        <w:t>4.2</w:t>
      </w:r>
      <w:r>
        <w:rPr>
          <w:color w:val="auto"/>
        </w:rPr>
        <w:t xml:space="preserve"> 小节</w:t>
      </w:r>
      <w:r>
        <w:rPr>
          <w:rFonts w:hint="eastAsia"/>
          <w:color w:val="auto"/>
          <w:lang w:eastAsia="zh-CN"/>
        </w:rPr>
        <w:t>”</w:t>
      </w:r>
      <w:r>
        <w:rPr>
          <w:color w:val="auto"/>
        </w:rPr>
        <w:t>。</w:t>
      </w:r>
    </w:p>
    <w:p w14:paraId="3CE79DA5">
      <w:pPr>
        <w:pageBreakBefore w:val="0"/>
        <w:wordWrap/>
        <w:bidi w:val="0"/>
        <w:adjustRightInd/>
        <w:snapToGrid/>
        <w:ind w:firstLine="480"/>
        <w:rPr>
          <w:color w:val="auto"/>
        </w:rPr>
      </w:pPr>
      <w:r>
        <w:rPr>
          <w:color w:val="auto"/>
        </w:rPr>
        <w:t>预测结果表明，本项目非正常状况下产生污染物渗漏，由于受厂区水文地质条件的限制，各类污染物渗漏后最不利条件下的最大污染范围</w:t>
      </w:r>
      <w:r>
        <w:rPr>
          <w:rFonts w:hint="eastAsia"/>
          <w:color w:val="auto"/>
          <w:lang w:val="en-US" w:eastAsia="zh-CN"/>
        </w:rPr>
        <w:t>77</w:t>
      </w:r>
      <w:r>
        <w:rPr>
          <w:color w:val="auto"/>
        </w:rPr>
        <w:t>m，对厂区厂界外围环境敏感点不会造成影响。</w:t>
      </w:r>
    </w:p>
    <w:p w14:paraId="7D503EA5">
      <w:pPr>
        <w:pageBreakBefore w:val="0"/>
        <w:wordWrap/>
        <w:bidi w:val="0"/>
        <w:adjustRightInd/>
        <w:snapToGrid/>
        <w:ind w:firstLine="480"/>
        <w:rPr>
          <w:color w:val="auto"/>
        </w:rPr>
      </w:pPr>
      <w:r>
        <w:rPr>
          <w:color w:val="auto"/>
        </w:rPr>
        <w:t>因此，项目在运行的过程中加强设备及工程构筑物的检查与维护，避免污染物泄漏后污染地下水水质。同时。建设单位应做好相应长期监测工作，确保下游散居农户饮用水安全，一旦发现水质受影响，应立即通知相关部分为受影响散居农户提供安全且稳定的饮用水供给。</w:t>
      </w:r>
    </w:p>
    <w:p w14:paraId="012D1657">
      <w:pPr>
        <w:pageBreakBefore w:val="0"/>
        <w:wordWrap/>
        <w:bidi w:val="0"/>
        <w:adjustRightInd/>
        <w:snapToGrid/>
        <w:ind w:firstLine="480"/>
        <w:rPr>
          <w:color w:val="auto"/>
        </w:rPr>
      </w:pPr>
      <w:r>
        <w:rPr>
          <w:color w:val="auto"/>
        </w:rPr>
        <w:t>本工程污水处理厂污水处理区采用了防渗防腐措施，配备有进水和出水的自动在线监测系统，一旦发生水质异常或污水处理系统故障，污水厂工作人员即启动突发环境事件应急预案，关闭出水阀，可有效的防止废水等对地下水及地表水的污染迁移。故本项目环境风险事故对地表水、地下水的影响较小。</w:t>
      </w:r>
    </w:p>
    <w:p w14:paraId="73FD2A12">
      <w:pPr>
        <w:pStyle w:val="4"/>
        <w:bidi w:val="0"/>
        <w:rPr>
          <w:color w:val="auto"/>
        </w:rPr>
      </w:pPr>
      <w:r>
        <w:rPr>
          <w:rFonts w:hint="eastAsia"/>
          <w:color w:val="auto"/>
        </w:rPr>
        <w:t xml:space="preserve"> </w:t>
      </w:r>
      <w:bookmarkStart w:id="212" w:name="_Toc32125"/>
      <w:r>
        <w:rPr>
          <w:color w:val="auto"/>
        </w:rPr>
        <w:t>环境风险防范措施及应急要求</w:t>
      </w:r>
      <w:bookmarkEnd w:id="212"/>
    </w:p>
    <w:p w14:paraId="2F4E6B6B">
      <w:pPr>
        <w:pStyle w:val="5"/>
        <w:bidi w:val="0"/>
        <w:rPr>
          <w:color w:val="auto"/>
        </w:rPr>
      </w:pPr>
      <w:r>
        <w:rPr>
          <w:rFonts w:hint="eastAsia"/>
          <w:color w:val="auto"/>
          <w:lang w:val="en-US" w:eastAsia="zh-CN"/>
        </w:rPr>
        <w:t xml:space="preserve"> </w:t>
      </w:r>
      <w:r>
        <w:rPr>
          <w:color w:val="auto"/>
        </w:rPr>
        <w:t>风险防范措施</w:t>
      </w:r>
    </w:p>
    <w:p w14:paraId="0F86B4A3">
      <w:pPr>
        <w:pageBreakBefore w:val="0"/>
        <w:wordWrap/>
        <w:bidi w:val="0"/>
        <w:adjustRightInd/>
        <w:snapToGrid/>
        <w:ind w:firstLine="482"/>
        <w:rPr>
          <w:b/>
          <w:color w:val="auto"/>
        </w:rPr>
      </w:pPr>
      <w:r>
        <w:rPr>
          <w:rFonts w:hint="eastAsia"/>
          <w:b/>
          <w:color w:val="auto"/>
          <w:lang w:val="en-US" w:eastAsia="zh-CN"/>
        </w:rPr>
        <w:t>1、</w:t>
      </w:r>
      <w:r>
        <w:rPr>
          <w:b/>
          <w:color w:val="auto"/>
        </w:rPr>
        <w:t>总图布置和建筑安全防范措施</w:t>
      </w:r>
    </w:p>
    <w:p w14:paraId="11C08B4D">
      <w:pPr>
        <w:pageBreakBefore w:val="0"/>
        <w:wordWrap/>
        <w:bidi w:val="0"/>
        <w:adjustRightInd/>
        <w:snapToGrid/>
        <w:ind w:firstLine="480"/>
        <w:rPr>
          <w:color w:val="auto"/>
        </w:rPr>
      </w:pPr>
      <w:r>
        <w:rPr>
          <w:color w:val="auto"/>
        </w:rPr>
        <w:t>总图布置应符合《工业企业总平面设计规范》</w:t>
      </w:r>
      <w:r>
        <w:rPr>
          <w:rFonts w:hint="eastAsia"/>
          <w:color w:val="auto"/>
          <w:lang w:eastAsia="zh-CN"/>
        </w:rPr>
        <w:t>（</w:t>
      </w:r>
      <w:r>
        <w:rPr>
          <w:color w:val="auto"/>
        </w:rPr>
        <w:t>GB50178-93</w:t>
      </w:r>
      <w:r>
        <w:rPr>
          <w:rFonts w:hint="eastAsia"/>
          <w:color w:val="auto"/>
          <w:lang w:eastAsia="zh-CN"/>
        </w:rPr>
        <w:t>）</w:t>
      </w:r>
      <w:r>
        <w:rPr>
          <w:color w:val="auto"/>
        </w:rPr>
        <w:t>、《建筑设计防火规范》</w:t>
      </w:r>
      <w:r>
        <w:rPr>
          <w:rFonts w:hint="eastAsia"/>
          <w:color w:val="auto"/>
          <w:lang w:eastAsia="zh-CN"/>
        </w:rPr>
        <w:t>（</w:t>
      </w:r>
      <w:r>
        <w:rPr>
          <w:color w:val="auto"/>
        </w:rPr>
        <w:t>GB50016-2006</w:t>
      </w:r>
      <w:r>
        <w:rPr>
          <w:rFonts w:hint="eastAsia"/>
          <w:color w:val="auto"/>
          <w:lang w:eastAsia="zh-CN"/>
        </w:rPr>
        <w:t>）</w:t>
      </w:r>
      <w:r>
        <w:rPr>
          <w:color w:val="auto"/>
        </w:rPr>
        <w:t>等有关规定，应满足生产工艺要求，保证工艺流程</w:t>
      </w:r>
      <w:r>
        <w:rPr>
          <w:rFonts w:hint="eastAsia"/>
          <w:color w:val="auto"/>
          <w:lang w:eastAsia="zh-CN"/>
        </w:rPr>
        <w:t>顺畅</w:t>
      </w:r>
      <w:r>
        <w:rPr>
          <w:color w:val="auto"/>
        </w:rPr>
        <w:t>，管线短捷，有利生产和便于管理，同时应满足安全、卫生、环保、消防等有关标准规范的要求。</w:t>
      </w:r>
    </w:p>
    <w:p w14:paraId="448BFCE1">
      <w:pPr>
        <w:pageBreakBefore w:val="0"/>
        <w:wordWrap/>
        <w:bidi w:val="0"/>
        <w:adjustRightInd/>
        <w:snapToGrid/>
        <w:ind w:firstLine="480"/>
        <w:rPr>
          <w:color w:val="auto"/>
        </w:rPr>
      </w:pPr>
      <w:r>
        <w:rPr>
          <w:color w:val="auto"/>
        </w:rPr>
        <w:t>按功能进行相对集中布置，按照功能分区，合理布置工艺设备和通道宽度，物料存放区和必要的运输、操作、检修空间与安全通道。</w:t>
      </w:r>
    </w:p>
    <w:p w14:paraId="01CA240F">
      <w:pPr>
        <w:pageBreakBefore w:val="0"/>
        <w:wordWrap/>
        <w:bidi w:val="0"/>
        <w:adjustRightInd/>
        <w:snapToGrid/>
        <w:ind w:firstLine="482"/>
        <w:rPr>
          <w:b/>
          <w:color w:val="auto"/>
        </w:rPr>
      </w:pPr>
      <w:bookmarkStart w:id="213" w:name="OLE_LINK11"/>
      <w:r>
        <w:rPr>
          <w:rFonts w:hint="eastAsia"/>
          <w:b/>
          <w:color w:val="auto"/>
          <w:lang w:val="en-US" w:eastAsia="zh-CN"/>
        </w:rPr>
        <w:t>2、</w:t>
      </w:r>
      <w:r>
        <w:rPr>
          <w:b/>
          <w:color w:val="auto"/>
        </w:rPr>
        <w:t>工艺技术和设计安全防范措施</w:t>
      </w:r>
    </w:p>
    <w:p w14:paraId="34CA3D34">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生产工艺安全卫生设计必须符合人-机工程的原则，生产过程中尽量采用新工艺、新技术、新设备，采用成熟可靠的工艺技术。</w:t>
      </w:r>
    </w:p>
    <w:p w14:paraId="2341ECC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采用常规自动化仪表控制系统，并设计必要的自动报警、自动连锁系统。</w:t>
      </w:r>
    </w:p>
    <w:p w14:paraId="3173C37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压力容器的设计、制造、安装和检验，国家有关标准和规定。厂房内的设备、管道必须采取有效的密封措施，防止物料的跑、冒、滴、漏。各种仪表、仪器、监测记录装置等，必须选用合理，灵敏可靠，易于</w:t>
      </w:r>
      <w:r>
        <w:rPr>
          <w:rFonts w:hint="eastAsia"/>
          <w:color w:val="auto"/>
          <w:lang w:eastAsia="zh-CN"/>
        </w:rPr>
        <w:t>辨识</w:t>
      </w:r>
      <w:r>
        <w:rPr>
          <w:color w:val="auto"/>
        </w:rPr>
        <w:t>。</w:t>
      </w:r>
    </w:p>
    <w:p w14:paraId="6A0AABE3">
      <w:pPr>
        <w:pageBreakBefore w:val="0"/>
        <w:wordWrap/>
        <w:bidi w:val="0"/>
        <w:adjustRightInd/>
        <w:snapToGrid/>
        <w:ind w:firstLine="482"/>
        <w:rPr>
          <w:color w:val="auto"/>
        </w:rPr>
      </w:pPr>
      <w:r>
        <w:rPr>
          <w:rFonts w:hint="eastAsia"/>
          <w:b/>
          <w:bCs/>
          <w:color w:val="auto"/>
          <w:lang w:val="en-US" w:eastAsia="zh-CN"/>
        </w:rPr>
        <w:t>3、</w:t>
      </w:r>
      <w:r>
        <w:rPr>
          <w:b/>
          <w:bCs/>
          <w:color w:val="auto"/>
        </w:rPr>
        <w:t>自动控制设计安全防范措施</w:t>
      </w:r>
    </w:p>
    <w:p w14:paraId="3F4E4FD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采用集散控制系统，实现生产过程的正常操作、开停车操作以及生产过程数据采集、信息处理和生产管理的集中控制。对重要的参数设计自动调节以及越限报警和联锁系统，对易发生火灾、爆炸事故的设备采取安全联锁装置。</w:t>
      </w:r>
    </w:p>
    <w:p w14:paraId="23BEC985">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项目设计采用双电源，可避免停电造成污水处理系统停运，确保安全生产。对停电会造成人员疏散困难，处理事故所必要的事故照明场所应设应急电源，以便于人员疏散和突然</w:t>
      </w:r>
      <w:r>
        <w:rPr>
          <w:rFonts w:hint="eastAsia"/>
          <w:color w:val="auto"/>
          <w:lang w:eastAsia="zh-CN"/>
        </w:rPr>
        <w:t>停电</w:t>
      </w:r>
      <w:r>
        <w:rPr>
          <w:color w:val="auto"/>
        </w:rPr>
        <w:t>的事故处理。凡应采用安全电压的场所，应采用安全电压，安全电压标准按《安全电压》</w:t>
      </w:r>
      <w:r>
        <w:rPr>
          <w:rFonts w:hint="eastAsia"/>
          <w:color w:val="auto"/>
          <w:lang w:eastAsia="zh-CN"/>
        </w:rPr>
        <w:t>（</w:t>
      </w:r>
      <w:r>
        <w:rPr>
          <w:color w:val="auto"/>
        </w:rPr>
        <w:t>GB308S</w:t>
      </w:r>
      <w:r>
        <w:rPr>
          <w:rFonts w:hint="eastAsia"/>
          <w:color w:val="auto"/>
          <w:lang w:eastAsia="zh-CN"/>
        </w:rPr>
        <w:t>）</w:t>
      </w:r>
      <w:r>
        <w:rPr>
          <w:color w:val="auto"/>
        </w:rPr>
        <w:t>的规定执行。</w:t>
      </w:r>
    </w:p>
    <w:p w14:paraId="08AFD64C">
      <w:pPr>
        <w:pageBreakBefore w:val="0"/>
        <w:wordWrap/>
        <w:bidi w:val="0"/>
        <w:adjustRightInd/>
        <w:snapToGrid/>
        <w:ind w:firstLine="482"/>
        <w:rPr>
          <w:color w:val="auto"/>
        </w:rPr>
      </w:pPr>
      <w:r>
        <w:rPr>
          <w:rFonts w:hint="eastAsia"/>
          <w:b/>
          <w:bCs/>
          <w:color w:val="auto"/>
          <w:lang w:val="en-US" w:eastAsia="zh-CN"/>
        </w:rPr>
        <w:t>4、</w:t>
      </w:r>
      <w:r>
        <w:rPr>
          <w:b/>
          <w:bCs/>
          <w:color w:val="auto"/>
        </w:rPr>
        <w:t>消防及火灾报警系统</w:t>
      </w:r>
    </w:p>
    <w:p w14:paraId="1A0EDC3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生产装置四周的消防给水管网上应按规定设置室外消火栓，其布置应符合《建筑设计防火规范》的有关规定，</w:t>
      </w:r>
      <w:r>
        <w:rPr>
          <w:rFonts w:hint="eastAsia"/>
          <w:color w:val="auto"/>
          <w:lang w:eastAsia="zh-CN"/>
        </w:rPr>
        <w:t>并按</w:t>
      </w:r>
      <w:r>
        <w:rPr>
          <w:color w:val="auto"/>
        </w:rPr>
        <w:t>规范配置各型灭火器，其配置数量、型号应满足《</w:t>
      </w:r>
      <w:r>
        <w:rPr>
          <w:rFonts w:hint="eastAsia"/>
          <w:color w:val="auto"/>
          <w:lang w:eastAsia="zh-CN"/>
        </w:rPr>
        <w:t>建筑</w:t>
      </w:r>
      <w:r>
        <w:rPr>
          <w:color w:val="auto"/>
        </w:rPr>
        <w:t>灭火器配置设计规范》</w:t>
      </w:r>
      <w:r>
        <w:rPr>
          <w:rFonts w:hint="eastAsia"/>
          <w:color w:val="auto"/>
          <w:lang w:eastAsia="zh-CN"/>
        </w:rPr>
        <w:t>（</w:t>
      </w:r>
      <w:r>
        <w:rPr>
          <w:color w:val="auto"/>
        </w:rPr>
        <w:t>GBJ140-90</w:t>
      </w:r>
      <w:r>
        <w:rPr>
          <w:rFonts w:hint="eastAsia"/>
          <w:color w:val="auto"/>
          <w:lang w:eastAsia="zh-CN"/>
        </w:rPr>
        <w:t>）</w:t>
      </w:r>
      <w:r>
        <w:rPr>
          <w:color w:val="auto"/>
        </w:rPr>
        <w:t>的要求。</w:t>
      </w:r>
    </w:p>
    <w:p w14:paraId="577A3E03">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配备足够的消防设施，消防水泵采用双电源双泵，以便在事故情况下快速启动消防水系统。生产区配置消防栓、各种手提式、推车式的CO</w:t>
      </w:r>
      <w:r>
        <w:rPr>
          <w:color w:val="auto"/>
          <w:vertAlign w:val="subscript"/>
        </w:rPr>
        <w:t>2</w:t>
      </w:r>
      <w:r>
        <w:rPr>
          <w:color w:val="auto"/>
        </w:rPr>
        <w:t>、干粉、泡沫、沙等灭火器材，以扑救初起火灾。</w:t>
      </w:r>
    </w:p>
    <w:p w14:paraId="50DB8F2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生产装置按规范要求设置火灾报警系统。生产现场应设置防爆型手动报警按钮，控制室、变配电室应设置感温探测器和手动报警按钮。</w:t>
      </w:r>
    </w:p>
    <w:p w14:paraId="00D9D639">
      <w:pPr>
        <w:pStyle w:val="31"/>
        <w:pageBreakBefore w:val="0"/>
        <w:wordWrap/>
        <w:bidi w:val="0"/>
        <w:adjustRightInd/>
        <w:snapToGrid/>
        <w:spacing w:after="0" w:line="360" w:lineRule="auto"/>
        <w:ind w:left="0" w:leftChars="0" w:firstLine="482"/>
        <w:rPr>
          <w:color w:val="auto"/>
          <w:sz w:val="24"/>
        </w:rPr>
      </w:pPr>
      <w:r>
        <w:rPr>
          <w:rFonts w:hint="eastAsia"/>
          <w:b/>
          <w:bCs/>
          <w:color w:val="auto"/>
          <w:sz w:val="24"/>
          <w:lang w:val="en-US" w:eastAsia="zh-CN"/>
        </w:rPr>
        <w:t>5、</w:t>
      </w:r>
      <w:r>
        <w:rPr>
          <w:b/>
          <w:bCs/>
          <w:color w:val="auto"/>
          <w:sz w:val="24"/>
        </w:rPr>
        <w:t>生产管理安全防范措施</w:t>
      </w:r>
    </w:p>
    <w:p w14:paraId="41F9D3F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污水处理系统设置为并联的双系统，确保处理系统连续、稳定运行；安装在线监测系统，加强出水水质监控。</w:t>
      </w:r>
    </w:p>
    <w:p w14:paraId="57799AEF">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建立完整的生产、环保和安全管理制度，明确岗位职责，定期培训职工，提高安全生产和管理能力。</w:t>
      </w:r>
    </w:p>
    <w:p w14:paraId="49EBDC4D">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加强对污水处理设施的运行管理和维护，将事故消灭在萌芽状态。定期检测、维修，及时更换腐蚀受损加强对污水处理设施的管理，杜绝污泥膨胀造成事故性排放。</w:t>
      </w:r>
    </w:p>
    <w:p w14:paraId="27E3B7DF">
      <w:pPr>
        <w:pStyle w:val="62"/>
        <w:pageBreakBefore w:val="0"/>
        <w:wordWrap/>
        <w:bidi w:val="0"/>
        <w:adjustRightInd/>
        <w:snapToGrid/>
        <w:spacing w:line="360" w:lineRule="auto"/>
        <w:ind w:firstLine="482" w:firstLineChars="200"/>
        <w:jc w:val="both"/>
        <w:rPr>
          <w:rFonts w:ascii="Times New Roman" w:eastAsia="宋体" w:cs="Times New Roman"/>
          <w:b/>
          <w:bCs/>
          <w:color w:val="auto"/>
        </w:rPr>
      </w:pPr>
      <w:r>
        <w:rPr>
          <w:rFonts w:hint="eastAsia" w:ascii="Times New Roman" w:eastAsia="宋体" w:cs="Times New Roman"/>
          <w:b/>
          <w:bCs/>
          <w:color w:val="auto"/>
          <w:lang w:val="en-US" w:eastAsia="zh-CN"/>
        </w:rPr>
        <w:t>6、</w:t>
      </w:r>
      <w:r>
        <w:rPr>
          <w:rFonts w:ascii="Times New Roman" w:eastAsia="宋体" w:cs="Times New Roman"/>
          <w:b/>
          <w:bCs/>
          <w:color w:val="auto"/>
        </w:rPr>
        <w:t>废水事故排放风险防范措施</w:t>
      </w:r>
    </w:p>
    <w:p w14:paraId="102B5177">
      <w:pPr>
        <w:pageBreakBefore w:val="0"/>
        <w:wordWrap/>
        <w:bidi w:val="0"/>
        <w:adjustRightInd/>
        <w:snapToGrid/>
        <w:ind w:firstLine="480"/>
        <w:rPr>
          <w:color w:val="auto"/>
        </w:rPr>
      </w:pPr>
      <w:r>
        <w:rPr>
          <w:color w:val="auto"/>
        </w:rPr>
        <w:t>污水处理厂的事故来源于设备故障、检修或由于工艺参数改变而使处理效果变差，其防治措施为：</w:t>
      </w:r>
    </w:p>
    <w:p w14:paraId="095EF33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污水处理厂按照设计采用双路供电，水泵设计考虑备用，机械设备采用性能可靠优质产品。</w:t>
      </w:r>
    </w:p>
    <w:p w14:paraId="66D42B0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为使在事故状态下污水处理厂能够迅速恢复正常运行，应在主要水工建筑物的容积上留有相应的缓冲能力，并配有相应的设备（如回流泵、回流管道、阀门及仪表等）。</w:t>
      </w:r>
    </w:p>
    <w:p w14:paraId="1F82AC33">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选用优质设备，对污水处理厂各种机械电器、仪表等设备，必须选择质量优良、事故率低、便于维修的产品。关键设备应一备一用，易损部件要有备用件，在出现事故时能及时更换。</w:t>
      </w:r>
    </w:p>
    <w:p w14:paraId="53C28DFF">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加强事故苗头监控，定期巡检、调节、保养、维修。及时发现有可能引起事故的异常运行苗头，消除事故隐患。</w:t>
      </w:r>
    </w:p>
    <w:p w14:paraId="6FFD3C3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严格控制处理单元的水量、水质、停留时间、负荷强度等工艺参数，确保处理效果的稳定性。配备流量、水质自动分析监控仪器，定期取样监测。操作人员及时调整，使设备处于最佳工况。如发现异常现象，就需立即采取预防措施。</w:t>
      </w:r>
    </w:p>
    <w:p w14:paraId="1CA0655F">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color w:val="auto"/>
        </w:rPr>
        <w:t>建立废水处理厂运行管理和操作责任制度；对管理和操作人员进行培训，建立技术考核档案，不合格者不得上岗；聘请有经验的专业技术人员负责厂内的技术管理工作。</w:t>
      </w:r>
    </w:p>
    <w:p w14:paraId="67C5FE6B">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color w:val="auto"/>
        </w:rPr>
        <w:t>加强运行管理和进出水的监测工作，未经处理达标的污水严禁外排。</w:t>
      </w:r>
    </w:p>
    <w:p w14:paraId="680376A8">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color w:val="auto"/>
        </w:rPr>
        <w:t>加强工业污染源管理，建立和健全排放污染物许可证管理制度，严格按照国家排放标准和总量控制要求，控制并监督各工业企业的预处理与正常排污。</w:t>
      </w:r>
    </w:p>
    <w:p w14:paraId="2CD191DD">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9</w:t>
      </w:r>
      <w:r>
        <w:rPr>
          <w:rFonts w:hint="eastAsia"/>
          <w:color w:val="auto"/>
          <w:lang w:eastAsia="zh-CN"/>
        </w:rPr>
        <w:t>）</w:t>
      </w:r>
      <w:r>
        <w:rPr>
          <w:color w:val="auto"/>
        </w:rPr>
        <w:t>对产生的污泥和栅渣做到及时、妥善处置。</w:t>
      </w:r>
    </w:p>
    <w:p w14:paraId="1A7E798C">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color w:val="auto"/>
        </w:rPr>
        <w:t>发生污水处理厂停运事故时，应在排放口附近水域悬挂标志示警，排水的单位大户应调整生产，减少污水排放，并启用工业园内各企业的事故排放池。</w:t>
      </w:r>
      <w:r>
        <w:rPr>
          <w:rFonts w:hint="eastAsia"/>
          <w:color w:val="auto"/>
          <w:lang w:eastAsia="zh-CN"/>
        </w:rPr>
        <w:t>值班人员</w:t>
      </w:r>
      <w:r>
        <w:rPr>
          <w:color w:val="auto"/>
        </w:rPr>
        <w:t>应迅速组织抢修，排除故障，恢复污水处理系统的正常运行。</w:t>
      </w:r>
    </w:p>
    <w:p w14:paraId="0EB12F65">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11</w:t>
      </w:r>
      <w:r>
        <w:rPr>
          <w:rFonts w:hint="eastAsia"/>
          <w:color w:val="auto"/>
          <w:lang w:eastAsia="zh-CN"/>
        </w:rPr>
        <w:t>）</w:t>
      </w:r>
      <w:r>
        <w:rPr>
          <w:color w:val="auto"/>
        </w:rPr>
        <w:t>在进水口及尾水出水口设置电动堰门，安装COD、氨氮、TN、TP等在线监测仪表，当出水发现超标时，当尾水不达标时通过事故管回流至进水泵房，避免超标尾水排放。</w:t>
      </w:r>
    </w:p>
    <w:p w14:paraId="15F625D2">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12</w:t>
      </w:r>
      <w:r>
        <w:rPr>
          <w:rFonts w:hint="eastAsia"/>
          <w:color w:val="auto"/>
          <w:kern w:val="0"/>
          <w:lang w:eastAsia="zh-CN"/>
        </w:rPr>
        <w:t>）</w:t>
      </w:r>
      <w:r>
        <w:rPr>
          <w:color w:val="auto"/>
          <w:kern w:val="0"/>
        </w:rPr>
        <w:t>事故废水应急处理系统</w:t>
      </w:r>
    </w:p>
    <w:p w14:paraId="0D77AF79">
      <w:pPr>
        <w:pageBreakBefore w:val="0"/>
        <w:wordWrap/>
        <w:autoSpaceDE w:val="0"/>
        <w:autoSpaceDN w:val="0"/>
        <w:bidi w:val="0"/>
        <w:adjustRightInd/>
        <w:snapToGrid/>
        <w:ind w:firstLine="480"/>
        <w:rPr>
          <w:color w:val="auto"/>
          <w:kern w:val="0"/>
        </w:rPr>
      </w:pPr>
      <w:r>
        <w:rPr>
          <w:color w:val="auto"/>
          <w:kern w:val="0"/>
        </w:rPr>
        <w:t>根据项目服务范围内的园区规划环评要求，园区各企业必须单独修建足够容量的事故池，为了防止本项目工业污水处理厂由于设备故障、检修等原因而出现水污染物超标排放等事故性情况或者暂时出现处理尾水不能外排的情况。本次评价要求，项目一旦发生故障，立即切断污水外排口，同时建立与园区排水企业之间的企业将废水排入自建事故应急池和园区事故池，停止将废水送入污水处理厂；同时运行期间应与园区管委会以及园区内排水企业建立通畅的通讯通道，确保在事故发生后3h之内，要求企业暂停排水，</w:t>
      </w:r>
      <w:r>
        <w:rPr>
          <w:rFonts w:hint="eastAsia"/>
          <w:color w:val="auto"/>
          <w:kern w:val="0"/>
          <w:lang w:eastAsia="zh-CN"/>
        </w:rPr>
        <w:t>将</w:t>
      </w:r>
      <w:r>
        <w:rPr>
          <w:color w:val="auto"/>
          <w:kern w:val="0"/>
        </w:rPr>
        <w:t>废水暂存于各企业事故应急池中。根据以上要求，项目事故应急池容积应至少满足3小时的废水量，即V≥</w:t>
      </w:r>
      <w:r>
        <w:rPr>
          <w:rFonts w:hint="eastAsia"/>
          <w:color w:val="auto"/>
          <w:kern w:val="0"/>
          <w:lang w:val="en-US" w:eastAsia="zh-CN"/>
        </w:rPr>
        <w:t>3000</w:t>
      </w:r>
      <w:r>
        <w:rPr>
          <w:color w:val="auto"/>
          <w:kern w:val="0"/>
        </w:rPr>
        <w:t>/24×3=</w:t>
      </w:r>
      <w:r>
        <w:rPr>
          <w:rFonts w:hint="eastAsia"/>
          <w:color w:val="auto"/>
          <w:kern w:val="0"/>
          <w:lang w:val="en-US" w:eastAsia="zh-CN"/>
        </w:rPr>
        <w:t>375</w:t>
      </w:r>
      <w:r>
        <w:rPr>
          <w:rFonts w:hint="eastAsia"/>
          <w:color w:val="auto"/>
          <w:kern w:val="0"/>
          <w:lang w:eastAsia="zh-CN"/>
        </w:rPr>
        <w:t>m³</w:t>
      </w:r>
      <w:r>
        <w:rPr>
          <w:color w:val="auto"/>
          <w:kern w:val="0"/>
        </w:rPr>
        <w:t>。根据项目涉及设计资料，本项目拟设置</w:t>
      </w:r>
      <w:r>
        <w:rPr>
          <w:rFonts w:hint="eastAsia"/>
          <w:color w:val="auto"/>
          <w:kern w:val="0"/>
        </w:rPr>
        <w:t>事故池1座</w:t>
      </w:r>
      <w:r>
        <w:rPr>
          <w:color w:val="auto"/>
          <w:kern w:val="0"/>
        </w:rPr>
        <w:t>，其有效容积为</w:t>
      </w:r>
      <w:r>
        <w:rPr>
          <w:rFonts w:hint="eastAsia"/>
          <w:color w:val="auto"/>
          <w:kern w:val="0"/>
          <w:lang w:val="en-US" w:eastAsia="zh-CN"/>
        </w:rPr>
        <w:t>3000</w:t>
      </w:r>
      <w:r>
        <w:rPr>
          <w:rFonts w:hint="eastAsia"/>
          <w:color w:val="auto"/>
          <w:kern w:val="0"/>
          <w:lang w:eastAsia="zh-CN"/>
        </w:rPr>
        <w:t>m³</w:t>
      </w:r>
      <w:r>
        <w:rPr>
          <w:color w:val="auto"/>
          <w:kern w:val="0"/>
        </w:rPr>
        <w:t>，大于本项目事故废水量，因此</w:t>
      </w:r>
      <w:r>
        <w:rPr>
          <w:rFonts w:hint="eastAsia"/>
          <w:color w:val="auto"/>
          <w:kern w:val="0"/>
        </w:rPr>
        <w:t>事故池</w:t>
      </w:r>
      <w:r>
        <w:rPr>
          <w:color w:val="auto"/>
          <w:kern w:val="0"/>
        </w:rPr>
        <w:t>满足本项目事故状态下的污水暂存要求。</w:t>
      </w:r>
    </w:p>
    <w:p w14:paraId="4870B5E5">
      <w:pPr>
        <w:pageBreakBefore w:val="0"/>
        <w:wordWrap/>
        <w:autoSpaceDE w:val="0"/>
        <w:autoSpaceDN w:val="0"/>
        <w:bidi w:val="0"/>
        <w:adjustRightInd/>
        <w:snapToGrid/>
        <w:ind w:firstLine="480"/>
        <w:rPr>
          <w:color w:val="auto"/>
          <w:kern w:val="0"/>
        </w:rPr>
      </w:pPr>
      <w:r>
        <w:rPr>
          <w:color w:val="auto"/>
          <w:kern w:val="0"/>
        </w:rPr>
        <w:t>本项目事故状态下，通过启动项目事故池、切断污水外排口，启动园区及企业事故池；通过检修进度，估计事故源强，若本项目事故池、企业自建事故池同时启动仍不能满足要求，则通知排水企业暂停生产，待污水处理设施系统正常后方可继续</w:t>
      </w:r>
      <w:r>
        <w:rPr>
          <w:rFonts w:hint="eastAsia"/>
          <w:color w:val="auto"/>
          <w:kern w:val="0"/>
          <w:lang w:eastAsia="zh-CN"/>
        </w:rPr>
        <w:t>运营</w:t>
      </w:r>
      <w:r>
        <w:rPr>
          <w:color w:val="auto"/>
          <w:kern w:val="0"/>
        </w:rPr>
        <w:t>。</w:t>
      </w:r>
    </w:p>
    <w:p w14:paraId="4C6825D9">
      <w:pPr>
        <w:pageBreakBefore w:val="0"/>
        <w:wordWrap/>
        <w:autoSpaceDE w:val="0"/>
        <w:autoSpaceDN w:val="0"/>
        <w:bidi w:val="0"/>
        <w:adjustRightInd/>
        <w:snapToGrid/>
        <w:ind w:firstLine="480"/>
        <w:rPr>
          <w:color w:val="auto"/>
          <w:kern w:val="0"/>
        </w:rPr>
      </w:pPr>
      <w:r>
        <w:rPr>
          <w:color w:val="auto"/>
          <w:kern w:val="0"/>
        </w:rPr>
        <w:t>污水处理厂与重要的污水排放企业之间，要有畅通的信息交流管道，建立企业的事故报告制度。加强监控和管理，安装污水在线监测设备实现动态监控，及时发现和处理问题，避免污水事故性排放。一旦排水进入污水处理厂的企业发生事故，应要求企业在第一时间向污水处理厂报告事故的类型，估计事故源强，并关闭出水阀，停止将水送入污水处理厂，并立即报告有关部门，组织环保、城建、工业等部门的事故应急小组，查清事故原因，分工负责，协调处理事故。</w:t>
      </w:r>
    </w:p>
    <w:p w14:paraId="3303220D">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13</w:t>
      </w:r>
      <w:r>
        <w:rPr>
          <w:rFonts w:hint="eastAsia"/>
          <w:color w:val="auto"/>
          <w:kern w:val="0"/>
          <w:lang w:eastAsia="zh-CN"/>
        </w:rPr>
        <w:t>）</w:t>
      </w:r>
      <w:r>
        <w:rPr>
          <w:rFonts w:hint="eastAsia"/>
          <w:color w:val="auto"/>
          <w:kern w:val="0"/>
        </w:rPr>
        <w:t>污水</w:t>
      </w:r>
      <w:r>
        <w:rPr>
          <w:color w:val="auto"/>
          <w:kern w:val="0"/>
        </w:rPr>
        <w:t>处理厂维修管理制度</w:t>
      </w:r>
    </w:p>
    <w:p w14:paraId="01160B83">
      <w:pPr>
        <w:pageBreakBefore w:val="0"/>
        <w:wordWrap/>
        <w:autoSpaceDE w:val="0"/>
        <w:autoSpaceDN w:val="0"/>
        <w:bidi w:val="0"/>
        <w:adjustRightInd/>
        <w:snapToGrid/>
        <w:ind w:firstLine="480"/>
        <w:rPr>
          <w:rFonts w:hint="eastAsia"/>
          <w:color w:val="auto"/>
          <w:kern w:val="0"/>
        </w:rPr>
      </w:pPr>
      <w:r>
        <w:rPr>
          <w:rFonts w:hint="eastAsia"/>
          <w:color w:val="auto"/>
          <w:kern w:val="0"/>
        </w:rPr>
        <w:t>a</w:t>
      </w:r>
      <w:r>
        <w:rPr>
          <w:rFonts w:hint="eastAsia"/>
          <w:color w:val="auto"/>
          <w:kern w:val="0"/>
          <w:lang w:eastAsia="zh-CN"/>
        </w:rPr>
        <w:t>.</w:t>
      </w:r>
      <w:r>
        <w:rPr>
          <w:rFonts w:hint="eastAsia"/>
          <w:color w:val="auto"/>
          <w:kern w:val="0"/>
        </w:rPr>
        <w:t>设备的检修要坚持预防为主的方针，实行计划检修。主要设备每年至少进行一次设备状况普查，根据设备运行的实际技术状态和普查情况，由机修电工班组编制设备的年度大、中修检修计划，并报主管批准，不得任意更改。</w:t>
      </w:r>
    </w:p>
    <w:p w14:paraId="46CDAD8F">
      <w:pPr>
        <w:pageBreakBefore w:val="0"/>
        <w:wordWrap/>
        <w:autoSpaceDE w:val="0"/>
        <w:autoSpaceDN w:val="0"/>
        <w:bidi w:val="0"/>
        <w:adjustRightInd/>
        <w:snapToGrid/>
        <w:ind w:firstLine="480"/>
        <w:rPr>
          <w:rFonts w:hint="eastAsia"/>
          <w:color w:val="auto"/>
          <w:kern w:val="0"/>
        </w:rPr>
      </w:pPr>
      <w:r>
        <w:rPr>
          <w:rFonts w:hint="eastAsia"/>
          <w:color w:val="auto"/>
          <w:kern w:val="0"/>
        </w:rPr>
        <w:t>b</w:t>
      </w:r>
      <w:r>
        <w:rPr>
          <w:rFonts w:hint="eastAsia"/>
          <w:color w:val="auto"/>
          <w:kern w:val="0"/>
          <w:lang w:eastAsia="zh-CN"/>
        </w:rPr>
        <w:t>.</w:t>
      </w:r>
      <w:r>
        <w:rPr>
          <w:rFonts w:hint="eastAsia"/>
          <w:color w:val="auto"/>
          <w:kern w:val="0"/>
        </w:rPr>
        <w:t>月度检修计划要按年度检修计划进行，并制订出检修方案细则。</w:t>
      </w:r>
    </w:p>
    <w:p w14:paraId="65A36DB7">
      <w:pPr>
        <w:pageBreakBefore w:val="0"/>
        <w:wordWrap/>
        <w:autoSpaceDE w:val="0"/>
        <w:autoSpaceDN w:val="0"/>
        <w:bidi w:val="0"/>
        <w:adjustRightInd/>
        <w:snapToGrid/>
        <w:ind w:firstLine="480"/>
        <w:rPr>
          <w:rFonts w:hint="eastAsia"/>
          <w:color w:val="auto"/>
          <w:kern w:val="0"/>
        </w:rPr>
      </w:pPr>
      <w:r>
        <w:rPr>
          <w:rFonts w:hint="eastAsia"/>
          <w:color w:val="auto"/>
          <w:kern w:val="0"/>
        </w:rPr>
        <w:t>c</w:t>
      </w:r>
      <w:r>
        <w:rPr>
          <w:rFonts w:hint="eastAsia"/>
          <w:color w:val="auto"/>
          <w:kern w:val="0"/>
          <w:lang w:eastAsia="zh-CN"/>
        </w:rPr>
        <w:t>.</w:t>
      </w:r>
      <w:r>
        <w:rPr>
          <w:rFonts w:hint="eastAsia"/>
          <w:color w:val="auto"/>
          <w:kern w:val="0"/>
        </w:rPr>
        <w:t>主要设备要制定检修规程、检修技术标准并严格执行，以保证检修质量。</w:t>
      </w:r>
    </w:p>
    <w:p w14:paraId="6FFCBF82">
      <w:pPr>
        <w:pageBreakBefore w:val="0"/>
        <w:wordWrap/>
        <w:autoSpaceDE w:val="0"/>
        <w:autoSpaceDN w:val="0"/>
        <w:bidi w:val="0"/>
        <w:adjustRightInd/>
        <w:snapToGrid/>
        <w:ind w:firstLine="480"/>
        <w:rPr>
          <w:rFonts w:hint="eastAsia"/>
          <w:color w:val="auto"/>
          <w:kern w:val="0"/>
        </w:rPr>
      </w:pPr>
      <w:r>
        <w:rPr>
          <w:rFonts w:hint="eastAsia"/>
          <w:color w:val="auto"/>
          <w:kern w:val="0"/>
        </w:rPr>
        <w:t>d</w:t>
      </w:r>
      <w:r>
        <w:rPr>
          <w:rFonts w:hint="eastAsia"/>
          <w:color w:val="auto"/>
          <w:kern w:val="0"/>
          <w:lang w:eastAsia="zh-CN"/>
        </w:rPr>
        <w:t>.</w:t>
      </w:r>
      <w:r>
        <w:rPr>
          <w:rFonts w:hint="eastAsia"/>
          <w:color w:val="auto"/>
          <w:kern w:val="0"/>
        </w:rPr>
        <w:t>设备大、中修计划</w:t>
      </w:r>
      <w:r>
        <w:rPr>
          <w:rFonts w:hint="eastAsia"/>
          <w:color w:val="auto"/>
          <w:kern w:val="0"/>
          <w:lang w:eastAsia="zh-CN"/>
        </w:rPr>
        <w:t>应</w:t>
      </w:r>
      <w:r>
        <w:rPr>
          <w:rFonts w:hint="eastAsia"/>
          <w:color w:val="auto"/>
          <w:kern w:val="0"/>
        </w:rPr>
        <w:t>在年初下达，在检查生产完成情况时，同时检查考核设备维修完成情况。</w:t>
      </w:r>
    </w:p>
    <w:p w14:paraId="464AFB8D">
      <w:pPr>
        <w:pageBreakBefore w:val="0"/>
        <w:wordWrap/>
        <w:autoSpaceDE w:val="0"/>
        <w:autoSpaceDN w:val="0"/>
        <w:bidi w:val="0"/>
        <w:adjustRightInd/>
        <w:snapToGrid/>
        <w:ind w:firstLine="480"/>
        <w:rPr>
          <w:rFonts w:hint="eastAsia"/>
          <w:color w:val="auto"/>
          <w:kern w:val="0"/>
        </w:rPr>
      </w:pPr>
      <w:r>
        <w:rPr>
          <w:rFonts w:hint="eastAsia"/>
          <w:color w:val="auto"/>
          <w:kern w:val="0"/>
        </w:rPr>
        <w:t>e</w:t>
      </w:r>
      <w:r>
        <w:rPr>
          <w:rFonts w:hint="eastAsia"/>
          <w:color w:val="auto"/>
          <w:kern w:val="0"/>
          <w:lang w:eastAsia="zh-CN"/>
        </w:rPr>
        <w:t>.</w:t>
      </w:r>
      <w:r>
        <w:rPr>
          <w:rFonts w:hint="eastAsia"/>
          <w:color w:val="auto"/>
          <w:kern w:val="0"/>
        </w:rPr>
        <w:t>检修后的设备要组织有关人员经验收合格后才能投入正常生产使用，所有记录要认真填写后归档。</w:t>
      </w:r>
    </w:p>
    <w:p w14:paraId="379DA798">
      <w:pPr>
        <w:pageBreakBefore w:val="0"/>
        <w:wordWrap/>
        <w:autoSpaceDE w:val="0"/>
        <w:autoSpaceDN w:val="0"/>
        <w:bidi w:val="0"/>
        <w:adjustRightInd/>
        <w:snapToGrid/>
        <w:ind w:firstLine="480"/>
        <w:rPr>
          <w:color w:val="auto"/>
          <w:kern w:val="0"/>
        </w:rPr>
      </w:pPr>
      <w:r>
        <w:rPr>
          <w:color w:val="auto"/>
          <w:kern w:val="0"/>
        </w:rPr>
        <w:t>采取上述措施，可有效防止本项目非正常状况下废水直排</w:t>
      </w:r>
      <w:r>
        <w:rPr>
          <w:rFonts w:hint="eastAsia"/>
          <w:color w:val="auto"/>
          <w:kern w:val="0"/>
          <w:lang w:eastAsia="zh-CN"/>
        </w:rPr>
        <w:t>巴河</w:t>
      </w:r>
      <w:r>
        <w:rPr>
          <w:color w:val="auto"/>
          <w:kern w:val="0"/>
        </w:rPr>
        <w:t>。</w:t>
      </w:r>
    </w:p>
    <w:p w14:paraId="3F9A7ADF">
      <w:pPr>
        <w:pStyle w:val="62"/>
        <w:pageBreakBefore w:val="0"/>
        <w:wordWrap/>
        <w:bidi w:val="0"/>
        <w:adjustRightInd/>
        <w:snapToGrid/>
        <w:spacing w:line="360" w:lineRule="auto"/>
        <w:ind w:firstLine="482" w:firstLineChars="200"/>
        <w:jc w:val="both"/>
        <w:rPr>
          <w:rFonts w:ascii="Times New Roman" w:eastAsia="宋体" w:cs="Times New Roman"/>
          <w:b/>
          <w:bCs/>
          <w:color w:val="auto"/>
        </w:rPr>
      </w:pPr>
      <w:r>
        <w:rPr>
          <w:rFonts w:hint="eastAsia" w:ascii="Times New Roman" w:eastAsia="宋体" w:cs="Times New Roman"/>
          <w:b/>
          <w:bCs/>
          <w:color w:val="auto"/>
          <w:lang w:val="en-US" w:eastAsia="zh-CN"/>
        </w:rPr>
        <w:t>7、</w:t>
      </w:r>
      <w:r>
        <w:rPr>
          <w:rFonts w:ascii="Times New Roman" w:eastAsia="宋体" w:cs="Times New Roman"/>
          <w:b/>
          <w:bCs/>
          <w:color w:val="auto"/>
        </w:rPr>
        <w:t>进水水质波动事故风险防范措施</w:t>
      </w:r>
    </w:p>
    <w:p w14:paraId="5033677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建设单位应针对可能发生的污染事故，建立合适的事故处理程序、机制和措施。一旦发生事故，则采取相应的措施，将事故对环境的影响控制在最小或较小范围内。</w:t>
      </w:r>
    </w:p>
    <w:p w14:paraId="09A3486E">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人为因素往往是事故发生的主要原因，因此严格管理，做好人的工作是预防事故发生的重要环节。对于污水管网这类隐蔽工程，建设单位应加强施工期间的管理、检查，确保施工质量。建设单位应加强对职工的思想教育，以提高工作人员的责任心和工作主动性；加强沿线管道和检查井的日常检查，特别是加强沿线新建项目施工的检查，避免施工不慎导致污水管道破损。</w:t>
      </w:r>
    </w:p>
    <w:p w14:paraId="4BACED9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一旦发生事故，及时向有关部门反映，采取有效处理措施，最大限度降低对周围环境及财产造成的危害。</w:t>
      </w:r>
    </w:p>
    <w:p w14:paraId="776ACD02">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设置进、出水水质自动监测装置及报警装置，设置进厂、出厂污水截断装置，当事故发生后，立即截断污水来源和杜绝事故排放，及时发现不良水质进入污水处理厂。</w:t>
      </w:r>
    </w:p>
    <w:p w14:paraId="2A51AC93">
      <w:pPr>
        <w:pageBreakBefore w:val="0"/>
        <w:wordWrap/>
        <w:bidi w:val="0"/>
        <w:adjustRightInd/>
        <w:snapToGrid/>
        <w:ind w:firstLine="480"/>
        <w:rPr>
          <w:color w:val="auto"/>
        </w:rPr>
      </w:pPr>
      <w:r>
        <w:rPr>
          <w:color w:val="auto"/>
        </w:rPr>
        <w:t>对进水口的废水量、pH、COD、氨氮、总氮、总磷、</w:t>
      </w:r>
      <w:r>
        <w:rPr>
          <w:rFonts w:hint="eastAsia"/>
          <w:color w:val="auto"/>
          <w:lang w:val="en-US" w:eastAsia="zh-CN"/>
        </w:rPr>
        <w:t>石油类、甲醛</w:t>
      </w:r>
      <w:r>
        <w:rPr>
          <w:color w:val="auto"/>
        </w:rPr>
        <w:t>进行在线监测，对总排口废水量、pH、COD、氨氮、总氮、总磷、</w:t>
      </w:r>
      <w:r>
        <w:rPr>
          <w:rFonts w:hint="eastAsia"/>
          <w:color w:val="auto"/>
          <w:lang w:val="en-US" w:eastAsia="zh-CN"/>
        </w:rPr>
        <w:t>石油类、甲醛</w:t>
      </w:r>
      <w:r>
        <w:rPr>
          <w:color w:val="auto"/>
        </w:rPr>
        <w:t>进行在线监测，一旦发现废水可生化性较低或总排口废水不达标立即报警，同时截断污水来源和杜绝事故排放。</w:t>
      </w:r>
    </w:p>
    <w:p w14:paraId="63A169B4">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污水处理厂应与纳污范围内废水排放工业企业签订排放协议，企业废水排放至污水管网前应达到本项目的</w:t>
      </w:r>
      <w:r>
        <w:rPr>
          <w:rFonts w:hint="eastAsia"/>
          <w:color w:val="auto"/>
          <w:lang w:val="en-US" w:eastAsia="zh-CN"/>
        </w:rPr>
        <w:t>进水水质</w:t>
      </w:r>
      <w:r>
        <w:rPr>
          <w:color w:val="auto"/>
        </w:rPr>
        <w:t>要求。污水处理厂与重要的污水排放企业之间，要有畅通的信息交流管道，建立企业的事故报告制度。一旦排水进入污水处理厂的企业发生事故，应要求企业在第一时间向污水处理厂报告事故的类型，估计事故源强，并关闭出水阀，停止将水送入污水处理厂。</w:t>
      </w:r>
    </w:p>
    <w:p w14:paraId="6F28A397">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color w:val="auto"/>
        </w:rPr>
        <w:t>泵站与污水处理厂应采用双电路供电，水泵设计应考虑备用，机械设备应采用性能可靠的优质产品。</w:t>
      </w:r>
    </w:p>
    <w:p w14:paraId="0D6E81E1">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color w:val="auto"/>
        </w:rPr>
        <w:t>为使在事故状态下污水处理厂仪表等设备正常运转，必须选择质量优良、事故率低、便于维修的产品。关键设备应有备用，易损部件也要有备用，在事故出现时做到及时更换。</w:t>
      </w:r>
    </w:p>
    <w:p w14:paraId="091F8F74">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color w:val="auto"/>
        </w:rPr>
        <w:t>加强事故苗头控制，做到定期巡检，调节、保养、维修，及时发现可能引起事故的异常运行苗头，消除事故隐患。</w:t>
      </w:r>
    </w:p>
    <w:p w14:paraId="6806B336">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9</w:t>
      </w:r>
      <w:r>
        <w:rPr>
          <w:rFonts w:hint="eastAsia"/>
          <w:color w:val="auto"/>
          <w:lang w:eastAsia="zh-CN"/>
        </w:rPr>
        <w:t>）</w:t>
      </w:r>
      <w:r>
        <w:rPr>
          <w:color w:val="auto"/>
        </w:rPr>
        <w:t>严格控制处理单元的水量、水质、停留时间、负荷强度等，确保处理效果的稳定性，定期采样监测，操作人员及时调整，使设备处于最佳工况，发现不正常现象，应立即采取预防措施。</w:t>
      </w:r>
    </w:p>
    <w:p w14:paraId="443065DB">
      <w:pPr>
        <w:pStyle w:val="190"/>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color w:val="auto"/>
        </w:rPr>
        <w:t>加强污水处理厂人员操作技能的培训。</w:t>
      </w:r>
    </w:p>
    <w:p w14:paraId="3FA8B311">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11</w:t>
      </w:r>
      <w:r>
        <w:rPr>
          <w:rFonts w:hint="eastAsia"/>
          <w:color w:val="auto"/>
          <w:lang w:eastAsia="zh-CN"/>
        </w:rPr>
        <w:t>）</w:t>
      </w:r>
      <w:r>
        <w:rPr>
          <w:color w:val="auto"/>
        </w:rPr>
        <w:t>加强运行管理和进出水的监测工作，未经处理达标的污水严禁外排。</w:t>
      </w:r>
    </w:p>
    <w:p w14:paraId="3E8A4EA9">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12</w:t>
      </w:r>
      <w:r>
        <w:rPr>
          <w:rFonts w:hint="eastAsia"/>
          <w:color w:val="auto"/>
          <w:lang w:eastAsia="zh-CN"/>
        </w:rPr>
        <w:t>）</w:t>
      </w:r>
      <w:r>
        <w:rPr>
          <w:color w:val="auto"/>
        </w:rPr>
        <w:t>为了避免不符合进水水质的工业废水对污水处理厂造成冲击负荷，</w:t>
      </w:r>
      <w:r>
        <w:rPr>
          <w:rFonts w:hint="eastAsia"/>
          <w:color w:val="auto"/>
        </w:rPr>
        <w:t>前端设置事故池和调节池</w:t>
      </w:r>
      <w:r>
        <w:rPr>
          <w:color w:val="auto"/>
        </w:rPr>
        <w:t>，避免对生物处理造成冲击负荷，降低污水处理效率。</w:t>
      </w:r>
    </w:p>
    <w:p w14:paraId="59BECA0D">
      <w:pPr>
        <w:pageBreakBefore w:val="0"/>
        <w:wordWrap/>
        <w:bidi w:val="0"/>
        <w:adjustRightInd/>
        <w:snapToGrid/>
        <w:ind w:firstLine="482"/>
        <w:rPr>
          <w:color w:val="auto"/>
        </w:rPr>
      </w:pPr>
      <w:r>
        <w:rPr>
          <w:rFonts w:hint="eastAsia"/>
          <w:b/>
          <w:bCs/>
          <w:color w:val="auto"/>
          <w:lang w:val="en-US" w:eastAsia="zh-CN"/>
        </w:rPr>
        <w:t>8、</w:t>
      </w:r>
      <w:r>
        <w:rPr>
          <w:b/>
          <w:bCs/>
          <w:color w:val="auto"/>
        </w:rPr>
        <w:t>受洪水冲刷的工程预防措施</w:t>
      </w:r>
    </w:p>
    <w:p w14:paraId="0C64BEA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地震、气候变化等自然因素造成的事故不能避免，只能在事故发生后尽早发现及时补救；</w:t>
      </w:r>
      <w:r>
        <w:rPr>
          <w:rFonts w:hint="eastAsia"/>
          <w:color w:val="auto"/>
          <w:lang w:eastAsia="zh-CN"/>
        </w:rPr>
        <w:t>污水处理厂</w:t>
      </w:r>
      <w:r>
        <w:rPr>
          <w:color w:val="auto"/>
        </w:rPr>
        <w:t>厂区设计地面标高比</w:t>
      </w:r>
      <w:r>
        <w:rPr>
          <w:rFonts w:hint="eastAsia"/>
          <w:color w:val="auto"/>
          <w:lang w:eastAsia="zh-CN"/>
        </w:rPr>
        <w:t>巴河</w:t>
      </w:r>
      <w:r>
        <w:rPr>
          <w:color w:val="auto"/>
        </w:rPr>
        <w:t>100年一遇洪水位高</w:t>
      </w:r>
      <w:r>
        <w:rPr>
          <w:rFonts w:hint="eastAsia"/>
          <w:color w:val="auto"/>
          <w:lang w:val="en-US" w:eastAsia="zh-CN"/>
        </w:rPr>
        <w:t>3.7</w:t>
      </w:r>
      <w:r>
        <w:rPr>
          <w:color w:val="auto"/>
        </w:rPr>
        <w:t>m左右，大大降低洪涝对厂区造成的环境风险。为了避免暴雨季节雨水冲刷造成污水回水风险，建议在厂区周围修建排洪沟，以有效地避免洪水淹没的风险。工程建设过程中，应在尾水排放管加设闸门和废水事故性排放的措施，确保洪水期尾水安全排放。</w:t>
      </w:r>
    </w:p>
    <w:p w14:paraId="0FB748A8">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项目排口设置护坡，以保护河岸及固定排水管位置，避免洪水期排水口被洪水冲刷。</w:t>
      </w:r>
    </w:p>
    <w:p w14:paraId="39DF6E36">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污水管网发生堵塞、破裂和爆炸风险防范措施</w:t>
      </w:r>
    </w:p>
    <w:p w14:paraId="76EEB1C0">
      <w:pPr>
        <w:pageBreakBefore w:val="0"/>
        <w:wordWrap/>
        <w:autoSpaceDE w:val="0"/>
        <w:autoSpaceDN w:val="0"/>
        <w:bidi w:val="0"/>
        <w:adjustRightInd/>
        <w:snapToGrid/>
        <w:ind w:firstLine="480"/>
        <w:rPr>
          <w:color w:val="auto"/>
          <w:kern w:val="0"/>
        </w:rPr>
      </w:pPr>
      <w:r>
        <w:rPr>
          <w:color w:val="auto"/>
          <w:kern w:val="0"/>
        </w:rPr>
        <w:t>严格按照相关规范进行污水管道的设计，同时在运行期应加强管道的巡检、维护。加强管理，严禁随意向管道内倾倒固体废物和易燃易爆物质等。</w:t>
      </w:r>
    </w:p>
    <w:p w14:paraId="418455AD">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4</w:t>
      </w:r>
      <w:r>
        <w:rPr>
          <w:rFonts w:hint="eastAsia"/>
          <w:color w:val="auto"/>
          <w:kern w:val="0"/>
          <w:lang w:eastAsia="zh-CN"/>
        </w:rPr>
        <w:t>）</w:t>
      </w:r>
      <w:r>
        <w:rPr>
          <w:color w:val="auto"/>
          <w:kern w:val="0"/>
        </w:rPr>
        <w:t>池体破裂事故风险防范措施</w:t>
      </w:r>
    </w:p>
    <w:p w14:paraId="49CB889F">
      <w:pPr>
        <w:pageBreakBefore w:val="0"/>
        <w:wordWrap/>
        <w:autoSpaceDE w:val="0"/>
        <w:autoSpaceDN w:val="0"/>
        <w:bidi w:val="0"/>
        <w:adjustRightInd/>
        <w:snapToGrid/>
        <w:ind w:firstLine="480"/>
        <w:rPr>
          <w:color w:val="auto"/>
          <w:kern w:val="0"/>
        </w:rPr>
      </w:pPr>
      <w:r>
        <w:rPr>
          <w:color w:val="auto"/>
          <w:kern w:val="0"/>
        </w:rPr>
        <w:t>项目在建设过程中，应严格按照本报告提出的地下水污染防治措施要求，对厂区进行防渗分区，并严格落实各区域的防渗措施。同时在运行过程中，加强日常检查工作，并对检查结果进行记录。</w:t>
      </w:r>
    </w:p>
    <w:p w14:paraId="16C83409">
      <w:pPr>
        <w:pageBreakBefore w:val="0"/>
        <w:wordWrap/>
        <w:bidi w:val="0"/>
        <w:adjustRightInd/>
        <w:snapToGrid/>
        <w:ind w:firstLine="480"/>
        <w:rPr>
          <w:color w:val="auto"/>
        </w:rPr>
      </w:pPr>
      <w:r>
        <w:rPr>
          <w:color w:val="auto"/>
          <w:kern w:val="0"/>
        </w:rPr>
        <w:t>本次评价要求在运行过程中应严格按照本报告提出的地下水环境监测计划，对项目区域的地下水环境质量进行定期监测，一旦发现水质超标，应及时查找原因并及时进行修复。</w:t>
      </w:r>
    </w:p>
    <w:bookmarkEnd w:id="213"/>
    <w:p w14:paraId="70FADAD4">
      <w:pPr>
        <w:pStyle w:val="5"/>
        <w:bidi w:val="0"/>
        <w:rPr>
          <w:color w:val="auto"/>
        </w:rPr>
      </w:pPr>
      <w:r>
        <w:rPr>
          <w:rFonts w:hint="eastAsia"/>
          <w:color w:val="auto"/>
          <w:lang w:val="en-US" w:eastAsia="zh-CN"/>
        </w:rPr>
        <w:t xml:space="preserve"> </w:t>
      </w:r>
      <w:r>
        <w:rPr>
          <w:color w:val="auto"/>
        </w:rPr>
        <w:t>风险事故应急预案</w:t>
      </w:r>
    </w:p>
    <w:p w14:paraId="755E7A17">
      <w:pPr>
        <w:pageBreakBefore w:val="0"/>
        <w:wordWrap/>
        <w:bidi w:val="0"/>
        <w:adjustRightInd/>
        <w:snapToGrid/>
        <w:ind w:firstLine="480"/>
        <w:rPr>
          <w:color w:val="auto"/>
        </w:rPr>
      </w:pPr>
      <w:r>
        <w:rPr>
          <w:color w:val="auto"/>
        </w:rPr>
        <w:t>污水处理厂运行前，建设单位应制定出详细的、内容详实、可操作性强的应急预案。并在实际生产运行当中，不断完善应急预案的内容。建设单位应按照以下要求进行应急处理：</w:t>
      </w:r>
    </w:p>
    <w:p w14:paraId="7B72E3CC">
      <w:pPr>
        <w:pageBreakBefore w:val="0"/>
        <w:wordWrap/>
        <w:bidi w:val="0"/>
        <w:adjustRightInd/>
        <w:snapToGrid/>
        <w:ind w:firstLine="480"/>
        <w:rPr>
          <w:b/>
          <w:bCs/>
          <w:color w:val="auto"/>
        </w:rPr>
      </w:pPr>
      <w:r>
        <w:rPr>
          <w:b/>
          <w:bCs/>
          <w:color w:val="auto"/>
        </w:rPr>
        <w:t>1、应急预案制定</w:t>
      </w:r>
    </w:p>
    <w:p w14:paraId="6A06ED7A">
      <w:pPr>
        <w:bidi w:val="0"/>
        <w:rPr>
          <w:color w:val="auto"/>
        </w:rPr>
      </w:pPr>
      <w:r>
        <w:rPr>
          <w:color w:val="auto"/>
        </w:rPr>
        <w:t>①污水处理厂成立应急事故处理领导小组，由厂长任组长，副厂长任副组长，组员由各工段长组成，负责事故处理的指挥和调度工作。</w:t>
      </w:r>
    </w:p>
    <w:p w14:paraId="21564E93">
      <w:pPr>
        <w:bidi w:val="0"/>
        <w:rPr>
          <w:color w:val="auto"/>
        </w:rPr>
      </w:pPr>
      <w:r>
        <w:rPr>
          <w:color w:val="auto"/>
        </w:rPr>
        <w:t>②成立事故应急队，由副厂长负责，技术、维修、操作岗位人员参加。</w:t>
      </w:r>
    </w:p>
    <w:p w14:paraId="20D9AEDE">
      <w:pPr>
        <w:bidi w:val="0"/>
        <w:rPr>
          <w:color w:val="auto"/>
        </w:rPr>
      </w:pPr>
      <w:r>
        <w:rPr>
          <w:color w:val="auto"/>
        </w:rPr>
        <w:t>③给应急队配备应急器具及劳保用品，包括橡皮手套、工作服、眼镜、防毒面具、常用救护药品等。应急器具及劳保用品在指定地点存放。</w:t>
      </w:r>
    </w:p>
    <w:p w14:paraId="04B6E25E">
      <w:pPr>
        <w:bidi w:val="0"/>
        <w:rPr>
          <w:color w:val="auto"/>
        </w:rPr>
      </w:pPr>
      <w:r>
        <w:rPr>
          <w:color w:val="auto"/>
        </w:rPr>
        <w:t>④对应急队员每季度进行一次应急培训，使其具备处理事故的能力。如条件许可，每年进行一次应急处理演习，检验应急准备工作是否完善。</w:t>
      </w:r>
    </w:p>
    <w:p w14:paraId="502B2C4C">
      <w:pPr>
        <w:pageBreakBefore w:val="0"/>
        <w:wordWrap/>
        <w:bidi w:val="0"/>
        <w:adjustRightInd/>
        <w:snapToGrid/>
        <w:ind w:firstLine="480"/>
        <w:rPr>
          <w:color w:val="auto"/>
        </w:rPr>
      </w:pPr>
      <w:r>
        <w:rPr>
          <w:b/>
          <w:bCs/>
          <w:color w:val="auto"/>
        </w:rPr>
        <w:t>2、应急预案实施</w:t>
      </w:r>
    </w:p>
    <w:p w14:paraId="5629C1E8">
      <w:pPr>
        <w:bidi w:val="0"/>
        <w:rPr>
          <w:color w:val="auto"/>
        </w:rPr>
      </w:pPr>
      <w:r>
        <w:rPr>
          <w:color w:val="auto"/>
        </w:rPr>
        <w:t>①当事故或紧急情况发生后，事故的当事人或发现人在一分钟内向值班长和应急事故处理领导小组报告，并采取应急措施防止事故扩大。</w:t>
      </w:r>
    </w:p>
    <w:p w14:paraId="644859FA">
      <w:pPr>
        <w:bidi w:val="0"/>
        <w:rPr>
          <w:color w:val="auto"/>
        </w:rPr>
      </w:pPr>
      <w:r>
        <w:rPr>
          <w:color w:val="auto"/>
        </w:rPr>
        <w:t>②值班长接报告后通知本班应急队员，应急队员接到通知后，佩戴好劳保用品，携带应急器具，赶赴现场处理环境事故或紧急情况。</w:t>
      </w:r>
    </w:p>
    <w:p w14:paraId="59F1652B">
      <w:pPr>
        <w:bidi w:val="0"/>
        <w:rPr>
          <w:color w:val="auto"/>
        </w:rPr>
      </w:pPr>
      <w:r>
        <w:rPr>
          <w:color w:val="auto"/>
        </w:rPr>
        <w:t>③应急事故处理领导小组成员在5分钟内赶到现场，指挥和协助事故或紧急情况的处理。</w:t>
      </w:r>
    </w:p>
    <w:p w14:paraId="4A8C690C">
      <w:pPr>
        <w:bidi w:val="0"/>
        <w:rPr>
          <w:color w:val="auto"/>
        </w:rPr>
      </w:pPr>
      <w:r>
        <w:rPr>
          <w:color w:val="auto"/>
        </w:rPr>
        <w:t>④力争保证各预处理设备设施正常运行，使进水中的SS和COD得到一定的削减。</w:t>
      </w:r>
    </w:p>
    <w:p w14:paraId="7DFE6C03">
      <w:pPr>
        <w:bidi w:val="0"/>
        <w:rPr>
          <w:color w:val="auto"/>
        </w:rPr>
      </w:pPr>
      <w:r>
        <w:rPr>
          <w:color w:val="auto"/>
        </w:rPr>
        <w:t>⑤如一旦出现不可抗拒的外部原因，如双回路停电、突发性自然灾害等情况导致污水直接外排时，对厂内现有污水进行加漂白粉消毒处理。</w:t>
      </w:r>
    </w:p>
    <w:p w14:paraId="55A53D28">
      <w:pPr>
        <w:bidi w:val="0"/>
        <w:rPr>
          <w:color w:val="auto"/>
        </w:rPr>
      </w:pPr>
      <w:r>
        <w:rPr>
          <w:color w:val="auto"/>
        </w:rPr>
        <w:t>⑥在事故发生及处理期间，应在排放口附近水域悬挂标志示警，提醒各有关方面采取防范措施。</w:t>
      </w:r>
    </w:p>
    <w:p w14:paraId="681B4834">
      <w:pPr>
        <w:pageBreakBefore w:val="0"/>
        <w:wordWrap/>
        <w:bidi w:val="0"/>
        <w:adjustRightInd/>
        <w:snapToGrid/>
        <w:ind w:firstLine="480"/>
        <w:rPr>
          <w:b/>
          <w:bCs/>
          <w:color w:val="auto"/>
        </w:rPr>
      </w:pPr>
      <w:r>
        <w:rPr>
          <w:b/>
          <w:bCs/>
          <w:color w:val="auto"/>
        </w:rPr>
        <w:t>3、应急预案内容</w:t>
      </w:r>
    </w:p>
    <w:p w14:paraId="3BFC33EB">
      <w:pPr>
        <w:pageBreakBefore w:val="0"/>
        <w:wordWrap/>
        <w:bidi w:val="0"/>
        <w:adjustRightInd/>
        <w:snapToGrid/>
        <w:ind w:firstLine="480"/>
        <w:rPr>
          <w:color w:val="auto"/>
        </w:rPr>
      </w:pPr>
      <w:r>
        <w:rPr>
          <w:color w:val="auto"/>
        </w:rPr>
        <w:t>结合项目实际情况，企业在编制应急预案时，应重点突出以下方面：</w:t>
      </w:r>
    </w:p>
    <w:p w14:paraId="1BC9E53E">
      <w:pPr>
        <w:pageBreakBefore w:val="0"/>
        <w:wordWrap/>
        <w:bidi w:val="0"/>
        <w:adjustRightInd/>
        <w:snapToGrid/>
        <w:ind w:firstLine="48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地表水风险事故应急预案</w:t>
      </w:r>
    </w:p>
    <w:p w14:paraId="73964611">
      <w:pPr>
        <w:pageBreakBefore w:val="0"/>
        <w:wordWrap/>
        <w:bidi w:val="0"/>
        <w:adjustRightInd/>
        <w:snapToGrid/>
        <w:ind w:firstLine="480"/>
        <w:rPr>
          <w:color w:val="auto"/>
        </w:rPr>
      </w:pPr>
      <w:r>
        <w:rPr>
          <w:color w:val="auto"/>
        </w:rPr>
        <w:t>项目在运行过程中主要的地表水风险事故包括水质超标（进、出水水质超标）、洪水冲击甚至淹没等，制定具体的风险应急预案如下：</w:t>
      </w:r>
    </w:p>
    <w:p w14:paraId="36A4B473">
      <w:pPr>
        <w:pageBreakBefore w:val="0"/>
        <w:wordWrap/>
        <w:bidi w:val="0"/>
        <w:adjustRightInd/>
        <w:snapToGrid/>
        <w:ind w:firstLine="480"/>
        <w:rPr>
          <w:color w:val="auto"/>
        </w:rPr>
      </w:pPr>
      <w:r>
        <w:rPr>
          <w:color w:val="auto"/>
        </w:rPr>
        <w:t>预案一：进水水质超标</w:t>
      </w:r>
    </w:p>
    <w:p w14:paraId="757A7EA9">
      <w:pPr>
        <w:pageBreakBefore w:val="0"/>
        <w:wordWrap/>
        <w:bidi w:val="0"/>
        <w:adjustRightInd/>
        <w:snapToGrid/>
        <w:ind w:firstLine="480"/>
        <w:rPr>
          <w:color w:val="auto"/>
        </w:rPr>
      </w:pPr>
      <w:r>
        <w:rPr>
          <w:color w:val="auto"/>
        </w:rPr>
        <w:t>若出现项目来水中某一项或数项指标出现小幅度超标但通过</w:t>
      </w:r>
      <w:r>
        <w:rPr>
          <w:rFonts w:hint="eastAsia"/>
          <w:color w:val="auto"/>
          <w:lang w:eastAsia="zh-CN"/>
        </w:rPr>
        <w:t>污水处理厂</w:t>
      </w:r>
      <w:r>
        <w:rPr>
          <w:color w:val="auto"/>
        </w:rPr>
        <w:t>自身运行调节，不会影响</w:t>
      </w:r>
      <w:r>
        <w:rPr>
          <w:rFonts w:hint="eastAsia"/>
          <w:color w:val="auto"/>
          <w:lang w:eastAsia="zh-CN"/>
        </w:rPr>
        <w:t>污水处理厂</w:t>
      </w:r>
      <w:r>
        <w:rPr>
          <w:color w:val="auto"/>
        </w:rPr>
        <w:t>正常运行且可确保出水达标的前提下，</w:t>
      </w:r>
      <w:r>
        <w:rPr>
          <w:rFonts w:hint="eastAsia"/>
          <w:color w:val="auto"/>
          <w:lang w:eastAsia="zh-CN"/>
        </w:rPr>
        <w:t>污水处理厂</w:t>
      </w:r>
      <w:r>
        <w:rPr>
          <w:color w:val="auto"/>
        </w:rPr>
        <w:t>可运行，但需强化各处理工段的加药量、控制参数等，同时需立即通知园区各来水企业自检，确保自身废水出水满足要求。</w:t>
      </w:r>
    </w:p>
    <w:p w14:paraId="76CD2392">
      <w:pPr>
        <w:pageBreakBefore w:val="0"/>
        <w:wordWrap/>
        <w:bidi w:val="0"/>
        <w:adjustRightInd/>
        <w:snapToGrid/>
        <w:ind w:firstLine="480"/>
        <w:rPr>
          <w:color w:val="auto"/>
        </w:rPr>
      </w:pPr>
      <w:r>
        <w:rPr>
          <w:color w:val="auto"/>
        </w:rPr>
        <w:t>若出现来水超标严重且可能导致项目不能正常运行、出水超标的情景，立即切断项目进水阀门，将已进入的超标废水转入事故池，同时通知园区各企业关闭厂区废水排口，检查各自</w:t>
      </w:r>
      <w:r>
        <w:rPr>
          <w:rFonts w:hint="eastAsia"/>
          <w:color w:val="auto"/>
          <w:lang w:eastAsia="zh-CN"/>
        </w:rPr>
        <w:t>厂区</w:t>
      </w:r>
      <w:r>
        <w:rPr>
          <w:color w:val="auto"/>
        </w:rPr>
        <w:t>废水处理设施，将各自超标废水引入自身厂区事故池，待厂区废水站恢复正常、出水达标后方可重新开启废水排口、将废水引入项目废水站，在必要情况下各企业需采用停产等临时措施。</w:t>
      </w:r>
    </w:p>
    <w:p w14:paraId="5792C114">
      <w:pPr>
        <w:pageBreakBefore w:val="0"/>
        <w:wordWrap/>
        <w:bidi w:val="0"/>
        <w:adjustRightInd/>
        <w:snapToGrid/>
        <w:ind w:firstLine="480"/>
        <w:rPr>
          <w:color w:val="auto"/>
        </w:rPr>
      </w:pPr>
      <w:r>
        <w:rPr>
          <w:color w:val="auto"/>
        </w:rPr>
        <w:t>预案二：出水水质超标</w:t>
      </w:r>
    </w:p>
    <w:p w14:paraId="1F46DC70">
      <w:pPr>
        <w:pageBreakBefore w:val="0"/>
        <w:wordWrap/>
        <w:bidi w:val="0"/>
        <w:adjustRightInd/>
        <w:snapToGrid/>
        <w:ind w:firstLine="480"/>
        <w:rPr>
          <w:color w:val="auto"/>
        </w:rPr>
      </w:pPr>
      <w:r>
        <w:rPr>
          <w:color w:val="auto"/>
        </w:rPr>
        <w:t>若出现污水处理厂出水超标，应立即报告公司应急指挥组，切断废水排放口阀门，停止各构筑物设备运行，将出水打回前端调节池，并将来水引入事故池暂存，及时检查并修复问题，重新启动运行，事故池暂存废水逐步打入调节池，进入后续处理工段。在发现出水超标时，应配合监测站立即对下游水质进行监测。当数据异常时，必须及时向上级主管部门汇报，以明确进一步的处理措施。</w:t>
      </w:r>
    </w:p>
    <w:p w14:paraId="75B84EDF">
      <w:pPr>
        <w:pageBreakBefore w:val="0"/>
        <w:wordWrap/>
        <w:bidi w:val="0"/>
        <w:adjustRightInd/>
        <w:snapToGrid/>
        <w:ind w:firstLine="480"/>
        <w:rPr>
          <w:color w:val="auto"/>
        </w:rPr>
      </w:pPr>
      <w:r>
        <w:rPr>
          <w:color w:val="auto"/>
        </w:rPr>
        <w:t>预案三：</w:t>
      </w:r>
      <w:r>
        <w:rPr>
          <w:rFonts w:hint="eastAsia"/>
          <w:color w:val="auto"/>
          <w:lang w:eastAsia="zh-CN"/>
        </w:rPr>
        <w:t>污水处理厂</w:t>
      </w:r>
      <w:r>
        <w:rPr>
          <w:color w:val="auto"/>
        </w:rPr>
        <w:t>机械设施或电力故障</w:t>
      </w:r>
    </w:p>
    <w:p w14:paraId="710F0B6A">
      <w:pPr>
        <w:pageBreakBefore w:val="0"/>
        <w:wordWrap/>
        <w:bidi w:val="0"/>
        <w:adjustRightInd/>
        <w:snapToGrid/>
        <w:ind w:firstLine="480"/>
        <w:rPr>
          <w:color w:val="auto"/>
        </w:rPr>
      </w:pPr>
      <w:r>
        <w:rPr>
          <w:color w:val="auto"/>
        </w:rPr>
        <w:t>（1）当因机械设施或电力故障而造成污水处理厂不能正常运行时，污水可以暂时存放于事故水池中，此外将与园区各企业形成联动，各企业将处理后废水引至自身设置的事故水池，关闭出水阀门，待</w:t>
      </w:r>
      <w:r>
        <w:rPr>
          <w:rFonts w:hint="eastAsia"/>
          <w:color w:val="auto"/>
          <w:lang w:eastAsia="zh-CN"/>
        </w:rPr>
        <w:t>污水处理厂</w:t>
      </w:r>
      <w:r>
        <w:rPr>
          <w:color w:val="auto"/>
        </w:rPr>
        <w:t>恢复正常时再外排废水。故在此类事故发生时，项目只要及时抢修，并不会对环境造成影响。同时该事故发生的可能性相当小。此外，</w:t>
      </w:r>
      <w:r>
        <w:rPr>
          <w:rFonts w:hint="eastAsia"/>
          <w:color w:val="auto"/>
          <w:lang w:eastAsia="zh-CN"/>
        </w:rPr>
        <w:t>污水处理厂</w:t>
      </w:r>
      <w:r>
        <w:rPr>
          <w:color w:val="auto"/>
        </w:rPr>
        <w:t>应加强组织领导，建立水质安全事故应急处理领导小组。</w:t>
      </w:r>
    </w:p>
    <w:p w14:paraId="19A10F24">
      <w:pPr>
        <w:pageBreakBefore w:val="0"/>
        <w:wordWrap/>
        <w:bidi w:val="0"/>
        <w:adjustRightInd/>
        <w:snapToGrid/>
        <w:ind w:firstLine="480"/>
        <w:rPr>
          <w:b/>
          <w:bCs/>
          <w:color w:val="auto"/>
        </w:rPr>
      </w:pPr>
      <w:r>
        <w:rPr>
          <w:b/>
          <w:bCs/>
          <w:color w:val="auto"/>
        </w:rPr>
        <w:t>（2）地下水环境风险应急预案</w:t>
      </w:r>
    </w:p>
    <w:p w14:paraId="4547C6C5">
      <w:pPr>
        <w:pageBreakBefore w:val="0"/>
        <w:wordWrap/>
        <w:bidi w:val="0"/>
        <w:adjustRightInd/>
        <w:snapToGrid/>
        <w:ind w:firstLine="480"/>
        <w:rPr>
          <w:rFonts w:hint="eastAsia" w:eastAsia="宋体"/>
          <w:color w:val="auto"/>
          <w:lang w:val="en-US" w:eastAsia="zh-CN"/>
        </w:rPr>
      </w:pPr>
      <w:r>
        <w:rPr>
          <w:color w:val="auto"/>
        </w:rPr>
        <w:t>项目地下水风险事故主要为废水泄漏导致地下水污染，制定的</w:t>
      </w:r>
      <w:r>
        <w:rPr>
          <w:rFonts w:hint="eastAsia"/>
          <w:color w:val="auto"/>
          <w:lang w:val="en-US" w:eastAsia="zh-CN"/>
        </w:rPr>
        <w:t>具体</w:t>
      </w:r>
      <w:r>
        <w:rPr>
          <w:color w:val="auto"/>
        </w:rPr>
        <w:t>应急响应预案如</w:t>
      </w:r>
      <w:r>
        <w:rPr>
          <w:rFonts w:hint="eastAsia"/>
          <w:color w:val="auto"/>
          <w:lang w:val="en-US" w:eastAsia="zh-CN"/>
        </w:rPr>
        <w:t>下：</w:t>
      </w:r>
    </w:p>
    <w:p w14:paraId="7BDBCF31">
      <w:pPr>
        <w:pageBreakBefore w:val="0"/>
        <w:wordWrap/>
        <w:bidi w:val="0"/>
        <w:adjustRightInd/>
        <w:snapToGrid/>
        <w:ind w:firstLine="480"/>
        <w:rPr>
          <w:color w:val="auto"/>
        </w:rPr>
      </w:pPr>
      <w:r>
        <w:rPr>
          <w:color w:val="auto"/>
        </w:rPr>
        <w:t>1）地下水污染风险快速评估及决策</w:t>
      </w:r>
    </w:p>
    <w:p w14:paraId="58684054">
      <w:pPr>
        <w:pageBreakBefore w:val="0"/>
        <w:wordWrap/>
        <w:bidi w:val="0"/>
        <w:adjustRightInd/>
        <w:snapToGrid/>
        <w:ind w:firstLine="480"/>
        <w:rPr>
          <w:color w:val="auto"/>
        </w:rPr>
      </w:pPr>
      <w:r>
        <w:rPr>
          <w:color w:val="auto"/>
        </w:rPr>
        <w:t>地下水污染风险快速评估方法与决策由连续的3个阶段组成：</w:t>
      </w:r>
    </w:p>
    <w:p w14:paraId="2513155C">
      <w:pPr>
        <w:pageBreakBefore w:val="0"/>
        <w:wordWrap/>
        <w:bidi w:val="0"/>
        <w:adjustRightInd/>
        <w:snapToGrid/>
        <w:ind w:firstLine="480"/>
        <w:rPr>
          <w:color w:val="auto"/>
        </w:rPr>
      </w:pPr>
      <w:r>
        <w:rPr>
          <w:color w:val="auto"/>
        </w:rPr>
        <w:t>第1阶段为事故与场地调查：主要任务为搜集事故与污染物信息及场地水文地质资料等一些基本信息；</w:t>
      </w:r>
    </w:p>
    <w:p w14:paraId="66A4FFFD">
      <w:pPr>
        <w:pageBreakBefore w:val="0"/>
        <w:wordWrap/>
        <w:bidi w:val="0"/>
        <w:adjustRightInd/>
        <w:snapToGrid/>
        <w:ind w:firstLine="480"/>
        <w:rPr>
          <w:color w:val="auto"/>
          <w:kern w:val="0"/>
        </w:rPr>
      </w:pPr>
      <w:r>
        <w:rPr>
          <w:color w:val="auto"/>
        </w:rPr>
        <w:t>第2阶段为计算和评价：采用简单的数学模型判断事故对地下水影响的紧迫程度，以及对下游敏感点的影响，以快速获取所需要的信息</w:t>
      </w:r>
      <w:r>
        <w:rPr>
          <w:color w:val="auto"/>
          <w:kern w:val="0"/>
        </w:rPr>
        <w:t>；</w:t>
      </w:r>
    </w:p>
    <w:p w14:paraId="5CE333F8">
      <w:pPr>
        <w:pageBreakBefore w:val="0"/>
        <w:wordWrap/>
        <w:bidi w:val="0"/>
        <w:adjustRightInd/>
        <w:snapToGrid/>
        <w:ind w:firstLine="480"/>
        <w:rPr>
          <w:color w:val="auto"/>
        </w:rPr>
      </w:pPr>
      <w:r>
        <w:rPr>
          <w:color w:val="auto"/>
        </w:rPr>
        <w:t>第3阶段为分析与决策：综合分析前两阶段的结果制定场地应急控制措施。</w:t>
      </w:r>
    </w:p>
    <w:p w14:paraId="7F35FB43">
      <w:pPr>
        <w:pageBreakBefore w:val="0"/>
        <w:wordWrap/>
        <w:bidi w:val="0"/>
        <w:adjustRightInd/>
        <w:snapToGrid/>
        <w:ind w:firstLine="480"/>
        <w:rPr>
          <w:color w:val="auto"/>
        </w:rPr>
      </w:pPr>
      <w:r>
        <w:rPr>
          <w:color w:val="auto"/>
        </w:rPr>
        <w:t>2）风险</w:t>
      </w:r>
      <w:r>
        <w:rPr>
          <w:rFonts w:hint="eastAsia"/>
          <w:color w:val="auto"/>
          <w:lang w:eastAsia="zh-CN"/>
        </w:rPr>
        <w:t>事件</w:t>
      </w:r>
      <w:r>
        <w:rPr>
          <w:color w:val="auto"/>
        </w:rPr>
        <w:t>应急程序</w:t>
      </w:r>
    </w:p>
    <w:p w14:paraId="587F909D">
      <w:pPr>
        <w:pageBreakBefore w:val="0"/>
        <w:wordWrap/>
        <w:bidi w:val="0"/>
        <w:adjustRightInd/>
        <w:snapToGrid/>
        <w:ind w:firstLine="480"/>
        <w:rPr>
          <w:color w:val="auto"/>
        </w:rPr>
      </w:pPr>
      <w:r>
        <w:rPr>
          <w:color w:val="auto"/>
        </w:rPr>
        <w:t>无论预防工作如何周密，风险事故总是难以根本杜绝，因此，必须制定地下水风险事故应急响应预案，明确风险事故状态下应采取封闭、截流等措施，提出防止受污染的地下水扩散和对受污染的地下水进行治理的具体方案。</w:t>
      </w:r>
    </w:p>
    <w:p w14:paraId="6BD15C19">
      <w:pPr>
        <w:pageBreakBefore w:val="0"/>
        <w:wordWrap/>
        <w:bidi w:val="0"/>
        <w:adjustRightInd/>
        <w:snapToGrid/>
        <w:ind w:firstLine="480"/>
        <w:rPr>
          <w:color w:val="auto"/>
        </w:rPr>
      </w:pPr>
      <w:r>
        <w:rPr>
          <w:color w:val="auto"/>
        </w:rPr>
        <w:t>制定风险事故应急预案的目的是为了在发生风险事故时，能以最快的速度发挥最大的效能，有序地实施救援，尽快控制事态的发展，降低事故对地下水的污染。因此，建设单位应根据《中华人民共和国水污染防治法》编制相应的应急方案，并按照《关于印发&lt;企业突发环境事件风险评估指南（试行）&gt;的通知》</w:t>
      </w:r>
      <w:r>
        <w:rPr>
          <w:rFonts w:hint="eastAsia"/>
          <w:color w:val="auto"/>
          <w:lang w:eastAsia="zh-CN"/>
        </w:rPr>
        <w:t>（</w:t>
      </w:r>
      <w:r>
        <w:rPr>
          <w:color w:val="auto"/>
        </w:rPr>
        <w:t>环办[2014]34号</w:t>
      </w:r>
      <w:r>
        <w:rPr>
          <w:rFonts w:hint="eastAsia"/>
          <w:color w:val="auto"/>
          <w:lang w:eastAsia="zh-CN"/>
        </w:rPr>
        <w:t>）</w:t>
      </w:r>
      <w:r>
        <w:rPr>
          <w:color w:val="auto"/>
        </w:rPr>
        <w:t>，将地下水风险纳入建设单位环境风险事故评估中，防止对周围地下水环境造成污染。</w:t>
      </w:r>
    </w:p>
    <w:p w14:paraId="6530DADF">
      <w:pPr>
        <w:pageBreakBefore w:val="0"/>
        <w:wordWrap/>
        <w:bidi w:val="0"/>
        <w:adjustRightInd/>
        <w:snapToGrid/>
        <w:ind w:firstLine="480"/>
        <w:rPr>
          <w:color w:val="auto"/>
        </w:rPr>
      </w:pPr>
      <w:r>
        <w:rPr>
          <w:color w:val="auto"/>
        </w:rPr>
        <w:t>建设单位须按照《</w:t>
      </w:r>
      <w:r>
        <w:rPr>
          <w:rFonts w:hint="eastAsia"/>
          <w:color w:val="auto"/>
        </w:rPr>
        <w:t>关于印发&lt;企业事业单位突发环境事件应急预案备案管理办法（试行）&gt;的通知</w:t>
      </w:r>
      <w:r>
        <w:rPr>
          <w:color w:val="auto"/>
        </w:rPr>
        <w:t>》</w:t>
      </w:r>
      <w:r>
        <w:rPr>
          <w:rFonts w:hint="eastAsia"/>
          <w:color w:val="auto"/>
        </w:rPr>
        <w:t>（环发[2015]4号）、《关于印发&lt;四川省突发环境事件应急预案备案行业名录（试行）的通知&gt;》（川环办函[2019]504号）</w:t>
      </w:r>
      <w:r>
        <w:rPr>
          <w:color w:val="auto"/>
        </w:rPr>
        <w:t>有关要求，结合项目实际情况，修订完善其环境污染事故应急与响应预案，本项目应急预案的主要内容见</w:t>
      </w:r>
      <w:r>
        <w:rPr>
          <w:rFonts w:hint="eastAsia"/>
          <w:color w:val="auto"/>
          <w:lang w:val="en-US" w:eastAsia="zh-CN"/>
        </w:rPr>
        <w:t>下表</w:t>
      </w:r>
      <w:r>
        <w:rPr>
          <w:color w:val="auto"/>
        </w:rPr>
        <w:t>。</w:t>
      </w:r>
    </w:p>
    <w:p w14:paraId="772B449D">
      <w:pPr>
        <w:pStyle w:val="15"/>
        <w:numPr>
          <w:ilvl w:val="0"/>
          <w:numId w:val="35"/>
        </w:numPr>
        <w:bidi w:val="0"/>
        <w:ind w:left="0" w:leftChars="0" w:firstLine="0" w:firstLineChars="0"/>
        <w:rPr>
          <w:color w:val="auto"/>
        </w:rPr>
      </w:pPr>
      <w:r>
        <w:rPr>
          <w:rFonts w:hint="eastAsia"/>
          <w:color w:val="auto"/>
          <w:lang w:val="en-US" w:eastAsia="zh-CN"/>
        </w:rPr>
        <w:t>应急</w:t>
      </w:r>
      <w:r>
        <w:rPr>
          <w:color w:val="auto"/>
        </w:rPr>
        <w:t>预案内容</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38"/>
        <w:gridCol w:w="1211"/>
        <w:gridCol w:w="6990"/>
      </w:tblGrid>
      <w:tr w14:paraId="5BF35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2BB6BD2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685" w:type="pct"/>
            <w:tcBorders>
              <w:tl2br w:val="nil"/>
              <w:tr2bl w:val="nil"/>
            </w:tcBorders>
            <w:noWrap w:val="0"/>
            <w:vAlign w:val="center"/>
          </w:tcPr>
          <w:p w14:paraId="5207643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3953" w:type="pct"/>
            <w:tcBorders>
              <w:tl2br w:val="nil"/>
              <w:tr2bl w:val="nil"/>
            </w:tcBorders>
            <w:noWrap w:val="0"/>
            <w:vAlign w:val="center"/>
          </w:tcPr>
          <w:p w14:paraId="105AA6C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内容及要求</w:t>
            </w:r>
          </w:p>
        </w:tc>
      </w:tr>
      <w:tr w14:paraId="5B32E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06937D59">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685" w:type="pct"/>
            <w:tcBorders>
              <w:tl2br w:val="nil"/>
              <w:tr2bl w:val="nil"/>
            </w:tcBorders>
            <w:noWrap w:val="0"/>
            <w:vAlign w:val="center"/>
          </w:tcPr>
          <w:p w14:paraId="1C50D245">
            <w:pPr>
              <w:pageBreakBefore w:val="0"/>
              <w:wordWrap/>
              <w:bidi w:val="0"/>
              <w:adjustRightInd/>
              <w:snapToGrid/>
              <w:spacing w:line="240" w:lineRule="auto"/>
              <w:ind w:firstLine="0" w:firstLineChars="0"/>
              <w:jc w:val="center"/>
              <w:rPr>
                <w:color w:val="auto"/>
                <w:sz w:val="21"/>
                <w:szCs w:val="21"/>
              </w:rPr>
            </w:pPr>
            <w:r>
              <w:rPr>
                <w:color w:val="auto"/>
                <w:sz w:val="21"/>
                <w:szCs w:val="21"/>
              </w:rPr>
              <w:t>应急计划区</w:t>
            </w:r>
          </w:p>
        </w:tc>
        <w:tc>
          <w:tcPr>
            <w:tcW w:w="3953" w:type="pct"/>
            <w:tcBorders>
              <w:tl2br w:val="nil"/>
              <w:tr2bl w:val="nil"/>
            </w:tcBorders>
            <w:noWrap w:val="0"/>
            <w:vAlign w:val="center"/>
          </w:tcPr>
          <w:p w14:paraId="3314E743">
            <w:pPr>
              <w:pageBreakBefore w:val="0"/>
              <w:wordWrap/>
              <w:bidi w:val="0"/>
              <w:adjustRightInd/>
              <w:snapToGrid/>
              <w:spacing w:line="240" w:lineRule="auto"/>
              <w:ind w:firstLine="0" w:firstLineChars="0"/>
              <w:jc w:val="left"/>
              <w:rPr>
                <w:color w:val="auto"/>
                <w:sz w:val="21"/>
                <w:szCs w:val="21"/>
              </w:rPr>
            </w:pPr>
            <w:r>
              <w:rPr>
                <w:color w:val="auto"/>
                <w:sz w:val="21"/>
                <w:szCs w:val="21"/>
              </w:rPr>
              <w:t>危险目标主要包括加药间、污泥脱水；环境保护目标主要为厂区内的员工及外的办公区、附近水体。</w:t>
            </w:r>
          </w:p>
        </w:tc>
      </w:tr>
      <w:tr w14:paraId="3253B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15E330D3">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685" w:type="pct"/>
            <w:tcBorders>
              <w:tl2br w:val="nil"/>
              <w:tr2bl w:val="nil"/>
            </w:tcBorders>
            <w:noWrap w:val="0"/>
            <w:vAlign w:val="center"/>
          </w:tcPr>
          <w:p w14:paraId="1F7836F3">
            <w:pPr>
              <w:pageBreakBefore w:val="0"/>
              <w:wordWrap/>
              <w:bidi w:val="0"/>
              <w:adjustRightInd/>
              <w:snapToGrid/>
              <w:spacing w:line="240" w:lineRule="auto"/>
              <w:ind w:firstLine="0" w:firstLineChars="0"/>
              <w:jc w:val="center"/>
              <w:rPr>
                <w:color w:val="auto"/>
                <w:sz w:val="21"/>
                <w:szCs w:val="21"/>
              </w:rPr>
            </w:pPr>
            <w:r>
              <w:rPr>
                <w:color w:val="auto"/>
                <w:sz w:val="21"/>
                <w:szCs w:val="21"/>
              </w:rPr>
              <w:t>应急组织机构、人员</w:t>
            </w:r>
          </w:p>
        </w:tc>
        <w:tc>
          <w:tcPr>
            <w:tcW w:w="3953" w:type="pct"/>
            <w:tcBorders>
              <w:tl2br w:val="nil"/>
              <w:tr2bl w:val="nil"/>
            </w:tcBorders>
            <w:noWrap w:val="0"/>
            <w:vAlign w:val="center"/>
          </w:tcPr>
          <w:p w14:paraId="605638E6">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项目应成立环境风险事故应急救援</w:t>
            </w:r>
            <w:r>
              <w:rPr>
                <w:rFonts w:hint="eastAsia"/>
                <w:color w:val="auto"/>
                <w:kern w:val="0"/>
                <w:sz w:val="21"/>
                <w:szCs w:val="21"/>
                <w:lang w:eastAsia="zh-CN"/>
              </w:rPr>
              <w:t>“</w:t>
            </w:r>
            <w:r>
              <w:rPr>
                <w:color w:val="auto"/>
                <w:kern w:val="0"/>
                <w:sz w:val="21"/>
                <w:szCs w:val="21"/>
              </w:rPr>
              <w:t>指挥领导小组</w:t>
            </w:r>
            <w:r>
              <w:rPr>
                <w:rFonts w:hint="eastAsia"/>
                <w:color w:val="auto"/>
                <w:kern w:val="0"/>
                <w:sz w:val="21"/>
                <w:szCs w:val="21"/>
                <w:lang w:eastAsia="zh-CN"/>
              </w:rPr>
              <w:t>”</w:t>
            </w:r>
            <w:r>
              <w:rPr>
                <w:color w:val="auto"/>
                <w:kern w:val="0"/>
                <w:sz w:val="21"/>
                <w:szCs w:val="21"/>
              </w:rPr>
              <w:t>，由总经理、副总经理及厂房工程（环保）、人力资源及行政（安全保卫）、财务、采购等部门经理组成。下设应急救援办公室，日常工作由人力资源及行政部（安全保卫）和厂房工程部（环保）共同管理。</w:t>
            </w:r>
          </w:p>
        </w:tc>
      </w:tr>
      <w:tr w14:paraId="20193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555927B0">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685" w:type="pct"/>
            <w:tcBorders>
              <w:tl2br w:val="nil"/>
              <w:tr2bl w:val="nil"/>
            </w:tcBorders>
            <w:noWrap w:val="0"/>
            <w:vAlign w:val="center"/>
          </w:tcPr>
          <w:p w14:paraId="6094EAE8">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预案分级响应条件</w:t>
            </w:r>
          </w:p>
        </w:tc>
        <w:tc>
          <w:tcPr>
            <w:tcW w:w="3953" w:type="pct"/>
            <w:tcBorders>
              <w:tl2br w:val="nil"/>
              <w:tr2bl w:val="nil"/>
            </w:tcBorders>
            <w:noWrap w:val="0"/>
            <w:vAlign w:val="center"/>
          </w:tcPr>
          <w:p w14:paraId="0DB37465">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项目应急响应分三级响应：一级响应：项目内部响应；二级响应：与镇级共同响应；三级响应：与市级主管部门共同响应</w:t>
            </w:r>
          </w:p>
        </w:tc>
      </w:tr>
      <w:tr w14:paraId="35989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687643BB">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685" w:type="pct"/>
            <w:tcBorders>
              <w:tl2br w:val="nil"/>
              <w:tr2bl w:val="nil"/>
            </w:tcBorders>
            <w:noWrap w:val="0"/>
            <w:vAlign w:val="center"/>
          </w:tcPr>
          <w:p w14:paraId="4F0A1CF0">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应急救援保障</w:t>
            </w:r>
          </w:p>
        </w:tc>
        <w:tc>
          <w:tcPr>
            <w:tcW w:w="3953" w:type="pct"/>
            <w:tcBorders>
              <w:tl2br w:val="nil"/>
              <w:tr2bl w:val="nil"/>
            </w:tcBorders>
            <w:noWrap w:val="0"/>
            <w:vAlign w:val="center"/>
          </w:tcPr>
          <w:p w14:paraId="5F557768">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针对危险目标，事先将抢险抢修、个体防护、医疗救援、通讯联络等装备器材配备齐全。平时要专人维护、保管、检验，确保器材始终处于完好状态，保证能有效使用。</w:t>
            </w:r>
          </w:p>
        </w:tc>
      </w:tr>
      <w:tr w14:paraId="738146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169908CE">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685" w:type="pct"/>
            <w:tcBorders>
              <w:tl2br w:val="nil"/>
              <w:tr2bl w:val="nil"/>
            </w:tcBorders>
            <w:noWrap w:val="0"/>
            <w:vAlign w:val="center"/>
          </w:tcPr>
          <w:p w14:paraId="63B31DAA">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报警、通讯联络方式</w:t>
            </w:r>
          </w:p>
        </w:tc>
        <w:tc>
          <w:tcPr>
            <w:tcW w:w="3953" w:type="pct"/>
            <w:tcBorders>
              <w:tl2br w:val="nil"/>
              <w:tr2bl w:val="nil"/>
            </w:tcBorders>
            <w:noWrap w:val="0"/>
            <w:vAlign w:val="center"/>
          </w:tcPr>
          <w:p w14:paraId="037E0FE3">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根据公司突发环境污染事故</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公司应急指挥中心</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组成以及政府、社会各外部救援单位的主要联系电话，印发</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突发事故应急通讯名录</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并定期更新。</w:t>
            </w:r>
          </w:p>
        </w:tc>
      </w:tr>
      <w:tr w14:paraId="708C1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0589945F">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685" w:type="pct"/>
            <w:tcBorders>
              <w:tl2br w:val="nil"/>
              <w:tr2bl w:val="nil"/>
            </w:tcBorders>
            <w:noWrap w:val="0"/>
            <w:vAlign w:val="center"/>
          </w:tcPr>
          <w:p w14:paraId="0A10CE7B">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突发事故应急措施及应急监测</w:t>
            </w:r>
          </w:p>
        </w:tc>
        <w:tc>
          <w:tcPr>
            <w:tcW w:w="3953" w:type="pct"/>
            <w:tcBorders>
              <w:tl2br w:val="nil"/>
              <w:tr2bl w:val="nil"/>
            </w:tcBorders>
            <w:noWrap w:val="0"/>
            <w:vAlign w:val="center"/>
          </w:tcPr>
          <w:p w14:paraId="45AD4C44">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针对本项目可能发生的突发事故，具体应急措施如下：化学品泄漏的应急措施：发生泄漏时，首先疏散无关人员，隔离泄漏污染区，同时切断火源及做好个人防护。泄漏物质进入事故池收集并清理。废水事故排放应急措施：立即启动应急池，未处理的废水进入应急池再根据其水质进行后处理。</w:t>
            </w:r>
          </w:p>
          <w:p w14:paraId="7D4397F9">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应急监测内容：（1）地表水应急监测：pH、COD、氨氮、BOD</w:t>
            </w:r>
            <w:r>
              <w:rPr>
                <w:rFonts w:ascii="Times New Roman" w:eastAsia="宋体" w:cs="Times New Roman"/>
                <w:color w:val="auto"/>
                <w:sz w:val="21"/>
                <w:szCs w:val="21"/>
                <w:vertAlign w:val="subscript"/>
              </w:rPr>
              <w:t>5</w:t>
            </w:r>
            <w:r>
              <w:rPr>
                <w:rFonts w:hint="eastAsia" w:ascii="Times New Roman" w:eastAsia="宋体" w:cs="Times New Roman"/>
                <w:color w:val="auto"/>
                <w:sz w:val="21"/>
                <w:szCs w:val="21"/>
              </w:rPr>
              <w:t>、</w:t>
            </w:r>
            <w:r>
              <w:rPr>
                <w:rFonts w:hint="eastAsia" w:ascii="Times New Roman" w:eastAsia="宋体" w:cs="Times New Roman"/>
                <w:color w:val="auto"/>
                <w:sz w:val="21"/>
                <w:szCs w:val="21"/>
                <w:lang w:val="en-US" w:eastAsia="zh-CN"/>
              </w:rPr>
              <w:t>石油类、甲醛</w:t>
            </w:r>
            <w:r>
              <w:rPr>
                <w:rFonts w:ascii="Times New Roman" w:eastAsia="宋体" w:cs="Times New Roman"/>
                <w:color w:val="auto"/>
                <w:sz w:val="21"/>
                <w:szCs w:val="21"/>
              </w:rPr>
              <w:t>。</w:t>
            </w:r>
          </w:p>
          <w:p w14:paraId="179DF6DD">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监测时间及频次：根据事故废水进入受纳水体决定监测时间。一般每小时取样一次。</w:t>
            </w:r>
          </w:p>
          <w:p w14:paraId="73DB6AAD">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监测断面布设：</w:t>
            </w:r>
            <w:r>
              <w:rPr>
                <w:rFonts w:hint="eastAsia" w:ascii="Times New Roman" w:eastAsia="宋体" w:cs="Times New Roman"/>
                <w:color w:val="auto"/>
                <w:sz w:val="21"/>
                <w:szCs w:val="21"/>
                <w:lang w:val="en-US" w:eastAsia="zh-CN"/>
              </w:rPr>
              <w:t>排口下游</w:t>
            </w:r>
            <w:r>
              <w:rPr>
                <w:rFonts w:ascii="Times New Roman" w:eastAsia="宋体" w:cs="Times New Roman"/>
                <w:color w:val="auto"/>
                <w:sz w:val="21"/>
                <w:szCs w:val="21"/>
              </w:rPr>
              <w:t>，根据事故情况调整断面设置。</w:t>
            </w:r>
          </w:p>
          <w:p w14:paraId="35786759">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（2）地下水应急监测：以拟建厂区为中心共布设地下水水质跟踪监测3个（具体位置见地下水专题报告）</w:t>
            </w:r>
          </w:p>
          <w:p w14:paraId="2E7D160D">
            <w:pPr>
              <w:pStyle w:val="62"/>
              <w:pageBreakBefore w:val="0"/>
              <w:wordWrap/>
              <w:bidi w:val="0"/>
              <w:adjustRightInd/>
              <w:snapToGrid/>
              <w:rPr>
                <w:rFonts w:hint="default" w:eastAsia="宋体" w:cs="Times New Roman"/>
                <w:color w:val="auto"/>
                <w:sz w:val="18"/>
                <w:szCs w:val="18"/>
                <w:vertAlign w:val="superscript"/>
                <w:lang w:val="en-US" w:eastAsia="zh-CN"/>
              </w:rPr>
            </w:pPr>
            <w:r>
              <w:rPr>
                <w:rFonts w:ascii="Times New Roman" w:eastAsia="宋体" w:cs="Times New Roman"/>
                <w:color w:val="auto"/>
                <w:sz w:val="21"/>
                <w:szCs w:val="21"/>
              </w:rPr>
              <w:t>监测因子：</w:t>
            </w:r>
            <w:r>
              <w:rPr>
                <w:rFonts w:eastAsia="宋体" w:cs="Times New Roman"/>
                <w:color w:val="auto"/>
                <w:sz w:val="18"/>
                <w:szCs w:val="18"/>
              </w:rPr>
              <w:t>水位、</w:t>
            </w:r>
            <w:r>
              <w:rPr>
                <w:rFonts w:hint="default" w:ascii="Times New Roman" w:hAnsi="Times New Roman" w:eastAsia="宋体" w:cs="Times New Roman"/>
                <w:color w:val="auto"/>
                <w:sz w:val="18"/>
                <w:szCs w:val="18"/>
              </w:rPr>
              <w:t>pH、Cl</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、SO</w:t>
            </w:r>
            <w:r>
              <w:rPr>
                <w:rFonts w:hint="default" w:ascii="Times New Roman" w:hAnsi="Times New Roman" w:eastAsia="宋体" w:cs="Times New Roman"/>
                <w:color w:val="auto"/>
                <w:sz w:val="18"/>
                <w:szCs w:val="18"/>
                <w:vertAlign w:val="subscript"/>
              </w:rPr>
              <w:t>4</w:t>
            </w:r>
            <w:r>
              <w:rPr>
                <w:rFonts w:hint="default" w:ascii="Times New Roman" w:hAnsi="Times New Roman" w:eastAsia="宋体" w:cs="Times New Roman"/>
                <w:color w:val="auto"/>
                <w:sz w:val="18"/>
                <w:szCs w:val="18"/>
                <w:vertAlign w:val="superscript"/>
              </w:rPr>
              <w:t>2-</w:t>
            </w:r>
            <w:r>
              <w:rPr>
                <w:rFonts w:hint="default" w:ascii="Times New Roman" w:hAnsi="Times New Roman" w:eastAsia="宋体" w:cs="Times New Roman"/>
                <w:color w:val="auto"/>
                <w:sz w:val="18"/>
                <w:szCs w:val="18"/>
              </w:rPr>
              <w:t>、HCO</w:t>
            </w:r>
            <w:r>
              <w:rPr>
                <w:rFonts w:hint="default" w:ascii="Times New Roman" w:hAnsi="Times New Roman" w:eastAsia="宋体" w:cs="Times New Roman"/>
                <w:color w:val="auto"/>
                <w:sz w:val="18"/>
                <w:szCs w:val="18"/>
                <w:vertAlign w:val="subscript"/>
              </w:rPr>
              <w:t>3</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、Na</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、K</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、Ca</w:t>
            </w:r>
            <w:r>
              <w:rPr>
                <w:rFonts w:hint="default" w:ascii="Times New Roman" w:hAnsi="Times New Roman" w:eastAsia="宋体" w:cs="Times New Roman"/>
                <w:color w:val="auto"/>
                <w:sz w:val="18"/>
                <w:szCs w:val="18"/>
                <w:vertAlign w:val="superscript"/>
              </w:rPr>
              <w:t>2+</w:t>
            </w:r>
            <w:r>
              <w:rPr>
                <w:rFonts w:hint="default" w:ascii="Times New Roman" w:hAnsi="Times New Roman" w:eastAsia="宋体" w:cs="Times New Roman"/>
                <w:color w:val="auto"/>
                <w:sz w:val="18"/>
                <w:szCs w:val="18"/>
              </w:rPr>
              <w:t>、Mg</w:t>
            </w:r>
            <w:r>
              <w:rPr>
                <w:rFonts w:hint="default" w:ascii="Times New Roman" w:hAnsi="Times New Roman" w:eastAsia="宋体" w:cs="Times New Roman"/>
                <w:color w:val="auto"/>
                <w:sz w:val="18"/>
                <w:szCs w:val="18"/>
                <w:vertAlign w:val="superscript"/>
              </w:rPr>
              <w:t>2+</w:t>
            </w:r>
          </w:p>
          <w:p w14:paraId="124AD354">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监测时间及频次：按照事故持续时间决定监测时间，根据事故严重程度决定监测频次，一般情况下每半小时监测一次，直至事故结束恢复正常。</w:t>
            </w:r>
          </w:p>
        </w:tc>
      </w:tr>
      <w:tr w14:paraId="6EBBD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24278A08">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685" w:type="pct"/>
            <w:tcBorders>
              <w:tl2br w:val="nil"/>
              <w:tr2bl w:val="nil"/>
            </w:tcBorders>
            <w:noWrap w:val="0"/>
            <w:vAlign w:val="center"/>
          </w:tcPr>
          <w:p w14:paraId="7743D453">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事故应急救援关闭程序与恢复措施</w:t>
            </w:r>
          </w:p>
        </w:tc>
        <w:tc>
          <w:tcPr>
            <w:tcW w:w="3953" w:type="pct"/>
            <w:tcBorders>
              <w:tl2br w:val="nil"/>
              <w:tr2bl w:val="nil"/>
            </w:tcBorders>
            <w:noWrap w:val="0"/>
            <w:vAlign w:val="center"/>
          </w:tcPr>
          <w:p w14:paraId="1D9782A3">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应急终止的程序：</w:t>
            </w:r>
          </w:p>
          <w:p w14:paraId="4F775ED7">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①现场应急救援指挥中心确认终止时机。</w:t>
            </w:r>
          </w:p>
          <w:p w14:paraId="0650DD7E">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②应急救援指挥中心向应急救援队伍下达终止命令。</w:t>
            </w:r>
          </w:p>
          <w:p w14:paraId="26DBAA7A">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③继续进行环境监测和评价工作，直至其他补救措施无需继续进行为止。</w:t>
            </w:r>
          </w:p>
          <w:p w14:paraId="2AC3411F">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恢复生产的条件：</w:t>
            </w:r>
          </w:p>
          <w:p w14:paraId="54DB7C9A">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①事故现场清理、洗刷、消毒完毕，不存在危险源；</w:t>
            </w:r>
          </w:p>
          <w:p w14:paraId="5856F697">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②防止事故再次发生的安全防范措施已落实到位，受伤人员得到治疗，情况基本稳定；</w:t>
            </w:r>
          </w:p>
          <w:p w14:paraId="5B5FECE0">
            <w:pPr>
              <w:pageBreakBefore w:val="0"/>
              <w:wordWrap/>
              <w:bidi w:val="0"/>
              <w:adjustRightInd/>
              <w:snapToGrid/>
              <w:spacing w:line="240" w:lineRule="auto"/>
              <w:ind w:firstLine="0" w:firstLineChars="0"/>
              <w:jc w:val="left"/>
              <w:rPr>
                <w:color w:val="auto"/>
                <w:sz w:val="21"/>
                <w:szCs w:val="21"/>
              </w:rPr>
            </w:pPr>
            <w:r>
              <w:rPr>
                <w:color w:val="auto"/>
                <w:sz w:val="21"/>
                <w:szCs w:val="21"/>
              </w:rPr>
              <w:t>③设备设施检测符合生产要求，可恢复生产。</w:t>
            </w:r>
          </w:p>
        </w:tc>
      </w:tr>
      <w:tr w14:paraId="43833E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1269C09B">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685" w:type="pct"/>
            <w:tcBorders>
              <w:tl2br w:val="nil"/>
              <w:tr2bl w:val="nil"/>
            </w:tcBorders>
            <w:noWrap w:val="0"/>
            <w:vAlign w:val="center"/>
          </w:tcPr>
          <w:p w14:paraId="752556BF">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应急培训计划</w:t>
            </w:r>
          </w:p>
        </w:tc>
        <w:tc>
          <w:tcPr>
            <w:tcW w:w="3953" w:type="pct"/>
            <w:tcBorders>
              <w:tl2br w:val="nil"/>
              <w:tr2bl w:val="nil"/>
            </w:tcBorders>
            <w:noWrap w:val="0"/>
            <w:vAlign w:val="center"/>
          </w:tcPr>
          <w:p w14:paraId="7EE118EB">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根据公司的风险防范措施及事故应急计划，制定相应的培训计划，对公司应急小组成员及一般员工进行定期培训。对于环保管理人员和有关操作人员应建立</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先培训、后上岗</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定期培训安全和环保法规、知识以及突发性事故应急处理技术</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的制度。</w:t>
            </w:r>
          </w:p>
        </w:tc>
      </w:tr>
      <w:tr w14:paraId="3C764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46FD50F2">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685" w:type="pct"/>
            <w:tcBorders>
              <w:tl2br w:val="nil"/>
              <w:tr2bl w:val="nil"/>
            </w:tcBorders>
            <w:noWrap w:val="0"/>
            <w:vAlign w:val="center"/>
          </w:tcPr>
          <w:p w14:paraId="319C3D7A">
            <w:pPr>
              <w:pStyle w:val="62"/>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公众教育和信息</w:t>
            </w:r>
          </w:p>
        </w:tc>
        <w:tc>
          <w:tcPr>
            <w:tcW w:w="3953" w:type="pct"/>
            <w:tcBorders>
              <w:tl2br w:val="nil"/>
              <w:tr2bl w:val="nil"/>
            </w:tcBorders>
            <w:noWrap w:val="0"/>
            <w:vAlign w:val="center"/>
          </w:tcPr>
          <w:p w14:paraId="400C40A6">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利用企业对外宣传栏、周边村委会的公众宣传栏，以墙报、传单等形式对公司周边居民、工作人员进行危险化学品辨析、事故防范常识、应急处理措施等内容的宣传。向居民开设环境风险防范座谈会，邀请专业技术人员宣讲风险防范知识。</w:t>
            </w:r>
          </w:p>
        </w:tc>
      </w:tr>
      <w:tr w14:paraId="34D480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0340E7BA">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685" w:type="pct"/>
            <w:tcBorders>
              <w:tl2br w:val="nil"/>
              <w:tr2bl w:val="nil"/>
            </w:tcBorders>
            <w:noWrap w:val="0"/>
            <w:vAlign w:val="center"/>
          </w:tcPr>
          <w:p w14:paraId="12A3D546">
            <w:pPr>
              <w:pageBreakBefore w:val="0"/>
              <w:wordWrap/>
              <w:bidi w:val="0"/>
              <w:adjustRightInd/>
              <w:snapToGrid/>
              <w:spacing w:line="240" w:lineRule="auto"/>
              <w:ind w:firstLine="0" w:firstLineChars="0"/>
              <w:jc w:val="center"/>
              <w:rPr>
                <w:color w:val="auto"/>
                <w:sz w:val="21"/>
                <w:szCs w:val="21"/>
              </w:rPr>
            </w:pPr>
            <w:r>
              <w:rPr>
                <w:color w:val="auto"/>
                <w:sz w:val="21"/>
                <w:szCs w:val="21"/>
              </w:rPr>
              <w:t>记录和报告</w:t>
            </w:r>
          </w:p>
        </w:tc>
        <w:tc>
          <w:tcPr>
            <w:tcW w:w="3953" w:type="pct"/>
            <w:tcBorders>
              <w:tl2br w:val="nil"/>
              <w:tr2bl w:val="nil"/>
            </w:tcBorders>
            <w:noWrap w:val="0"/>
            <w:vAlign w:val="center"/>
          </w:tcPr>
          <w:p w14:paraId="51084A11">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设置应急事故专门记录，建立档案和专门报告制度，设专门部门负责管理。</w:t>
            </w:r>
          </w:p>
        </w:tc>
      </w:tr>
    </w:tbl>
    <w:p w14:paraId="1C39B479">
      <w:pPr>
        <w:pStyle w:val="5"/>
        <w:keepNext/>
        <w:keepLines/>
        <w:pageBreakBefore w:val="0"/>
        <w:widowControl w:val="0"/>
        <w:kinsoku/>
        <w:wordWrap/>
        <w:overflowPunct/>
        <w:topLinePunct w:val="0"/>
        <w:autoSpaceDE/>
        <w:autoSpaceDN/>
        <w:bidi w:val="0"/>
        <w:adjustRightInd/>
        <w:snapToGrid/>
        <w:spacing w:before="219" w:beforeLines="70"/>
        <w:textAlignment w:val="auto"/>
        <w:rPr>
          <w:color w:val="auto"/>
        </w:rPr>
      </w:pPr>
      <w:r>
        <w:rPr>
          <w:rFonts w:hint="eastAsia"/>
          <w:color w:val="auto"/>
          <w:lang w:val="en-US" w:eastAsia="zh-CN"/>
        </w:rPr>
        <w:t xml:space="preserve"> </w:t>
      </w:r>
      <w:r>
        <w:rPr>
          <w:rFonts w:hint="eastAsia"/>
          <w:color w:val="auto"/>
        </w:rPr>
        <w:t>风险防范措施投资</w:t>
      </w:r>
    </w:p>
    <w:p w14:paraId="5491ED37">
      <w:pPr>
        <w:bidi w:val="0"/>
        <w:rPr>
          <w:color w:val="auto"/>
        </w:rPr>
      </w:pPr>
      <w:r>
        <w:rPr>
          <w:color w:val="auto"/>
        </w:rPr>
        <w:t>风险防范措施投资估算见</w:t>
      </w:r>
      <w:r>
        <w:rPr>
          <w:rFonts w:hint="eastAsia"/>
          <w:color w:val="auto"/>
          <w:lang w:val="en-US" w:eastAsia="zh-CN"/>
        </w:rPr>
        <w:t>下表</w:t>
      </w:r>
      <w:r>
        <w:rPr>
          <w:color w:val="auto"/>
        </w:rPr>
        <w:t>。</w:t>
      </w:r>
    </w:p>
    <w:p w14:paraId="1C791D43">
      <w:pPr>
        <w:pStyle w:val="15"/>
        <w:numPr>
          <w:ilvl w:val="0"/>
          <w:numId w:val="35"/>
        </w:numPr>
        <w:bidi w:val="0"/>
        <w:ind w:left="0" w:leftChars="0" w:firstLine="0" w:firstLineChars="0"/>
        <w:rPr>
          <w:color w:val="auto"/>
        </w:rPr>
      </w:pPr>
      <w:r>
        <w:rPr>
          <w:color w:val="auto"/>
        </w:rPr>
        <w:t>风险防范措施投资估算表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5682"/>
        <w:gridCol w:w="1142"/>
        <w:gridCol w:w="1455"/>
      </w:tblGrid>
      <w:tr w14:paraId="292EE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46526DA7">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序号</w:t>
            </w:r>
          </w:p>
        </w:tc>
        <w:tc>
          <w:tcPr>
            <w:tcW w:w="3176" w:type="pct"/>
            <w:tcBorders>
              <w:tl2br w:val="nil"/>
              <w:tr2bl w:val="nil"/>
            </w:tcBorders>
            <w:noWrap w:val="0"/>
            <w:vAlign w:val="center"/>
          </w:tcPr>
          <w:p w14:paraId="08A77B6B">
            <w:pPr>
              <w:pageBreakBefore w:val="0"/>
              <w:wordWrap/>
              <w:autoSpaceDE w:val="0"/>
              <w:autoSpaceDN w:val="0"/>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拟采取的风险措施</w:t>
            </w:r>
          </w:p>
        </w:tc>
        <w:tc>
          <w:tcPr>
            <w:tcW w:w="638" w:type="pct"/>
            <w:tcBorders>
              <w:tl2br w:val="nil"/>
              <w:tr2bl w:val="nil"/>
            </w:tcBorders>
            <w:noWrap w:val="0"/>
            <w:vAlign w:val="center"/>
          </w:tcPr>
          <w:p w14:paraId="2A01FBFD">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估算投资</w:t>
            </w:r>
          </w:p>
          <w:p w14:paraId="5D0FB9A0">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（万元）</w:t>
            </w:r>
          </w:p>
        </w:tc>
        <w:tc>
          <w:tcPr>
            <w:tcW w:w="813" w:type="pct"/>
            <w:tcBorders>
              <w:tl2br w:val="nil"/>
              <w:tr2bl w:val="nil"/>
            </w:tcBorders>
            <w:noWrap w:val="0"/>
            <w:vAlign w:val="center"/>
          </w:tcPr>
          <w:p w14:paraId="1124DD9C">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备注</w:t>
            </w:r>
          </w:p>
        </w:tc>
      </w:tr>
      <w:tr w14:paraId="0F6F6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01C92917">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1</w:t>
            </w:r>
          </w:p>
        </w:tc>
        <w:tc>
          <w:tcPr>
            <w:tcW w:w="3176" w:type="pct"/>
            <w:tcBorders>
              <w:tl2br w:val="nil"/>
              <w:tr2bl w:val="nil"/>
            </w:tcBorders>
            <w:noWrap w:val="0"/>
            <w:vAlign w:val="center"/>
          </w:tcPr>
          <w:p w14:paraId="1F72237D">
            <w:pPr>
              <w:pageBreakBefore w:val="0"/>
              <w:wordWrap/>
              <w:bidi w:val="0"/>
              <w:adjustRightInd/>
              <w:snapToGrid/>
              <w:spacing w:line="240" w:lineRule="auto"/>
              <w:ind w:firstLine="0" w:firstLineChars="0"/>
              <w:rPr>
                <w:color w:val="auto"/>
                <w:kern w:val="0"/>
                <w:sz w:val="21"/>
                <w:szCs w:val="21"/>
              </w:rPr>
            </w:pPr>
            <w:r>
              <w:rPr>
                <w:color w:val="auto"/>
                <w:kern w:val="0"/>
                <w:sz w:val="21"/>
                <w:szCs w:val="21"/>
              </w:rPr>
              <w:t>总图布置防范措施：总图布置应符合GB50178-93、GB50016-2006等有关规定，满足生产工艺要求，保证工艺流程顺畅，管线短捷，有利生产和便于管理，满足安全、卫生、环保、消防等要求</w:t>
            </w:r>
          </w:p>
        </w:tc>
        <w:tc>
          <w:tcPr>
            <w:tcW w:w="638" w:type="pct"/>
            <w:tcBorders>
              <w:tl2br w:val="nil"/>
              <w:tr2bl w:val="nil"/>
            </w:tcBorders>
            <w:noWrap w:val="0"/>
            <w:vAlign w:val="center"/>
          </w:tcPr>
          <w:p w14:paraId="1E59AD0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13" w:type="pct"/>
            <w:tcBorders>
              <w:tl2br w:val="nil"/>
              <w:tr2bl w:val="nil"/>
            </w:tcBorders>
            <w:noWrap w:val="0"/>
            <w:vAlign w:val="center"/>
          </w:tcPr>
          <w:p w14:paraId="7AB861DA">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计入主体工程</w:t>
            </w:r>
          </w:p>
        </w:tc>
      </w:tr>
      <w:tr w14:paraId="40196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31764659">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2</w:t>
            </w:r>
          </w:p>
        </w:tc>
        <w:tc>
          <w:tcPr>
            <w:tcW w:w="3176" w:type="pct"/>
            <w:tcBorders>
              <w:tl2br w:val="nil"/>
              <w:tr2bl w:val="nil"/>
            </w:tcBorders>
            <w:noWrap w:val="0"/>
            <w:vAlign w:val="center"/>
          </w:tcPr>
          <w:p w14:paraId="39FDDD75">
            <w:pPr>
              <w:pageBreakBefore w:val="0"/>
              <w:wordWrap/>
              <w:bidi w:val="0"/>
              <w:adjustRightInd/>
              <w:snapToGrid/>
              <w:spacing w:line="240" w:lineRule="auto"/>
              <w:ind w:firstLine="0" w:firstLineChars="0"/>
              <w:jc w:val="left"/>
              <w:rPr>
                <w:color w:val="auto"/>
                <w:kern w:val="0"/>
                <w:sz w:val="21"/>
                <w:szCs w:val="21"/>
              </w:rPr>
            </w:pPr>
            <w:r>
              <w:rPr>
                <w:color w:val="auto"/>
                <w:kern w:val="0"/>
                <w:sz w:val="21"/>
                <w:szCs w:val="21"/>
              </w:rPr>
              <w:t>工艺技术和设计安全防范措施、自动控制设计安全防范措施、消防及火灾报警系统、生产管理安全防范措施、对进水水质污染事故防范措施、受洪水冲刷的工程预防措施</w:t>
            </w:r>
          </w:p>
        </w:tc>
        <w:tc>
          <w:tcPr>
            <w:tcW w:w="638" w:type="pct"/>
            <w:tcBorders>
              <w:tl2br w:val="nil"/>
              <w:tr2bl w:val="nil"/>
            </w:tcBorders>
            <w:noWrap w:val="0"/>
            <w:vAlign w:val="center"/>
          </w:tcPr>
          <w:p w14:paraId="0C0956FE">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30</w:t>
            </w:r>
          </w:p>
        </w:tc>
        <w:tc>
          <w:tcPr>
            <w:tcW w:w="813" w:type="pct"/>
            <w:tcBorders>
              <w:tl2br w:val="nil"/>
              <w:tr2bl w:val="nil"/>
            </w:tcBorders>
            <w:noWrap w:val="0"/>
            <w:vAlign w:val="center"/>
          </w:tcPr>
          <w:p w14:paraId="6A2AA524">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计入主体工程</w:t>
            </w:r>
          </w:p>
        </w:tc>
      </w:tr>
      <w:tr w14:paraId="4D81A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208860CE">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3</w:t>
            </w:r>
          </w:p>
        </w:tc>
        <w:tc>
          <w:tcPr>
            <w:tcW w:w="3176" w:type="pct"/>
            <w:tcBorders>
              <w:tl2br w:val="nil"/>
              <w:tr2bl w:val="nil"/>
            </w:tcBorders>
            <w:noWrap w:val="0"/>
            <w:vAlign w:val="center"/>
          </w:tcPr>
          <w:p w14:paraId="495C286D">
            <w:pPr>
              <w:pageBreakBefore w:val="0"/>
              <w:wordWrap/>
              <w:bidi w:val="0"/>
              <w:adjustRightInd/>
              <w:snapToGrid/>
              <w:spacing w:line="240" w:lineRule="auto"/>
              <w:ind w:firstLine="0" w:firstLineChars="0"/>
              <w:jc w:val="left"/>
              <w:rPr>
                <w:color w:val="auto"/>
                <w:kern w:val="0"/>
                <w:sz w:val="21"/>
                <w:szCs w:val="21"/>
              </w:rPr>
            </w:pPr>
            <w:r>
              <w:rPr>
                <w:color w:val="auto"/>
                <w:sz w:val="21"/>
                <w:szCs w:val="21"/>
              </w:rPr>
              <w:t>制定应急预案，加强环境管理，区域、部门联动</w:t>
            </w:r>
          </w:p>
        </w:tc>
        <w:tc>
          <w:tcPr>
            <w:tcW w:w="638" w:type="pct"/>
            <w:tcBorders>
              <w:tl2br w:val="nil"/>
              <w:tr2bl w:val="nil"/>
            </w:tcBorders>
            <w:noWrap w:val="0"/>
            <w:vAlign w:val="center"/>
          </w:tcPr>
          <w:p w14:paraId="10FBF31E">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10</w:t>
            </w:r>
          </w:p>
        </w:tc>
        <w:tc>
          <w:tcPr>
            <w:tcW w:w="813" w:type="pct"/>
            <w:tcBorders>
              <w:tl2br w:val="nil"/>
              <w:tr2bl w:val="nil"/>
            </w:tcBorders>
            <w:noWrap w:val="0"/>
            <w:vAlign w:val="center"/>
          </w:tcPr>
          <w:p w14:paraId="45469E11">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r>
      <w:tr w14:paraId="12B4E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2D3CA7D5">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4</w:t>
            </w:r>
          </w:p>
        </w:tc>
        <w:tc>
          <w:tcPr>
            <w:tcW w:w="3176" w:type="pct"/>
            <w:tcBorders>
              <w:tl2br w:val="nil"/>
              <w:tr2bl w:val="nil"/>
            </w:tcBorders>
            <w:noWrap w:val="0"/>
            <w:vAlign w:val="center"/>
          </w:tcPr>
          <w:p w14:paraId="10024B68">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进、出水水质自动监测装置及报警装置，并制定污水处理厂环境风险应急预案，降低事故排污环境影响。</w:t>
            </w:r>
          </w:p>
        </w:tc>
        <w:tc>
          <w:tcPr>
            <w:tcW w:w="638" w:type="pct"/>
            <w:tcBorders>
              <w:tl2br w:val="nil"/>
              <w:tr2bl w:val="nil"/>
            </w:tcBorders>
            <w:noWrap w:val="0"/>
            <w:vAlign w:val="center"/>
          </w:tcPr>
          <w:p w14:paraId="18D1F1B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13" w:type="pct"/>
            <w:tcBorders>
              <w:tl2br w:val="nil"/>
              <w:tr2bl w:val="nil"/>
            </w:tcBorders>
            <w:noWrap w:val="0"/>
            <w:vAlign w:val="center"/>
          </w:tcPr>
          <w:p w14:paraId="5C5D9576">
            <w:pPr>
              <w:pageBreakBefore w:val="0"/>
              <w:wordWrap/>
              <w:bidi w:val="0"/>
              <w:adjustRightInd/>
              <w:snapToGrid/>
              <w:spacing w:line="240" w:lineRule="auto"/>
              <w:ind w:firstLine="0" w:firstLineChars="0"/>
              <w:jc w:val="center"/>
              <w:rPr>
                <w:color w:val="auto"/>
                <w:kern w:val="0"/>
                <w:sz w:val="21"/>
                <w:szCs w:val="21"/>
              </w:rPr>
            </w:pPr>
            <w:r>
              <w:rPr>
                <w:color w:val="auto"/>
                <w:sz w:val="21"/>
                <w:szCs w:val="21"/>
              </w:rPr>
              <w:t>列入在线监测系统投资</w:t>
            </w:r>
          </w:p>
        </w:tc>
      </w:tr>
      <w:tr w14:paraId="0FF6D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noWrap w:val="0"/>
            <w:tcMar>
              <w:left w:w="28" w:type="dxa"/>
              <w:right w:w="28" w:type="dxa"/>
            </w:tcMar>
            <w:vAlign w:val="center"/>
          </w:tcPr>
          <w:p w14:paraId="4FBF037B">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合计</w:t>
            </w:r>
          </w:p>
        </w:tc>
        <w:tc>
          <w:tcPr>
            <w:tcW w:w="3176" w:type="pct"/>
            <w:tcBorders>
              <w:tl2br w:val="nil"/>
              <w:tr2bl w:val="nil"/>
            </w:tcBorders>
            <w:noWrap w:val="0"/>
            <w:vAlign w:val="center"/>
          </w:tcPr>
          <w:p w14:paraId="67904D8D">
            <w:pPr>
              <w:pageBreakBefore w:val="0"/>
              <w:wordWrap/>
              <w:bidi w:val="0"/>
              <w:adjustRightInd/>
              <w:snapToGrid/>
              <w:spacing w:line="240" w:lineRule="auto"/>
              <w:ind w:firstLine="0" w:firstLineChars="0"/>
              <w:rPr>
                <w:snapToGrid w:val="0"/>
                <w:color w:val="auto"/>
                <w:kern w:val="0"/>
                <w:sz w:val="21"/>
                <w:szCs w:val="21"/>
              </w:rPr>
            </w:pPr>
          </w:p>
        </w:tc>
        <w:tc>
          <w:tcPr>
            <w:tcW w:w="638" w:type="pct"/>
            <w:tcBorders>
              <w:tl2br w:val="nil"/>
              <w:tr2bl w:val="nil"/>
            </w:tcBorders>
            <w:noWrap w:val="0"/>
            <w:vAlign w:val="center"/>
          </w:tcPr>
          <w:p w14:paraId="6142D063">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40</w:t>
            </w:r>
          </w:p>
        </w:tc>
        <w:tc>
          <w:tcPr>
            <w:tcW w:w="813" w:type="pct"/>
            <w:tcBorders>
              <w:tl2br w:val="nil"/>
              <w:tr2bl w:val="nil"/>
            </w:tcBorders>
            <w:noWrap w:val="0"/>
            <w:vAlign w:val="center"/>
          </w:tcPr>
          <w:p w14:paraId="05014CDC">
            <w:pPr>
              <w:pageBreakBefore w:val="0"/>
              <w:wordWrap/>
              <w:bidi w:val="0"/>
              <w:adjustRightInd/>
              <w:snapToGrid/>
              <w:spacing w:line="240" w:lineRule="auto"/>
              <w:ind w:firstLine="0" w:firstLineChars="0"/>
              <w:jc w:val="center"/>
              <w:rPr>
                <w:snapToGrid w:val="0"/>
                <w:color w:val="auto"/>
                <w:kern w:val="0"/>
                <w:sz w:val="21"/>
                <w:szCs w:val="21"/>
              </w:rPr>
            </w:pPr>
          </w:p>
        </w:tc>
      </w:tr>
      <w:bookmarkEnd w:id="207"/>
      <w:bookmarkEnd w:id="208"/>
    </w:tbl>
    <w:p w14:paraId="02EA3C21">
      <w:pPr>
        <w:pStyle w:val="4"/>
        <w:bidi w:val="0"/>
        <w:rPr>
          <w:color w:val="auto"/>
        </w:rPr>
      </w:pPr>
      <w:bookmarkStart w:id="214" w:name="_Toc3526"/>
      <w:bookmarkStart w:id="215" w:name="_Toc505087372"/>
      <w:r>
        <w:rPr>
          <w:rFonts w:hint="eastAsia"/>
          <w:color w:val="auto"/>
        </w:rPr>
        <w:t xml:space="preserve"> </w:t>
      </w:r>
      <w:bookmarkStart w:id="216" w:name="_Toc28477"/>
      <w:r>
        <w:rPr>
          <w:color w:val="auto"/>
        </w:rPr>
        <w:t>分析结论</w:t>
      </w:r>
      <w:bookmarkEnd w:id="216"/>
    </w:p>
    <w:p w14:paraId="7E13E5B7">
      <w:pPr>
        <w:bidi w:val="0"/>
        <w:rPr>
          <w:color w:val="auto"/>
        </w:rPr>
      </w:pPr>
      <w:r>
        <w:rPr>
          <w:color w:val="auto"/>
        </w:rPr>
        <w:t>根据风险识别和源项分析，本项目环境风险的最大可信事故为废水事故排放。建设单位应按照本报告书做好各项风险的预防和应急措施，并制定完善的风险事故应急预案。在项目严格落实环评提出各项措施和要求的前提下，本项目运营期的环境风险在可接受范围之内。</w:t>
      </w:r>
    </w:p>
    <w:p w14:paraId="696DEF91">
      <w:pPr>
        <w:pageBreakBefore w:val="0"/>
        <w:wordWrap/>
        <w:bidi w:val="0"/>
        <w:adjustRightInd/>
        <w:snapToGrid/>
        <w:ind w:firstLine="480"/>
        <w:rPr>
          <w:color w:val="auto"/>
        </w:rPr>
      </w:pPr>
      <w:r>
        <w:rPr>
          <w:color w:val="auto"/>
        </w:rPr>
        <w:t>建设项目环境风险简单分析</w:t>
      </w:r>
      <w:r>
        <w:rPr>
          <w:rFonts w:hint="eastAsia"/>
          <w:color w:val="auto"/>
          <w:lang w:eastAsia="zh-CN"/>
        </w:rPr>
        <w:t>内容</w:t>
      </w:r>
      <w:r>
        <w:rPr>
          <w:color w:val="auto"/>
        </w:rPr>
        <w:t>见</w:t>
      </w:r>
      <w:r>
        <w:rPr>
          <w:rFonts w:hint="eastAsia"/>
          <w:color w:val="auto"/>
          <w:lang w:val="en-US" w:eastAsia="zh-CN"/>
        </w:rPr>
        <w:t>下表</w:t>
      </w:r>
      <w:r>
        <w:rPr>
          <w:color w:val="auto"/>
        </w:rPr>
        <w:t>。</w:t>
      </w:r>
    </w:p>
    <w:p w14:paraId="647C1A07">
      <w:pPr>
        <w:pStyle w:val="15"/>
        <w:numPr>
          <w:ilvl w:val="0"/>
          <w:numId w:val="36"/>
        </w:numPr>
        <w:bidi w:val="0"/>
        <w:ind w:left="0" w:leftChars="0" w:firstLine="0" w:firstLineChars="0"/>
        <w:rPr>
          <w:color w:val="auto"/>
        </w:rPr>
      </w:pPr>
      <w:r>
        <w:rPr>
          <w:color w:val="auto"/>
        </w:rPr>
        <w:t>建设项目环境风险简单分析内容表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6"/>
        <w:gridCol w:w="832"/>
        <w:gridCol w:w="497"/>
        <w:gridCol w:w="1334"/>
        <w:gridCol w:w="669"/>
        <w:gridCol w:w="662"/>
        <w:gridCol w:w="213"/>
        <w:gridCol w:w="792"/>
        <w:gridCol w:w="1686"/>
      </w:tblGrid>
      <w:tr w14:paraId="7B683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621C585D">
            <w:pPr>
              <w:pageBreakBefore w:val="0"/>
              <w:wordWrap/>
              <w:bidi w:val="0"/>
              <w:adjustRightInd/>
              <w:snapToGrid/>
              <w:spacing w:line="240" w:lineRule="auto"/>
              <w:ind w:firstLine="0" w:firstLineChars="0"/>
              <w:jc w:val="center"/>
              <w:rPr>
                <w:b/>
                <w:color w:val="auto"/>
                <w:sz w:val="21"/>
                <w:szCs w:val="21"/>
              </w:rPr>
            </w:pPr>
            <w:r>
              <w:rPr>
                <w:b/>
                <w:color w:val="auto"/>
                <w:sz w:val="21"/>
                <w:szCs w:val="21"/>
              </w:rPr>
              <w:t>建设项目名称</w:t>
            </w:r>
          </w:p>
        </w:tc>
        <w:tc>
          <w:tcPr>
            <w:tcW w:w="3737" w:type="pct"/>
            <w:gridSpan w:val="8"/>
            <w:tcBorders>
              <w:tl2br w:val="nil"/>
              <w:tr2bl w:val="nil"/>
            </w:tcBorders>
            <w:noWrap w:val="0"/>
            <w:vAlign w:val="center"/>
          </w:tcPr>
          <w:p w14:paraId="22E083EC">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巴中市巴州区曾口片区污水处理厂、环境监测站建设项目</w:t>
            </w:r>
          </w:p>
        </w:tc>
      </w:tr>
      <w:tr w14:paraId="4E729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002EA519">
            <w:pPr>
              <w:pageBreakBefore w:val="0"/>
              <w:wordWrap/>
              <w:bidi w:val="0"/>
              <w:adjustRightInd/>
              <w:snapToGrid/>
              <w:spacing w:line="240" w:lineRule="auto"/>
              <w:ind w:firstLine="0" w:firstLineChars="0"/>
              <w:jc w:val="center"/>
              <w:rPr>
                <w:b/>
                <w:color w:val="auto"/>
                <w:sz w:val="21"/>
                <w:szCs w:val="21"/>
              </w:rPr>
            </w:pPr>
            <w:r>
              <w:rPr>
                <w:b/>
                <w:color w:val="auto"/>
                <w:sz w:val="21"/>
                <w:szCs w:val="21"/>
              </w:rPr>
              <w:t>建设地点</w:t>
            </w:r>
          </w:p>
        </w:tc>
        <w:tc>
          <w:tcPr>
            <w:tcW w:w="743" w:type="pct"/>
            <w:gridSpan w:val="2"/>
            <w:tcBorders>
              <w:tl2br w:val="nil"/>
              <w:tr2bl w:val="nil"/>
            </w:tcBorders>
            <w:noWrap w:val="0"/>
            <w:vAlign w:val="center"/>
          </w:tcPr>
          <w:p w14:paraId="3A888363">
            <w:pPr>
              <w:pageBreakBefore w:val="0"/>
              <w:wordWrap/>
              <w:bidi w:val="0"/>
              <w:adjustRightInd/>
              <w:snapToGrid/>
              <w:spacing w:line="240" w:lineRule="auto"/>
              <w:ind w:firstLine="0" w:firstLineChars="0"/>
              <w:jc w:val="center"/>
              <w:rPr>
                <w:color w:val="auto"/>
                <w:sz w:val="21"/>
                <w:szCs w:val="21"/>
              </w:rPr>
            </w:pPr>
            <w:r>
              <w:rPr>
                <w:color w:val="auto"/>
                <w:sz w:val="21"/>
                <w:szCs w:val="21"/>
              </w:rPr>
              <w:t>（四川）省</w:t>
            </w:r>
          </w:p>
        </w:tc>
        <w:tc>
          <w:tcPr>
            <w:tcW w:w="746" w:type="pct"/>
            <w:tcBorders>
              <w:tl2br w:val="nil"/>
              <w:tr2bl w:val="nil"/>
            </w:tcBorders>
            <w:noWrap w:val="0"/>
            <w:vAlign w:val="center"/>
          </w:tcPr>
          <w:p w14:paraId="56FF4114">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eastAsia="zh-CN"/>
              </w:rPr>
              <w:t>巴中</w:t>
            </w:r>
            <w:r>
              <w:rPr>
                <w:color w:val="auto"/>
                <w:sz w:val="21"/>
                <w:szCs w:val="21"/>
              </w:rPr>
              <w:t>）市</w:t>
            </w:r>
          </w:p>
        </w:tc>
        <w:tc>
          <w:tcPr>
            <w:tcW w:w="744" w:type="pct"/>
            <w:gridSpan w:val="2"/>
            <w:tcBorders>
              <w:tl2br w:val="nil"/>
              <w:tr2bl w:val="nil"/>
            </w:tcBorders>
            <w:noWrap w:val="0"/>
            <w:vAlign w:val="center"/>
          </w:tcPr>
          <w:p w14:paraId="5641302C">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巴州</w:t>
            </w:r>
            <w:r>
              <w:rPr>
                <w:color w:val="auto"/>
                <w:sz w:val="21"/>
                <w:szCs w:val="21"/>
              </w:rPr>
              <w:t>）区</w:t>
            </w:r>
          </w:p>
        </w:tc>
        <w:tc>
          <w:tcPr>
            <w:tcW w:w="562" w:type="pct"/>
            <w:gridSpan w:val="2"/>
            <w:tcBorders>
              <w:tl2br w:val="nil"/>
              <w:tr2bl w:val="nil"/>
            </w:tcBorders>
            <w:noWrap w:val="0"/>
            <w:vAlign w:val="center"/>
          </w:tcPr>
          <w:p w14:paraId="585FB3A7">
            <w:pPr>
              <w:pageBreakBefore w:val="0"/>
              <w:wordWrap/>
              <w:bidi w:val="0"/>
              <w:adjustRightInd/>
              <w:snapToGrid/>
              <w:spacing w:line="240" w:lineRule="auto"/>
              <w:ind w:firstLine="0" w:firstLineChars="0"/>
              <w:jc w:val="center"/>
              <w:rPr>
                <w:color w:val="auto"/>
                <w:sz w:val="21"/>
                <w:szCs w:val="21"/>
              </w:rPr>
            </w:pPr>
            <w:r>
              <w:rPr>
                <w:color w:val="auto"/>
                <w:sz w:val="21"/>
                <w:szCs w:val="21"/>
              </w:rPr>
              <w:t>（）县</w:t>
            </w:r>
          </w:p>
        </w:tc>
        <w:tc>
          <w:tcPr>
            <w:tcW w:w="941" w:type="pct"/>
            <w:tcBorders>
              <w:tl2br w:val="nil"/>
              <w:tr2bl w:val="nil"/>
            </w:tcBorders>
            <w:noWrap w:val="0"/>
            <w:vAlign w:val="center"/>
          </w:tcPr>
          <w:p w14:paraId="6717BF2F">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曾口镇寿星村13组</w:t>
            </w:r>
          </w:p>
        </w:tc>
      </w:tr>
      <w:tr w14:paraId="13545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7BD10314">
            <w:pPr>
              <w:pageBreakBefore w:val="0"/>
              <w:wordWrap/>
              <w:bidi w:val="0"/>
              <w:adjustRightInd/>
              <w:snapToGrid/>
              <w:spacing w:line="240" w:lineRule="auto"/>
              <w:ind w:firstLine="0" w:firstLineChars="0"/>
              <w:jc w:val="center"/>
              <w:rPr>
                <w:b/>
                <w:color w:val="auto"/>
                <w:sz w:val="21"/>
                <w:szCs w:val="21"/>
              </w:rPr>
            </w:pPr>
            <w:r>
              <w:rPr>
                <w:b/>
                <w:color w:val="auto"/>
                <w:sz w:val="21"/>
                <w:szCs w:val="21"/>
              </w:rPr>
              <w:t>地理坐标</w:t>
            </w:r>
          </w:p>
        </w:tc>
        <w:tc>
          <w:tcPr>
            <w:tcW w:w="465" w:type="pct"/>
            <w:tcBorders>
              <w:tl2br w:val="nil"/>
              <w:tr2bl w:val="nil"/>
            </w:tcBorders>
            <w:noWrap w:val="0"/>
            <w:vAlign w:val="center"/>
          </w:tcPr>
          <w:p w14:paraId="1DB15ADD">
            <w:pPr>
              <w:pageBreakBefore w:val="0"/>
              <w:wordWrap/>
              <w:bidi w:val="0"/>
              <w:adjustRightInd/>
              <w:snapToGrid/>
              <w:spacing w:line="240" w:lineRule="auto"/>
              <w:ind w:firstLine="0" w:firstLineChars="0"/>
              <w:jc w:val="center"/>
              <w:rPr>
                <w:color w:val="auto"/>
                <w:sz w:val="21"/>
                <w:szCs w:val="21"/>
              </w:rPr>
            </w:pPr>
            <w:r>
              <w:rPr>
                <w:color w:val="auto"/>
                <w:sz w:val="21"/>
                <w:szCs w:val="21"/>
              </w:rPr>
              <w:t>经度</w:t>
            </w:r>
          </w:p>
        </w:tc>
        <w:tc>
          <w:tcPr>
            <w:tcW w:w="1398" w:type="pct"/>
            <w:gridSpan w:val="3"/>
            <w:tcBorders>
              <w:tl2br w:val="nil"/>
              <w:tr2bl w:val="nil"/>
            </w:tcBorders>
            <w:noWrap w:val="0"/>
            <w:vAlign w:val="center"/>
          </w:tcPr>
          <w:p w14:paraId="45DDEDAC">
            <w:pPr>
              <w:pageBreakBefore w:val="0"/>
              <w:wordWrap/>
              <w:bidi w:val="0"/>
              <w:adjustRightInd/>
              <w:snapToGrid/>
              <w:spacing w:line="240" w:lineRule="auto"/>
              <w:ind w:firstLine="0" w:firstLineChars="0"/>
              <w:jc w:val="center"/>
              <w:rPr>
                <w:color w:val="auto"/>
                <w:sz w:val="21"/>
                <w:szCs w:val="21"/>
              </w:rPr>
            </w:pPr>
            <w:r>
              <w:rPr>
                <w:color w:val="auto"/>
                <w:sz w:val="21"/>
                <w:szCs w:val="21"/>
              </w:rPr>
              <w:t>东经10</w:t>
            </w:r>
            <w:r>
              <w:rPr>
                <w:rFonts w:hint="eastAsia"/>
                <w:color w:val="auto"/>
                <w:sz w:val="21"/>
                <w:szCs w:val="21"/>
                <w:lang w:val="en-US" w:eastAsia="zh-CN"/>
              </w:rPr>
              <w:t>6</w:t>
            </w:r>
            <w:r>
              <w:rPr>
                <w:color w:val="auto"/>
                <w:sz w:val="21"/>
                <w:szCs w:val="21"/>
              </w:rPr>
              <w:t>°</w:t>
            </w:r>
            <w:r>
              <w:rPr>
                <w:rFonts w:hint="eastAsia"/>
                <w:color w:val="auto"/>
                <w:sz w:val="21"/>
                <w:szCs w:val="21"/>
                <w:lang w:val="en-US" w:eastAsia="zh-CN"/>
              </w:rPr>
              <w:t>53</w:t>
            </w:r>
            <w:r>
              <w:rPr>
                <w:color w:val="auto"/>
                <w:sz w:val="21"/>
                <w:szCs w:val="21"/>
              </w:rPr>
              <w:t>'2</w:t>
            </w:r>
            <w:r>
              <w:rPr>
                <w:rFonts w:hint="eastAsia"/>
                <w:color w:val="auto"/>
                <w:sz w:val="21"/>
                <w:szCs w:val="21"/>
                <w:lang w:val="en-US" w:eastAsia="zh-CN"/>
              </w:rPr>
              <w:t>7.378</w:t>
            </w:r>
            <w:r>
              <w:rPr>
                <w:color w:val="auto"/>
                <w:sz w:val="21"/>
                <w:szCs w:val="21"/>
              </w:rPr>
              <w:t>"</w:t>
            </w:r>
          </w:p>
        </w:tc>
        <w:tc>
          <w:tcPr>
            <w:tcW w:w="489" w:type="pct"/>
            <w:gridSpan w:val="2"/>
            <w:tcBorders>
              <w:tl2br w:val="nil"/>
              <w:tr2bl w:val="nil"/>
            </w:tcBorders>
            <w:noWrap w:val="0"/>
            <w:vAlign w:val="center"/>
          </w:tcPr>
          <w:p w14:paraId="329769AA">
            <w:pPr>
              <w:pageBreakBefore w:val="0"/>
              <w:wordWrap/>
              <w:bidi w:val="0"/>
              <w:adjustRightInd/>
              <w:snapToGrid/>
              <w:spacing w:line="240" w:lineRule="auto"/>
              <w:ind w:firstLine="0" w:firstLineChars="0"/>
              <w:jc w:val="center"/>
              <w:rPr>
                <w:color w:val="auto"/>
                <w:sz w:val="21"/>
                <w:szCs w:val="21"/>
              </w:rPr>
            </w:pPr>
            <w:r>
              <w:rPr>
                <w:color w:val="auto"/>
                <w:sz w:val="21"/>
                <w:szCs w:val="21"/>
              </w:rPr>
              <w:t>纬度</w:t>
            </w:r>
          </w:p>
        </w:tc>
        <w:tc>
          <w:tcPr>
            <w:tcW w:w="1384" w:type="pct"/>
            <w:gridSpan w:val="2"/>
            <w:tcBorders>
              <w:tl2br w:val="nil"/>
              <w:tr2bl w:val="nil"/>
            </w:tcBorders>
            <w:noWrap w:val="0"/>
            <w:vAlign w:val="center"/>
          </w:tcPr>
          <w:p w14:paraId="1C34E292">
            <w:pPr>
              <w:pageBreakBefore w:val="0"/>
              <w:wordWrap/>
              <w:bidi w:val="0"/>
              <w:adjustRightInd/>
              <w:snapToGrid/>
              <w:spacing w:line="240" w:lineRule="auto"/>
              <w:ind w:firstLine="0" w:firstLineChars="0"/>
              <w:jc w:val="center"/>
              <w:rPr>
                <w:color w:val="auto"/>
                <w:sz w:val="21"/>
                <w:szCs w:val="21"/>
              </w:rPr>
            </w:pPr>
            <w:r>
              <w:rPr>
                <w:color w:val="auto"/>
                <w:sz w:val="21"/>
                <w:szCs w:val="21"/>
              </w:rPr>
              <w:t>北纬3</w:t>
            </w:r>
            <w:r>
              <w:rPr>
                <w:rFonts w:hint="eastAsia"/>
                <w:color w:val="auto"/>
                <w:sz w:val="21"/>
                <w:szCs w:val="21"/>
                <w:lang w:val="en-US" w:eastAsia="zh-CN"/>
              </w:rPr>
              <w:t>1</w:t>
            </w:r>
            <w:r>
              <w:rPr>
                <w:color w:val="auto"/>
                <w:sz w:val="21"/>
                <w:szCs w:val="21"/>
              </w:rPr>
              <w:t>°4</w:t>
            </w:r>
            <w:r>
              <w:rPr>
                <w:rFonts w:hint="eastAsia"/>
                <w:color w:val="auto"/>
                <w:sz w:val="21"/>
                <w:szCs w:val="21"/>
                <w:lang w:val="en-US" w:eastAsia="zh-CN"/>
              </w:rPr>
              <w:t>5</w:t>
            </w:r>
            <w:r>
              <w:rPr>
                <w:color w:val="auto"/>
                <w:sz w:val="21"/>
                <w:szCs w:val="21"/>
              </w:rPr>
              <w:t>'</w:t>
            </w:r>
            <w:r>
              <w:rPr>
                <w:rFonts w:hint="eastAsia"/>
                <w:color w:val="auto"/>
                <w:sz w:val="21"/>
                <w:szCs w:val="21"/>
                <w:lang w:val="en-US" w:eastAsia="zh-CN"/>
              </w:rPr>
              <w:t>12.978</w:t>
            </w:r>
            <w:r>
              <w:rPr>
                <w:color w:val="auto"/>
                <w:sz w:val="21"/>
                <w:szCs w:val="21"/>
              </w:rPr>
              <w:t>"</w:t>
            </w:r>
          </w:p>
        </w:tc>
      </w:tr>
      <w:tr w14:paraId="2DA47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64A3A62F">
            <w:pPr>
              <w:pageBreakBefore w:val="0"/>
              <w:wordWrap/>
              <w:bidi w:val="0"/>
              <w:adjustRightInd/>
              <w:snapToGrid/>
              <w:spacing w:line="240" w:lineRule="auto"/>
              <w:ind w:firstLine="0" w:firstLineChars="0"/>
              <w:jc w:val="center"/>
              <w:rPr>
                <w:b/>
                <w:color w:val="auto"/>
                <w:sz w:val="21"/>
                <w:szCs w:val="21"/>
              </w:rPr>
            </w:pPr>
            <w:r>
              <w:rPr>
                <w:b/>
                <w:color w:val="auto"/>
                <w:sz w:val="21"/>
                <w:szCs w:val="21"/>
              </w:rPr>
              <w:t>主要危险物质及分布</w:t>
            </w:r>
          </w:p>
        </w:tc>
        <w:tc>
          <w:tcPr>
            <w:tcW w:w="3737" w:type="pct"/>
            <w:gridSpan w:val="8"/>
            <w:tcBorders>
              <w:tl2br w:val="nil"/>
              <w:tr2bl w:val="nil"/>
            </w:tcBorders>
            <w:noWrap w:val="0"/>
            <w:vAlign w:val="center"/>
          </w:tcPr>
          <w:p w14:paraId="00080433">
            <w:pPr>
              <w:pageBreakBefore w:val="0"/>
              <w:wordWrap/>
              <w:bidi w:val="0"/>
              <w:adjustRightInd/>
              <w:snapToGrid/>
              <w:spacing w:line="240" w:lineRule="auto"/>
              <w:ind w:firstLine="0" w:firstLineChars="0"/>
              <w:jc w:val="center"/>
              <w:rPr>
                <w:color w:val="auto"/>
                <w:sz w:val="21"/>
                <w:szCs w:val="21"/>
              </w:rPr>
            </w:pPr>
            <w:r>
              <w:rPr>
                <w:rFonts w:hint="eastAsia" w:cs="宋体"/>
                <w:color w:val="auto"/>
                <w:kern w:val="0"/>
                <w:sz w:val="21"/>
                <w:szCs w:val="21"/>
              </w:rPr>
              <w:t>危险物质及储存位置：次氯酸钠（次氯酸钠投加间）</w:t>
            </w:r>
          </w:p>
        </w:tc>
      </w:tr>
      <w:tr w14:paraId="54FDF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6262623E">
            <w:pPr>
              <w:pageBreakBefore w:val="0"/>
              <w:wordWrap/>
              <w:bidi w:val="0"/>
              <w:adjustRightInd/>
              <w:snapToGrid/>
              <w:spacing w:line="240" w:lineRule="auto"/>
              <w:ind w:firstLine="0" w:firstLineChars="0"/>
              <w:jc w:val="center"/>
              <w:rPr>
                <w:b/>
                <w:color w:val="auto"/>
                <w:sz w:val="21"/>
                <w:szCs w:val="21"/>
              </w:rPr>
            </w:pPr>
            <w:r>
              <w:rPr>
                <w:b/>
                <w:color w:val="auto"/>
                <w:sz w:val="21"/>
                <w:szCs w:val="21"/>
              </w:rPr>
              <w:t>环境影响途径及危害后果（大气、地表水、地下水等）</w:t>
            </w:r>
          </w:p>
        </w:tc>
        <w:tc>
          <w:tcPr>
            <w:tcW w:w="3737" w:type="pct"/>
            <w:gridSpan w:val="8"/>
            <w:tcBorders>
              <w:tl2br w:val="nil"/>
              <w:tr2bl w:val="nil"/>
            </w:tcBorders>
            <w:noWrap w:val="0"/>
            <w:vAlign w:val="center"/>
          </w:tcPr>
          <w:p w14:paraId="1FB19FBE">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废水事故排放、进水水质波动可能会导致区域地表水环境受到污染；池体、管道破裂可能会导致项目区域地下水环境受到影响；废气处理装置事故排放可能会导致恶臭污染物影响周边大气环境。</w:t>
            </w:r>
          </w:p>
        </w:tc>
      </w:tr>
      <w:tr w14:paraId="1ADEA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057A986F">
            <w:pPr>
              <w:pageBreakBefore w:val="0"/>
              <w:wordWrap/>
              <w:bidi w:val="0"/>
              <w:adjustRightInd/>
              <w:snapToGrid/>
              <w:spacing w:line="240" w:lineRule="auto"/>
              <w:ind w:firstLine="0" w:firstLineChars="0"/>
              <w:jc w:val="center"/>
              <w:rPr>
                <w:b/>
                <w:color w:val="auto"/>
                <w:sz w:val="21"/>
                <w:szCs w:val="21"/>
              </w:rPr>
            </w:pPr>
            <w:r>
              <w:rPr>
                <w:b/>
                <w:color w:val="auto"/>
                <w:sz w:val="21"/>
                <w:szCs w:val="21"/>
              </w:rPr>
              <w:t>风险防范措施要求</w:t>
            </w:r>
          </w:p>
        </w:tc>
        <w:tc>
          <w:tcPr>
            <w:tcW w:w="3737" w:type="pct"/>
            <w:gridSpan w:val="8"/>
            <w:tcBorders>
              <w:tl2br w:val="nil"/>
              <w:tr2bl w:val="nil"/>
            </w:tcBorders>
            <w:noWrap w:val="0"/>
            <w:vAlign w:val="center"/>
          </w:tcPr>
          <w:p w14:paraId="47344D3F">
            <w:pPr>
              <w:pStyle w:val="62"/>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分别从废水事故排放、进水水质波动事故、废气处理装置事故、污水管网事故、池体破裂事故等方面，对项目运行过程中提出了相应的环境风险防范措施，并对人员管理制度及突发事故应急预案作出了相应要求。具体见环境风险评价部分</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6.5环境风险防范措施及应急要求</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章节。</w:t>
            </w:r>
          </w:p>
        </w:tc>
      </w:tr>
      <w:tr w14:paraId="6462A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00" w:type="pct"/>
            <w:gridSpan w:val="9"/>
            <w:tcBorders>
              <w:tl2br w:val="nil"/>
              <w:tr2bl w:val="nil"/>
            </w:tcBorders>
            <w:noWrap w:val="0"/>
            <w:vAlign w:val="center"/>
          </w:tcPr>
          <w:p w14:paraId="2D54E4C4">
            <w:pPr>
              <w:pageBreakBefore w:val="0"/>
              <w:wordWrap/>
              <w:bidi w:val="0"/>
              <w:adjustRightInd/>
              <w:snapToGrid/>
              <w:spacing w:line="240" w:lineRule="auto"/>
              <w:ind w:firstLine="0" w:firstLineChars="0"/>
              <w:rPr>
                <w:b/>
                <w:color w:val="auto"/>
                <w:sz w:val="21"/>
                <w:szCs w:val="21"/>
              </w:rPr>
            </w:pPr>
            <w:r>
              <w:rPr>
                <w:b/>
                <w:color w:val="auto"/>
                <w:sz w:val="21"/>
                <w:szCs w:val="21"/>
              </w:rPr>
              <w:t>填表说明（列出项目相关信息及评价说明）：</w:t>
            </w:r>
          </w:p>
          <w:p w14:paraId="7AA84D0C">
            <w:pPr>
              <w:pageBreakBefore w:val="0"/>
              <w:wordWrap/>
              <w:bidi w:val="0"/>
              <w:adjustRightInd/>
              <w:snapToGrid/>
              <w:spacing w:line="240" w:lineRule="auto"/>
              <w:ind w:firstLine="0" w:firstLineChars="0"/>
              <w:rPr>
                <w:color w:val="auto"/>
                <w:sz w:val="21"/>
                <w:szCs w:val="21"/>
              </w:rPr>
            </w:pPr>
            <w:r>
              <w:rPr>
                <w:color w:val="auto"/>
                <w:sz w:val="21"/>
                <w:szCs w:val="21"/>
              </w:rPr>
              <w:t>项目所使用的各类原辅料中，不涉及危险物质，根据《建设项目环境风险评价技术导则》（HJ169-2018），本项目的环境风险潜势直接判断为Ⅰ，环境风险评价可开展简单分析。</w:t>
            </w:r>
          </w:p>
        </w:tc>
      </w:tr>
    </w:tbl>
    <w:p w14:paraId="348E5EAC">
      <w:pPr>
        <w:pStyle w:val="4"/>
        <w:bidi w:val="0"/>
        <w:rPr>
          <w:color w:val="auto"/>
        </w:rPr>
      </w:pPr>
      <w:r>
        <w:rPr>
          <w:rFonts w:hint="eastAsia"/>
          <w:color w:val="auto"/>
        </w:rPr>
        <w:t xml:space="preserve"> </w:t>
      </w:r>
      <w:r>
        <w:rPr>
          <w:color w:val="auto"/>
        </w:rPr>
        <w:t>环境风险评价自查表</w:t>
      </w:r>
    </w:p>
    <w:p w14:paraId="09F050DF">
      <w:pPr>
        <w:pStyle w:val="570"/>
        <w:snapToGrid w:val="0"/>
        <w:spacing w:line="360" w:lineRule="auto"/>
        <w:textAlignment w:val="auto"/>
        <w:rPr>
          <w:rFonts w:eastAsia="宋体"/>
          <w:color w:val="auto"/>
        </w:rPr>
      </w:pPr>
      <w:r>
        <w:rPr>
          <w:rFonts w:eastAsia="宋体"/>
          <w:color w:val="auto"/>
        </w:rPr>
        <w:t>环境风险评价自查表见</w:t>
      </w:r>
      <w:r>
        <w:rPr>
          <w:rFonts w:hint="eastAsia" w:eastAsia="宋体"/>
          <w:color w:val="auto"/>
          <w:lang w:val="en-US" w:eastAsia="zh-CN"/>
        </w:rPr>
        <w:t>下表</w:t>
      </w:r>
      <w:r>
        <w:rPr>
          <w:rFonts w:eastAsia="宋体"/>
          <w:color w:val="auto"/>
        </w:rPr>
        <w:t>。</w:t>
      </w:r>
    </w:p>
    <w:p w14:paraId="4DD5251B">
      <w:pPr>
        <w:pStyle w:val="13"/>
        <w:rPr>
          <w:color w:val="auto"/>
        </w:rPr>
      </w:pPr>
      <w:r>
        <w:rPr>
          <w:color w:val="auto"/>
        </w:rPr>
        <w:t>表</w:t>
      </w:r>
      <w:r>
        <w:rPr>
          <w:rFonts w:hint="eastAsia"/>
          <w:color w:val="auto"/>
          <w:lang w:val="en-US" w:eastAsia="zh-CN"/>
        </w:rPr>
        <w:t>5.8.1</w:t>
      </w:r>
      <w:r>
        <w:rPr>
          <w:color w:val="auto"/>
        </w:rPr>
        <w:t xml:space="preserve"> 环境风险评价自查表</w:t>
      </w:r>
    </w:p>
    <w:tbl>
      <w:tblPr>
        <w:tblStyle w:val="48"/>
        <w:tblW w:w="4997"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28" w:type="dxa"/>
          <w:bottom w:w="0" w:type="dxa"/>
          <w:right w:w="28" w:type="dxa"/>
        </w:tblCellMar>
      </w:tblPr>
      <w:tblGrid>
        <w:gridCol w:w="435"/>
        <w:gridCol w:w="132"/>
        <w:gridCol w:w="1445"/>
        <w:gridCol w:w="1224"/>
        <w:gridCol w:w="406"/>
        <w:gridCol w:w="778"/>
        <w:gridCol w:w="796"/>
        <w:gridCol w:w="348"/>
        <w:gridCol w:w="277"/>
        <w:gridCol w:w="323"/>
        <w:gridCol w:w="796"/>
        <w:gridCol w:w="567"/>
        <w:gridCol w:w="242"/>
        <w:gridCol w:w="1012"/>
      </w:tblGrid>
      <w:tr w14:paraId="14379E1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6422151C">
            <w:pPr>
              <w:pStyle w:val="12"/>
              <w:bidi w:val="0"/>
              <w:rPr>
                <w:color w:val="auto"/>
              </w:rPr>
            </w:pPr>
            <w:r>
              <w:rPr>
                <w:rFonts w:hint="eastAsia"/>
                <w:color w:val="auto"/>
              </w:rPr>
              <w:t>工作内容</w:t>
            </w:r>
          </w:p>
        </w:tc>
        <w:tc>
          <w:tcPr>
            <w:tcW w:w="3853" w:type="pct"/>
            <w:gridSpan w:val="11"/>
            <w:tcBorders>
              <w:tl2br w:val="nil"/>
              <w:tr2bl w:val="nil"/>
            </w:tcBorders>
            <w:noWrap w:val="0"/>
            <w:vAlign w:val="center"/>
          </w:tcPr>
          <w:p w14:paraId="018EAAE6">
            <w:pPr>
              <w:pStyle w:val="12"/>
              <w:bidi w:val="0"/>
              <w:rPr>
                <w:color w:val="auto"/>
              </w:rPr>
            </w:pPr>
            <w:r>
              <w:rPr>
                <w:rFonts w:hint="eastAsia"/>
                <w:color w:val="auto"/>
              </w:rPr>
              <w:t>完成情况</w:t>
            </w:r>
          </w:p>
        </w:tc>
      </w:tr>
      <w:tr w14:paraId="21C788E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restart"/>
            <w:tcBorders>
              <w:tl2br w:val="nil"/>
              <w:tr2bl w:val="nil"/>
            </w:tcBorders>
            <w:noWrap w:val="0"/>
            <w:vAlign w:val="center"/>
          </w:tcPr>
          <w:p w14:paraId="7C99F174">
            <w:pPr>
              <w:pStyle w:val="12"/>
              <w:bidi w:val="0"/>
              <w:rPr>
                <w:color w:val="auto"/>
              </w:rPr>
            </w:pPr>
            <w:r>
              <w:rPr>
                <w:rFonts w:hint="eastAsia"/>
                <w:color w:val="auto"/>
              </w:rPr>
              <w:t>环境风险</w:t>
            </w:r>
          </w:p>
        </w:tc>
        <w:tc>
          <w:tcPr>
            <w:tcW w:w="898" w:type="pct"/>
            <w:gridSpan w:val="2"/>
            <w:vMerge w:val="restart"/>
            <w:tcBorders>
              <w:tl2br w:val="nil"/>
              <w:tr2bl w:val="nil"/>
            </w:tcBorders>
            <w:noWrap w:val="0"/>
            <w:vAlign w:val="center"/>
          </w:tcPr>
          <w:p w14:paraId="7ABF4CF7">
            <w:pPr>
              <w:pStyle w:val="12"/>
              <w:bidi w:val="0"/>
              <w:rPr>
                <w:color w:val="auto"/>
              </w:rPr>
            </w:pPr>
            <w:r>
              <w:rPr>
                <w:rFonts w:hint="eastAsia"/>
                <w:color w:val="auto"/>
              </w:rPr>
              <w:t>危险物质</w:t>
            </w:r>
          </w:p>
        </w:tc>
        <w:tc>
          <w:tcPr>
            <w:tcW w:w="697" w:type="pct"/>
            <w:tcBorders>
              <w:tl2br w:val="nil"/>
              <w:tr2bl w:val="nil"/>
            </w:tcBorders>
            <w:noWrap w:val="0"/>
            <w:vAlign w:val="center"/>
          </w:tcPr>
          <w:p w14:paraId="3DC4F24E">
            <w:pPr>
              <w:pStyle w:val="12"/>
              <w:bidi w:val="0"/>
              <w:rPr>
                <w:color w:val="auto"/>
              </w:rPr>
            </w:pPr>
            <w:r>
              <w:rPr>
                <w:color w:val="auto"/>
              </w:rPr>
              <w:t>名称</w:t>
            </w:r>
          </w:p>
        </w:tc>
        <w:tc>
          <w:tcPr>
            <w:tcW w:w="674" w:type="pct"/>
            <w:gridSpan w:val="2"/>
            <w:tcBorders>
              <w:tl2br w:val="nil"/>
              <w:tr2bl w:val="nil"/>
            </w:tcBorders>
            <w:noWrap w:val="0"/>
            <w:vAlign w:val="center"/>
          </w:tcPr>
          <w:p w14:paraId="72D44D22">
            <w:pPr>
              <w:pStyle w:val="12"/>
              <w:bidi w:val="0"/>
              <w:rPr>
                <w:rFonts w:hint="default"/>
                <w:color w:val="auto"/>
                <w:lang w:val="en-US" w:eastAsia="zh-CN"/>
              </w:rPr>
            </w:pPr>
            <w:r>
              <w:rPr>
                <w:rFonts w:hint="eastAsia"/>
                <w:color w:val="auto"/>
                <w:lang w:val="en-US" w:eastAsia="zh-CN"/>
              </w:rPr>
              <w:t>次氯酸钠</w:t>
            </w:r>
          </w:p>
        </w:tc>
        <w:tc>
          <w:tcPr>
            <w:tcW w:w="451" w:type="pct"/>
            <w:tcBorders>
              <w:tl2br w:val="nil"/>
              <w:tr2bl w:val="nil"/>
            </w:tcBorders>
            <w:noWrap w:val="0"/>
            <w:vAlign w:val="center"/>
          </w:tcPr>
          <w:p w14:paraId="095BB21F">
            <w:pPr>
              <w:pStyle w:val="12"/>
              <w:bidi w:val="0"/>
              <w:rPr>
                <w:rFonts w:hint="eastAsia"/>
                <w:color w:val="auto"/>
                <w:lang w:eastAsia="zh-CN"/>
              </w:rPr>
            </w:pPr>
          </w:p>
        </w:tc>
        <w:tc>
          <w:tcPr>
            <w:tcW w:w="356" w:type="pct"/>
            <w:gridSpan w:val="2"/>
            <w:tcBorders>
              <w:tl2br w:val="nil"/>
              <w:tr2bl w:val="nil"/>
            </w:tcBorders>
            <w:noWrap w:val="0"/>
            <w:vAlign w:val="center"/>
          </w:tcPr>
          <w:p w14:paraId="07AAE133">
            <w:pPr>
              <w:pStyle w:val="12"/>
              <w:bidi w:val="0"/>
              <w:rPr>
                <w:color w:val="auto"/>
              </w:rPr>
            </w:pPr>
          </w:p>
        </w:tc>
        <w:tc>
          <w:tcPr>
            <w:tcW w:w="636" w:type="pct"/>
            <w:gridSpan w:val="2"/>
            <w:tcBorders>
              <w:tl2br w:val="nil"/>
              <w:tr2bl w:val="nil"/>
            </w:tcBorders>
            <w:noWrap w:val="0"/>
            <w:vAlign w:val="center"/>
          </w:tcPr>
          <w:p w14:paraId="62566ABA">
            <w:pPr>
              <w:pStyle w:val="12"/>
              <w:bidi w:val="0"/>
              <w:rPr>
                <w:color w:val="auto"/>
              </w:rPr>
            </w:pPr>
          </w:p>
        </w:tc>
        <w:tc>
          <w:tcPr>
            <w:tcW w:w="461" w:type="pct"/>
            <w:gridSpan w:val="2"/>
            <w:tcBorders>
              <w:tl2br w:val="nil"/>
              <w:tr2bl w:val="nil"/>
            </w:tcBorders>
            <w:noWrap w:val="0"/>
            <w:vAlign w:val="center"/>
          </w:tcPr>
          <w:p w14:paraId="4095C304">
            <w:pPr>
              <w:pStyle w:val="12"/>
              <w:bidi w:val="0"/>
              <w:rPr>
                <w:color w:val="auto"/>
              </w:rPr>
            </w:pPr>
          </w:p>
        </w:tc>
        <w:tc>
          <w:tcPr>
            <w:tcW w:w="574" w:type="pct"/>
            <w:tcBorders>
              <w:tl2br w:val="nil"/>
              <w:tr2bl w:val="nil"/>
            </w:tcBorders>
            <w:noWrap w:val="0"/>
            <w:vAlign w:val="center"/>
          </w:tcPr>
          <w:p w14:paraId="01E7A2D9">
            <w:pPr>
              <w:pStyle w:val="12"/>
              <w:bidi w:val="0"/>
              <w:rPr>
                <w:color w:val="auto"/>
              </w:rPr>
            </w:pPr>
          </w:p>
        </w:tc>
      </w:tr>
      <w:tr w14:paraId="4D9307F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1E1E7A66">
            <w:pPr>
              <w:pStyle w:val="12"/>
              <w:bidi w:val="0"/>
              <w:rPr>
                <w:color w:val="auto"/>
              </w:rPr>
            </w:pPr>
          </w:p>
        </w:tc>
        <w:tc>
          <w:tcPr>
            <w:tcW w:w="898" w:type="pct"/>
            <w:gridSpan w:val="2"/>
            <w:vMerge w:val="continue"/>
            <w:tcBorders>
              <w:tl2br w:val="nil"/>
              <w:tr2bl w:val="nil"/>
            </w:tcBorders>
            <w:noWrap w:val="0"/>
            <w:vAlign w:val="center"/>
          </w:tcPr>
          <w:p w14:paraId="03518BFE">
            <w:pPr>
              <w:pStyle w:val="12"/>
              <w:bidi w:val="0"/>
              <w:rPr>
                <w:color w:val="auto"/>
              </w:rPr>
            </w:pPr>
          </w:p>
        </w:tc>
        <w:tc>
          <w:tcPr>
            <w:tcW w:w="697" w:type="pct"/>
            <w:tcBorders>
              <w:tl2br w:val="nil"/>
              <w:tr2bl w:val="nil"/>
            </w:tcBorders>
            <w:noWrap w:val="0"/>
            <w:vAlign w:val="center"/>
          </w:tcPr>
          <w:p w14:paraId="58B1DEB6">
            <w:pPr>
              <w:pStyle w:val="12"/>
              <w:bidi w:val="0"/>
              <w:rPr>
                <w:color w:val="auto"/>
              </w:rPr>
            </w:pPr>
            <w:r>
              <w:rPr>
                <w:color w:val="auto"/>
              </w:rPr>
              <w:t>存在总量/t</w:t>
            </w:r>
          </w:p>
        </w:tc>
        <w:tc>
          <w:tcPr>
            <w:tcW w:w="674" w:type="pct"/>
            <w:gridSpan w:val="2"/>
            <w:tcBorders>
              <w:tl2br w:val="nil"/>
              <w:tr2bl w:val="nil"/>
            </w:tcBorders>
            <w:noWrap w:val="0"/>
            <w:vAlign w:val="center"/>
          </w:tcPr>
          <w:p w14:paraId="6BCF8B5C">
            <w:pPr>
              <w:pStyle w:val="12"/>
              <w:bidi w:val="0"/>
              <w:rPr>
                <w:rFonts w:hint="default"/>
                <w:color w:val="auto"/>
                <w:lang w:val="en-US" w:eastAsia="zh-CN"/>
              </w:rPr>
            </w:pPr>
            <w:r>
              <w:rPr>
                <w:rFonts w:hint="eastAsia"/>
                <w:color w:val="auto"/>
                <w:lang w:val="en-US" w:eastAsia="zh-CN"/>
              </w:rPr>
              <w:t>0.2</w:t>
            </w:r>
          </w:p>
        </w:tc>
        <w:tc>
          <w:tcPr>
            <w:tcW w:w="451" w:type="pct"/>
            <w:tcBorders>
              <w:tl2br w:val="nil"/>
              <w:tr2bl w:val="nil"/>
            </w:tcBorders>
            <w:noWrap w:val="0"/>
            <w:vAlign w:val="center"/>
          </w:tcPr>
          <w:p w14:paraId="18E84113">
            <w:pPr>
              <w:pStyle w:val="12"/>
              <w:bidi w:val="0"/>
              <w:rPr>
                <w:rFonts w:hint="default"/>
                <w:color w:val="auto"/>
                <w:lang w:val="en-US" w:eastAsia="zh-CN"/>
              </w:rPr>
            </w:pPr>
          </w:p>
        </w:tc>
        <w:tc>
          <w:tcPr>
            <w:tcW w:w="356" w:type="pct"/>
            <w:gridSpan w:val="2"/>
            <w:tcBorders>
              <w:tl2br w:val="nil"/>
              <w:tr2bl w:val="nil"/>
            </w:tcBorders>
            <w:noWrap w:val="0"/>
            <w:vAlign w:val="center"/>
          </w:tcPr>
          <w:p w14:paraId="359B4CBC">
            <w:pPr>
              <w:pStyle w:val="12"/>
              <w:bidi w:val="0"/>
              <w:rPr>
                <w:color w:val="auto"/>
              </w:rPr>
            </w:pPr>
          </w:p>
        </w:tc>
        <w:tc>
          <w:tcPr>
            <w:tcW w:w="636" w:type="pct"/>
            <w:gridSpan w:val="2"/>
            <w:tcBorders>
              <w:tl2br w:val="nil"/>
              <w:tr2bl w:val="nil"/>
            </w:tcBorders>
            <w:noWrap w:val="0"/>
            <w:vAlign w:val="center"/>
          </w:tcPr>
          <w:p w14:paraId="5ED5C3DF">
            <w:pPr>
              <w:pStyle w:val="12"/>
              <w:bidi w:val="0"/>
              <w:rPr>
                <w:color w:val="auto"/>
              </w:rPr>
            </w:pPr>
          </w:p>
        </w:tc>
        <w:tc>
          <w:tcPr>
            <w:tcW w:w="461" w:type="pct"/>
            <w:gridSpan w:val="2"/>
            <w:tcBorders>
              <w:tl2br w:val="nil"/>
              <w:tr2bl w:val="nil"/>
            </w:tcBorders>
            <w:noWrap w:val="0"/>
            <w:vAlign w:val="center"/>
          </w:tcPr>
          <w:p w14:paraId="56B85E68">
            <w:pPr>
              <w:pStyle w:val="12"/>
              <w:bidi w:val="0"/>
              <w:rPr>
                <w:color w:val="auto"/>
              </w:rPr>
            </w:pPr>
          </w:p>
        </w:tc>
        <w:tc>
          <w:tcPr>
            <w:tcW w:w="574" w:type="pct"/>
            <w:tcBorders>
              <w:tl2br w:val="nil"/>
              <w:tr2bl w:val="nil"/>
            </w:tcBorders>
            <w:noWrap w:val="0"/>
            <w:vAlign w:val="center"/>
          </w:tcPr>
          <w:p w14:paraId="000B9CAA">
            <w:pPr>
              <w:pStyle w:val="12"/>
              <w:bidi w:val="0"/>
              <w:rPr>
                <w:color w:val="auto"/>
              </w:rPr>
            </w:pPr>
          </w:p>
        </w:tc>
      </w:tr>
      <w:tr w14:paraId="614AB69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442F0E67">
            <w:pPr>
              <w:pStyle w:val="12"/>
              <w:bidi w:val="0"/>
              <w:rPr>
                <w:color w:val="auto"/>
              </w:rPr>
            </w:pPr>
          </w:p>
        </w:tc>
        <w:tc>
          <w:tcPr>
            <w:tcW w:w="898" w:type="pct"/>
            <w:gridSpan w:val="2"/>
            <w:vMerge w:val="restart"/>
            <w:tcBorders>
              <w:tl2br w:val="nil"/>
              <w:tr2bl w:val="nil"/>
            </w:tcBorders>
            <w:noWrap w:val="0"/>
            <w:vAlign w:val="center"/>
          </w:tcPr>
          <w:p w14:paraId="14BD3BB4">
            <w:pPr>
              <w:pStyle w:val="12"/>
              <w:bidi w:val="0"/>
              <w:rPr>
                <w:color w:val="auto"/>
              </w:rPr>
            </w:pPr>
            <w:r>
              <w:rPr>
                <w:rFonts w:hint="eastAsia"/>
                <w:color w:val="auto"/>
              </w:rPr>
              <w:t>环境敏感性</w:t>
            </w:r>
          </w:p>
        </w:tc>
        <w:tc>
          <w:tcPr>
            <w:tcW w:w="697" w:type="pct"/>
            <w:vMerge w:val="restart"/>
            <w:tcBorders>
              <w:tl2br w:val="nil"/>
              <w:tr2bl w:val="nil"/>
            </w:tcBorders>
            <w:noWrap w:val="0"/>
            <w:vAlign w:val="center"/>
          </w:tcPr>
          <w:p w14:paraId="18C485DD">
            <w:pPr>
              <w:pStyle w:val="12"/>
              <w:bidi w:val="0"/>
              <w:rPr>
                <w:color w:val="auto"/>
              </w:rPr>
            </w:pPr>
            <w:r>
              <w:rPr>
                <w:rFonts w:hint="eastAsia"/>
                <w:color w:val="auto"/>
              </w:rPr>
              <w:t>大气</w:t>
            </w:r>
          </w:p>
        </w:tc>
        <w:tc>
          <w:tcPr>
            <w:tcW w:w="1666" w:type="pct"/>
            <w:gridSpan w:val="6"/>
            <w:tcBorders>
              <w:tl2br w:val="nil"/>
              <w:tr2bl w:val="nil"/>
            </w:tcBorders>
            <w:noWrap w:val="0"/>
            <w:vAlign w:val="center"/>
          </w:tcPr>
          <w:p w14:paraId="65342439">
            <w:pPr>
              <w:pStyle w:val="12"/>
              <w:bidi w:val="0"/>
              <w:rPr>
                <w:color w:val="auto"/>
              </w:rPr>
            </w:pPr>
            <w:r>
              <w:rPr>
                <w:rFonts w:hint="eastAsia"/>
                <w:color w:val="auto"/>
              </w:rPr>
              <w:t>500m范围内人口数_</w:t>
            </w:r>
            <w:r>
              <w:rPr>
                <w:rFonts w:hint="default"/>
                <w:color w:val="auto"/>
              </w:rPr>
              <w:t>&lt;</w:t>
            </w:r>
            <w:r>
              <w:rPr>
                <w:rFonts w:hint="eastAsia"/>
                <w:color w:val="auto"/>
              </w:rPr>
              <w:t>500_人</w:t>
            </w:r>
          </w:p>
        </w:tc>
        <w:tc>
          <w:tcPr>
            <w:tcW w:w="1489" w:type="pct"/>
            <w:gridSpan w:val="4"/>
            <w:tcBorders>
              <w:tl2br w:val="nil"/>
              <w:tr2bl w:val="nil"/>
            </w:tcBorders>
            <w:noWrap w:val="0"/>
            <w:vAlign w:val="center"/>
          </w:tcPr>
          <w:p w14:paraId="5B8DB800">
            <w:pPr>
              <w:pStyle w:val="12"/>
              <w:bidi w:val="0"/>
              <w:rPr>
                <w:color w:val="auto"/>
              </w:rPr>
            </w:pPr>
          </w:p>
        </w:tc>
      </w:tr>
      <w:tr w14:paraId="25A1B90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4ED47542">
            <w:pPr>
              <w:pStyle w:val="12"/>
              <w:bidi w:val="0"/>
              <w:rPr>
                <w:color w:val="auto"/>
              </w:rPr>
            </w:pPr>
          </w:p>
        </w:tc>
        <w:tc>
          <w:tcPr>
            <w:tcW w:w="898" w:type="pct"/>
            <w:gridSpan w:val="2"/>
            <w:vMerge w:val="continue"/>
            <w:tcBorders>
              <w:tl2br w:val="nil"/>
              <w:tr2bl w:val="nil"/>
            </w:tcBorders>
            <w:noWrap w:val="0"/>
            <w:vAlign w:val="center"/>
          </w:tcPr>
          <w:p w14:paraId="0F10367B">
            <w:pPr>
              <w:pStyle w:val="12"/>
              <w:bidi w:val="0"/>
              <w:rPr>
                <w:color w:val="auto"/>
              </w:rPr>
            </w:pPr>
          </w:p>
        </w:tc>
        <w:tc>
          <w:tcPr>
            <w:tcW w:w="697" w:type="pct"/>
            <w:vMerge w:val="continue"/>
            <w:tcBorders>
              <w:tl2br w:val="nil"/>
              <w:tr2bl w:val="nil"/>
            </w:tcBorders>
            <w:noWrap w:val="0"/>
            <w:vAlign w:val="center"/>
          </w:tcPr>
          <w:p w14:paraId="1AE67626">
            <w:pPr>
              <w:pStyle w:val="12"/>
              <w:bidi w:val="0"/>
              <w:rPr>
                <w:color w:val="auto"/>
              </w:rPr>
            </w:pPr>
          </w:p>
        </w:tc>
        <w:tc>
          <w:tcPr>
            <w:tcW w:w="2443" w:type="pct"/>
            <w:gridSpan w:val="8"/>
            <w:tcBorders>
              <w:tl2br w:val="nil"/>
              <w:tr2bl w:val="nil"/>
            </w:tcBorders>
            <w:noWrap w:val="0"/>
            <w:vAlign w:val="center"/>
          </w:tcPr>
          <w:p w14:paraId="195D91CA">
            <w:pPr>
              <w:pStyle w:val="12"/>
              <w:bidi w:val="0"/>
              <w:rPr>
                <w:color w:val="auto"/>
              </w:rPr>
            </w:pPr>
            <w:r>
              <w:rPr>
                <w:rFonts w:hint="eastAsia"/>
                <w:color w:val="auto"/>
              </w:rPr>
              <w:t>每公里管段周边200m范围内人口数（最大）</w:t>
            </w:r>
          </w:p>
        </w:tc>
        <w:tc>
          <w:tcPr>
            <w:tcW w:w="712" w:type="pct"/>
            <w:gridSpan w:val="2"/>
            <w:tcBorders>
              <w:tl2br w:val="nil"/>
              <w:tr2bl w:val="nil"/>
            </w:tcBorders>
            <w:noWrap w:val="0"/>
            <w:vAlign w:val="center"/>
          </w:tcPr>
          <w:p w14:paraId="380C4FED">
            <w:pPr>
              <w:pStyle w:val="12"/>
              <w:bidi w:val="0"/>
              <w:rPr>
                <w:color w:val="auto"/>
              </w:rPr>
            </w:pPr>
            <w:r>
              <w:rPr>
                <w:rFonts w:hint="eastAsia"/>
                <w:color w:val="auto"/>
              </w:rPr>
              <w:t>_</w:t>
            </w:r>
            <w:r>
              <w:rPr>
                <w:color w:val="auto"/>
              </w:rPr>
              <w:t>/</w:t>
            </w:r>
            <w:r>
              <w:rPr>
                <w:rFonts w:hint="eastAsia"/>
                <w:color w:val="auto"/>
              </w:rPr>
              <w:t>__人</w:t>
            </w:r>
          </w:p>
        </w:tc>
      </w:tr>
      <w:tr w14:paraId="3EB4506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0881BAEF">
            <w:pPr>
              <w:pStyle w:val="12"/>
              <w:bidi w:val="0"/>
              <w:rPr>
                <w:color w:val="auto"/>
              </w:rPr>
            </w:pPr>
          </w:p>
        </w:tc>
        <w:tc>
          <w:tcPr>
            <w:tcW w:w="898" w:type="pct"/>
            <w:gridSpan w:val="2"/>
            <w:vMerge w:val="continue"/>
            <w:tcBorders>
              <w:tl2br w:val="nil"/>
              <w:tr2bl w:val="nil"/>
            </w:tcBorders>
            <w:noWrap w:val="0"/>
            <w:vAlign w:val="center"/>
          </w:tcPr>
          <w:p w14:paraId="04B54618">
            <w:pPr>
              <w:pStyle w:val="12"/>
              <w:bidi w:val="0"/>
              <w:rPr>
                <w:color w:val="auto"/>
              </w:rPr>
            </w:pPr>
          </w:p>
        </w:tc>
        <w:tc>
          <w:tcPr>
            <w:tcW w:w="697" w:type="pct"/>
            <w:vMerge w:val="restart"/>
            <w:tcBorders>
              <w:tl2br w:val="nil"/>
              <w:tr2bl w:val="nil"/>
            </w:tcBorders>
            <w:noWrap w:val="0"/>
            <w:vAlign w:val="center"/>
          </w:tcPr>
          <w:p w14:paraId="402D4E14">
            <w:pPr>
              <w:pStyle w:val="12"/>
              <w:bidi w:val="0"/>
              <w:rPr>
                <w:color w:val="auto"/>
              </w:rPr>
            </w:pPr>
            <w:r>
              <w:rPr>
                <w:rFonts w:hint="eastAsia"/>
                <w:color w:val="auto"/>
              </w:rPr>
              <w:t>地表水</w:t>
            </w:r>
          </w:p>
        </w:tc>
        <w:tc>
          <w:tcPr>
            <w:tcW w:w="1126" w:type="pct"/>
            <w:gridSpan w:val="3"/>
            <w:tcBorders>
              <w:tl2br w:val="nil"/>
              <w:tr2bl w:val="nil"/>
            </w:tcBorders>
            <w:noWrap w:val="0"/>
            <w:vAlign w:val="center"/>
          </w:tcPr>
          <w:p w14:paraId="1C115A1E">
            <w:pPr>
              <w:pStyle w:val="12"/>
              <w:bidi w:val="0"/>
              <w:rPr>
                <w:color w:val="auto"/>
              </w:rPr>
            </w:pPr>
            <w:r>
              <w:rPr>
                <w:rFonts w:hint="eastAsia"/>
                <w:color w:val="auto"/>
              </w:rPr>
              <w:t>地表水功能敏感性</w:t>
            </w:r>
          </w:p>
        </w:tc>
        <w:tc>
          <w:tcPr>
            <w:tcW w:w="540" w:type="pct"/>
            <w:gridSpan w:val="3"/>
            <w:tcBorders>
              <w:tl2br w:val="nil"/>
              <w:tr2bl w:val="nil"/>
            </w:tcBorders>
            <w:noWrap w:val="0"/>
            <w:vAlign w:val="center"/>
          </w:tcPr>
          <w:p w14:paraId="4942CC11">
            <w:pPr>
              <w:pStyle w:val="12"/>
              <w:bidi w:val="0"/>
              <w:rPr>
                <w:color w:val="auto"/>
              </w:rPr>
            </w:pPr>
            <w:r>
              <w:rPr>
                <w:rFonts w:hint="eastAsia"/>
                <w:color w:val="auto"/>
              </w:rPr>
              <w:t>F1 □</w:t>
            </w:r>
          </w:p>
        </w:tc>
        <w:tc>
          <w:tcPr>
            <w:tcW w:w="776" w:type="pct"/>
            <w:gridSpan w:val="2"/>
            <w:tcBorders>
              <w:tl2br w:val="nil"/>
              <w:tr2bl w:val="nil"/>
            </w:tcBorders>
            <w:noWrap w:val="0"/>
            <w:vAlign w:val="center"/>
          </w:tcPr>
          <w:p w14:paraId="6CBE679E">
            <w:pPr>
              <w:pStyle w:val="12"/>
              <w:bidi w:val="0"/>
              <w:rPr>
                <w:color w:val="auto"/>
              </w:rPr>
            </w:pPr>
            <w:r>
              <w:rPr>
                <w:rFonts w:hint="eastAsia"/>
                <w:color w:val="auto"/>
              </w:rPr>
              <w:t xml:space="preserve">F2 </w:t>
            </w:r>
            <w:r>
              <w:rPr>
                <w:rFonts w:hint="eastAsia"/>
                <w:color w:val="auto"/>
              </w:rPr>
              <w:sym w:font="Wingdings 2" w:char="00A3"/>
            </w:r>
          </w:p>
        </w:tc>
        <w:tc>
          <w:tcPr>
            <w:tcW w:w="712" w:type="pct"/>
            <w:gridSpan w:val="2"/>
            <w:tcBorders>
              <w:tl2br w:val="nil"/>
              <w:tr2bl w:val="nil"/>
            </w:tcBorders>
            <w:noWrap w:val="0"/>
            <w:vAlign w:val="center"/>
          </w:tcPr>
          <w:p w14:paraId="1B80A399">
            <w:pPr>
              <w:pStyle w:val="12"/>
              <w:bidi w:val="0"/>
              <w:rPr>
                <w:color w:val="auto"/>
              </w:rPr>
            </w:pPr>
            <w:r>
              <w:rPr>
                <w:rFonts w:hint="eastAsia"/>
                <w:color w:val="auto"/>
              </w:rPr>
              <w:t>F3 □</w:t>
            </w:r>
          </w:p>
        </w:tc>
      </w:tr>
      <w:tr w14:paraId="566F325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4BC439DA">
            <w:pPr>
              <w:pStyle w:val="12"/>
              <w:bidi w:val="0"/>
              <w:rPr>
                <w:color w:val="auto"/>
              </w:rPr>
            </w:pPr>
          </w:p>
        </w:tc>
        <w:tc>
          <w:tcPr>
            <w:tcW w:w="898" w:type="pct"/>
            <w:gridSpan w:val="2"/>
            <w:vMerge w:val="continue"/>
            <w:tcBorders>
              <w:tl2br w:val="nil"/>
              <w:tr2bl w:val="nil"/>
            </w:tcBorders>
            <w:noWrap w:val="0"/>
            <w:vAlign w:val="center"/>
          </w:tcPr>
          <w:p w14:paraId="752B59C4">
            <w:pPr>
              <w:pStyle w:val="12"/>
              <w:bidi w:val="0"/>
              <w:rPr>
                <w:color w:val="auto"/>
              </w:rPr>
            </w:pPr>
          </w:p>
        </w:tc>
        <w:tc>
          <w:tcPr>
            <w:tcW w:w="697" w:type="pct"/>
            <w:vMerge w:val="continue"/>
            <w:tcBorders>
              <w:tl2br w:val="nil"/>
              <w:tr2bl w:val="nil"/>
            </w:tcBorders>
            <w:noWrap w:val="0"/>
            <w:vAlign w:val="center"/>
          </w:tcPr>
          <w:p w14:paraId="7CAA97CC">
            <w:pPr>
              <w:pStyle w:val="12"/>
              <w:bidi w:val="0"/>
              <w:rPr>
                <w:color w:val="auto"/>
              </w:rPr>
            </w:pPr>
          </w:p>
        </w:tc>
        <w:tc>
          <w:tcPr>
            <w:tcW w:w="1126" w:type="pct"/>
            <w:gridSpan w:val="3"/>
            <w:tcBorders>
              <w:tl2br w:val="nil"/>
              <w:tr2bl w:val="nil"/>
            </w:tcBorders>
            <w:noWrap w:val="0"/>
            <w:vAlign w:val="center"/>
          </w:tcPr>
          <w:p w14:paraId="0E0F667C">
            <w:pPr>
              <w:pStyle w:val="12"/>
              <w:bidi w:val="0"/>
              <w:rPr>
                <w:color w:val="auto"/>
              </w:rPr>
            </w:pPr>
            <w:r>
              <w:rPr>
                <w:rFonts w:hint="eastAsia"/>
                <w:color w:val="auto"/>
              </w:rPr>
              <w:t>环境敏感目标分级</w:t>
            </w:r>
          </w:p>
        </w:tc>
        <w:tc>
          <w:tcPr>
            <w:tcW w:w="540" w:type="pct"/>
            <w:gridSpan w:val="3"/>
            <w:tcBorders>
              <w:tl2br w:val="nil"/>
              <w:tr2bl w:val="nil"/>
            </w:tcBorders>
            <w:noWrap w:val="0"/>
            <w:vAlign w:val="center"/>
          </w:tcPr>
          <w:p w14:paraId="0BC3788A">
            <w:pPr>
              <w:pStyle w:val="12"/>
              <w:bidi w:val="0"/>
              <w:rPr>
                <w:color w:val="auto"/>
              </w:rPr>
            </w:pPr>
            <w:r>
              <w:rPr>
                <w:rFonts w:hint="eastAsia"/>
                <w:color w:val="auto"/>
              </w:rPr>
              <w:t xml:space="preserve">S1 </w:t>
            </w:r>
            <w:r>
              <w:rPr>
                <w:rFonts w:hint="eastAsia"/>
                <w:color w:val="auto"/>
              </w:rPr>
              <w:sym w:font="Wingdings 2" w:char="00A3"/>
            </w:r>
          </w:p>
        </w:tc>
        <w:tc>
          <w:tcPr>
            <w:tcW w:w="776" w:type="pct"/>
            <w:gridSpan w:val="2"/>
            <w:tcBorders>
              <w:tl2br w:val="nil"/>
              <w:tr2bl w:val="nil"/>
            </w:tcBorders>
            <w:noWrap w:val="0"/>
            <w:vAlign w:val="center"/>
          </w:tcPr>
          <w:p w14:paraId="67529518">
            <w:pPr>
              <w:pStyle w:val="12"/>
              <w:bidi w:val="0"/>
              <w:rPr>
                <w:color w:val="auto"/>
              </w:rPr>
            </w:pPr>
            <w:r>
              <w:rPr>
                <w:rFonts w:hint="eastAsia"/>
                <w:color w:val="auto"/>
              </w:rPr>
              <w:t>S2 □</w:t>
            </w:r>
          </w:p>
        </w:tc>
        <w:tc>
          <w:tcPr>
            <w:tcW w:w="712" w:type="pct"/>
            <w:gridSpan w:val="2"/>
            <w:tcBorders>
              <w:tl2br w:val="nil"/>
              <w:tr2bl w:val="nil"/>
            </w:tcBorders>
            <w:noWrap w:val="0"/>
            <w:vAlign w:val="center"/>
          </w:tcPr>
          <w:p w14:paraId="5AEBE254">
            <w:pPr>
              <w:pStyle w:val="12"/>
              <w:bidi w:val="0"/>
              <w:rPr>
                <w:color w:val="auto"/>
              </w:rPr>
            </w:pPr>
            <w:r>
              <w:rPr>
                <w:rFonts w:hint="eastAsia"/>
                <w:color w:val="auto"/>
              </w:rPr>
              <w:t xml:space="preserve">S3 </w:t>
            </w:r>
            <w:r>
              <w:rPr>
                <w:rFonts w:hint="eastAsia"/>
                <w:color w:val="auto"/>
              </w:rPr>
              <w:sym w:font="Wingdings 2" w:char="0052"/>
            </w:r>
          </w:p>
        </w:tc>
      </w:tr>
      <w:tr w14:paraId="0C0413E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4F23202E">
            <w:pPr>
              <w:pStyle w:val="12"/>
              <w:bidi w:val="0"/>
              <w:rPr>
                <w:color w:val="auto"/>
              </w:rPr>
            </w:pPr>
          </w:p>
        </w:tc>
        <w:tc>
          <w:tcPr>
            <w:tcW w:w="898" w:type="pct"/>
            <w:gridSpan w:val="2"/>
            <w:vMerge w:val="continue"/>
            <w:tcBorders>
              <w:tl2br w:val="nil"/>
              <w:tr2bl w:val="nil"/>
            </w:tcBorders>
            <w:noWrap w:val="0"/>
            <w:vAlign w:val="center"/>
          </w:tcPr>
          <w:p w14:paraId="74696583">
            <w:pPr>
              <w:pStyle w:val="12"/>
              <w:bidi w:val="0"/>
              <w:rPr>
                <w:color w:val="auto"/>
              </w:rPr>
            </w:pPr>
          </w:p>
        </w:tc>
        <w:tc>
          <w:tcPr>
            <w:tcW w:w="697" w:type="pct"/>
            <w:vMerge w:val="restart"/>
            <w:tcBorders>
              <w:tl2br w:val="nil"/>
              <w:tr2bl w:val="nil"/>
            </w:tcBorders>
            <w:noWrap w:val="0"/>
            <w:vAlign w:val="center"/>
          </w:tcPr>
          <w:p w14:paraId="00EF075A">
            <w:pPr>
              <w:pStyle w:val="12"/>
              <w:bidi w:val="0"/>
              <w:rPr>
                <w:color w:val="auto"/>
              </w:rPr>
            </w:pPr>
            <w:r>
              <w:rPr>
                <w:rFonts w:hint="eastAsia"/>
                <w:color w:val="auto"/>
              </w:rPr>
              <w:t>地下水</w:t>
            </w:r>
          </w:p>
        </w:tc>
        <w:tc>
          <w:tcPr>
            <w:tcW w:w="1126" w:type="pct"/>
            <w:gridSpan w:val="3"/>
            <w:tcBorders>
              <w:tl2br w:val="nil"/>
              <w:tr2bl w:val="nil"/>
            </w:tcBorders>
            <w:noWrap w:val="0"/>
            <w:vAlign w:val="center"/>
          </w:tcPr>
          <w:p w14:paraId="561F2FD9">
            <w:pPr>
              <w:pStyle w:val="12"/>
              <w:bidi w:val="0"/>
              <w:rPr>
                <w:color w:val="auto"/>
              </w:rPr>
            </w:pPr>
            <w:r>
              <w:rPr>
                <w:rFonts w:hint="eastAsia"/>
                <w:color w:val="auto"/>
              </w:rPr>
              <w:t>地下水功能敏感性</w:t>
            </w:r>
          </w:p>
        </w:tc>
        <w:tc>
          <w:tcPr>
            <w:tcW w:w="540" w:type="pct"/>
            <w:gridSpan w:val="3"/>
            <w:tcBorders>
              <w:tl2br w:val="nil"/>
              <w:tr2bl w:val="nil"/>
            </w:tcBorders>
            <w:noWrap w:val="0"/>
            <w:vAlign w:val="center"/>
          </w:tcPr>
          <w:p w14:paraId="70D8210A">
            <w:pPr>
              <w:pStyle w:val="12"/>
              <w:bidi w:val="0"/>
              <w:rPr>
                <w:color w:val="auto"/>
              </w:rPr>
            </w:pPr>
            <w:r>
              <w:rPr>
                <w:rFonts w:hint="eastAsia"/>
                <w:color w:val="auto"/>
              </w:rPr>
              <w:t>G1 □</w:t>
            </w:r>
          </w:p>
        </w:tc>
        <w:tc>
          <w:tcPr>
            <w:tcW w:w="776" w:type="pct"/>
            <w:gridSpan w:val="2"/>
            <w:tcBorders>
              <w:tl2br w:val="nil"/>
              <w:tr2bl w:val="nil"/>
            </w:tcBorders>
            <w:noWrap w:val="0"/>
            <w:vAlign w:val="center"/>
          </w:tcPr>
          <w:p w14:paraId="3BF79C07">
            <w:pPr>
              <w:pStyle w:val="12"/>
              <w:bidi w:val="0"/>
              <w:rPr>
                <w:color w:val="auto"/>
              </w:rPr>
            </w:pPr>
            <w:r>
              <w:rPr>
                <w:rFonts w:hint="eastAsia"/>
                <w:color w:val="auto"/>
              </w:rPr>
              <w:t>G2 □</w:t>
            </w:r>
          </w:p>
        </w:tc>
        <w:tc>
          <w:tcPr>
            <w:tcW w:w="712" w:type="pct"/>
            <w:gridSpan w:val="2"/>
            <w:tcBorders>
              <w:tl2br w:val="nil"/>
              <w:tr2bl w:val="nil"/>
            </w:tcBorders>
            <w:noWrap w:val="0"/>
            <w:vAlign w:val="center"/>
          </w:tcPr>
          <w:p w14:paraId="53813BCB">
            <w:pPr>
              <w:pStyle w:val="12"/>
              <w:bidi w:val="0"/>
              <w:rPr>
                <w:color w:val="auto"/>
              </w:rPr>
            </w:pPr>
            <w:r>
              <w:rPr>
                <w:rFonts w:hint="eastAsia"/>
                <w:color w:val="auto"/>
              </w:rPr>
              <w:t xml:space="preserve">G3 </w:t>
            </w:r>
            <w:r>
              <w:rPr>
                <w:rFonts w:hint="eastAsia"/>
                <w:color w:val="auto"/>
              </w:rPr>
              <w:sym w:font="Wingdings 2" w:char="0052"/>
            </w:r>
          </w:p>
        </w:tc>
      </w:tr>
      <w:tr w14:paraId="0CE3D8F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248" w:type="pct"/>
            <w:vMerge w:val="continue"/>
            <w:tcBorders>
              <w:tl2br w:val="nil"/>
              <w:tr2bl w:val="nil"/>
            </w:tcBorders>
            <w:noWrap w:val="0"/>
            <w:vAlign w:val="center"/>
          </w:tcPr>
          <w:p w14:paraId="3359C50B">
            <w:pPr>
              <w:pStyle w:val="12"/>
              <w:bidi w:val="0"/>
              <w:rPr>
                <w:color w:val="auto"/>
              </w:rPr>
            </w:pPr>
          </w:p>
        </w:tc>
        <w:tc>
          <w:tcPr>
            <w:tcW w:w="898" w:type="pct"/>
            <w:gridSpan w:val="2"/>
            <w:vMerge w:val="continue"/>
            <w:tcBorders>
              <w:tl2br w:val="nil"/>
              <w:tr2bl w:val="nil"/>
            </w:tcBorders>
            <w:noWrap w:val="0"/>
            <w:vAlign w:val="center"/>
          </w:tcPr>
          <w:p w14:paraId="3D364A82">
            <w:pPr>
              <w:pStyle w:val="12"/>
              <w:bidi w:val="0"/>
              <w:rPr>
                <w:color w:val="auto"/>
              </w:rPr>
            </w:pPr>
          </w:p>
        </w:tc>
        <w:tc>
          <w:tcPr>
            <w:tcW w:w="697" w:type="pct"/>
            <w:vMerge w:val="continue"/>
            <w:tcBorders>
              <w:tl2br w:val="nil"/>
              <w:tr2bl w:val="nil"/>
            </w:tcBorders>
            <w:noWrap w:val="0"/>
            <w:vAlign w:val="center"/>
          </w:tcPr>
          <w:p w14:paraId="13EE4138">
            <w:pPr>
              <w:pStyle w:val="12"/>
              <w:bidi w:val="0"/>
              <w:rPr>
                <w:color w:val="auto"/>
              </w:rPr>
            </w:pPr>
          </w:p>
        </w:tc>
        <w:tc>
          <w:tcPr>
            <w:tcW w:w="1126" w:type="pct"/>
            <w:gridSpan w:val="3"/>
            <w:tcBorders>
              <w:tl2br w:val="nil"/>
              <w:tr2bl w:val="nil"/>
            </w:tcBorders>
            <w:noWrap w:val="0"/>
            <w:vAlign w:val="center"/>
          </w:tcPr>
          <w:p w14:paraId="474E2217">
            <w:pPr>
              <w:pStyle w:val="12"/>
              <w:bidi w:val="0"/>
              <w:rPr>
                <w:color w:val="auto"/>
              </w:rPr>
            </w:pPr>
            <w:r>
              <w:rPr>
                <w:rFonts w:hint="eastAsia"/>
                <w:color w:val="auto"/>
              </w:rPr>
              <w:t>包气带防污性能</w:t>
            </w:r>
          </w:p>
        </w:tc>
        <w:tc>
          <w:tcPr>
            <w:tcW w:w="540" w:type="pct"/>
            <w:gridSpan w:val="3"/>
            <w:tcBorders>
              <w:tl2br w:val="nil"/>
              <w:tr2bl w:val="nil"/>
            </w:tcBorders>
            <w:noWrap w:val="0"/>
            <w:vAlign w:val="center"/>
          </w:tcPr>
          <w:p w14:paraId="34310B82">
            <w:pPr>
              <w:pStyle w:val="12"/>
              <w:bidi w:val="0"/>
              <w:rPr>
                <w:color w:val="auto"/>
              </w:rPr>
            </w:pPr>
            <w:r>
              <w:rPr>
                <w:rFonts w:hint="eastAsia"/>
                <w:color w:val="auto"/>
              </w:rPr>
              <w:t xml:space="preserve">D1 </w:t>
            </w:r>
            <w:r>
              <w:rPr>
                <w:rFonts w:hint="eastAsia"/>
                <w:color w:val="auto"/>
              </w:rPr>
              <w:sym w:font="Wingdings 2" w:char="00A3"/>
            </w:r>
          </w:p>
        </w:tc>
        <w:tc>
          <w:tcPr>
            <w:tcW w:w="776" w:type="pct"/>
            <w:gridSpan w:val="2"/>
            <w:tcBorders>
              <w:tl2br w:val="nil"/>
              <w:tr2bl w:val="nil"/>
            </w:tcBorders>
            <w:noWrap w:val="0"/>
            <w:vAlign w:val="center"/>
          </w:tcPr>
          <w:p w14:paraId="05AAFB4B">
            <w:pPr>
              <w:pStyle w:val="12"/>
              <w:bidi w:val="0"/>
              <w:rPr>
                <w:color w:val="auto"/>
              </w:rPr>
            </w:pPr>
            <w:r>
              <w:rPr>
                <w:rFonts w:hint="eastAsia"/>
                <w:color w:val="auto"/>
              </w:rPr>
              <w:t>D2 □</w:t>
            </w:r>
          </w:p>
        </w:tc>
        <w:tc>
          <w:tcPr>
            <w:tcW w:w="712" w:type="pct"/>
            <w:gridSpan w:val="2"/>
            <w:tcBorders>
              <w:tl2br w:val="nil"/>
              <w:tr2bl w:val="nil"/>
            </w:tcBorders>
            <w:noWrap w:val="0"/>
            <w:vAlign w:val="center"/>
          </w:tcPr>
          <w:p w14:paraId="36938BC0">
            <w:pPr>
              <w:pStyle w:val="12"/>
              <w:bidi w:val="0"/>
              <w:rPr>
                <w:color w:val="auto"/>
              </w:rPr>
            </w:pPr>
            <w:r>
              <w:rPr>
                <w:rFonts w:hint="eastAsia"/>
                <w:color w:val="auto"/>
              </w:rPr>
              <w:t>D3 □</w:t>
            </w:r>
          </w:p>
        </w:tc>
      </w:tr>
      <w:tr w14:paraId="1B87DC8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restart"/>
            <w:tcBorders>
              <w:tl2br w:val="nil"/>
              <w:tr2bl w:val="nil"/>
            </w:tcBorders>
            <w:noWrap w:val="0"/>
            <w:vAlign w:val="center"/>
          </w:tcPr>
          <w:p w14:paraId="5B8CAA13">
            <w:pPr>
              <w:pStyle w:val="12"/>
              <w:bidi w:val="0"/>
              <w:rPr>
                <w:color w:val="auto"/>
              </w:rPr>
            </w:pPr>
            <w:r>
              <w:rPr>
                <w:rFonts w:hint="eastAsia"/>
                <w:color w:val="auto"/>
              </w:rPr>
              <w:t>物质及工艺系统危险性</w:t>
            </w:r>
          </w:p>
        </w:tc>
        <w:tc>
          <w:tcPr>
            <w:tcW w:w="697" w:type="pct"/>
            <w:tcBorders>
              <w:tl2br w:val="nil"/>
              <w:tr2bl w:val="nil"/>
            </w:tcBorders>
            <w:noWrap w:val="0"/>
            <w:vAlign w:val="center"/>
          </w:tcPr>
          <w:p w14:paraId="12D82E8F">
            <w:pPr>
              <w:pStyle w:val="12"/>
              <w:bidi w:val="0"/>
              <w:rPr>
                <w:color w:val="auto"/>
              </w:rPr>
            </w:pPr>
            <w:r>
              <w:rPr>
                <w:rFonts w:hint="eastAsia"/>
                <w:color w:val="auto"/>
              </w:rPr>
              <w:t>Q值</w:t>
            </w:r>
          </w:p>
        </w:tc>
        <w:tc>
          <w:tcPr>
            <w:tcW w:w="1126" w:type="pct"/>
            <w:gridSpan w:val="3"/>
            <w:tcBorders>
              <w:tl2br w:val="nil"/>
              <w:tr2bl w:val="nil"/>
            </w:tcBorders>
            <w:noWrap w:val="0"/>
            <w:vAlign w:val="center"/>
          </w:tcPr>
          <w:p w14:paraId="2AB31210">
            <w:pPr>
              <w:pStyle w:val="12"/>
              <w:bidi w:val="0"/>
              <w:rPr>
                <w:rFonts w:hint="eastAsia"/>
                <w:color w:val="auto"/>
              </w:rPr>
            </w:pPr>
            <w:r>
              <w:rPr>
                <w:rFonts w:hint="eastAsia"/>
                <w:color w:val="auto"/>
              </w:rPr>
              <w:t>Q＜1  ☑</w:t>
            </w:r>
          </w:p>
        </w:tc>
        <w:tc>
          <w:tcPr>
            <w:tcW w:w="540" w:type="pct"/>
            <w:gridSpan w:val="3"/>
            <w:tcBorders>
              <w:tl2br w:val="nil"/>
              <w:tr2bl w:val="nil"/>
            </w:tcBorders>
            <w:noWrap w:val="0"/>
            <w:vAlign w:val="center"/>
          </w:tcPr>
          <w:p w14:paraId="205F1AB9">
            <w:pPr>
              <w:pStyle w:val="12"/>
              <w:bidi w:val="0"/>
              <w:rPr>
                <w:color w:val="auto"/>
              </w:rPr>
            </w:pPr>
            <w:r>
              <w:rPr>
                <w:rFonts w:hint="eastAsia"/>
                <w:color w:val="auto"/>
              </w:rPr>
              <w:t>1≤Q＜10 □</w:t>
            </w:r>
          </w:p>
        </w:tc>
        <w:tc>
          <w:tcPr>
            <w:tcW w:w="776" w:type="pct"/>
            <w:gridSpan w:val="2"/>
            <w:tcBorders>
              <w:tl2br w:val="nil"/>
              <w:tr2bl w:val="nil"/>
            </w:tcBorders>
            <w:noWrap w:val="0"/>
            <w:vAlign w:val="center"/>
          </w:tcPr>
          <w:p w14:paraId="4E21BE03">
            <w:pPr>
              <w:pStyle w:val="12"/>
              <w:bidi w:val="0"/>
              <w:rPr>
                <w:color w:val="auto"/>
              </w:rPr>
            </w:pPr>
            <w:r>
              <w:rPr>
                <w:rFonts w:hint="eastAsia"/>
                <w:color w:val="auto"/>
              </w:rPr>
              <w:t>10≤Q＜100 □</w:t>
            </w:r>
          </w:p>
        </w:tc>
        <w:tc>
          <w:tcPr>
            <w:tcW w:w="712" w:type="pct"/>
            <w:gridSpan w:val="2"/>
            <w:tcBorders>
              <w:tl2br w:val="nil"/>
              <w:tr2bl w:val="nil"/>
            </w:tcBorders>
            <w:noWrap w:val="0"/>
            <w:vAlign w:val="center"/>
          </w:tcPr>
          <w:p w14:paraId="4850C356">
            <w:pPr>
              <w:pStyle w:val="12"/>
              <w:bidi w:val="0"/>
              <w:rPr>
                <w:color w:val="auto"/>
              </w:rPr>
            </w:pPr>
            <w:r>
              <w:rPr>
                <w:rFonts w:hint="eastAsia"/>
                <w:color w:val="auto"/>
              </w:rPr>
              <w:t>Q＞100 □</w:t>
            </w:r>
          </w:p>
        </w:tc>
      </w:tr>
      <w:tr w14:paraId="69F2BA5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continue"/>
            <w:tcBorders>
              <w:tl2br w:val="nil"/>
              <w:tr2bl w:val="nil"/>
            </w:tcBorders>
            <w:noWrap w:val="0"/>
            <w:vAlign w:val="center"/>
          </w:tcPr>
          <w:p w14:paraId="077ED5B5">
            <w:pPr>
              <w:pStyle w:val="12"/>
              <w:bidi w:val="0"/>
              <w:rPr>
                <w:color w:val="auto"/>
              </w:rPr>
            </w:pPr>
          </w:p>
        </w:tc>
        <w:tc>
          <w:tcPr>
            <w:tcW w:w="697" w:type="pct"/>
            <w:tcBorders>
              <w:tl2br w:val="nil"/>
              <w:tr2bl w:val="nil"/>
            </w:tcBorders>
            <w:noWrap w:val="0"/>
            <w:vAlign w:val="center"/>
          </w:tcPr>
          <w:p w14:paraId="0FD2B24A">
            <w:pPr>
              <w:pStyle w:val="12"/>
              <w:bidi w:val="0"/>
              <w:rPr>
                <w:color w:val="auto"/>
              </w:rPr>
            </w:pPr>
            <w:r>
              <w:rPr>
                <w:rFonts w:hint="eastAsia"/>
                <w:color w:val="auto"/>
              </w:rPr>
              <w:t>M值</w:t>
            </w:r>
          </w:p>
        </w:tc>
        <w:tc>
          <w:tcPr>
            <w:tcW w:w="1126" w:type="pct"/>
            <w:gridSpan w:val="3"/>
            <w:tcBorders>
              <w:tl2br w:val="nil"/>
              <w:tr2bl w:val="nil"/>
            </w:tcBorders>
            <w:noWrap w:val="0"/>
            <w:vAlign w:val="center"/>
          </w:tcPr>
          <w:p w14:paraId="5F1375D9">
            <w:pPr>
              <w:pStyle w:val="12"/>
              <w:bidi w:val="0"/>
              <w:rPr>
                <w:color w:val="auto"/>
              </w:rPr>
            </w:pPr>
            <w:r>
              <w:rPr>
                <w:rFonts w:hint="eastAsia"/>
                <w:color w:val="auto"/>
              </w:rPr>
              <w:t>M1 □</w:t>
            </w:r>
          </w:p>
        </w:tc>
        <w:tc>
          <w:tcPr>
            <w:tcW w:w="540" w:type="pct"/>
            <w:gridSpan w:val="3"/>
            <w:tcBorders>
              <w:tl2br w:val="nil"/>
              <w:tr2bl w:val="nil"/>
            </w:tcBorders>
            <w:noWrap w:val="0"/>
            <w:vAlign w:val="center"/>
          </w:tcPr>
          <w:p w14:paraId="18381800">
            <w:pPr>
              <w:pStyle w:val="12"/>
              <w:bidi w:val="0"/>
              <w:rPr>
                <w:color w:val="auto"/>
              </w:rPr>
            </w:pPr>
            <w:r>
              <w:rPr>
                <w:rFonts w:hint="eastAsia"/>
                <w:color w:val="auto"/>
              </w:rPr>
              <w:t>M2 □</w:t>
            </w:r>
          </w:p>
        </w:tc>
        <w:tc>
          <w:tcPr>
            <w:tcW w:w="776" w:type="pct"/>
            <w:gridSpan w:val="2"/>
            <w:tcBorders>
              <w:tl2br w:val="nil"/>
              <w:tr2bl w:val="nil"/>
            </w:tcBorders>
            <w:noWrap w:val="0"/>
            <w:vAlign w:val="center"/>
          </w:tcPr>
          <w:p w14:paraId="36737954">
            <w:pPr>
              <w:pStyle w:val="12"/>
              <w:bidi w:val="0"/>
              <w:rPr>
                <w:color w:val="auto"/>
              </w:rPr>
            </w:pPr>
            <w:r>
              <w:rPr>
                <w:rFonts w:hint="eastAsia"/>
                <w:color w:val="auto"/>
              </w:rPr>
              <w:t>M3 □</w:t>
            </w:r>
          </w:p>
        </w:tc>
        <w:tc>
          <w:tcPr>
            <w:tcW w:w="712" w:type="pct"/>
            <w:gridSpan w:val="2"/>
            <w:tcBorders>
              <w:tl2br w:val="nil"/>
              <w:tr2bl w:val="nil"/>
            </w:tcBorders>
            <w:noWrap w:val="0"/>
            <w:vAlign w:val="center"/>
          </w:tcPr>
          <w:p w14:paraId="3D316A37">
            <w:pPr>
              <w:pStyle w:val="12"/>
              <w:bidi w:val="0"/>
              <w:rPr>
                <w:rFonts w:hint="eastAsia"/>
                <w:color w:val="auto"/>
                <w:lang w:eastAsia="zh-CN"/>
              </w:rPr>
            </w:pPr>
            <w:r>
              <w:rPr>
                <w:rFonts w:hint="eastAsia"/>
                <w:color w:val="auto"/>
              </w:rPr>
              <w:t xml:space="preserve">M4 </w:t>
            </w:r>
            <w:r>
              <w:rPr>
                <w:rFonts w:hint="eastAsia"/>
                <w:color w:val="auto"/>
                <w:lang w:eastAsia="zh-CN"/>
              </w:rPr>
              <w:sym w:font="Wingdings 2" w:char="0052"/>
            </w:r>
          </w:p>
        </w:tc>
      </w:tr>
      <w:tr w14:paraId="09401D7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continue"/>
            <w:tcBorders>
              <w:tl2br w:val="nil"/>
              <w:tr2bl w:val="nil"/>
            </w:tcBorders>
            <w:noWrap w:val="0"/>
            <w:vAlign w:val="center"/>
          </w:tcPr>
          <w:p w14:paraId="471290F2">
            <w:pPr>
              <w:pStyle w:val="12"/>
              <w:bidi w:val="0"/>
              <w:rPr>
                <w:color w:val="auto"/>
              </w:rPr>
            </w:pPr>
          </w:p>
        </w:tc>
        <w:tc>
          <w:tcPr>
            <w:tcW w:w="697" w:type="pct"/>
            <w:tcBorders>
              <w:tl2br w:val="nil"/>
              <w:tr2bl w:val="nil"/>
            </w:tcBorders>
            <w:noWrap w:val="0"/>
            <w:vAlign w:val="center"/>
          </w:tcPr>
          <w:p w14:paraId="37DA6FC8">
            <w:pPr>
              <w:pStyle w:val="12"/>
              <w:bidi w:val="0"/>
              <w:rPr>
                <w:color w:val="auto"/>
              </w:rPr>
            </w:pPr>
            <w:r>
              <w:rPr>
                <w:rFonts w:hint="eastAsia"/>
                <w:color w:val="auto"/>
              </w:rPr>
              <w:t>P值</w:t>
            </w:r>
          </w:p>
        </w:tc>
        <w:tc>
          <w:tcPr>
            <w:tcW w:w="1126" w:type="pct"/>
            <w:gridSpan w:val="3"/>
            <w:tcBorders>
              <w:tl2br w:val="nil"/>
              <w:tr2bl w:val="nil"/>
            </w:tcBorders>
            <w:noWrap w:val="0"/>
            <w:vAlign w:val="center"/>
          </w:tcPr>
          <w:p w14:paraId="1C3354BE">
            <w:pPr>
              <w:pStyle w:val="12"/>
              <w:bidi w:val="0"/>
              <w:rPr>
                <w:color w:val="auto"/>
              </w:rPr>
            </w:pPr>
            <w:r>
              <w:rPr>
                <w:rFonts w:hint="eastAsia"/>
                <w:color w:val="auto"/>
              </w:rPr>
              <w:t>P1 □</w:t>
            </w:r>
          </w:p>
        </w:tc>
        <w:tc>
          <w:tcPr>
            <w:tcW w:w="540" w:type="pct"/>
            <w:gridSpan w:val="3"/>
            <w:tcBorders>
              <w:tl2br w:val="nil"/>
              <w:tr2bl w:val="nil"/>
            </w:tcBorders>
            <w:noWrap w:val="0"/>
            <w:vAlign w:val="center"/>
          </w:tcPr>
          <w:p w14:paraId="12D19F24">
            <w:pPr>
              <w:pStyle w:val="12"/>
              <w:bidi w:val="0"/>
              <w:rPr>
                <w:color w:val="auto"/>
              </w:rPr>
            </w:pPr>
            <w:r>
              <w:rPr>
                <w:rFonts w:hint="eastAsia"/>
                <w:color w:val="auto"/>
              </w:rPr>
              <w:t>P2 □</w:t>
            </w:r>
          </w:p>
        </w:tc>
        <w:tc>
          <w:tcPr>
            <w:tcW w:w="776" w:type="pct"/>
            <w:gridSpan w:val="2"/>
            <w:tcBorders>
              <w:tl2br w:val="nil"/>
              <w:tr2bl w:val="nil"/>
            </w:tcBorders>
            <w:noWrap w:val="0"/>
            <w:vAlign w:val="center"/>
          </w:tcPr>
          <w:p w14:paraId="0706F67F">
            <w:pPr>
              <w:pStyle w:val="12"/>
              <w:bidi w:val="0"/>
              <w:rPr>
                <w:color w:val="auto"/>
              </w:rPr>
            </w:pPr>
            <w:r>
              <w:rPr>
                <w:rFonts w:hint="eastAsia"/>
                <w:color w:val="auto"/>
              </w:rPr>
              <w:t>P3 □</w:t>
            </w:r>
          </w:p>
        </w:tc>
        <w:tc>
          <w:tcPr>
            <w:tcW w:w="712" w:type="pct"/>
            <w:gridSpan w:val="2"/>
            <w:tcBorders>
              <w:tl2br w:val="nil"/>
              <w:tr2bl w:val="nil"/>
            </w:tcBorders>
            <w:noWrap w:val="0"/>
            <w:vAlign w:val="center"/>
          </w:tcPr>
          <w:p w14:paraId="468884C4">
            <w:pPr>
              <w:pStyle w:val="12"/>
              <w:bidi w:val="0"/>
              <w:rPr>
                <w:rFonts w:hint="eastAsia"/>
                <w:color w:val="auto"/>
                <w:lang w:eastAsia="zh-CN"/>
              </w:rPr>
            </w:pPr>
            <w:r>
              <w:rPr>
                <w:rFonts w:hint="eastAsia"/>
                <w:color w:val="auto"/>
              </w:rPr>
              <w:t xml:space="preserve">P4 </w:t>
            </w:r>
            <w:r>
              <w:rPr>
                <w:rFonts w:hint="eastAsia"/>
                <w:color w:val="auto"/>
                <w:lang w:eastAsia="zh-CN"/>
              </w:rPr>
              <w:sym w:font="Wingdings 2" w:char="0052"/>
            </w:r>
          </w:p>
        </w:tc>
      </w:tr>
      <w:tr w14:paraId="29A55CF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restart"/>
            <w:tcBorders>
              <w:tl2br w:val="nil"/>
              <w:tr2bl w:val="nil"/>
            </w:tcBorders>
            <w:noWrap w:val="0"/>
            <w:vAlign w:val="center"/>
          </w:tcPr>
          <w:p w14:paraId="7C9120D6">
            <w:pPr>
              <w:pStyle w:val="12"/>
              <w:bidi w:val="0"/>
              <w:rPr>
                <w:color w:val="auto"/>
              </w:rPr>
            </w:pPr>
            <w:r>
              <w:rPr>
                <w:rFonts w:hint="eastAsia"/>
                <w:color w:val="auto"/>
              </w:rPr>
              <w:t>环境敏感程度</w:t>
            </w:r>
          </w:p>
        </w:tc>
        <w:tc>
          <w:tcPr>
            <w:tcW w:w="697" w:type="pct"/>
            <w:tcBorders>
              <w:tl2br w:val="nil"/>
              <w:tr2bl w:val="nil"/>
            </w:tcBorders>
            <w:noWrap w:val="0"/>
            <w:vAlign w:val="center"/>
          </w:tcPr>
          <w:p w14:paraId="487D8075">
            <w:pPr>
              <w:pStyle w:val="12"/>
              <w:bidi w:val="0"/>
              <w:rPr>
                <w:color w:val="auto"/>
              </w:rPr>
            </w:pPr>
            <w:r>
              <w:rPr>
                <w:rFonts w:hint="eastAsia"/>
                <w:color w:val="auto"/>
              </w:rPr>
              <w:t>大气</w:t>
            </w:r>
          </w:p>
        </w:tc>
        <w:tc>
          <w:tcPr>
            <w:tcW w:w="1126" w:type="pct"/>
            <w:gridSpan w:val="3"/>
            <w:tcBorders>
              <w:tl2br w:val="nil"/>
              <w:tr2bl w:val="nil"/>
            </w:tcBorders>
            <w:noWrap w:val="0"/>
            <w:vAlign w:val="center"/>
          </w:tcPr>
          <w:p w14:paraId="74A37ABE">
            <w:pPr>
              <w:pStyle w:val="12"/>
              <w:bidi w:val="0"/>
              <w:rPr>
                <w:color w:val="auto"/>
              </w:rPr>
            </w:pPr>
            <w:r>
              <w:rPr>
                <w:rFonts w:hint="eastAsia"/>
                <w:color w:val="auto"/>
              </w:rPr>
              <w:t>E1 □</w:t>
            </w:r>
          </w:p>
        </w:tc>
        <w:tc>
          <w:tcPr>
            <w:tcW w:w="993" w:type="pct"/>
            <w:gridSpan w:val="4"/>
            <w:tcBorders>
              <w:tl2br w:val="nil"/>
              <w:tr2bl w:val="nil"/>
            </w:tcBorders>
            <w:noWrap w:val="0"/>
            <w:vAlign w:val="center"/>
          </w:tcPr>
          <w:p w14:paraId="54F9C012">
            <w:pPr>
              <w:pStyle w:val="12"/>
              <w:bidi w:val="0"/>
              <w:rPr>
                <w:color w:val="auto"/>
              </w:rPr>
            </w:pPr>
            <w:r>
              <w:rPr>
                <w:rFonts w:hint="eastAsia"/>
                <w:color w:val="auto"/>
              </w:rPr>
              <w:t>E2 □</w:t>
            </w:r>
          </w:p>
        </w:tc>
        <w:tc>
          <w:tcPr>
            <w:tcW w:w="1036" w:type="pct"/>
            <w:gridSpan w:val="3"/>
            <w:tcBorders>
              <w:tl2br w:val="nil"/>
              <w:tr2bl w:val="nil"/>
            </w:tcBorders>
            <w:noWrap w:val="0"/>
            <w:vAlign w:val="center"/>
          </w:tcPr>
          <w:p w14:paraId="7B96EF20">
            <w:pPr>
              <w:pStyle w:val="12"/>
              <w:bidi w:val="0"/>
              <w:rPr>
                <w:rFonts w:hint="eastAsia"/>
                <w:color w:val="auto"/>
                <w:lang w:eastAsia="zh-CN"/>
              </w:rPr>
            </w:pPr>
            <w:r>
              <w:rPr>
                <w:rFonts w:hint="eastAsia"/>
                <w:color w:val="auto"/>
              </w:rPr>
              <w:t xml:space="preserve">E3 </w:t>
            </w:r>
            <w:r>
              <w:rPr>
                <w:rFonts w:hint="eastAsia"/>
                <w:color w:val="auto"/>
                <w:lang w:eastAsia="zh-CN"/>
              </w:rPr>
              <w:sym w:font="Wingdings 2" w:char="0052"/>
            </w:r>
          </w:p>
        </w:tc>
      </w:tr>
      <w:tr w14:paraId="4711E29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continue"/>
            <w:tcBorders>
              <w:tl2br w:val="nil"/>
              <w:tr2bl w:val="nil"/>
            </w:tcBorders>
            <w:noWrap w:val="0"/>
            <w:vAlign w:val="center"/>
          </w:tcPr>
          <w:p w14:paraId="24475296">
            <w:pPr>
              <w:pStyle w:val="12"/>
              <w:bidi w:val="0"/>
              <w:rPr>
                <w:color w:val="auto"/>
              </w:rPr>
            </w:pPr>
          </w:p>
        </w:tc>
        <w:tc>
          <w:tcPr>
            <w:tcW w:w="697" w:type="pct"/>
            <w:tcBorders>
              <w:tl2br w:val="nil"/>
              <w:tr2bl w:val="nil"/>
            </w:tcBorders>
            <w:noWrap w:val="0"/>
            <w:vAlign w:val="center"/>
          </w:tcPr>
          <w:p w14:paraId="070D77B9">
            <w:pPr>
              <w:pStyle w:val="12"/>
              <w:bidi w:val="0"/>
              <w:rPr>
                <w:color w:val="auto"/>
              </w:rPr>
            </w:pPr>
            <w:r>
              <w:rPr>
                <w:rFonts w:hint="eastAsia"/>
                <w:color w:val="auto"/>
              </w:rPr>
              <w:t>地表水</w:t>
            </w:r>
          </w:p>
        </w:tc>
        <w:tc>
          <w:tcPr>
            <w:tcW w:w="1126" w:type="pct"/>
            <w:gridSpan w:val="3"/>
            <w:tcBorders>
              <w:tl2br w:val="nil"/>
              <w:tr2bl w:val="nil"/>
            </w:tcBorders>
            <w:noWrap w:val="0"/>
            <w:vAlign w:val="center"/>
          </w:tcPr>
          <w:p w14:paraId="6BBF51DB">
            <w:pPr>
              <w:pStyle w:val="12"/>
              <w:bidi w:val="0"/>
              <w:rPr>
                <w:color w:val="auto"/>
              </w:rPr>
            </w:pPr>
            <w:r>
              <w:rPr>
                <w:rFonts w:hint="eastAsia"/>
                <w:color w:val="auto"/>
              </w:rPr>
              <w:t>E1 □</w:t>
            </w:r>
          </w:p>
        </w:tc>
        <w:tc>
          <w:tcPr>
            <w:tcW w:w="993" w:type="pct"/>
            <w:gridSpan w:val="4"/>
            <w:tcBorders>
              <w:tl2br w:val="nil"/>
              <w:tr2bl w:val="nil"/>
            </w:tcBorders>
            <w:noWrap w:val="0"/>
            <w:vAlign w:val="center"/>
          </w:tcPr>
          <w:p w14:paraId="71F2B491">
            <w:pPr>
              <w:pStyle w:val="12"/>
              <w:bidi w:val="0"/>
              <w:rPr>
                <w:color w:val="auto"/>
              </w:rPr>
            </w:pPr>
            <w:r>
              <w:rPr>
                <w:rFonts w:hint="eastAsia"/>
                <w:color w:val="auto"/>
              </w:rPr>
              <w:t>E2 □</w:t>
            </w:r>
          </w:p>
        </w:tc>
        <w:tc>
          <w:tcPr>
            <w:tcW w:w="1036" w:type="pct"/>
            <w:gridSpan w:val="3"/>
            <w:tcBorders>
              <w:tl2br w:val="nil"/>
              <w:tr2bl w:val="nil"/>
            </w:tcBorders>
            <w:noWrap w:val="0"/>
            <w:vAlign w:val="center"/>
          </w:tcPr>
          <w:p w14:paraId="440082AD">
            <w:pPr>
              <w:pStyle w:val="12"/>
              <w:bidi w:val="0"/>
              <w:rPr>
                <w:rFonts w:hint="eastAsia"/>
                <w:color w:val="auto"/>
                <w:lang w:eastAsia="zh-CN"/>
              </w:rPr>
            </w:pPr>
            <w:r>
              <w:rPr>
                <w:rFonts w:hint="eastAsia"/>
                <w:color w:val="auto"/>
              </w:rPr>
              <w:t xml:space="preserve">E3 </w:t>
            </w:r>
            <w:r>
              <w:rPr>
                <w:rFonts w:hint="eastAsia"/>
                <w:color w:val="auto"/>
                <w:lang w:eastAsia="zh-CN"/>
              </w:rPr>
              <w:sym w:font="Wingdings 2" w:char="0052"/>
            </w:r>
          </w:p>
        </w:tc>
      </w:tr>
      <w:tr w14:paraId="7D1CC93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vMerge w:val="continue"/>
            <w:tcBorders>
              <w:tl2br w:val="nil"/>
              <w:tr2bl w:val="nil"/>
            </w:tcBorders>
            <w:noWrap w:val="0"/>
            <w:vAlign w:val="center"/>
          </w:tcPr>
          <w:p w14:paraId="25FF1D83">
            <w:pPr>
              <w:pStyle w:val="12"/>
              <w:bidi w:val="0"/>
              <w:rPr>
                <w:color w:val="auto"/>
              </w:rPr>
            </w:pPr>
          </w:p>
        </w:tc>
        <w:tc>
          <w:tcPr>
            <w:tcW w:w="697" w:type="pct"/>
            <w:tcBorders>
              <w:tl2br w:val="nil"/>
              <w:tr2bl w:val="nil"/>
            </w:tcBorders>
            <w:noWrap w:val="0"/>
            <w:vAlign w:val="center"/>
          </w:tcPr>
          <w:p w14:paraId="74018458">
            <w:pPr>
              <w:pStyle w:val="12"/>
              <w:bidi w:val="0"/>
              <w:rPr>
                <w:color w:val="auto"/>
              </w:rPr>
            </w:pPr>
            <w:r>
              <w:rPr>
                <w:rFonts w:hint="eastAsia"/>
                <w:color w:val="auto"/>
              </w:rPr>
              <w:t>地下水</w:t>
            </w:r>
          </w:p>
        </w:tc>
        <w:tc>
          <w:tcPr>
            <w:tcW w:w="1126" w:type="pct"/>
            <w:gridSpan w:val="3"/>
            <w:tcBorders>
              <w:tl2br w:val="nil"/>
              <w:tr2bl w:val="nil"/>
            </w:tcBorders>
            <w:noWrap w:val="0"/>
            <w:vAlign w:val="center"/>
          </w:tcPr>
          <w:p w14:paraId="66F91F05">
            <w:pPr>
              <w:pStyle w:val="12"/>
              <w:bidi w:val="0"/>
              <w:rPr>
                <w:color w:val="auto"/>
              </w:rPr>
            </w:pPr>
            <w:r>
              <w:rPr>
                <w:rFonts w:hint="eastAsia"/>
                <w:color w:val="auto"/>
              </w:rPr>
              <w:t>E1 □</w:t>
            </w:r>
          </w:p>
        </w:tc>
        <w:tc>
          <w:tcPr>
            <w:tcW w:w="993" w:type="pct"/>
            <w:gridSpan w:val="4"/>
            <w:tcBorders>
              <w:tl2br w:val="nil"/>
              <w:tr2bl w:val="nil"/>
            </w:tcBorders>
            <w:noWrap w:val="0"/>
            <w:vAlign w:val="center"/>
          </w:tcPr>
          <w:p w14:paraId="17D47129">
            <w:pPr>
              <w:pStyle w:val="12"/>
              <w:bidi w:val="0"/>
              <w:rPr>
                <w:color w:val="auto"/>
              </w:rPr>
            </w:pPr>
            <w:r>
              <w:rPr>
                <w:rFonts w:hint="eastAsia"/>
                <w:color w:val="auto"/>
              </w:rPr>
              <w:t>E2 □</w:t>
            </w:r>
          </w:p>
        </w:tc>
        <w:tc>
          <w:tcPr>
            <w:tcW w:w="1036" w:type="pct"/>
            <w:gridSpan w:val="3"/>
            <w:tcBorders>
              <w:tl2br w:val="nil"/>
              <w:tr2bl w:val="nil"/>
            </w:tcBorders>
            <w:noWrap w:val="0"/>
            <w:vAlign w:val="center"/>
          </w:tcPr>
          <w:p w14:paraId="4606CE31">
            <w:pPr>
              <w:pStyle w:val="12"/>
              <w:bidi w:val="0"/>
              <w:rPr>
                <w:rFonts w:hint="eastAsia"/>
                <w:color w:val="auto"/>
                <w:lang w:eastAsia="zh-CN"/>
              </w:rPr>
            </w:pPr>
            <w:r>
              <w:rPr>
                <w:rFonts w:hint="eastAsia"/>
                <w:color w:val="auto"/>
              </w:rPr>
              <w:t xml:space="preserve">E3 </w:t>
            </w:r>
            <w:r>
              <w:rPr>
                <w:rFonts w:hint="eastAsia"/>
                <w:color w:val="auto"/>
                <w:lang w:eastAsia="zh-CN"/>
              </w:rPr>
              <w:sym w:font="Wingdings 2" w:char="0052"/>
            </w:r>
          </w:p>
        </w:tc>
      </w:tr>
      <w:tr w14:paraId="55CBBB7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08CC7F1F">
            <w:pPr>
              <w:pStyle w:val="12"/>
              <w:bidi w:val="0"/>
              <w:rPr>
                <w:color w:val="auto"/>
              </w:rPr>
            </w:pPr>
            <w:r>
              <w:rPr>
                <w:rFonts w:hint="eastAsia"/>
                <w:color w:val="auto"/>
              </w:rPr>
              <w:t>环境风险潜势</w:t>
            </w:r>
          </w:p>
        </w:tc>
        <w:tc>
          <w:tcPr>
            <w:tcW w:w="928" w:type="pct"/>
            <w:gridSpan w:val="2"/>
            <w:tcBorders>
              <w:tl2br w:val="nil"/>
              <w:tr2bl w:val="nil"/>
            </w:tcBorders>
            <w:noWrap w:val="0"/>
            <w:vAlign w:val="center"/>
          </w:tcPr>
          <w:p w14:paraId="0C030C5E">
            <w:pPr>
              <w:pStyle w:val="12"/>
              <w:bidi w:val="0"/>
              <w:rPr>
                <w:color w:val="auto"/>
              </w:rPr>
            </w:pPr>
            <w:r>
              <w:rPr>
                <w:rFonts w:hint="eastAsia"/>
                <w:color w:val="auto"/>
              </w:rPr>
              <w:t>IV+ □</w:t>
            </w:r>
          </w:p>
        </w:tc>
        <w:tc>
          <w:tcPr>
            <w:tcW w:w="895" w:type="pct"/>
            <w:gridSpan w:val="2"/>
            <w:tcBorders>
              <w:tl2br w:val="nil"/>
              <w:tr2bl w:val="nil"/>
            </w:tcBorders>
            <w:noWrap w:val="0"/>
            <w:vAlign w:val="center"/>
          </w:tcPr>
          <w:p w14:paraId="1E332534">
            <w:pPr>
              <w:pStyle w:val="12"/>
              <w:bidi w:val="0"/>
              <w:rPr>
                <w:color w:val="auto"/>
              </w:rPr>
            </w:pPr>
            <w:r>
              <w:rPr>
                <w:rFonts w:hint="eastAsia"/>
                <w:color w:val="auto"/>
              </w:rPr>
              <w:t>IV □</w:t>
            </w:r>
          </w:p>
        </w:tc>
        <w:tc>
          <w:tcPr>
            <w:tcW w:w="540" w:type="pct"/>
            <w:gridSpan w:val="3"/>
            <w:tcBorders>
              <w:tl2br w:val="nil"/>
              <w:tr2bl w:val="nil"/>
            </w:tcBorders>
            <w:noWrap w:val="0"/>
            <w:vAlign w:val="center"/>
          </w:tcPr>
          <w:p w14:paraId="68D3C544">
            <w:pPr>
              <w:pStyle w:val="12"/>
              <w:bidi w:val="0"/>
              <w:rPr>
                <w:color w:val="auto"/>
              </w:rPr>
            </w:pPr>
            <w:r>
              <w:rPr>
                <w:rFonts w:hint="eastAsia"/>
                <w:color w:val="auto"/>
              </w:rPr>
              <w:t>III □</w:t>
            </w:r>
          </w:p>
        </w:tc>
        <w:tc>
          <w:tcPr>
            <w:tcW w:w="776" w:type="pct"/>
            <w:gridSpan w:val="2"/>
            <w:tcBorders>
              <w:tl2br w:val="nil"/>
              <w:tr2bl w:val="nil"/>
            </w:tcBorders>
            <w:noWrap w:val="0"/>
            <w:vAlign w:val="center"/>
          </w:tcPr>
          <w:p w14:paraId="63DCC5A1">
            <w:pPr>
              <w:pStyle w:val="12"/>
              <w:bidi w:val="0"/>
              <w:rPr>
                <w:color w:val="auto"/>
              </w:rPr>
            </w:pPr>
            <w:r>
              <w:rPr>
                <w:rFonts w:hint="eastAsia"/>
                <w:color w:val="auto"/>
              </w:rPr>
              <w:t>II □</w:t>
            </w:r>
          </w:p>
        </w:tc>
        <w:tc>
          <w:tcPr>
            <w:tcW w:w="712" w:type="pct"/>
            <w:gridSpan w:val="2"/>
            <w:tcBorders>
              <w:tl2br w:val="nil"/>
              <w:tr2bl w:val="nil"/>
            </w:tcBorders>
            <w:noWrap w:val="0"/>
            <w:vAlign w:val="center"/>
          </w:tcPr>
          <w:p w14:paraId="7371375B">
            <w:pPr>
              <w:pStyle w:val="12"/>
              <w:bidi w:val="0"/>
              <w:rPr>
                <w:rFonts w:hint="eastAsia"/>
                <w:color w:val="auto"/>
                <w:lang w:eastAsia="zh-CN"/>
              </w:rPr>
            </w:pPr>
            <w:r>
              <w:rPr>
                <w:rFonts w:hint="eastAsia"/>
                <w:color w:val="auto"/>
              </w:rPr>
              <w:t xml:space="preserve">I </w:t>
            </w:r>
            <w:r>
              <w:rPr>
                <w:rFonts w:hint="eastAsia"/>
                <w:color w:val="auto"/>
                <w:lang w:eastAsia="zh-CN"/>
              </w:rPr>
              <w:sym w:font="Wingdings 2" w:char="0052"/>
            </w:r>
          </w:p>
        </w:tc>
      </w:tr>
      <w:tr w14:paraId="608F1AA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3C68387D">
            <w:pPr>
              <w:pStyle w:val="12"/>
              <w:bidi w:val="0"/>
              <w:rPr>
                <w:color w:val="auto"/>
              </w:rPr>
            </w:pPr>
            <w:r>
              <w:rPr>
                <w:rFonts w:hint="eastAsia"/>
                <w:color w:val="auto"/>
              </w:rPr>
              <w:t>评价等级</w:t>
            </w:r>
          </w:p>
        </w:tc>
        <w:tc>
          <w:tcPr>
            <w:tcW w:w="1824" w:type="pct"/>
            <w:gridSpan w:val="4"/>
            <w:tcBorders>
              <w:tl2br w:val="nil"/>
              <w:tr2bl w:val="nil"/>
            </w:tcBorders>
            <w:noWrap w:val="0"/>
            <w:vAlign w:val="center"/>
          </w:tcPr>
          <w:p w14:paraId="5277AA61">
            <w:pPr>
              <w:pStyle w:val="12"/>
              <w:bidi w:val="0"/>
              <w:rPr>
                <w:color w:val="auto"/>
              </w:rPr>
            </w:pPr>
            <w:r>
              <w:rPr>
                <w:rFonts w:hint="eastAsia"/>
                <w:color w:val="auto"/>
              </w:rPr>
              <w:t>一级 □</w:t>
            </w:r>
          </w:p>
        </w:tc>
        <w:tc>
          <w:tcPr>
            <w:tcW w:w="540" w:type="pct"/>
            <w:gridSpan w:val="3"/>
            <w:tcBorders>
              <w:tl2br w:val="nil"/>
              <w:tr2bl w:val="nil"/>
            </w:tcBorders>
            <w:noWrap w:val="0"/>
            <w:vAlign w:val="center"/>
          </w:tcPr>
          <w:p w14:paraId="41C459A5">
            <w:pPr>
              <w:pStyle w:val="12"/>
              <w:bidi w:val="0"/>
              <w:rPr>
                <w:color w:val="auto"/>
              </w:rPr>
            </w:pPr>
            <w:r>
              <w:rPr>
                <w:rFonts w:hint="eastAsia"/>
                <w:color w:val="auto"/>
              </w:rPr>
              <w:t>二级 □</w:t>
            </w:r>
          </w:p>
        </w:tc>
        <w:tc>
          <w:tcPr>
            <w:tcW w:w="776" w:type="pct"/>
            <w:gridSpan w:val="2"/>
            <w:tcBorders>
              <w:tl2br w:val="nil"/>
              <w:tr2bl w:val="nil"/>
            </w:tcBorders>
            <w:noWrap w:val="0"/>
            <w:vAlign w:val="center"/>
          </w:tcPr>
          <w:p w14:paraId="423EB3D0">
            <w:pPr>
              <w:pStyle w:val="12"/>
              <w:bidi w:val="0"/>
              <w:rPr>
                <w:color w:val="auto"/>
              </w:rPr>
            </w:pPr>
            <w:r>
              <w:rPr>
                <w:rFonts w:hint="eastAsia"/>
                <w:color w:val="auto"/>
              </w:rPr>
              <w:t>三级 □</w:t>
            </w:r>
          </w:p>
        </w:tc>
        <w:tc>
          <w:tcPr>
            <w:tcW w:w="712" w:type="pct"/>
            <w:gridSpan w:val="2"/>
            <w:tcBorders>
              <w:tl2br w:val="nil"/>
              <w:tr2bl w:val="nil"/>
            </w:tcBorders>
            <w:noWrap w:val="0"/>
            <w:vAlign w:val="center"/>
          </w:tcPr>
          <w:p w14:paraId="6A8F1733">
            <w:pPr>
              <w:pStyle w:val="12"/>
              <w:bidi w:val="0"/>
              <w:rPr>
                <w:rFonts w:hint="eastAsia"/>
                <w:color w:val="auto"/>
                <w:lang w:eastAsia="zh-CN"/>
              </w:rPr>
            </w:pPr>
            <w:r>
              <w:rPr>
                <w:rFonts w:hint="eastAsia"/>
                <w:color w:val="auto"/>
              </w:rPr>
              <w:t xml:space="preserve">简单分析 </w:t>
            </w:r>
            <w:r>
              <w:rPr>
                <w:rFonts w:hint="eastAsia"/>
                <w:color w:val="auto"/>
                <w:lang w:eastAsia="zh-CN"/>
              </w:rPr>
              <w:sym w:font="Wingdings 2" w:char="0052"/>
            </w:r>
          </w:p>
        </w:tc>
      </w:tr>
      <w:tr w14:paraId="29FD087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restart"/>
            <w:tcBorders>
              <w:tl2br w:val="nil"/>
              <w:tr2bl w:val="nil"/>
            </w:tcBorders>
            <w:noWrap w:val="0"/>
            <w:vAlign w:val="center"/>
          </w:tcPr>
          <w:p w14:paraId="39F6B92A">
            <w:pPr>
              <w:pStyle w:val="12"/>
              <w:bidi w:val="0"/>
              <w:rPr>
                <w:color w:val="auto"/>
              </w:rPr>
            </w:pPr>
            <w:r>
              <w:rPr>
                <w:rFonts w:hint="eastAsia"/>
                <w:color w:val="auto"/>
              </w:rPr>
              <w:t>风险识别</w:t>
            </w:r>
          </w:p>
        </w:tc>
        <w:tc>
          <w:tcPr>
            <w:tcW w:w="823" w:type="pct"/>
            <w:tcBorders>
              <w:tl2br w:val="nil"/>
              <w:tr2bl w:val="nil"/>
            </w:tcBorders>
            <w:noWrap w:val="0"/>
            <w:vAlign w:val="center"/>
          </w:tcPr>
          <w:p w14:paraId="616C41AA">
            <w:pPr>
              <w:pStyle w:val="12"/>
              <w:bidi w:val="0"/>
              <w:rPr>
                <w:color w:val="auto"/>
              </w:rPr>
            </w:pPr>
            <w:r>
              <w:rPr>
                <w:rFonts w:hint="eastAsia"/>
                <w:color w:val="auto"/>
              </w:rPr>
              <w:t>物质危险性</w:t>
            </w:r>
          </w:p>
        </w:tc>
        <w:tc>
          <w:tcPr>
            <w:tcW w:w="2022" w:type="pct"/>
            <w:gridSpan w:val="5"/>
            <w:tcBorders>
              <w:tl2br w:val="nil"/>
              <w:tr2bl w:val="nil"/>
            </w:tcBorders>
            <w:noWrap w:val="0"/>
            <w:vAlign w:val="center"/>
          </w:tcPr>
          <w:p w14:paraId="3F213BC0">
            <w:pPr>
              <w:pStyle w:val="12"/>
              <w:bidi w:val="0"/>
              <w:rPr>
                <w:rFonts w:hint="eastAsia"/>
                <w:color w:val="auto"/>
                <w:lang w:eastAsia="zh-CN"/>
              </w:rPr>
            </w:pPr>
            <w:r>
              <w:rPr>
                <w:rFonts w:hint="eastAsia"/>
                <w:color w:val="auto"/>
              </w:rPr>
              <w:t xml:space="preserve">有毒有害 </w:t>
            </w:r>
            <w:r>
              <w:rPr>
                <w:rFonts w:hint="eastAsia"/>
                <w:color w:val="auto"/>
                <w:lang w:eastAsia="zh-CN"/>
              </w:rPr>
              <w:t>□</w:t>
            </w:r>
          </w:p>
        </w:tc>
        <w:tc>
          <w:tcPr>
            <w:tcW w:w="1831" w:type="pct"/>
            <w:gridSpan w:val="6"/>
            <w:tcBorders>
              <w:tl2br w:val="nil"/>
              <w:tr2bl w:val="nil"/>
            </w:tcBorders>
            <w:noWrap w:val="0"/>
            <w:vAlign w:val="center"/>
          </w:tcPr>
          <w:p w14:paraId="3588C901">
            <w:pPr>
              <w:pStyle w:val="12"/>
              <w:bidi w:val="0"/>
              <w:rPr>
                <w:rFonts w:hint="eastAsia"/>
                <w:color w:val="auto"/>
                <w:lang w:eastAsia="zh-CN"/>
              </w:rPr>
            </w:pPr>
            <w:r>
              <w:rPr>
                <w:rFonts w:hint="eastAsia"/>
                <w:color w:val="auto"/>
              </w:rPr>
              <w:t xml:space="preserve">易燃易爆 </w:t>
            </w:r>
            <w:r>
              <w:rPr>
                <w:rFonts w:hint="eastAsia"/>
                <w:color w:val="auto"/>
                <w:lang w:eastAsia="zh-CN"/>
              </w:rPr>
              <w:sym w:font="Wingdings 2" w:char="0052"/>
            </w:r>
          </w:p>
        </w:tc>
      </w:tr>
      <w:tr w14:paraId="3FFD41B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4B65CF77">
            <w:pPr>
              <w:pStyle w:val="12"/>
              <w:bidi w:val="0"/>
              <w:rPr>
                <w:color w:val="auto"/>
              </w:rPr>
            </w:pPr>
          </w:p>
        </w:tc>
        <w:tc>
          <w:tcPr>
            <w:tcW w:w="823" w:type="pct"/>
            <w:tcBorders>
              <w:tl2br w:val="nil"/>
              <w:tr2bl w:val="nil"/>
            </w:tcBorders>
            <w:noWrap w:val="0"/>
            <w:vAlign w:val="center"/>
          </w:tcPr>
          <w:p w14:paraId="72131321">
            <w:pPr>
              <w:pStyle w:val="12"/>
              <w:bidi w:val="0"/>
              <w:rPr>
                <w:color w:val="auto"/>
              </w:rPr>
            </w:pPr>
            <w:r>
              <w:rPr>
                <w:rFonts w:hint="eastAsia"/>
                <w:color w:val="auto"/>
              </w:rPr>
              <w:t>环境风险类型</w:t>
            </w:r>
          </w:p>
        </w:tc>
        <w:tc>
          <w:tcPr>
            <w:tcW w:w="1824" w:type="pct"/>
            <w:gridSpan w:val="4"/>
            <w:tcBorders>
              <w:tl2br w:val="nil"/>
              <w:tr2bl w:val="nil"/>
            </w:tcBorders>
            <w:noWrap w:val="0"/>
            <w:vAlign w:val="center"/>
          </w:tcPr>
          <w:p w14:paraId="6AE28AEB">
            <w:pPr>
              <w:pStyle w:val="12"/>
              <w:bidi w:val="0"/>
              <w:rPr>
                <w:rFonts w:hint="eastAsia"/>
                <w:color w:val="auto"/>
                <w:lang w:eastAsia="zh-CN"/>
              </w:rPr>
            </w:pPr>
            <w:r>
              <w:rPr>
                <w:rFonts w:hint="eastAsia"/>
                <w:color w:val="auto"/>
              </w:rPr>
              <w:t xml:space="preserve">泄漏 </w:t>
            </w:r>
            <w:r>
              <w:rPr>
                <w:rFonts w:hint="eastAsia"/>
                <w:color w:val="auto"/>
                <w:lang w:eastAsia="zh-CN"/>
              </w:rPr>
              <w:sym w:font="Wingdings 2" w:char="0052"/>
            </w:r>
          </w:p>
        </w:tc>
        <w:tc>
          <w:tcPr>
            <w:tcW w:w="2029" w:type="pct"/>
            <w:gridSpan w:val="7"/>
            <w:tcBorders>
              <w:tl2br w:val="nil"/>
              <w:tr2bl w:val="nil"/>
            </w:tcBorders>
            <w:noWrap w:val="0"/>
            <w:vAlign w:val="center"/>
          </w:tcPr>
          <w:p w14:paraId="6495A728">
            <w:pPr>
              <w:pStyle w:val="12"/>
              <w:bidi w:val="0"/>
              <w:rPr>
                <w:rFonts w:hint="eastAsia"/>
                <w:color w:val="auto"/>
                <w:lang w:eastAsia="zh-CN"/>
              </w:rPr>
            </w:pPr>
            <w:r>
              <w:rPr>
                <w:rFonts w:hint="eastAsia"/>
                <w:color w:val="auto"/>
              </w:rPr>
              <w:t xml:space="preserve">火灾、爆炸引发伴生/次生污染物排放 </w:t>
            </w:r>
            <w:r>
              <w:rPr>
                <w:rFonts w:hint="eastAsia"/>
                <w:color w:val="auto"/>
                <w:lang w:eastAsia="zh-CN"/>
              </w:rPr>
              <w:sym w:font="Wingdings 2" w:char="0052"/>
            </w:r>
          </w:p>
        </w:tc>
      </w:tr>
      <w:tr w14:paraId="143E9D4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15058F23">
            <w:pPr>
              <w:pStyle w:val="12"/>
              <w:bidi w:val="0"/>
              <w:rPr>
                <w:color w:val="auto"/>
              </w:rPr>
            </w:pPr>
          </w:p>
        </w:tc>
        <w:tc>
          <w:tcPr>
            <w:tcW w:w="823" w:type="pct"/>
            <w:tcBorders>
              <w:tl2br w:val="nil"/>
              <w:tr2bl w:val="nil"/>
            </w:tcBorders>
            <w:noWrap w:val="0"/>
            <w:vAlign w:val="center"/>
          </w:tcPr>
          <w:p w14:paraId="32A85D34">
            <w:pPr>
              <w:pStyle w:val="12"/>
              <w:bidi w:val="0"/>
              <w:rPr>
                <w:color w:val="auto"/>
              </w:rPr>
            </w:pPr>
            <w:r>
              <w:rPr>
                <w:rFonts w:hint="eastAsia"/>
                <w:color w:val="auto"/>
              </w:rPr>
              <w:t>影响途径</w:t>
            </w:r>
          </w:p>
        </w:tc>
        <w:tc>
          <w:tcPr>
            <w:tcW w:w="1824" w:type="pct"/>
            <w:gridSpan w:val="4"/>
            <w:tcBorders>
              <w:tl2br w:val="nil"/>
              <w:tr2bl w:val="nil"/>
            </w:tcBorders>
            <w:noWrap w:val="0"/>
            <w:vAlign w:val="center"/>
          </w:tcPr>
          <w:p w14:paraId="57617746">
            <w:pPr>
              <w:pStyle w:val="12"/>
              <w:bidi w:val="0"/>
              <w:rPr>
                <w:rFonts w:hint="eastAsia"/>
                <w:color w:val="auto"/>
                <w:lang w:eastAsia="zh-CN"/>
              </w:rPr>
            </w:pPr>
            <w:r>
              <w:rPr>
                <w:rFonts w:hint="eastAsia"/>
                <w:color w:val="auto"/>
              </w:rPr>
              <w:t xml:space="preserve">大气 </w:t>
            </w:r>
            <w:r>
              <w:rPr>
                <w:rFonts w:hint="eastAsia"/>
                <w:color w:val="auto"/>
                <w:lang w:eastAsia="zh-CN"/>
              </w:rPr>
              <w:sym w:font="Wingdings 2" w:char="0052"/>
            </w:r>
          </w:p>
        </w:tc>
        <w:tc>
          <w:tcPr>
            <w:tcW w:w="993" w:type="pct"/>
            <w:gridSpan w:val="4"/>
            <w:tcBorders>
              <w:tl2br w:val="nil"/>
              <w:tr2bl w:val="nil"/>
            </w:tcBorders>
            <w:noWrap w:val="0"/>
            <w:vAlign w:val="center"/>
          </w:tcPr>
          <w:p w14:paraId="46DEE7FD">
            <w:pPr>
              <w:pStyle w:val="12"/>
              <w:bidi w:val="0"/>
              <w:rPr>
                <w:rFonts w:hint="eastAsia"/>
                <w:color w:val="auto"/>
                <w:lang w:eastAsia="zh-CN"/>
              </w:rPr>
            </w:pPr>
            <w:r>
              <w:rPr>
                <w:rFonts w:hint="eastAsia"/>
                <w:color w:val="auto"/>
              </w:rPr>
              <w:t xml:space="preserve">地表水 </w:t>
            </w:r>
            <w:r>
              <w:rPr>
                <w:rFonts w:hint="eastAsia"/>
                <w:color w:val="auto"/>
                <w:lang w:eastAsia="zh-CN"/>
              </w:rPr>
              <w:sym w:font="Wingdings 2" w:char="0052"/>
            </w:r>
          </w:p>
        </w:tc>
        <w:tc>
          <w:tcPr>
            <w:tcW w:w="1036" w:type="pct"/>
            <w:gridSpan w:val="3"/>
            <w:tcBorders>
              <w:tl2br w:val="nil"/>
              <w:tr2bl w:val="nil"/>
            </w:tcBorders>
            <w:noWrap w:val="0"/>
            <w:vAlign w:val="center"/>
          </w:tcPr>
          <w:p w14:paraId="11FE9640">
            <w:pPr>
              <w:pStyle w:val="12"/>
              <w:bidi w:val="0"/>
              <w:rPr>
                <w:rFonts w:hint="eastAsia"/>
                <w:color w:val="auto"/>
                <w:lang w:eastAsia="zh-CN"/>
              </w:rPr>
            </w:pPr>
            <w:r>
              <w:rPr>
                <w:rFonts w:hint="eastAsia"/>
                <w:color w:val="auto"/>
              </w:rPr>
              <w:t xml:space="preserve">地下水 </w:t>
            </w:r>
            <w:r>
              <w:rPr>
                <w:rFonts w:hint="eastAsia"/>
                <w:color w:val="auto"/>
                <w:lang w:eastAsia="zh-CN"/>
              </w:rPr>
              <w:sym w:font="Wingdings 2" w:char="0052"/>
            </w:r>
          </w:p>
        </w:tc>
      </w:tr>
      <w:tr w14:paraId="5EF215A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0028743A">
            <w:pPr>
              <w:pStyle w:val="12"/>
              <w:bidi w:val="0"/>
              <w:rPr>
                <w:color w:val="auto"/>
              </w:rPr>
            </w:pPr>
            <w:r>
              <w:rPr>
                <w:rFonts w:hint="eastAsia"/>
                <w:color w:val="auto"/>
              </w:rPr>
              <w:t>事故情形分析</w:t>
            </w:r>
          </w:p>
        </w:tc>
        <w:tc>
          <w:tcPr>
            <w:tcW w:w="928" w:type="pct"/>
            <w:gridSpan w:val="2"/>
            <w:tcBorders>
              <w:tl2br w:val="nil"/>
              <w:tr2bl w:val="nil"/>
            </w:tcBorders>
            <w:noWrap w:val="0"/>
            <w:vAlign w:val="center"/>
          </w:tcPr>
          <w:p w14:paraId="266D053E">
            <w:pPr>
              <w:pStyle w:val="12"/>
              <w:bidi w:val="0"/>
              <w:rPr>
                <w:color w:val="auto"/>
              </w:rPr>
            </w:pPr>
            <w:r>
              <w:rPr>
                <w:rFonts w:hint="eastAsia"/>
                <w:color w:val="auto"/>
              </w:rPr>
              <w:t>源强设定方法</w:t>
            </w:r>
          </w:p>
        </w:tc>
        <w:tc>
          <w:tcPr>
            <w:tcW w:w="895" w:type="pct"/>
            <w:gridSpan w:val="2"/>
            <w:tcBorders>
              <w:tl2br w:val="nil"/>
              <w:tr2bl w:val="nil"/>
            </w:tcBorders>
            <w:noWrap w:val="0"/>
            <w:vAlign w:val="center"/>
          </w:tcPr>
          <w:p w14:paraId="250FAFC7">
            <w:pPr>
              <w:pStyle w:val="12"/>
              <w:bidi w:val="0"/>
              <w:rPr>
                <w:rFonts w:hint="eastAsia"/>
                <w:color w:val="auto"/>
                <w:lang w:eastAsia="zh-CN"/>
              </w:rPr>
            </w:pPr>
            <w:r>
              <w:rPr>
                <w:rFonts w:hint="eastAsia"/>
                <w:color w:val="auto"/>
              </w:rPr>
              <w:t xml:space="preserve">计算法 </w:t>
            </w:r>
            <w:r>
              <w:rPr>
                <w:rFonts w:hint="eastAsia"/>
                <w:color w:val="auto"/>
                <w:lang w:eastAsia="zh-CN"/>
              </w:rPr>
              <w:t>□</w:t>
            </w:r>
          </w:p>
        </w:tc>
        <w:tc>
          <w:tcPr>
            <w:tcW w:w="993" w:type="pct"/>
            <w:gridSpan w:val="4"/>
            <w:tcBorders>
              <w:tl2br w:val="nil"/>
              <w:tr2bl w:val="nil"/>
            </w:tcBorders>
            <w:noWrap w:val="0"/>
            <w:vAlign w:val="center"/>
          </w:tcPr>
          <w:p w14:paraId="63BE6788">
            <w:pPr>
              <w:pStyle w:val="12"/>
              <w:bidi w:val="0"/>
              <w:rPr>
                <w:color w:val="auto"/>
              </w:rPr>
            </w:pPr>
            <w:r>
              <w:rPr>
                <w:rFonts w:hint="eastAsia"/>
                <w:color w:val="auto"/>
              </w:rPr>
              <w:t>经验估算法 □</w:t>
            </w:r>
          </w:p>
        </w:tc>
        <w:tc>
          <w:tcPr>
            <w:tcW w:w="1036" w:type="pct"/>
            <w:gridSpan w:val="3"/>
            <w:tcBorders>
              <w:tl2br w:val="nil"/>
              <w:tr2bl w:val="nil"/>
            </w:tcBorders>
            <w:noWrap w:val="0"/>
            <w:vAlign w:val="center"/>
          </w:tcPr>
          <w:p w14:paraId="3C0F7590">
            <w:pPr>
              <w:pStyle w:val="12"/>
              <w:bidi w:val="0"/>
              <w:rPr>
                <w:color w:val="auto"/>
              </w:rPr>
            </w:pPr>
            <w:r>
              <w:rPr>
                <w:rFonts w:hint="eastAsia"/>
                <w:color w:val="auto"/>
              </w:rPr>
              <w:t xml:space="preserve">其他估算法 </w:t>
            </w:r>
            <w:r>
              <w:rPr>
                <w:rFonts w:hint="eastAsia"/>
                <w:color w:val="auto"/>
              </w:rPr>
              <w:sym w:font="Wingdings 2" w:char="0052"/>
            </w:r>
          </w:p>
        </w:tc>
      </w:tr>
      <w:tr w14:paraId="6F76D46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restart"/>
            <w:tcBorders>
              <w:tl2br w:val="nil"/>
              <w:tr2bl w:val="nil"/>
            </w:tcBorders>
            <w:noWrap w:val="0"/>
            <w:vAlign w:val="center"/>
          </w:tcPr>
          <w:p w14:paraId="11528354">
            <w:pPr>
              <w:pStyle w:val="12"/>
              <w:bidi w:val="0"/>
              <w:rPr>
                <w:color w:val="auto"/>
              </w:rPr>
            </w:pPr>
            <w:r>
              <w:rPr>
                <w:rFonts w:hint="eastAsia"/>
                <w:color w:val="auto"/>
              </w:rPr>
              <w:t>风险预测与评价</w:t>
            </w:r>
          </w:p>
        </w:tc>
        <w:tc>
          <w:tcPr>
            <w:tcW w:w="823" w:type="pct"/>
            <w:vMerge w:val="restart"/>
            <w:tcBorders>
              <w:tl2br w:val="nil"/>
              <w:tr2bl w:val="nil"/>
            </w:tcBorders>
            <w:noWrap w:val="0"/>
            <w:vAlign w:val="center"/>
          </w:tcPr>
          <w:p w14:paraId="66705CEE">
            <w:pPr>
              <w:pStyle w:val="12"/>
              <w:bidi w:val="0"/>
              <w:rPr>
                <w:color w:val="auto"/>
              </w:rPr>
            </w:pPr>
            <w:r>
              <w:rPr>
                <w:rFonts w:hint="eastAsia"/>
                <w:color w:val="auto"/>
              </w:rPr>
              <w:t>大气</w:t>
            </w:r>
          </w:p>
        </w:tc>
        <w:tc>
          <w:tcPr>
            <w:tcW w:w="928" w:type="pct"/>
            <w:gridSpan w:val="2"/>
            <w:tcBorders>
              <w:tl2br w:val="nil"/>
              <w:tr2bl w:val="nil"/>
            </w:tcBorders>
            <w:noWrap w:val="0"/>
            <w:vAlign w:val="center"/>
          </w:tcPr>
          <w:p w14:paraId="7B89FAC7">
            <w:pPr>
              <w:pStyle w:val="12"/>
              <w:bidi w:val="0"/>
              <w:rPr>
                <w:color w:val="auto"/>
              </w:rPr>
            </w:pPr>
            <w:r>
              <w:rPr>
                <w:rFonts w:hint="eastAsia"/>
                <w:color w:val="auto"/>
              </w:rPr>
              <w:t>预测模型</w:t>
            </w:r>
          </w:p>
        </w:tc>
        <w:tc>
          <w:tcPr>
            <w:tcW w:w="895" w:type="pct"/>
            <w:gridSpan w:val="2"/>
            <w:tcBorders>
              <w:tl2br w:val="nil"/>
              <w:tr2bl w:val="nil"/>
            </w:tcBorders>
            <w:noWrap w:val="0"/>
            <w:vAlign w:val="center"/>
          </w:tcPr>
          <w:p w14:paraId="591C2EBB">
            <w:pPr>
              <w:pStyle w:val="12"/>
              <w:bidi w:val="0"/>
              <w:rPr>
                <w:rFonts w:hint="eastAsia"/>
                <w:color w:val="auto"/>
                <w:lang w:eastAsia="zh-CN"/>
              </w:rPr>
            </w:pPr>
            <w:r>
              <w:rPr>
                <w:rFonts w:hint="eastAsia"/>
                <w:color w:val="auto"/>
              </w:rPr>
              <w:t>SLAB</w:t>
            </w:r>
            <w:r>
              <w:rPr>
                <w:rFonts w:hint="eastAsia"/>
                <w:color w:val="auto"/>
                <w:lang w:eastAsia="zh-CN"/>
              </w:rPr>
              <w:t>□</w:t>
            </w:r>
          </w:p>
        </w:tc>
        <w:tc>
          <w:tcPr>
            <w:tcW w:w="993" w:type="pct"/>
            <w:gridSpan w:val="4"/>
            <w:tcBorders>
              <w:tl2br w:val="nil"/>
              <w:tr2bl w:val="nil"/>
            </w:tcBorders>
            <w:noWrap w:val="0"/>
            <w:vAlign w:val="center"/>
          </w:tcPr>
          <w:p w14:paraId="2ABB02F8">
            <w:pPr>
              <w:pStyle w:val="12"/>
              <w:bidi w:val="0"/>
              <w:rPr>
                <w:rFonts w:hint="eastAsia"/>
                <w:color w:val="auto"/>
                <w:lang w:eastAsia="zh-CN"/>
              </w:rPr>
            </w:pPr>
            <w:r>
              <w:rPr>
                <w:rFonts w:hint="eastAsia"/>
                <w:color w:val="auto"/>
              </w:rPr>
              <w:t xml:space="preserve">AFTOX </w:t>
            </w:r>
            <w:r>
              <w:rPr>
                <w:rFonts w:hint="eastAsia"/>
                <w:color w:val="auto"/>
                <w:lang w:eastAsia="zh-CN"/>
              </w:rPr>
              <w:t>□</w:t>
            </w:r>
          </w:p>
        </w:tc>
        <w:tc>
          <w:tcPr>
            <w:tcW w:w="1036" w:type="pct"/>
            <w:gridSpan w:val="3"/>
            <w:tcBorders>
              <w:tl2br w:val="nil"/>
              <w:tr2bl w:val="nil"/>
            </w:tcBorders>
            <w:noWrap w:val="0"/>
            <w:vAlign w:val="center"/>
          </w:tcPr>
          <w:p w14:paraId="61999050">
            <w:pPr>
              <w:pStyle w:val="12"/>
              <w:bidi w:val="0"/>
              <w:rPr>
                <w:color w:val="auto"/>
              </w:rPr>
            </w:pPr>
            <w:r>
              <w:rPr>
                <w:rFonts w:hint="eastAsia"/>
                <w:color w:val="auto"/>
              </w:rPr>
              <w:t>其他 □</w:t>
            </w:r>
          </w:p>
        </w:tc>
      </w:tr>
      <w:tr w14:paraId="7E46067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62F7D81D">
            <w:pPr>
              <w:pStyle w:val="12"/>
              <w:bidi w:val="0"/>
              <w:rPr>
                <w:color w:val="auto"/>
              </w:rPr>
            </w:pPr>
          </w:p>
        </w:tc>
        <w:tc>
          <w:tcPr>
            <w:tcW w:w="823" w:type="pct"/>
            <w:vMerge w:val="continue"/>
            <w:tcBorders>
              <w:tl2br w:val="nil"/>
              <w:tr2bl w:val="nil"/>
            </w:tcBorders>
            <w:noWrap w:val="0"/>
            <w:vAlign w:val="center"/>
          </w:tcPr>
          <w:p w14:paraId="7835BA96">
            <w:pPr>
              <w:pStyle w:val="12"/>
              <w:bidi w:val="0"/>
              <w:rPr>
                <w:color w:val="auto"/>
              </w:rPr>
            </w:pPr>
          </w:p>
        </w:tc>
        <w:tc>
          <w:tcPr>
            <w:tcW w:w="928" w:type="pct"/>
            <w:gridSpan w:val="2"/>
            <w:vMerge w:val="restart"/>
            <w:tcBorders>
              <w:tl2br w:val="nil"/>
              <w:tr2bl w:val="nil"/>
            </w:tcBorders>
            <w:noWrap w:val="0"/>
            <w:vAlign w:val="center"/>
          </w:tcPr>
          <w:p w14:paraId="529F6242">
            <w:pPr>
              <w:pStyle w:val="12"/>
              <w:bidi w:val="0"/>
              <w:rPr>
                <w:color w:val="auto"/>
              </w:rPr>
            </w:pPr>
            <w:r>
              <w:rPr>
                <w:rFonts w:hint="eastAsia"/>
                <w:color w:val="auto"/>
              </w:rPr>
              <w:t>预测结果</w:t>
            </w:r>
          </w:p>
        </w:tc>
        <w:tc>
          <w:tcPr>
            <w:tcW w:w="2924" w:type="pct"/>
            <w:gridSpan w:val="9"/>
            <w:tcBorders>
              <w:tl2br w:val="nil"/>
              <w:tr2bl w:val="nil"/>
            </w:tcBorders>
            <w:noWrap w:val="0"/>
            <w:vAlign w:val="center"/>
          </w:tcPr>
          <w:p w14:paraId="1E208E09">
            <w:pPr>
              <w:pStyle w:val="12"/>
              <w:bidi w:val="0"/>
              <w:rPr>
                <w:color w:val="auto"/>
              </w:rPr>
            </w:pPr>
            <w:r>
              <w:rPr>
                <w:rFonts w:hint="eastAsia"/>
                <w:color w:val="auto"/>
              </w:rPr>
              <w:t>大气毒性终点浓度-1最大影响范围___m</w:t>
            </w:r>
          </w:p>
        </w:tc>
      </w:tr>
      <w:tr w14:paraId="6F431B1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561AE6B4">
            <w:pPr>
              <w:pStyle w:val="12"/>
              <w:bidi w:val="0"/>
              <w:rPr>
                <w:color w:val="auto"/>
              </w:rPr>
            </w:pPr>
          </w:p>
        </w:tc>
        <w:tc>
          <w:tcPr>
            <w:tcW w:w="823" w:type="pct"/>
            <w:vMerge w:val="continue"/>
            <w:tcBorders>
              <w:tl2br w:val="nil"/>
              <w:tr2bl w:val="nil"/>
            </w:tcBorders>
            <w:noWrap w:val="0"/>
            <w:vAlign w:val="center"/>
          </w:tcPr>
          <w:p w14:paraId="268E1F6B">
            <w:pPr>
              <w:pStyle w:val="12"/>
              <w:bidi w:val="0"/>
              <w:rPr>
                <w:color w:val="auto"/>
              </w:rPr>
            </w:pPr>
          </w:p>
        </w:tc>
        <w:tc>
          <w:tcPr>
            <w:tcW w:w="928" w:type="pct"/>
            <w:gridSpan w:val="2"/>
            <w:vMerge w:val="continue"/>
            <w:tcBorders>
              <w:tl2br w:val="nil"/>
              <w:tr2bl w:val="nil"/>
            </w:tcBorders>
            <w:noWrap w:val="0"/>
            <w:vAlign w:val="center"/>
          </w:tcPr>
          <w:p w14:paraId="711B3988">
            <w:pPr>
              <w:pStyle w:val="12"/>
              <w:bidi w:val="0"/>
              <w:rPr>
                <w:color w:val="auto"/>
              </w:rPr>
            </w:pPr>
          </w:p>
        </w:tc>
        <w:tc>
          <w:tcPr>
            <w:tcW w:w="2924" w:type="pct"/>
            <w:gridSpan w:val="9"/>
            <w:tcBorders>
              <w:tl2br w:val="nil"/>
              <w:tr2bl w:val="nil"/>
            </w:tcBorders>
            <w:noWrap w:val="0"/>
            <w:vAlign w:val="center"/>
          </w:tcPr>
          <w:p w14:paraId="320803DF">
            <w:pPr>
              <w:pStyle w:val="12"/>
              <w:bidi w:val="0"/>
              <w:rPr>
                <w:color w:val="auto"/>
              </w:rPr>
            </w:pPr>
            <w:r>
              <w:rPr>
                <w:rFonts w:hint="eastAsia"/>
                <w:color w:val="auto"/>
              </w:rPr>
              <w:t>大气毒性终点浓度-2最大影响范围___m</w:t>
            </w:r>
          </w:p>
        </w:tc>
      </w:tr>
      <w:tr w14:paraId="70CF55E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47254AE2">
            <w:pPr>
              <w:pStyle w:val="12"/>
              <w:bidi w:val="0"/>
              <w:rPr>
                <w:color w:val="auto"/>
              </w:rPr>
            </w:pPr>
          </w:p>
        </w:tc>
        <w:tc>
          <w:tcPr>
            <w:tcW w:w="823" w:type="pct"/>
            <w:tcBorders>
              <w:tl2br w:val="nil"/>
              <w:tr2bl w:val="nil"/>
            </w:tcBorders>
            <w:noWrap w:val="0"/>
            <w:vAlign w:val="center"/>
          </w:tcPr>
          <w:p w14:paraId="70877770">
            <w:pPr>
              <w:pStyle w:val="12"/>
              <w:bidi w:val="0"/>
              <w:rPr>
                <w:color w:val="auto"/>
              </w:rPr>
            </w:pPr>
            <w:r>
              <w:rPr>
                <w:rFonts w:hint="eastAsia"/>
                <w:color w:val="auto"/>
              </w:rPr>
              <w:t>地表水</w:t>
            </w:r>
          </w:p>
        </w:tc>
        <w:tc>
          <w:tcPr>
            <w:tcW w:w="3853" w:type="pct"/>
            <w:gridSpan w:val="11"/>
            <w:tcBorders>
              <w:tl2br w:val="nil"/>
              <w:tr2bl w:val="nil"/>
            </w:tcBorders>
            <w:noWrap w:val="0"/>
            <w:vAlign w:val="center"/>
          </w:tcPr>
          <w:p w14:paraId="4834A8D4">
            <w:pPr>
              <w:pStyle w:val="12"/>
              <w:bidi w:val="0"/>
              <w:rPr>
                <w:color w:val="auto"/>
              </w:rPr>
            </w:pPr>
            <w:r>
              <w:rPr>
                <w:rFonts w:hint="eastAsia"/>
                <w:color w:val="auto"/>
              </w:rPr>
              <w:t>最近环境敏感目标____，到达时间___d</w:t>
            </w:r>
          </w:p>
        </w:tc>
      </w:tr>
      <w:tr w14:paraId="5EAAABB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220283CD">
            <w:pPr>
              <w:pStyle w:val="12"/>
              <w:bidi w:val="0"/>
              <w:rPr>
                <w:color w:val="auto"/>
              </w:rPr>
            </w:pPr>
          </w:p>
        </w:tc>
        <w:tc>
          <w:tcPr>
            <w:tcW w:w="823" w:type="pct"/>
            <w:vMerge w:val="restart"/>
            <w:tcBorders>
              <w:tl2br w:val="nil"/>
              <w:tr2bl w:val="nil"/>
            </w:tcBorders>
            <w:noWrap w:val="0"/>
            <w:vAlign w:val="center"/>
          </w:tcPr>
          <w:p w14:paraId="398AABA9">
            <w:pPr>
              <w:pStyle w:val="12"/>
              <w:bidi w:val="0"/>
              <w:rPr>
                <w:color w:val="auto"/>
              </w:rPr>
            </w:pPr>
            <w:r>
              <w:rPr>
                <w:rFonts w:hint="eastAsia"/>
                <w:color w:val="auto"/>
              </w:rPr>
              <w:t>地下水</w:t>
            </w:r>
          </w:p>
        </w:tc>
        <w:tc>
          <w:tcPr>
            <w:tcW w:w="3853" w:type="pct"/>
            <w:gridSpan w:val="11"/>
            <w:tcBorders>
              <w:tl2br w:val="nil"/>
              <w:tr2bl w:val="nil"/>
            </w:tcBorders>
            <w:noWrap w:val="0"/>
            <w:vAlign w:val="center"/>
          </w:tcPr>
          <w:p w14:paraId="6E0A92B4">
            <w:pPr>
              <w:pStyle w:val="12"/>
              <w:bidi w:val="0"/>
              <w:rPr>
                <w:color w:val="auto"/>
              </w:rPr>
            </w:pPr>
            <w:r>
              <w:rPr>
                <w:rFonts w:hint="eastAsia"/>
                <w:color w:val="auto"/>
              </w:rPr>
              <w:t>下游厂区边界到达时间____d</w:t>
            </w:r>
          </w:p>
        </w:tc>
      </w:tr>
      <w:tr w14:paraId="4D2B13B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323" w:type="pct"/>
            <w:gridSpan w:val="2"/>
            <w:vMerge w:val="continue"/>
            <w:tcBorders>
              <w:tl2br w:val="nil"/>
              <w:tr2bl w:val="nil"/>
            </w:tcBorders>
            <w:noWrap w:val="0"/>
            <w:vAlign w:val="center"/>
          </w:tcPr>
          <w:p w14:paraId="1BCCE4A0">
            <w:pPr>
              <w:pStyle w:val="12"/>
              <w:bidi w:val="0"/>
              <w:rPr>
                <w:color w:val="auto"/>
              </w:rPr>
            </w:pPr>
          </w:p>
        </w:tc>
        <w:tc>
          <w:tcPr>
            <w:tcW w:w="823" w:type="pct"/>
            <w:vMerge w:val="continue"/>
            <w:tcBorders>
              <w:tl2br w:val="nil"/>
              <w:tr2bl w:val="nil"/>
            </w:tcBorders>
            <w:noWrap w:val="0"/>
            <w:vAlign w:val="center"/>
          </w:tcPr>
          <w:p w14:paraId="5ABE2134">
            <w:pPr>
              <w:pStyle w:val="12"/>
              <w:bidi w:val="0"/>
              <w:rPr>
                <w:color w:val="auto"/>
              </w:rPr>
            </w:pPr>
          </w:p>
        </w:tc>
        <w:tc>
          <w:tcPr>
            <w:tcW w:w="3853" w:type="pct"/>
            <w:gridSpan w:val="11"/>
            <w:tcBorders>
              <w:tl2br w:val="nil"/>
              <w:tr2bl w:val="nil"/>
            </w:tcBorders>
            <w:noWrap w:val="0"/>
            <w:vAlign w:val="center"/>
          </w:tcPr>
          <w:p w14:paraId="5DAFC086">
            <w:pPr>
              <w:pStyle w:val="12"/>
              <w:bidi w:val="0"/>
              <w:rPr>
                <w:color w:val="auto"/>
              </w:rPr>
            </w:pPr>
            <w:r>
              <w:rPr>
                <w:rFonts w:hint="eastAsia"/>
                <w:color w:val="auto"/>
              </w:rPr>
              <w:t>最近环境敏感目标____，到达时间___d</w:t>
            </w:r>
          </w:p>
        </w:tc>
      </w:tr>
      <w:tr w14:paraId="29BAFD2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647CBA93">
            <w:pPr>
              <w:pStyle w:val="12"/>
              <w:bidi w:val="0"/>
              <w:rPr>
                <w:color w:val="auto"/>
              </w:rPr>
            </w:pPr>
            <w:r>
              <w:rPr>
                <w:rFonts w:hint="eastAsia"/>
                <w:color w:val="auto"/>
              </w:rPr>
              <w:t>重点风险防范措施</w:t>
            </w:r>
          </w:p>
        </w:tc>
        <w:tc>
          <w:tcPr>
            <w:tcW w:w="3853" w:type="pct"/>
            <w:gridSpan w:val="11"/>
            <w:tcBorders>
              <w:tl2br w:val="nil"/>
              <w:tr2bl w:val="nil"/>
            </w:tcBorders>
            <w:noWrap w:val="0"/>
            <w:vAlign w:val="center"/>
          </w:tcPr>
          <w:p w14:paraId="26363E98">
            <w:pPr>
              <w:pStyle w:val="12"/>
              <w:bidi w:val="0"/>
              <w:rPr>
                <w:color w:val="auto"/>
              </w:rPr>
            </w:pPr>
            <w:r>
              <w:rPr>
                <w:rFonts w:hint="eastAsia"/>
                <w:color w:val="auto"/>
              </w:rPr>
              <w:t>风险事故防范：要求对于专用设备暂存区及油类物质暂存间地面做重点防渗，设置围堰，并按要求设置有干粉灭火器、沙子等；建立一套完善的安全管理制度，执行工业安全卫生、劳动保护、环保、消防等相关规定。</w:t>
            </w:r>
            <w:r>
              <w:rPr>
                <w:color w:val="auto"/>
              </w:rPr>
              <w:t xml:space="preserve"> </w:t>
            </w:r>
          </w:p>
        </w:tc>
      </w:tr>
      <w:tr w14:paraId="6F3D082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1146" w:type="pct"/>
            <w:gridSpan w:val="3"/>
            <w:tcBorders>
              <w:tl2br w:val="nil"/>
              <w:tr2bl w:val="nil"/>
            </w:tcBorders>
            <w:noWrap w:val="0"/>
            <w:vAlign w:val="center"/>
          </w:tcPr>
          <w:p w14:paraId="24D0D23F">
            <w:pPr>
              <w:pStyle w:val="12"/>
              <w:bidi w:val="0"/>
              <w:rPr>
                <w:color w:val="auto"/>
              </w:rPr>
            </w:pPr>
            <w:r>
              <w:rPr>
                <w:rFonts w:hint="eastAsia"/>
                <w:color w:val="auto"/>
              </w:rPr>
              <w:t>评价结论及建议</w:t>
            </w:r>
          </w:p>
        </w:tc>
        <w:tc>
          <w:tcPr>
            <w:tcW w:w="3853" w:type="pct"/>
            <w:gridSpan w:val="11"/>
            <w:tcBorders>
              <w:tl2br w:val="nil"/>
              <w:tr2bl w:val="nil"/>
            </w:tcBorders>
            <w:noWrap w:val="0"/>
            <w:vAlign w:val="center"/>
          </w:tcPr>
          <w:p w14:paraId="7583086B">
            <w:pPr>
              <w:pStyle w:val="12"/>
              <w:bidi w:val="0"/>
              <w:rPr>
                <w:color w:val="auto"/>
              </w:rPr>
            </w:pPr>
            <w:r>
              <w:rPr>
                <w:rFonts w:hint="eastAsia"/>
                <w:color w:val="auto"/>
              </w:rPr>
              <w:t>项目主要风险源强为</w:t>
            </w:r>
            <w:r>
              <w:rPr>
                <w:rFonts w:hint="eastAsia"/>
                <w:color w:val="auto"/>
                <w:lang w:val="en-US" w:eastAsia="zh-CN"/>
              </w:rPr>
              <w:t>柴油</w:t>
            </w:r>
            <w:r>
              <w:rPr>
                <w:rFonts w:hint="eastAsia"/>
                <w:color w:val="auto"/>
              </w:rPr>
              <w:t>的泄露风险，在采取本报告提出的各项风险防范措施后，本项目环境风险可控环境风险可控</w:t>
            </w:r>
          </w:p>
        </w:tc>
      </w:tr>
      <w:tr w14:paraId="77C2DE2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28" w:type="dxa"/>
            <w:bottom w:w="0" w:type="dxa"/>
            <w:right w:w="28" w:type="dxa"/>
          </w:tblCellMar>
        </w:tblPrEx>
        <w:trPr>
          <w:trHeight w:val="340" w:hRule="atLeast"/>
          <w:jc w:val="center"/>
        </w:trPr>
        <w:tc>
          <w:tcPr>
            <w:tcW w:w="5000" w:type="pct"/>
            <w:gridSpan w:val="14"/>
            <w:tcBorders>
              <w:tl2br w:val="nil"/>
              <w:tr2bl w:val="nil"/>
            </w:tcBorders>
            <w:noWrap w:val="0"/>
            <w:vAlign w:val="center"/>
          </w:tcPr>
          <w:p w14:paraId="4160865C">
            <w:pPr>
              <w:pStyle w:val="12"/>
              <w:bidi w:val="0"/>
              <w:rPr>
                <w:color w:val="auto"/>
              </w:rPr>
            </w:pPr>
            <w:r>
              <w:rPr>
                <w:rFonts w:hint="eastAsia"/>
                <w:color w:val="auto"/>
              </w:rPr>
              <w:t>注：“□”为勾选项，“___”为填写项。</w:t>
            </w:r>
          </w:p>
        </w:tc>
      </w:tr>
    </w:tbl>
    <w:p w14:paraId="06D7A854">
      <w:pPr>
        <w:pStyle w:val="3"/>
        <w:pageBreakBefore w:val="0"/>
        <w:wordWrap/>
        <w:bidi w:val="0"/>
        <w:adjustRightInd/>
        <w:snapToGrid/>
        <w:rPr>
          <w:rFonts w:eastAsia="宋体"/>
          <w:color w:val="auto"/>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39DA95BC">
      <w:pPr>
        <w:pStyle w:val="3"/>
        <w:pageBreakBefore w:val="0"/>
        <w:wordWrap/>
        <w:bidi w:val="0"/>
        <w:adjustRightInd/>
        <w:snapToGrid/>
        <w:rPr>
          <w:rFonts w:eastAsia="宋体"/>
          <w:color w:val="auto"/>
        </w:rPr>
      </w:pPr>
      <w:bookmarkStart w:id="217" w:name="_Toc32020"/>
      <w:r>
        <w:rPr>
          <w:rFonts w:eastAsia="宋体"/>
          <w:color w:val="auto"/>
        </w:rPr>
        <w:t>环境保护措施及其</w:t>
      </w:r>
      <w:r>
        <w:rPr>
          <w:rFonts w:hint="eastAsia" w:eastAsia="宋体"/>
          <w:color w:val="auto"/>
          <w:lang w:val="en-US" w:eastAsia="zh-CN"/>
        </w:rPr>
        <w:t>经济、技术</w:t>
      </w:r>
      <w:r>
        <w:rPr>
          <w:rFonts w:eastAsia="宋体"/>
          <w:color w:val="auto"/>
        </w:rPr>
        <w:t>论证</w:t>
      </w:r>
      <w:bookmarkEnd w:id="214"/>
      <w:bookmarkEnd w:id="215"/>
      <w:bookmarkEnd w:id="217"/>
    </w:p>
    <w:p w14:paraId="22E27462">
      <w:pPr>
        <w:pStyle w:val="4"/>
        <w:pageBreakBefore w:val="0"/>
        <w:wordWrap/>
        <w:bidi w:val="0"/>
        <w:adjustRightInd/>
        <w:snapToGrid/>
        <w:rPr>
          <w:rFonts w:ascii="Times New Roman" w:hAnsi="Times New Roman" w:eastAsia="宋体"/>
          <w:color w:val="auto"/>
        </w:rPr>
      </w:pPr>
      <w:bookmarkStart w:id="218" w:name="_Toc1267"/>
      <w:bookmarkStart w:id="219" w:name="_Toc362082756"/>
      <w:bookmarkStart w:id="220" w:name="_Toc20414"/>
      <w:bookmarkStart w:id="221" w:name="_Toc374627815"/>
      <w:bookmarkStart w:id="222" w:name="_Toc505087373"/>
      <w:r>
        <w:rPr>
          <w:rFonts w:hint="eastAsia" w:ascii="Times New Roman" w:hAnsi="Times New Roman" w:eastAsia="宋体"/>
          <w:color w:val="auto"/>
        </w:rPr>
        <w:t xml:space="preserve"> </w:t>
      </w:r>
      <w:bookmarkStart w:id="223" w:name="_Toc12374"/>
      <w:r>
        <w:rPr>
          <w:rFonts w:ascii="Times New Roman" w:hAnsi="Times New Roman" w:eastAsia="宋体"/>
          <w:color w:val="auto"/>
        </w:rPr>
        <w:t>施工期环保措施及其可行性论证</w:t>
      </w:r>
      <w:bookmarkEnd w:id="218"/>
      <w:bookmarkEnd w:id="219"/>
      <w:bookmarkEnd w:id="220"/>
      <w:bookmarkEnd w:id="221"/>
      <w:bookmarkEnd w:id="222"/>
      <w:bookmarkEnd w:id="223"/>
    </w:p>
    <w:p w14:paraId="6A80D5E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施工期环保措施</w:t>
      </w:r>
    </w:p>
    <w:p w14:paraId="2E8E8D88">
      <w:pPr>
        <w:pageBreakBefore w:val="0"/>
        <w:wordWrap/>
        <w:bidi w:val="0"/>
        <w:adjustRightInd/>
        <w:snapToGrid/>
        <w:ind w:firstLine="480"/>
        <w:rPr>
          <w:color w:val="auto"/>
        </w:rPr>
      </w:pPr>
      <w:r>
        <w:rPr>
          <w:color w:val="auto"/>
        </w:rPr>
        <w:t>施工期产生扬尘、噪声、建筑弃</w:t>
      </w:r>
      <w:r>
        <w:rPr>
          <w:rFonts w:hint="eastAsia"/>
          <w:color w:val="auto"/>
          <w:lang w:eastAsia="zh-CN"/>
        </w:rPr>
        <w:t>渣</w:t>
      </w:r>
      <w:r>
        <w:rPr>
          <w:color w:val="auto"/>
        </w:rPr>
        <w:t>及施工废水等，影响空气、声、地表水及生态环境。拟采用以下管理措施和工程措施。</w:t>
      </w:r>
    </w:p>
    <w:p w14:paraId="00DC730A">
      <w:pPr>
        <w:pageBreakBefore w:val="0"/>
        <w:wordWrap/>
        <w:bidi w:val="0"/>
        <w:adjustRightInd/>
        <w:snapToGrid/>
        <w:ind w:firstLine="480"/>
        <w:rPr>
          <w:color w:val="auto"/>
        </w:rPr>
      </w:pPr>
      <w:r>
        <w:rPr>
          <w:color w:val="auto"/>
        </w:rPr>
        <w:t>（1）管理措施</w:t>
      </w:r>
    </w:p>
    <w:p w14:paraId="68CE1585">
      <w:pPr>
        <w:pageBreakBefore w:val="0"/>
        <w:wordWrap/>
        <w:bidi w:val="0"/>
        <w:adjustRightInd/>
        <w:snapToGrid/>
        <w:ind w:firstLine="480"/>
        <w:rPr>
          <w:color w:val="auto"/>
        </w:rPr>
      </w:pPr>
      <w:r>
        <w:rPr>
          <w:color w:val="auto"/>
        </w:rPr>
        <w:t>工程施工过程中运输量和挖掘量较小，将施工期环保工作纳入合同管理，明确施工单位为有关环保工作责任方，业主单位为监督和管理方；并要求施工单位将环保措施的执行情况纳入生产管理体系中，建立相应的工作制度；同时加强对施工队伍的环保宣传工作。</w:t>
      </w:r>
    </w:p>
    <w:p w14:paraId="2B251178">
      <w:pPr>
        <w:pageBreakBefore w:val="0"/>
        <w:wordWrap/>
        <w:bidi w:val="0"/>
        <w:adjustRightInd/>
        <w:snapToGrid/>
        <w:ind w:firstLine="480"/>
        <w:rPr>
          <w:color w:val="auto"/>
        </w:rPr>
      </w:pPr>
      <w:r>
        <w:rPr>
          <w:color w:val="auto"/>
        </w:rPr>
        <w:t>（2）工程措施</w:t>
      </w:r>
    </w:p>
    <w:p w14:paraId="73679A5A">
      <w:pPr>
        <w:pageBreakBefore w:val="0"/>
        <w:wordWrap/>
        <w:bidi w:val="0"/>
        <w:adjustRightInd/>
        <w:snapToGrid/>
        <w:ind w:firstLine="480"/>
        <w:rPr>
          <w:color w:val="auto"/>
        </w:rPr>
      </w:pPr>
      <w:r>
        <w:rPr>
          <w:color w:val="auto"/>
        </w:rPr>
        <w:t>1、扬尘防护：定期洒水降尘，主要产尘作业点装防尘网；及时清除路面尘土。</w:t>
      </w:r>
    </w:p>
    <w:p w14:paraId="2648D9B2">
      <w:pPr>
        <w:pageBreakBefore w:val="0"/>
        <w:wordWrap/>
        <w:bidi w:val="0"/>
        <w:adjustRightInd/>
        <w:snapToGrid/>
        <w:ind w:firstLine="480"/>
        <w:rPr>
          <w:color w:val="auto"/>
        </w:rPr>
      </w:pPr>
      <w:r>
        <w:rPr>
          <w:color w:val="auto"/>
        </w:rPr>
        <w:t>2、噪声防治：使用低噪声设备等，作业点尽量远离厂界，必要时设置临时隔声墙。</w:t>
      </w:r>
    </w:p>
    <w:p w14:paraId="676E5332">
      <w:pPr>
        <w:pageBreakBefore w:val="0"/>
        <w:wordWrap/>
        <w:bidi w:val="0"/>
        <w:adjustRightInd/>
        <w:snapToGrid/>
        <w:ind w:firstLine="480"/>
        <w:rPr>
          <w:color w:val="auto"/>
        </w:rPr>
      </w:pPr>
      <w:r>
        <w:rPr>
          <w:color w:val="auto"/>
        </w:rPr>
        <w:t>3、建筑</w:t>
      </w:r>
      <w:r>
        <w:rPr>
          <w:rFonts w:hint="eastAsia"/>
          <w:color w:val="auto"/>
        </w:rPr>
        <w:t>弃渣</w:t>
      </w:r>
      <w:r>
        <w:rPr>
          <w:color w:val="auto"/>
        </w:rPr>
        <w:t>处置：</w:t>
      </w:r>
      <w:r>
        <w:rPr>
          <w:rFonts w:hint="eastAsia"/>
          <w:color w:val="auto"/>
        </w:rPr>
        <w:t>弃渣</w:t>
      </w:r>
      <w:r>
        <w:rPr>
          <w:color w:val="auto"/>
        </w:rPr>
        <w:t>按当地环卫部门要求及时清运至指定的</w:t>
      </w:r>
      <w:r>
        <w:rPr>
          <w:rFonts w:hint="eastAsia"/>
          <w:color w:val="auto"/>
        </w:rPr>
        <w:t>建渣</w:t>
      </w:r>
      <w:r>
        <w:rPr>
          <w:color w:val="auto"/>
        </w:rPr>
        <w:t>堆放场地；临时堆</w:t>
      </w:r>
      <w:r>
        <w:rPr>
          <w:rFonts w:hint="eastAsia"/>
          <w:color w:val="auto"/>
          <w:lang w:eastAsia="zh-CN"/>
        </w:rPr>
        <w:t>放</w:t>
      </w:r>
      <w:r>
        <w:rPr>
          <w:color w:val="auto"/>
        </w:rPr>
        <w:t>应避开沟渠，遮盖堆置。</w:t>
      </w:r>
    </w:p>
    <w:p w14:paraId="047956B5">
      <w:pPr>
        <w:pageBreakBefore w:val="0"/>
        <w:wordWrap/>
        <w:bidi w:val="0"/>
        <w:adjustRightInd/>
        <w:snapToGrid/>
        <w:ind w:firstLine="480"/>
        <w:rPr>
          <w:color w:val="auto"/>
        </w:rPr>
      </w:pPr>
      <w:r>
        <w:rPr>
          <w:color w:val="auto"/>
        </w:rPr>
        <w:t>4、施工废水：在施工废水排放点建沉淀池，施工废水处理后回用。施工及安装人员生活污水经化粪池处理后排入市政污水管网，经</w:t>
      </w:r>
      <w:r>
        <w:rPr>
          <w:rFonts w:hint="eastAsia"/>
          <w:color w:val="auto"/>
          <w:lang w:eastAsia="zh-CN"/>
        </w:rPr>
        <w:t>曾口镇污水处理厂</w:t>
      </w:r>
      <w:r>
        <w:rPr>
          <w:color w:val="auto"/>
        </w:rPr>
        <w:t>处理达标后排放。</w:t>
      </w:r>
    </w:p>
    <w:p w14:paraId="03B9D0ED">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施工期环保措施论证</w:t>
      </w:r>
    </w:p>
    <w:p w14:paraId="1539C3E2">
      <w:pPr>
        <w:pageBreakBefore w:val="0"/>
        <w:wordWrap/>
        <w:bidi w:val="0"/>
        <w:adjustRightInd/>
        <w:snapToGrid/>
        <w:ind w:firstLine="480"/>
        <w:rPr>
          <w:color w:val="auto"/>
        </w:rPr>
      </w:pPr>
      <w:r>
        <w:rPr>
          <w:color w:val="auto"/>
        </w:rPr>
        <w:t>项目工程施工中对周围局部区域环境会产生一定的影响。由于施工期短，工程量小，施工期对环境影响较小。分析认为，通过施工管理措施的落实，可极大地约束和控制施工期的</w:t>
      </w:r>
      <w:r>
        <w:rPr>
          <w:rFonts w:hint="eastAsia"/>
          <w:color w:val="auto"/>
          <w:lang w:eastAsia="zh-CN"/>
        </w:rPr>
        <w:t>“</w:t>
      </w:r>
      <w:r>
        <w:rPr>
          <w:color w:val="auto"/>
        </w:rPr>
        <w:t>三废</w:t>
      </w:r>
      <w:r>
        <w:rPr>
          <w:rFonts w:hint="eastAsia"/>
          <w:color w:val="auto"/>
          <w:lang w:eastAsia="zh-CN"/>
        </w:rPr>
        <w:t>”</w:t>
      </w:r>
      <w:r>
        <w:rPr>
          <w:color w:val="auto"/>
        </w:rPr>
        <w:t>、噪声；同时通过实施相应的工程防范措施，可有效减缓工程施工扬尘、噪声、废水、弃碴的影响。施工期环保措施可行。</w:t>
      </w:r>
    </w:p>
    <w:p w14:paraId="70A5972A">
      <w:pPr>
        <w:pStyle w:val="4"/>
        <w:pageBreakBefore w:val="0"/>
        <w:wordWrap/>
        <w:bidi w:val="0"/>
        <w:adjustRightInd/>
        <w:snapToGrid/>
        <w:rPr>
          <w:rFonts w:ascii="Times New Roman" w:hAnsi="Times New Roman" w:eastAsia="宋体"/>
          <w:color w:val="auto"/>
        </w:rPr>
      </w:pPr>
      <w:bookmarkStart w:id="224" w:name="_Toc1403"/>
      <w:r>
        <w:rPr>
          <w:rFonts w:hint="eastAsia" w:ascii="Times New Roman" w:hAnsi="Times New Roman" w:eastAsia="宋体"/>
          <w:color w:val="auto"/>
        </w:rPr>
        <w:t xml:space="preserve"> </w:t>
      </w:r>
      <w:bookmarkStart w:id="225" w:name="_Toc11613"/>
      <w:r>
        <w:rPr>
          <w:rFonts w:ascii="Times New Roman" w:hAnsi="Times New Roman" w:eastAsia="宋体"/>
          <w:color w:val="auto"/>
        </w:rPr>
        <w:t>营运期环保措施及可行性分析</w:t>
      </w:r>
      <w:bookmarkEnd w:id="224"/>
      <w:bookmarkEnd w:id="225"/>
    </w:p>
    <w:p w14:paraId="3482834A">
      <w:pPr>
        <w:pStyle w:val="5"/>
        <w:pageBreakBefore w:val="0"/>
        <w:wordWrap/>
        <w:bidi w:val="0"/>
        <w:adjustRightInd/>
        <w:snapToGrid/>
        <w:spacing w:before="48" w:after="48"/>
        <w:ind w:left="0"/>
        <w:rPr>
          <w:rFonts w:eastAsia="宋体"/>
          <w:color w:val="auto"/>
        </w:rPr>
      </w:pPr>
      <w:bookmarkStart w:id="226" w:name="_Toc22012"/>
      <w:bookmarkStart w:id="227" w:name="_Toc374627821"/>
      <w:r>
        <w:rPr>
          <w:rFonts w:hint="eastAsia" w:eastAsia="宋体"/>
          <w:color w:val="auto"/>
        </w:rPr>
        <w:t xml:space="preserve"> </w:t>
      </w:r>
      <w:r>
        <w:rPr>
          <w:rFonts w:eastAsia="宋体"/>
          <w:color w:val="auto"/>
        </w:rPr>
        <w:t>废水治理措施及可行性</w:t>
      </w:r>
      <w:bookmarkEnd w:id="226"/>
      <w:bookmarkEnd w:id="227"/>
      <w:r>
        <w:rPr>
          <w:rFonts w:eastAsia="宋体"/>
          <w:color w:val="auto"/>
        </w:rPr>
        <w:t>分析</w:t>
      </w:r>
    </w:p>
    <w:p w14:paraId="7E054057">
      <w:pPr>
        <w:pageBreakBefore w:val="0"/>
        <w:wordWrap/>
        <w:bidi w:val="0"/>
        <w:adjustRightInd/>
        <w:snapToGrid/>
        <w:ind w:firstLine="480"/>
        <w:rPr>
          <w:color w:val="auto"/>
        </w:rPr>
      </w:pPr>
      <w:bookmarkStart w:id="228" w:name="_Toc374627822"/>
      <w:bookmarkStart w:id="229" w:name="_Toc362082758"/>
      <w:r>
        <w:rPr>
          <w:color w:val="auto"/>
        </w:rPr>
        <w:t>1、污水处理厂进水水质管理</w:t>
      </w:r>
    </w:p>
    <w:p w14:paraId="24BB35BA">
      <w:pPr>
        <w:pageBreakBefore w:val="0"/>
        <w:wordWrap/>
        <w:bidi w:val="0"/>
        <w:adjustRightInd/>
        <w:snapToGrid/>
        <w:ind w:firstLine="480"/>
        <w:rPr>
          <w:color w:val="auto"/>
        </w:rPr>
      </w:pPr>
      <w:r>
        <w:rPr>
          <w:color w:val="auto"/>
        </w:rPr>
        <w:t>工业污水处理厂设计进水水质是根据服务区内的排水企业等实际情况以及类比等确定的，进入污水处理厂的污水应按以下方式进行控制：</w:t>
      </w:r>
    </w:p>
    <w:p w14:paraId="0B3AABC2">
      <w:pPr>
        <w:pageBreakBefore w:val="0"/>
        <w:wordWrap/>
        <w:bidi w:val="0"/>
        <w:adjustRightInd/>
        <w:snapToGrid/>
        <w:ind w:firstLine="480"/>
        <w:rPr>
          <w:color w:val="auto"/>
        </w:rPr>
      </w:pPr>
      <w:r>
        <w:rPr>
          <w:color w:val="auto"/>
        </w:rPr>
        <w:t>园区内废水必须经各企业单元自行处理，有行业标准的必须达到其相应行业标准；无行业标准的第一类污染物和特征污染物由企业自行处理，第一类污染物在车间排放口达到《污水综合排放标准》第一类污染物最高允许排放浓度、其他特征污染物在总排放口达到《污水综合排放标准》一级标准，常规污染物在企业总排放口达到《污水综合排放标准》（GB8978-1996）三级排放标准并同时满足行业污染物排放标准、污水处理厂接管要求后才能排入本项目污水处理厂。涉及含酸碱的污水必须进行综合处理后方能进入污水管网，不得向污水处理厂排放危险废物，含放射性废水不得排入服务区的污水管网系统。</w:t>
      </w:r>
    </w:p>
    <w:p w14:paraId="45CD72C6">
      <w:pPr>
        <w:pageBreakBefore w:val="0"/>
        <w:wordWrap/>
        <w:bidi w:val="0"/>
        <w:adjustRightInd/>
        <w:snapToGrid/>
        <w:ind w:firstLine="480"/>
        <w:rPr>
          <w:color w:val="auto"/>
        </w:rPr>
      </w:pPr>
      <w:r>
        <w:rPr>
          <w:color w:val="auto"/>
        </w:rPr>
        <w:t>污水进水水质出现高于本</w:t>
      </w:r>
      <w:r>
        <w:rPr>
          <w:rFonts w:hint="eastAsia"/>
          <w:color w:val="auto"/>
          <w:lang w:eastAsia="zh-CN"/>
        </w:rPr>
        <w:t>污水处理厂</w:t>
      </w:r>
      <w:r>
        <w:rPr>
          <w:color w:val="auto"/>
        </w:rPr>
        <w:t>进水水质要求的情况时，业主单位应立即上报上级主管部门，配合当地环境行政主管部门，加强超标企业的排查，并限令超标企业进行整改；对于限期整改不到位的超标企业，给予关闭处理。同时启动应急预案，增加</w:t>
      </w:r>
      <w:r>
        <w:rPr>
          <w:rFonts w:hint="eastAsia"/>
          <w:color w:val="auto"/>
          <w:lang w:eastAsia="zh-CN"/>
        </w:rPr>
        <w:t>污水处理厂</w:t>
      </w:r>
      <w:r>
        <w:rPr>
          <w:color w:val="auto"/>
        </w:rPr>
        <w:t>出水水质监测频率。</w:t>
      </w:r>
    </w:p>
    <w:p w14:paraId="27C9CF09">
      <w:pPr>
        <w:pageBreakBefore w:val="0"/>
        <w:wordWrap/>
        <w:bidi w:val="0"/>
        <w:adjustRightInd/>
        <w:snapToGrid/>
        <w:ind w:firstLine="480"/>
        <w:rPr>
          <w:color w:val="auto"/>
        </w:rPr>
      </w:pPr>
      <w:r>
        <w:rPr>
          <w:color w:val="auto"/>
        </w:rPr>
        <w:t>2、</w:t>
      </w:r>
      <w:r>
        <w:rPr>
          <w:rFonts w:hint="eastAsia"/>
          <w:color w:val="auto"/>
          <w:lang w:eastAsia="zh-CN"/>
        </w:rPr>
        <w:t>污水处理厂</w:t>
      </w:r>
      <w:r>
        <w:rPr>
          <w:color w:val="auto"/>
        </w:rPr>
        <w:t>内部管理</w:t>
      </w:r>
    </w:p>
    <w:p w14:paraId="4B3245F8">
      <w:pPr>
        <w:pageBreakBefore w:val="0"/>
        <w:wordWrap/>
        <w:bidi w:val="0"/>
        <w:adjustRightInd/>
        <w:snapToGrid/>
        <w:ind w:firstLine="480"/>
        <w:rPr>
          <w:color w:val="auto"/>
        </w:rPr>
      </w:pPr>
      <w:r>
        <w:rPr>
          <w:color w:val="auto"/>
        </w:rPr>
        <w:t>污水处理厂加强电源管理，确保双电源的正常使用。加强污水处理厂工艺参数的调整，在污水处理厂运行状态良好、出水水质稳定达标情况下，组织污水处理厂的设备检修，确保污水达标排放。加强污水管网的巡管检查工作，避免管道破裂等造成未处理污水外排。加强污水提升泵站设备管理，备用泵等必须完好，确保污水顺利提升。</w:t>
      </w:r>
    </w:p>
    <w:p w14:paraId="58873CCF">
      <w:pPr>
        <w:pageBreakBefore w:val="0"/>
        <w:wordWrap/>
        <w:bidi w:val="0"/>
        <w:adjustRightInd/>
        <w:snapToGrid/>
        <w:ind w:firstLine="480"/>
        <w:rPr>
          <w:color w:val="auto"/>
        </w:rPr>
      </w:pPr>
      <w:r>
        <w:rPr>
          <w:color w:val="auto"/>
        </w:rPr>
        <w:t>污水处理厂采用雨污分流制，污水处理厂综合楼、食堂等生活污水纳入污水处理厂处理后排放。</w:t>
      </w:r>
    </w:p>
    <w:p w14:paraId="011DB998">
      <w:pPr>
        <w:pageBreakBefore w:val="0"/>
        <w:wordWrap/>
        <w:bidi w:val="0"/>
        <w:adjustRightInd/>
        <w:snapToGrid/>
        <w:ind w:firstLine="480"/>
        <w:rPr>
          <w:color w:val="auto"/>
        </w:rPr>
      </w:pPr>
      <w:r>
        <w:rPr>
          <w:color w:val="auto"/>
        </w:rPr>
        <w:t>3、污水处理厂处理工艺可行性分析</w:t>
      </w:r>
    </w:p>
    <w:p w14:paraId="209660AB">
      <w:pPr>
        <w:pageBreakBefore w:val="0"/>
        <w:wordWrap/>
        <w:bidi w:val="0"/>
        <w:adjustRightInd/>
        <w:snapToGrid/>
        <w:ind w:firstLine="480"/>
        <w:rPr>
          <w:color w:val="auto"/>
        </w:rPr>
      </w:pPr>
      <w:r>
        <w:rPr>
          <w:color w:val="auto"/>
        </w:rPr>
        <w:t>（1）废水处理工艺简述</w:t>
      </w:r>
    </w:p>
    <w:p w14:paraId="78946C35">
      <w:pPr>
        <w:pageBreakBefore w:val="0"/>
        <w:wordWrap/>
        <w:bidi w:val="0"/>
        <w:adjustRightInd/>
        <w:snapToGrid/>
        <w:ind w:firstLine="480"/>
        <w:rPr>
          <w:color w:val="auto"/>
        </w:rPr>
      </w:pPr>
      <w:r>
        <w:rPr>
          <w:color w:val="auto"/>
        </w:rPr>
        <w:t>据项目设计，本项目废水处理主体工艺为</w:t>
      </w:r>
      <w:r>
        <w:rPr>
          <w:rFonts w:hint="eastAsia"/>
          <w:color w:val="auto"/>
          <w:lang w:eastAsia="zh-CN"/>
        </w:rPr>
        <w:t>“超细格栅+调节池+高级氧化预处理（预留）+水解酸化池+生化池+二沉池+磁混凝沉淀池+深床反硝化+高级氧化深度处理+紫外线消毒”</w:t>
      </w:r>
      <w:r>
        <w:rPr>
          <w:color w:val="auto"/>
        </w:rPr>
        <w:t>，尾水经紫外消毒处理后，经排口达标排放。</w:t>
      </w:r>
    </w:p>
    <w:p w14:paraId="05BA7D75">
      <w:pPr>
        <w:pageBreakBefore w:val="0"/>
        <w:widowControl/>
        <w:wordWrap/>
        <w:bidi w:val="0"/>
        <w:adjustRightInd/>
        <w:snapToGrid/>
        <w:ind w:firstLine="480"/>
        <w:rPr>
          <w:color w:val="auto"/>
        </w:rPr>
      </w:pPr>
      <w:r>
        <w:rPr>
          <w:rFonts w:hint="eastAsia"/>
          <w:color w:val="auto"/>
          <w:kern w:val="0"/>
          <w:lang w:val="en-US" w:eastAsia="zh-CN" w:bidi="ar"/>
        </w:rPr>
        <w:t>一级处理</w:t>
      </w:r>
      <w:r>
        <w:rPr>
          <w:color w:val="auto"/>
          <w:kern w:val="0"/>
          <w:lang w:bidi="ar"/>
        </w:rPr>
        <w:t>：</w:t>
      </w:r>
      <w:r>
        <w:rPr>
          <w:rFonts w:hint="eastAsia"/>
          <w:color w:val="auto"/>
          <w:kern w:val="0"/>
          <w:lang w:bidi="ar"/>
        </w:rPr>
        <w:t>一级处理段通常包括粗格栅、细格栅、沉砂池、初沉池和水解酸化池等，其中粗、细格栅和沉砂池是污水处理厂必备的工段。格栅用于截流大块的悬浮物。对后续处理构筑物及水泵具有保护作用。沉砂池的功能是从污水中分离出比重较大的颗粒，目前沉砂池去除悬浮物的效果良好，细砂粒（</w:t>
      </w:r>
      <w:r>
        <w:rPr>
          <w:rFonts w:hint="eastAsia"/>
          <w:color w:val="auto"/>
          <w:kern w:val="0"/>
          <w:lang w:eastAsia="zh-CN" w:bidi="ar"/>
        </w:rPr>
        <w:t>粒径为</w:t>
      </w:r>
      <w:r>
        <w:rPr>
          <w:rFonts w:hint="eastAsia"/>
          <w:color w:val="auto"/>
          <w:kern w:val="0"/>
          <w:lang w:bidi="ar"/>
        </w:rPr>
        <w:t>0.104mm）的去除率也高，可达73%，从而可不设初沉池。考虑到园区前期工业企业排水量的不稳定因素，导致进水水质和水量浮动较大，且前期园区进水水量规模不大，尚且达不到污水处理厂处理规模，因此需考虑设置调节池以调节进水水质和水量。同时园区周围已有和在建的工业企业较多，大量的工业污水排出会降低原水的可生化性，从远期考虑，建议增加提高原水可生化性的工艺技术。因此，本工程一级处理工艺采用</w:t>
      </w:r>
      <w:r>
        <w:rPr>
          <w:rFonts w:hint="eastAsia"/>
          <w:color w:val="auto"/>
          <w:kern w:val="0"/>
          <w:lang w:val="en-US" w:eastAsia="zh-CN" w:bidi="ar"/>
        </w:rPr>
        <w:t>超细</w:t>
      </w:r>
      <w:r>
        <w:rPr>
          <w:rFonts w:hint="eastAsia"/>
          <w:color w:val="auto"/>
          <w:kern w:val="0"/>
          <w:lang w:bidi="ar"/>
        </w:rPr>
        <w:t>格栅、调节池以及提高可生化性的工艺。</w:t>
      </w:r>
    </w:p>
    <w:p w14:paraId="208D23BE">
      <w:pPr>
        <w:pageBreakBefore w:val="0"/>
        <w:widowControl/>
        <w:wordWrap/>
        <w:bidi w:val="0"/>
        <w:adjustRightInd/>
        <w:snapToGrid/>
        <w:ind w:firstLine="480"/>
        <w:rPr>
          <w:color w:val="auto"/>
          <w:kern w:val="0"/>
          <w:lang w:bidi="ar"/>
        </w:rPr>
      </w:pPr>
      <w:r>
        <w:rPr>
          <w:rFonts w:hint="eastAsia"/>
          <w:color w:val="auto"/>
          <w:kern w:val="0"/>
          <w:lang w:val="en-US" w:eastAsia="zh-CN" w:bidi="ar"/>
        </w:rPr>
        <w:t>生化</w:t>
      </w:r>
      <w:r>
        <w:rPr>
          <w:color w:val="auto"/>
          <w:kern w:val="0"/>
          <w:lang w:bidi="ar"/>
        </w:rPr>
        <w:t>池</w:t>
      </w:r>
      <w:r>
        <w:rPr>
          <w:rFonts w:hint="eastAsia"/>
          <w:color w:val="auto"/>
          <w:kern w:val="0"/>
          <w:lang w:eastAsia="zh-CN" w:bidi="ar"/>
        </w:rPr>
        <w:t>（</w:t>
      </w:r>
      <w:r>
        <w:rPr>
          <w:rFonts w:hint="eastAsia"/>
          <w:color w:val="auto"/>
          <w:kern w:val="0"/>
          <w:lang w:val="en-US" w:eastAsia="zh-CN" w:bidi="ar"/>
        </w:rPr>
        <w:t>EBIS工艺</w:t>
      </w:r>
      <w:r>
        <w:rPr>
          <w:rFonts w:hint="eastAsia"/>
          <w:color w:val="auto"/>
          <w:kern w:val="0"/>
          <w:lang w:eastAsia="zh-CN" w:bidi="ar"/>
        </w:rPr>
        <w:t>）</w:t>
      </w:r>
      <w:r>
        <w:rPr>
          <w:color w:val="auto"/>
          <w:kern w:val="0"/>
          <w:lang w:bidi="ar"/>
        </w:rPr>
        <w:t>：</w:t>
      </w:r>
    </w:p>
    <w:p w14:paraId="5844F5BC">
      <w:pPr>
        <w:pageBreakBefore w:val="0"/>
        <w:widowControl/>
        <w:wordWrap/>
        <w:bidi w:val="0"/>
        <w:adjustRightInd/>
        <w:snapToGrid/>
        <w:ind w:firstLine="480"/>
        <w:rPr>
          <w:color w:val="auto"/>
          <w:kern w:val="0"/>
          <w:lang w:bidi="ar"/>
        </w:rPr>
      </w:pPr>
      <w:r>
        <w:rPr>
          <w:rFonts w:hint="eastAsia"/>
          <w:color w:val="auto"/>
          <w:kern w:val="0"/>
          <w:lang w:bidi="ar"/>
        </w:rPr>
        <w:t>去除COD</w:t>
      </w:r>
      <w:r>
        <w:rPr>
          <w:rFonts w:hint="eastAsia"/>
          <w:color w:val="auto"/>
          <w:kern w:val="0"/>
          <w:lang w:val="en-US" w:eastAsia="zh-CN" w:bidi="ar"/>
        </w:rPr>
        <w:t>原理：</w:t>
      </w:r>
      <w:r>
        <w:rPr>
          <w:rFonts w:hint="eastAsia"/>
          <w:color w:val="auto"/>
          <w:kern w:val="0"/>
          <w:lang w:bidi="ar"/>
        </w:rPr>
        <w:t>EBIS工艺去除COD的理论基础和传统的好氧活性污泥反应的理论基础基本相同，都是微生物群体，利用水中的溶解氧，降解水中的有机物来提供自身能量并进行繁殖，从而使污水得到净化的过程。其反应动力学也符合莫诺模式，但工艺本身也对传统的好氧生物法进行了较大的改进。</w:t>
      </w:r>
    </w:p>
    <w:p w14:paraId="1B89C9B4">
      <w:pPr>
        <w:pageBreakBefore w:val="0"/>
        <w:widowControl/>
        <w:wordWrap/>
        <w:bidi w:val="0"/>
        <w:adjustRightInd/>
        <w:snapToGrid/>
        <w:ind w:firstLine="480"/>
        <w:rPr>
          <w:rFonts w:hint="default" w:eastAsia="宋体"/>
          <w:color w:val="auto"/>
          <w:kern w:val="0"/>
          <w:lang w:val="en-US" w:eastAsia="zh-CN" w:bidi="ar"/>
        </w:rPr>
      </w:pPr>
      <w:r>
        <w:rPr>
          <w:rFonts w:hint="eastAsia"/>
          <w:color w:val="auto"/>
          <w:kern w:val="0"/>
          <w:lang w:val="en-US" w:eastAsia="zh-CN" w:bidi="ar"/>
        </w:rPr>
        <w:t>脱氮原理：在EBIS曝气池前半段溶解氧都被微生物降解有机物所消耗，溶解氧浓度基本都处在0～0.05mg/L，在曝气池后半段，负荷降低，溶解氧开始有富余，溶解氧在0.5mg/L左右，这样的溶解氧浓度条件，给硝化反硝化的同时进行提供了一个最佳环境。</w:t>
      </w:r>
    </w:p>
    <w:p w14:paraId="3E6FB2DA">
      <w:pPr>
        <w:pageBreakBefore w:val="0"/>
        <w:widowControl/>
        <w:wordWrap/>
        <w:bidi w:val="0"/>
        <w:adjustRightInd/>
        <w:snapToGrid/>
        <w:ind w:firstLine="480"/>
        <w:rPr>
          <w:rFonts w:hint="default" w:eastAsia="宋体"/>
          <w:color w:val="auto"/>
          <w:kern w:val="0"/>
          <w:lang w:val="en-US" w:eastAsia="zh-CN" w:bidi="ar"/>
        </w:rPr>
      </w:pPr>
      <w:r>
        <w:rPr>
          <w:rFonts w:hint="eastAsia"/>
          <w:color w:val="auto"/>
          <w:kern w:val="0"/>
          <w:lang w:val="en-US" w:eastAsia="zh-CN" w:bidi="ar"/>
        </w:rPr>
        <w:t>除磷原理：EBIS工艺的生物除磷是靠污水中存在的一定量的某些细菌种群的生化作用来完成的。这些细菌包括不动杆菌属、假单胞菌属、气单胞菌属和棒杆菌属等，均属于异养性细菌，由于具有吸取磷的功能统称为聚磷菌，也称嗜磷菌。嗜磷菌交替地处于厌氧与好氧条件下，在厌氧条件下，聚磷菌体内的ATP进行水解，放出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和能量，吸收、粘附、吸附可溶性低分子量的可生化有机物（即碳源），作为好氧吸取磷的能量贮存在细胞内；好氧状态时，碳源有机物被细菌所氧化，提供能量使嗜磷菌的细胞迅速增长和繁殖，从外部环境中将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摄入体内，摄入的H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部分用于合成ATP，另一部分则用于合成聚磷酸盐贮存在细胞内。嗜磷菌既释放又摄取磷的生理机能是靠其细胞所特有的酶来实现的，由于摄取的磷在数量上远远大于释放的磷量，在运行中将吸取了大量磷的细胞随污泥排掉，则达到生物除磷的目的。EBIS反应池中分别设置厌氧、好氧段，创造出一个好的厌氧—好氧—沉淀排放的循环过程，将污水中的磷随污泥排放。并且在厌氧和好氧状态下使活性污泥与污水充分混合，活性污泥始终处于悬浮状态，促使嗜磷菌的细胞与所要吸取的物质充分接触，以增加反应速度和加大吸取量。同时，曝气区良好的脱氮效果使得回流液中化合态氧（NO</w:t>
      </w:r>
      <w:r>
        <w:rPr>
          <w:rFonts w:hint="eastAsia"/>
          <w:color w:val="auto"/>
          <w:kern w:val="0"/>
          <w:vertAlign w:val="subscript"/>
          <w:lang w:val="en-US" w:eastAsia="zh-CN" w:bidi="ar"/>
        </w:rPr>
        <w:t>3</w:t>
      </w:r>
      <w:r>
        <w:rPr>
          <w:rFonts w:hint="eastAsia"/>
          <w:color w:val="auto"/>
          <w:kern w:val="0"/>
          <w:vertAlign w:val="superscript"/>
          <w:lang w:val="en-US" w:eastAsia="zh-CN" w:bidi="ar"/>
        </w:rPr>
        <w:t>-</w:t>
      </w:r>
      <w:r>
        <w:rPr>
          <w:rFonts w:hint="eastAsia"/>
          <w:color w:val="auto"/>
          <w:kern w:val="0"/>
          <w:lang w:val="en-US" w:eastAsia="zh-CN" w:bidi="ar"/>
        </w:rPr>
        <w:t>或NO</w:t>
      </w:r>
      <w:r>
        <w:rPr>
          <w:rFonts w:hint="eastAsia"/>
          <w:color w:val="auto"/>
          <w:kern w:val="0"/>
          <w:vertAlign w:val="subscript"/>
          <w:lang w:val="en-US" w:eastAsia="zh-CN" w:bidi="ar"/>
        </w:rPr>
        <w:t>2</w:t>
      </w:r>
      <w:r>
        <w:rPr>
          <w:rFonts w:hint="eastAsia"/>
          <w:color w:val="auto"/>
          <w:kern w:val="0"/>
          <w:vertAlign w:val="superscript"/>
          <w:lang w:val="en-US" w:eastAsia="zh-CN" w:bidi="ar"/>
        </w:rPr>
        <w:t>-</w:t>
      </w:r>
      <w:r>
        <w:rPr>
          <w:rFonts w:hint="eastAsia"/>
          <w:color w:val="auto"/>
          <w:kern w:val="0"/>
          <w:lang w:val="en-US" w:eastAsia="zh-CN" w:bidi="ar"/>
        </w:rPr>
        <w:t>）浓度很低，更促进磷的厌氧有效释放，进而大大提高好氧吸磷能力。</w:t>
      </w:r>
    </w:p>
    <w:p w14:paraId="2D783BFA">
      <w:pPr>
        <w:pageBreakBefore w:val="0"/>
        <w:widowControl/>
        <w:wordWrap/>
        <w:bidi w:val="0"/>
        <w:adjustRightInd/>
        <w:snapToGrid/>
        <w:ind w:firstLine="480"/>
        <w:rPr>
          <w:color w:val="auto"/>
        </w:rPr>
      </w:pPr>
      <w:r>
        <w:rPr>
          <w:color w:val="auto"/>
          <w:kern w:val="0"/>
          <w:lang w:bidi="ar"/>
        </w:rPr>
        <w:t>三级处理及深度处理：经生化处理后的污水进入</w:t>
      </w:r>
      <w:r>
        <w:rPr>
          <w:rFonts w:hint="eastAsia"/>
          <w:color w:val="auto"/>
          <w:kern w:val="0"/>
          <w:lang w:val="en-US" w:eastAsia="zh-CN" w:bidi="ar"/>
        </w:rPr>
        <w:t>磁混凝</w:t>
      </w:r>
      <w:r>
        <w:rPr>
          <w:color w:val="auto"/>
          <w:kern w:val="0"/>
          <w:lang w:bidi="ar"/>
        </w:rPr>
        <w:t>沉淀池、</w:t>
      </w:r>
      <w:r>
        <w:rPr>
          <w:rFonts w:hint="eastAsia"/>
          <w:color w:val="auto"/>
          <w:kern w:val="0"/>
          <w:lang w:eastAsia="zh-CN" w:bidi="ar"/>
        </w:rPr>
        <w:t>反硝化深床滤池</w:t>
      </w:r>
      <w:r>
        <w:rPr>
          <w:color w:val="auto"/>
          <w:kern w:val="0"/>
          <w:lang w:bidi="ar"/>
        </w:rPr>
        <w:t>进一步处理去除水中的SS、TP、TN，然后进入</w:t>
      </w:r>
      <w:r>
        <w:rPr>
          <w:rFonts w:hint="eastAsia"/>
          <w:color w:val="auto"/>
          <w:kern w:val="0"/>
          <w:lang w:val="en-US" w:eastAsia="zh-CN" w:bidi="ar"/>
        </w:rPr>
        <w:t>高级氧化深度处理</w:t>
      </w:r>
      <w:r>
        <w:rPr>
          <w:color w:val="auto"/>
          <w:kern w:val="0"/>
          <w:lang w:bidi="ar"/>
        </w:rPr>
        <w:t>进一步降低污水中难降解的COD、BOD、氨氮和总磷。</w:t>
      </w:r>
    </w:p>
    <w:p w14:paraId="708832C1">
      <w:pPr>
        <w:pStyle w:val="328"/>
        <w:pageBreakBefore w:val="0"/>
        <w:wordWrap/>
        <w:bidi w:val="0"/>
        <w:adjustRightInd/>
        <w:snapToGrid/>
        <w:spacing w:line="360" w:lineRule="auto"/>
        <w:rPr>
          <w:color w:val="auto"/>
        </w:rPr>
      </w:pPr>
      <w:r>
        <w:rPr>
          <w:color w:val="auto"/>
        </w:rPr>
        <w:t>（2）废水处理技术可行性分析</w:t>
      </w:r>
    </w:p>
    <w:p w14:paraId="1AFF0E39">
      <w:pPr>
        <w:pageBreakBefore w:val="0"/>
        <w:widowControl/>
        <w:wordWrap/>
        <w:bidi w:val="0"/>
        <w:adjustRightInd/>
        <w:snapToGrid/>
        <w:ind w:firstLine="480"/>
        <w:rPr>
          <w:color w:val="auto"/>
        </w:rPr>
      </w:pPr>
      <w:r>
        <w:rPr>
          <w:color w:val="auto"/>
          <w:kern w:val="0"/>
          <w:lang w:bidi="ar"/>
        </w:rPr>
        <w:t>根据《四川省岷江、沱江流域水污染物排放标准（征求意见稿）》编制说明，提到对工业园区污水处理厂的工艺选择建议：</w:t>
      </w:r>
      <w:r>
        <w:rPr>
          <w:rFonts w:hint="eastAsia"/>
          <w:color w:val="auto"/>
          <w:kern w:val="0"/>
          <w:lang w:eastAsia="zh-CN" w:bidi="ar"/>
        </w:rPr>
        <w:t>“</w:t>
      </w:r>
      <w:r>
        <w:rPr>
          <w:color w:val="auto"/>
          <w:kern w:val="0"/>
          <w:lang w:bidi="ar"/>
        </w:rPr>
        <w:t>目前，对公共污水处理系统的升级改造，主要包括预处理技术、强化生物处理技术、深度处理技术和碳源高效利用技术。„„预处理技术，针对工业园区污水处理厂，需要强化预处理，如增添调节池或水解酸化池，或增添物化处理单元。强化生物处理技术，主要包括增加或强化现有二级生化单元的脱氮除磷效果，以及投加填料采用生物膜与活性污泥相结合的工艺。还可以通过优化运行管理方式，如增大曝气量、改善污泥活性等措施，提高COD和NH</w:t>
      </w:r>
      <w:r>
        <w:rPr>
          <w:color w:val="auto"/>
          <w:kern w:val="0"/>
          <w:vertAlign w:val="subscript"/>
          <w:lang w:bidi="ar"/>
        </w:rPr>
        <w:t>3</w:t>
      </w:r>
      <w:r>
        <w:rPr>
          <w:color w:val="auto"/>
          <w:kern w:val="0"/>
          <w:lang w:bidi="ar"/>
        </w:rPr>
        <w:t>-N处理效率。TN问题成为大部分二级生化污水处理厂最头痛的难题，对于流域内需要强化TN去除效果的污水处理厂，除了采用延长污泥泥龄、提高回流比、增加缺氧段停留时间等强化生物除磷脱氮系统对内部碳源的利用，在部分时段还应投加外部碳源强化总氮的去除效果。深度处理技术主要针对SS、TP不能稳定达标情况，可通过增添化学除磷单元，与生物除磷技术强化除磷效果。如设置混凝+沉淀+过滤或接触过滤（混合+过滤），同时提高TP和SS的去除效果</w:t>
      </w:r>
      <w:r>
        <w:rPr>
          <w:rFonts w:hint="eastAsia"/>
          <w:color w:val="auto"/>
          <w:kern w:val="0"/>
          <w:lang w:eastAsia="zh-CN" w:bidi="ar"/>
        </w:rPr>
        <w:t>”</w:t>
      </w:r>
      <w:r>
        <w:rPr>
          <w:color w:val="auto"/>
          <w:kern w:val="0"/>
          <w:lang w:bidi="ar"/>
        </w:rPr>
        <w:t>。</w:t>
      </w:r>
    </w:p>
    <w:p w14:paraId="601F3683">
      <w:pPr>
        <w:pageBreakBefore w:val="0"/>
        <w:widowControl/>
        <w:wordWrap/>
        <w:bidi w:val="0"/>
        <w:adjustRightInd/>
        <w:snapToGrid/>
        <w:ind w:firstLine="480"/>
        <w:rPr>
          <w:color w:val="auto"/>
        </w:rPr>
      </w:pPr>
      <w:r>
        <w:rPr>
          <w:color w:val="auto"/>
          <w:kern w:val="0"/>
          <w:lang w:bidi="ar"/>
        </w:rPr>
        <w:t>针对本项目废水特点，本项目设置如下工艺确保其废水处理的有效性：</w:t>
      </w:r>
      <w:r>
        <w:rPr>
          <w:b/>
          <w:color w:val="auto"/>
          <w:kern w:val="0"/>
          <w:lang w:bidi="ar"/>
        </w:rPr>
        <w:t>①设置调节+水解酸化池，提高废水可生化性；②采用</w:t>
      </w:r>
      <w:r>
        <w:rPr>
          <w:rFonts w:hint="eastAsia"/>
          <w:b/>
          <w:color w:val="auto"/>
          <w:kern w:val="0"/>
          <w:lang w:val="en-US" w:eastAsia="zh-CN" w:bidi="ar"/>
        </w:rPr>
        <w:t>生化池（EBIS工艺）</w:t>
      </w:r>
      <w:r>
        <w:rPr>
          <w:b/>
          <w:color w:val="auto"/>
          <w:kern w:val="0"/>
          <w:lang w:bidi="ar"/>
        </w:rPr>
        <w:t>提高中的 COD</w:t>
      </w:r>
      <w:r>
        <w:rPr>
          <w:b/>
          <w:color w:val="auto"/>
          <w:kern w:val="0"/>
          <w:vertAlign w:val="subscript"/>
          <w:lang w:bidi="ar"/>
        </w:rPr>
        <w:t>Cr</w:t>
      </w:r>
      <w:r>
        <w:rPr>
          <w:b/>
          <w:color w:val="auto"/>
          <w:kern w:val="0"/>
          <w:lang w:bidi="ar"/>
        </w:rPr>
        <w:t>、氨氮、TP、TN、SS 的去除效果；③三级及深度处理单元进一步去除水中的COD、SS、TP、TN。</w:t>
      </w:r>
    </w:p>
    <w:p w14:paraId="7E04097F">
      <w:pPr>
        <w:pStyle w:val="328"/>
        <w:pageBreakBefore w:val="0"/>
        <w:wordWrap/>
        <w:bidi w:val="0"/>
        <w:adjustRightInd/>
        <w:snapToGrid/>
        <w:spacing w:line="360" w:lineRule="auto"/>
        <w:rPr>
          <w:color w:val="auto"/>
        </w:rPr>
      </w:pPr>
      <w:r>
        <w:rPr>
          <w:color w:val="auto"/>
        </w:rPr>
        <w:t>（3）废水处理经济可行性分析</w:t>
      </w:r>
    </w:p>
    <w:p w14:paraId="4AA24585">
      <w:pPr>
        <w:pageBreakBefore w:val="0"/>
        <w:widowControl/>
        <w:wordWrap/>
        <w:bidi w:val="0"/>
        <w:adjustRightInd/>
        <w:snapToGrid/>
        <w:ind w:firstLine="480"/>
        <w:rPr>
          <w:color w:val="auto"/>
          <w:kern w:val="0"/>
          <w:lang w:bidi="ar"/>
        </w:rPr>
      </w:pPr>
      <w:r>
        <w:rPr>
          <w:color w:val="auto"/>
          <w:kern w:val="0"/>
          <w:lang w:bidi="ar"/>
        </w:rPr>
        <w:t>随着</w:t>
      </w:r>
      <w:r>
        <w:rPr>
          <w:rFonts w:hint="eastAsia"/>
          <w:color w:val="auto"/>
          <w:kern w:val="0"/>
          <w:lang w:eastAsia="zh-CN" w:bidi="ar"/>
        </w:rPr>
        <w:t>污水处理厂</w:t>
      </w:r>
      <w:r>
        <w:rPr>
          <w:color w:val="auto"/>
          <w:kern w:val="0"/>
          <w:lang w:bidi="ar"/>
        </w:rPr>
        <w:t>出水水质标准的提高，治理成本不断增加，根据项目《可研报告》给出的项目运营成本，营运期污水处理厂单位平均经营成本将达到3.23元/</w:t>
      </w:r>
      <w:r>
        <w:rPr>
          <w:rFonts w:hint="eastAsia"/>
          <w:color w:val="auto"/>
          <w:kern w:val="0"/>
          <w:lang w:eastAsia="zh-CN" w:bidi="ar"/>
        </w:rPr>
        <w:t>m³</w:t>
      </w:r>
      <w:r>
        <w:rPr>
          <w:color w:val="auto"/>
          <w:kern w:val="0"/>
          <w:lang w:bidi="ar"/>
        </w:rPr>
        <w:t>。但是，本项目的建成，可为纳污范围的企业降低污水处理成本，确保了区域经济的绿色发展。因此，本项目工艺从经济角度总体上可行。</w:t>
      </w:r>
    </w:p>
    <w:p w14:paraId="0C802946">
      <w:pPr>
        <w:pageBreakBefore w:val="0"/>
        <w:widowControl/>
        <w:wordWrap/>
        <w:bidi w:val="0"/>
        <w:adjustRightInd/>
        <w:snapToGrid/>
        <w:ind w:firstLine="482"/>
        <w:rPr>
          <w:color w:val="auto"/>
        </w:rPr>
      </w:pPr>
      <w:r>
        <w:rPr>
          <w:b/>
          <w:color w:val="auto"/>
          <w:kern w:val="0"/>
          <w:lang w:bidi="ar"/>
        </w:rPr>
        <w:t>综上所述，本项目废水处理措施从经济和技术上均可行。</w:t>
      </w:r>
    </w:p>
    <w:p w14:paraId="18F5EC99">
      <w:pPr>
        <w:pStyle w:val="5"/>
        <w:pageBreakBefore w:val="0"/>
        <w:wordWrap/>
        <w:bidi w:val="0"/>
        <w:adjustRightInd/>
        <w:snapToGrid/>
        <w:spacing w:before="48" w:after="48"/>
        <w:ind w:left="0"/>
        <w:rPr>
          <w:rFonts w:eastAsia="宋体"/>
          <w:color w:val="auto"/>
        </w:rPr>
      </w:pPr>
      <w:bookmarkStart w:id="230" w:name="_Toc23738"/>
      <w:r>
        <w:rPr>
          <w:rFonts w:hint="eastAsia" w:eastAsia="宋体"/>
          <w:color w:val="auto"/>
        </w:rPr>
        <w:t xml:space="preserve"> </w:t>
      </w:r>
      <w:r>
        <w:rPr>
          <w:rFonts w:eastAsia="宋体"/>
          <w:color w:val="auto"/>
        </w:rPr>
        <w:t>废气治理措施及可行性</w:t>
      </w:r>
      <w:bookmarkEnd w:id="228"/>
      <w:bookmarkEnd w:id="229"/>
      <w:bookmarkEnd w:id="230"/>
      <w:r>
        <w:rPr>
          <w:rFonts w:eastAsia="宋体"/>
          <w:color w:val="auto"/>
        </w:rPr>
        <w:t>分析</w:t>
      </w:r>
    </w:p>
    <w:p w14:paraId="4C83D3DE">
      <w:pPr>
        <w:pageBreakBefore w:val="0"/>
        <w:wordWrap/>
        <w:autoSpaceDE w:val="0"/>
        <w:autoSpaceDN w:val="0"/>
        <w:bidi w:val="0"/>
        <w:adjustRightInd/>
        <w:snapToGrid/>
        <w:ind w:firstLine="480"/>
        <w:rPr>
          <w:color w:val="auto"/>
          <w:kern w:val="0"/>
        </w:rPr>
      </w:pPr>
      <w:bookmarkStart w:id="231" w:name="_Toc17358"/>
      <w:bookmarkStart w:id="232" w:name="_Toc374627823"/>
      <w:bookmarkStart w:id="233" w:name="_Toc362082759"/>
      <w:r>
        <w:rPr>
          <w:color w:val="auto"/>
          <w:kern w:val="0"/>
        </w:rPr>
        <w:t>1、废气措施</w:t>
      </w:r>
    </w:p>
    <w:p w14:paraId="156A4FF3">
      <w:pPr>
        <w:pageBreakBefore w:val="0"/>
        <w:wordWrap/>
        <w:autoSpaceDE w:val="0"/>
        <w:autoSpaceDN w:val="0"/>
        <w:bidi w:val="0"/>
        <w:adjustRightInd/>
        <w:snapToGrid/>
        <w:ind w:firstLine="480"/>
        <w:rPr>
          <w:color w:val="auto"/>
          <w:kern w:val="0"/>
        </w:rPr>
      </w:pPr>
      <w:r>
        <w:rPr>
          <w:color w:val="auto"/>
          <w:kern w:val="0"/>
        </w:rPr>
        <w:t>（1）臭气</w:t>
      </w:r>
    </w:p>
    <w:p w14:paraId="54F461B1">
      <w:pPr>
        <w:pageBreakBefore w:val="0"/>
        <w:wordWrap/>
        <w:autoSpaceDE w:val="0"/>
        <w:autoSpaceDN w:val="0"/>
        <w:bidi w:val="0"/>
        <w:adjustRightInd/>
        <w:snapToGrid/>
        <w:ind w:firstLine="480"/>
        <w:rPr>
          <w:color w:val="auto"/>
          <w:kern w:val="0"/>
        </w:rPr>
      </w:pPr>
      <w:r>
        <w:rPr>
          <w:color w:val="auto"/>
          <w:kern w:val="0"/>
        </w:rPr>
        <w:t>①有组织</w:t>
      </w:r>
    </w:p>
    <w:p w14:paraId="5DF7260C">
      <w:pPr>
        <w:pageBreakBefore w:val="0"/>
        <w:wordWrap/>
        <w:autoSpaceDE w:val="0"/>
        <w:autoSpaceDN w:val="0"/>
        <w:bidi w:val="0"/>
        <w:adjustRightInd/>
        <w:snapToGrid/>
        <w:ind w:firstLine="480"/>
        <w:rPr>
          <w:color w:val="auto"/>
          <w:kern w:val="0"/>
        </w:rPr>
      </w:pPr>
      <w:r>
        <w:rPr>
          <w:color w:val="auto"/>
          <w:kern w:val="0"/>
        </w:rPr>
        <w:t>按照相关标准及要求，本项目污水处理厂拟在预处理单元、生化处理单元以及污泥处理单元设置加盖、密闭措施，对主要臭气污染源通过废气收集系统一收集→生物除臭装置，尾气经15m排气筒达标排放。其中，预处理区尽可能采用全封闭的形式，以节省加盖的投资；主要产生恶臭的污水处理构筑物及</w:t>
      </w:r>
      <w:r>
        <w:rPr>
          <w:rFonts w:hint="eastAsia"/>
          <w:color w:val="auto"/>
          <w:kern w:val="0"/>
          <w:lang w:eastAsia="zh-CN"/>
        </w:rPr>
        <w:t>污泥池</w:t>
      </w:r>
      <w:r>
        <w:rPr>
          <w:color w:val="auto"/>
          <w:kern w:val="0"/>
        </w:rPr>
        <w:t>采用密封加盖并设置气体捕集口的形式防止臭气散逸并收集，污泥脱水间采用密闭结构，并设置风阀将废气引至废气输送系统，最终进入除臭装置。废气收集管路材质采用玻璃钢，所有风管采用节配形式配置。</w:t>
      </w:r>
    </w:p>
    <w:p w14:paraId="4C43C64E">
      <w:pPr>
        <w:pageBreakBefore w:val="0"/>
        <w:wordWrap/>
        <w:autoSpaceDE w:val="0"/>
        <w:autoSpaceDN w:val="0"/>
        <w:bidi w:val="0"/>
        <w:adjustRightInd/>
        <w:snapToGrid/>
        <w:ind w:firstLine="480"/>
        <w:rPr>
          <w:color w:val="auto"/>
          <w:kern w:val="0"/>
        </w:rPr>
      </w:pPr>
      <w:r>
        <w:rPr>
          <w:color w:val="auto"/>
          <w:kern w:val="0"/>
        </w:rPr>
        <w:t>根据本项目总平布置及除臭区域分布，在场区</w:t>
      </w:r>
      <w:r>
        <w:rPr>
          <w:rFonts w:hint="eastAsia"/>
          <w:color w:val="auto"/>
          <w:kern w:val="0"/>
          <w:lang w:val="en-US" w:eastAsia="zh-CN"/>
        </w:rPr>
        <w:t>西</w:t>
      </w:r>
      <w:r>
        <w:rPr>
          <w:color w:val="auto"/>
          <w:kern w:val="0"/>
        </w:rPr>
        <w:t>侧</w:t>
      </w:r>
      <w:r>
        <w:rPr>
          <w:rFonts w:hint="eastAsia"/>
          <w:color w:val="auto"/>
          <w:kern w:val="0"/>
          <w:lang w:val="en-US" w:eastAsia="zh-CN"/>
        </w:rPr>
        <w:t>设置1</w:t>
      </w:r>
      <w:r>
        <w:rPr>
          <w:color w:val="auto"/>
          <w:kern w:val="0"/>
        </w:rPr>
        <w:t>套生物滤池除臭设备</w:t>
      </w:r>
      <w:r>
        <w:rPr>
          <w:rFonts w:hint="eastAsia"/>
          <w:color w:val="auto"/>
          <w:kern w:val="0"/>
          <w:lang w:val="en-US" w:eastAsia="zh-CN"/>
        </w:rPr>
        <w:t>+</w:t>
      </w:r>
      <w:r>
        <w:rPr>
          <w:color w:val="auto"/>
          <w:kern w:val="0"/>
        </w:rPr>
        <w:t>15m排气筒</w:t>
      </w:r>
      <w:r>
        <w:rPr>
          <w:rFonts w:hint="eastAsia"/>
          <w:color w:val="auto"/>
          <w:kern w:val="0"/>
          <w:lang w:eastAsia="zh-CN"/>
        </w:rPr>
        <w:t>，</w:t>
      </w:r>
      <w:r>
        <w:rPr>
          <w:color w:val="auto"/>
          <w:kern w:val="0"/>
        </w:rPr>
        <w:t>处理风量</w:t>
      </w:r>
      <w:r>
        <w:rPr>
          <w:rFonts w:hint="eastAsia"/>
          <w:color w:val="auto"/>
          <w:kern w:val="0"/>
        </w:rPr>
        <w:t>12</w:t>
      </w:r>
      <w:r>
        <w:rPr>
          <w:color w:val="auto"/>
          <w:kern w:val="0"/>
        </w:rPr>
        <w:t>000</w:t>
      </w:r>
      <w:r>
        <w:rPr>
          <w:rFonts w:hint="eastAsia"/>
          <w:color w:val="auto"/>
          <w:kern w:val="0"/>
          <w:lang w:eastAsia="zh-CN"/>
        </w:rPr>
        <w:t>m³</w:t>
      </w:r>
      <w:r>
        <w:rPr>
          <w:color w:val="auto"/>
          <w:kern w:val="0"/>
        </w:rPr>
        <w:t>/h。</w:t>
      </w:r>
    </w:p>
    <w:p w14:paraId="4AD6C8DE">
      <w:pPr>
        <w:pageBreakBefore w:val="0"/>
        <w:wordWrap/>
        <w:autoSpaceDE w:val="0"/>
        <w:autoSpaceDN w:val="0"/>
        <w:bidi w:val="0"/>
        <w:adjustRightInd/>
        <w:snapToGrid/>
        <w:ind w:firstLine="480"/>
        <w:rPr>
          <w:color w:val="auto"/>
          <w:kern w:val="0"/>
        </w:rPr>
      </w:pPr>
      <w:r>
        <w:rPr>
          <w:color w:val="auto"/>
          <w:kern w:val="0"/>
        </w:rPr>
        <w:t>②无组织</w:t>
      </w:r>
    </w:p>
    <w:p w14:paraId="3714B626">
      <w:pPr>
        <w:pageBreakBefore w:val="0"/>
        <w:wordWrap/>
        <w:autoSpaceDE w:val="0"/>
        <w:autoSpaceDN w:val="0"/>
        <w:bidi w:val="0"/>
        <w:adjustRightInd/>
        <w:snapToGrid/>
        <w:ind w:firstLine="480"/>
        <w:rPr>
          <w:color w:val="auto"/>
          <w:kern w:val="0"/>
        </w:rPr>
      </w:pPr>
      <w:r>
        <w:rPr>
          <w:rFonts w:hint="eastAsia"/>
          <w:color w:val="auto"/>
          <w:kern w:val="0"/>
        </w:rPr>
        <w:t>本项目分别以污水预处理区、生化处理区、污泥处理区等主要构筑物边界为起点划定</w:t>
      </w:r>
      <w:r>
        <w:rPr>
          <w:rFonts w:hint="eastAsia"/>
          <w:color w:val="auto"/>
          <w:kern w:val="0"/>
          <w:lang w:val="en-US" w:eastAsia="zh-CN"/>
        </w:rPr>
        <w:t>5</w:t>
      </w:r>
      <w:r>
        <w:rPr>
          <w:rFonts w:hint="eastAsia"/>
          <w:color w:val="auto"/>
          <w:kern w:val="0"/>
        </w:rPr>
        <w:t>0m包络线作卫生防护距离</w:t>
      </w:r>
      <w:r>
        <w:rPr>
          <w:color w:val="auto"/>
          <w:kern w:val="0"/>
        </w:rPr>
        <w:t>，该卫生防护距离内无敏感保护目标。且评价要求在此卫生防护距离范围内不得新建居民住房、商业、学校、医院等，以及其他对环境空气质量要求较高</w:t>
      </w:r>
      <w:r>
        <w:rPr>
          <w:rFonts w:hint="eastAsia"/>
          <w:color w:val="auto"/>
          <w:kern w:val="0"/>
          <w:lang w:eastAsia="zh-CN"/>
        </w:rPr>
        <w:t>的</w:t>
      </w:r>
      <w:r>
        <w:rPr>
          <w:color w:val="auto"/>
          <w:kern w:val="0"/>
        </w:rPr>
        <w:t>设施和建筑。</w:t>
      </w:r>
    </w:p>
    <w:p w14:paraId="1A476209">
      <w:pPr>
        <w:pageBreakBefore w:val="0"/>
        <w:wordWrap/>
        <w:autoSpaceDE w:val="0"/>
        <w:autoSpaceDN w:val="0"/>
        <w:bidi w:val="0"/>
        <w:adjustRightInd/>
        <w:snapToGrid/>
        <w:ind w:firstLine="480"/>
        <w:rPr>
          <w:color w:val="auto"/>
          <w:kern w:val="0"/>
        </w:rPr>
      </w:pPr>
      <w:r>
        <w:rPr>
          <w:color w:val="auto"/>
          <w:kern w:val="0"/>
        </w:rPr>
        <w:t>（2）食堂油烟</w:t>
      </w:r>
    </w:p>
    <w:p w14:paraId="25A8132B">
      <w:pPr>
        <w:pageBreakBefore w:val="0"/>
        <w:wordWrap/>
        <w:autoSpaceDE w:val="0"/>
        <w:autoSpaceDN w:val="0"/>
        <w:bidi w:val="0"/>
        <w:adjustRightInd/>
        <w:snapToGrid/>
        <w:ind w:firstLine="480"/>
        <w:rPr>
          <w:color w:val="auto"/>
          <w:kern w:val="0"/>
        </w:rPr>
      </w:pPr>
      <w:r>
        <w:rPr>
          <w:color w:val="auto"/>
          <w:kern w:val="0"/>
        </w:rPr>
        <w:t>项目食堂产生的油烟废气采用专用抽油烟机（油烟净化率</w:t>
      </w:r>
      <w:r>
        <w:rPr>
          <w:rFonts w:hint="eastAsia"/>
          <w:color w:val="auto"/>
          <w:kern w:val="0"/>
          <w:lang w:val="en-US" w:eastAsia="zh-CN"/>
        </w:rPr>
        <w:t>60</w:t>
      </w:r>
      <w:r>
        <w:rPr>
          <w:color w:val="auto"/>
          <w:kern w:val="0"/>
        </w:rPr>
        <w:t>%以上）处理，处理达标后通过专用烟道至屋顶高空排放。油烟废气经油烟净化装置处理后，其排放浓度须低于2.0mg/</w:t>
      </w:r>
      <w:r>
        <w:rPr>
          <w:rFonts w:hint="eastAsia"/>
          <w:color w:val="auto"/>
          <w:kern w:val="0"/>
          <w:lang w:eastAsia="zh-CN"/>
        </w:rPr>
        <w:t>m³</w:t>
      </w:r>
      <w:r>
        <w:rPr>
          <w:color w:val="auto"/>
          <w:kern w:val="0"/>
        </w:rPr>
        <w:t>，满足《饮食业油烟排放标准》</w:t>
      </w:r>
      <w:r>
        <w:rPr>
          <w:rFonts w:hint="eastAsia"/>
          <w:color w:val="auto"/>
          <w:kern w:val="0"/>
          <w:lang w:eastAsia="zh-CN"/>
        </w:rPr>
        <w:t>（</w:t>
      </w:r>
      <w:r>
        <w:rPr>
          <w:color w:val="auto"/>
          <w:kern w:val="0"/>
        </w:rPr>
        <w:t>GB18483-2001</w:t>
      </w:r>
      <w:r>
        <w:rPr>
          <w:rFonts w:hint="eastAsia"/>
          <w:color w:val="auto"/>
          <w:kern w:val="0"/>
          <w:lang w:eastAsia="zh-CN"/>
        </w:rPr>
        <w:t>）</w:t>
      </w:r>
      <w:r>
        <w:rPr>
          <w:color w:val="auto"/>
          <w:kern w:val="0"/>
        </w:rPr>
        <w:t>要求。</w:t>
      </w:r>
    </w:p>
    <w:p w14:paraId="3C7FA985">
      <w:pPr>
        <w:pageBreakBefore w:val="0"/>
        <w:wordWrap/>
        <w:autoSpaceDE w:val="0"/>
        <w:autoSpaceDN w:val="0"/>
        <w:bidi w:val="0"/>
        <w:adjustRightInd/>
        <w:snapToGrid/>
        <w:ind w:firstLine="480"/>
        <w:rPr>
          <w:color w:val="auto"/>
          <w:kern w:val="0"/>
        </w:rPr>
      </w:pPr>
      <w:r>
        <w:rPr>
          <w:color w:val="auto"/>
          <w:kern w:val="0"/>
        </w:rPr>
        <w:t>2、工艺技术比选</w:t>
      </w:r>
    </w:p>
    <w:p w14:paraId="0F89D45A">
      <w:pPr>
        <w:pageBreakBefore w:val="0"/>
        <w:wordWrap/>
        <w:autoSpaceDE w:val="0"/>
        <w:autoSpaceDN w:val="0"/>
        <w:bidi w:val="0"/>
        <w:adjustRightInd/>
        <w:snapToGrid/>
        <w:ind w:firstLine="480"/>
        <w:rPr>
          <w:color w:val="auto"/>
          <w:kern w:val="0"/>
        </w:rPr>
      </w:pPr>
      <w:r>
        <w:rPr>
          <w:color w:val="auto"/>
          <w:kern w:val="0"/>
        </w:rPr>
        <w:t>目前</w:t>
      </w:r>
      <w:r>
        <w:rPr>
          <w:rFonts w:hint="eastAsia"/>
          <w:color w:val="auto"/>
          <w:kern w:val="0"/>
        </w:rPr>
        <w:t>常见的方法有水清洗和药液清洗法、活性炭吸附法、臭氧氧化法、土壤脱臭法、燃烧法、填充式微生物脱臭法等</w:t>
      </w:r>
      <w:r>
        <w:rPr>
          <w:color w:val="auto"/>
          <w:kern w:val="0"/>
        </w:rPr>
        <w:t>。</w:t>
      </w:r>
    </w:p>
    <w:p w14:paraId="190CACCA">
      <w:pPr>
        <w:pageBreakBefore w:val="0"/>
        <w:wordWrap/>
        <w:autoSpaceDE w:val="0"/>
        <w:autoSpaceDN w:val="0"/>
        <w:bidi w:val="0"/>
        <w:adjustRightInd/>
        <w:snapToGrid/>
        <w:ind w:firstLine="480"/>
        <w:rPr>
          <w:rFonts w:hint="eastAsia"/>
          <w:color w:val="auto"/>
          <w:kern w:val="0"/>
        </w:rPr>
      </w:pPr>
      <w:r>
        <w:rPr>
          <w:color w:val="auto"/>
          <w:kern w:val="0"/>
        </w:rPr>
        <w:t>（1）</w:t>
      </w:r>
      <w:r>
        <w:rPr>
          <w:rFonts w:hint="eastAsia"/>
          <w:color w:val="auto"/>
          <w:kern w:val="0"/>
        </w:rPr>
        <w:t>水清洗和药液清洗法</w:t>
      </w:r>
    </w:p>
    <w:p w14:paraId="7DF17396">
      <w:pPr>
        <w:pageBreakBefore w:val="0"/>
        <w:wordWrap/>
        <w:autoSpaceDE w:val="0"/>
        <w:autoSpaceDN w:val="0"/>
        <w:bidi w:val="0"/>
        <w:adjustRightInd/>
        <w:snapToGrid/>
        <w:ind w:firstLine="480"/>
        <w:rPr>
          <w:color w:val="auto"/>
          <w:kern w:val="0"/>
        </w:rPr>
      </w:pPr>
      <w:r>
        <w:rPr>
          <w:rFonts w:hint="eastAsia"/>
          <w:color w:val="auto"/>
          <w:kern w:val="0"/>
        </w:rPr>
        <w:t>水清洗是利用臭气中的某些物质能溶于水的特性，使臭气中氨气、硫化氢气体和水接触、溶解，达到脱臭的目的。药液清洗是利用臭气中的某些物质和药液产生中和反应的特性，如利用呈碱性的苛性钠和次氯酸钠溶液，去除臭气中硫化氢等酸性物质，利用盐酸等酸性溶液，去除臭气中的氨气等碱性物质。与活性炭吸附法相比较，它必须配备较多的附属设施，如药液贮存装置、药液输送装置、排出装置等，运行管理较为复杂，与药液不反应的臭气较难去除，效率较低。</w:t>
      </w:r>
    </w:p>
    <w:p w14:paraId="62780869">
      <w:pPr>
        <w:pageBreakBefore w:val="0"/>
        <w:wordWrap/>
        <w:autoSpaceDE w:val="0"/>
        <w:autoSpaceDN w:val="0"/>
        <w:bidi w:val="0"/>
        <w:adjustRightInd/>
        <w:snapToGrid/>
        <w:ind w:firstLine="480"/>
        <w:rPr>
          <w:color w:val="auto"/>
          <w:kern w:val="0"/>
        </w:rPr>
      </w:pPr>
      <w:r>
        <w:rPr>
          <w:color w:val="auto"/>
          <w:kern w:val="0"/>
        </w:rPr>
        <w:t>（2）活性炭吸附除臭法</w:t>
      </w:r>
    </w:p>
    <w:p w14:paraId="681D8345">
      <w:pPr>
        <w:pageBreakBefore w:val="0"/>
        <w:wordWrap/>
        <w:autoSpaceDE w:val="0"/>
        <w:autoSpaceDN w:val="0"/>
        <w:bidi w:val="0"/>
        <w:adjustRightInd/>
        <w:snapToGrid/>
        <w:ind w:firstLine="480"/>
        <w:rPr>
          <w:color w:val="auto"/>
          <w:kern w:val="0"/>
        </w:rPr>
      </w:pPr>
      <w:r>
        <w:rPr>
          <w:rFonts w:hint="eastAsia"/>
          <w:color w:val="auto"/>
          <w:kern w:val="0"/>
        </w:rPr>
        <w:t>活性炭吸附法是利用活性炭能吸附臭气中致臭物质的特点，达到脱臭目的。为了有效地脱臭，通常利用各种不同性质的活性炭，在吸附塔内设置吸附酸性物质的活性炭，吸附碱性物质的活性炭和吸附中性物质的活性炭，臭气和各种活性炭接触后，排出吸附塔。该法与水清洗和药液清洗法相比较，具有较高的效率，但活性炭有一饱和期限，超过这一期限，就必须更换活性炭。这种方法常用于低浓度臭气和脱臭的后处理。</w:t>
      </w:r>
    </w:p>
    <w:p w14:paraId="18A67325">
      <w:pPr>
        <w:pageBreakBefore w:val="0"/>
        <w:wordWrap/>
        <w:autoSpaceDE w:val="0"/>
        <w:autoSpaceDN w:val="0"/>
        <w:bidi w:val="0"/>
        <w:adjustRightInd/>
        <w:snapToGrid/>
        <w:ind w:firstLine="480"/>
        <w:rPr>
          <w:rFonts w:hint="eastAsia"/>
          <w:color w:val="auto"/>
          <w:kern w:val="0"/>
        </w:rPr>
      </w:pPr>
      <w:r>
        <w:rPr>
          <w:color w:val="auto"/>
          <w:kern w:val="0"/>
        </w:rPr>
        <w:t>（3）</w:t>
      </w:r>
      <w:r>
        <w:rPr>
          <w:rFonts w:hint="eastAsia"/>
          <w:color w:val="auto"/>
          <w:kern w:val="0"/>
        </w:rPr>
        <w:t>臭氧氧化法</w:t>
      </w:r>
    </w:p>
    <w:p w14:paraId="7F8BBC0B">
      <w:pPr>
        <w:pageBreakBefore w:val="0"/>
        <w:wordWrap/>
        <w:autoSpaceDE w:val="0"/>
        <w:autoSpaceDN w:val="0"/>
        <w:bidi w:val="0"/>
        <w:adjustRightInd/>
        <w:snapToGrid/>
        <w:ind w:firstLine="480"/>
        <w:rPr>
          <w:color w:val="auto"/>
          <w:kern w:val="0"/>
        </w:rPr>
      </w:pPr>
      <w:r>
        <w:rPr>
          <w:rFonts w:hint="eastAsia"/>
          <w:color w:val="auto"/>
          <w:kern w:val="0"/>
        </w:rPr>
        <w:t>臭氧氧化法是利用臭氧强氧化剂，使臭气中的</w:t>
      </w:r>
      <w:r>
        <w:rPr>
          <w:rFonts w:hint="eastAsia"/>
          <w:color w:val="auto"/>
          <w:kern w:val="0"/>
          <w:lang w:eastAsia="zh-CN"/>
        </w:rPr>
        <w:t>化学成分</w:t>
      </w:r>
      <w:r>
        <w:rPr>
          <w:rFonts w:hint="eastAsia"/>
          <w:color w:val="auto"/>
          <w:kern w:val="0"/>
        </w:rPr>
        <w:t>氧化，达到脱臭的目的。臭氧氧化法有气相和液相之分，由于臭氧发生的化学反应较慢，一般先通过药液清洗法，去除大部分致臭物质，然后再进行臭氧氧化。</w:t>
      </w:r>
    </w:p>
    <w:p w14:paraId="7B2300D9">
      <w:pPr>
        <w:bidi w:val="0"/>
        <w:rPr>
          <w:rFonts w:hint="eastAsia"/>
          <w:color w:val="auto"/>
        </w:rPr>
      </w:pPr>
      <w:r>
        <w:rPr>
          <w:color w:val="auto"/>
        </w:rPr>
        <w:t>（4）</w:t>
      </w:r>
      <w:r>
        <w:rPr>
          <w:rFonts w:hint="eastAsia"/>
          <w:color w:val="auto"/>
        </w:rPr>
        <w:t>土壤脱臭法</w:t>
      </w:r>
    </w:p>
    <w:p w14:paraId="623DBF64">
      <w:pPr>
        <w:bidi w:val="0"/>
        <w:rPr>
          <w:rFonts w:hint="eastAsia"/>
          <w:color w:val="auto"/>
        </w:rPr>
      </w:pPr>
      <w:r>
        <w:rPr>
          <w:rFonts w:hint="eastAsia"/>
          <w:color w:val="auto"/>
        </w:rPr>
        <w:t>土壤脱臭法是利用土壤中微生物分解臭气中的</w:t>
      </w:r>
      <w:r>
        <w:rPr>
          <w:rFonts w:hint="eastAsia"/>
          <w:color w:val="auto"/>
          <w:lang w:eastAsia="zh-CN"/>
        </w:rPr>
        <w:t>化学成分</w:t>
      </w:r>
      <w:r>
        <w:rPr>
          <w:rFonts w:hint="eastAsia"/>
          <w:color w:val="auto"/>
        </w:rPr>
        <w:t>，达到脱臭目的。属于生物脱臭法的范畴。与前几种方法相比较，不需要加药等附属设施，运行管理费用较低，但需有宽阔的场地，定时进行场地修整，设置</w:t>
      </w:r>
      <w:r>
        <w:rPr>
          <w:rFonts w:hint="eastAsia"/>
          <w:color w:val="auto"/>
          <w:lang w:eastAsia="zh-CN"/>
        </w:rPr>
        <w:t>洒水装置</w:t>
      </w:r>
      <w:r>
        <w:rPr>
          <w:rFonts w:hint="eastAsia"/>
          <w:color w:val="auto"/>
        </w:rPr>
        <w:t>，以保持较好的运行状态，并且处理效果不够稳定、总体效率较低。</w:t>
      </w:r>
    </w:p>
    <w:p w14:paraId="4C0F6AD2">
      <w:pPr>
        <w:bidi w:val="0"/>
        <w:rPr>
          <w:rFonts w:hint="eastAsia"/>
          <w:color w:val="auto"/>
        </w:rPr>
      </w:pPr>
      <w:r>
        <w:rPr>
          <w:rFonts w:hint="eastAsia"/>
          <w:color w:val="auto"/>
        </w:rPr>
        <w:t>（5）生物过滤法</w:t>
      </w:r>
    </w:p>
    <w:p w14:paraId="27D479D2">
      <w:pPr>
        <w:bidi w:val="0"/>
        <w:rPr>
          <w:color w:val="auto"/>
        </w:rPr>
      </w:pPr>
      <w:r>
        <w:rPr>
          <w:rFonts w:hint="eastAsia"/>
          <w:color w:val="auto"/>
        </w:rPr>
        <w:t>生物滤池法除臭工艺是一种安全可靠的处理方法，除臭效率大于90％，其原理是将臭气源散发的臭气经收集系统收集后集中送到生物滤池除臭装置进行处理，臭气通过湿润、多孔和充满活性微生物的滤层，利用微生物细胞对恶臭物质的吸附、吸收和降解功能，微生物的细胞个体小、表面积大、吸附性强、代谢类型多样的特点，将恶臭物质吸附后分解成CO</w:t>
      </w:r>
      <w:r>
        <w:rPr>
          <w:rFonts w:hint="eastAsia"/>
          <w:color w:val="auto"/>
          <w:vertAlign w:val="subscript"/>
        </w:rPr>
        <w:t>2</w:t>
      </w:r>
      <w:r>
        <w:rPr>
          <w:rFonts w:hint="eastAsia"/>
          <w:color w:val="auto"/>
        </w:rPr>
        <w:t>、H</w:t>
      </w:r>
      <w:r>
        <w:rPr>
          <w:rFonts w:hint="eastAsia"/>
          <w:color w:val="auto"/>
          <w:vertAlign w:val="subscript"/>
        </w:rPr>
        <w:t>2</w:t>
      </w:r>
      <w:r>
        <w:rPr>
          <w:rFonts w:hint="eastAsia"/>
          <w:color w:val="auto"/>
        </w:rPr>
        <w:t>O、H</w:t>
      </w:r>
      <w:r>
        <w:rPr>
          <w:rFonts w:hint="eastAsia"/>
          <w:color w:val="auto"/>
          <w:vertAlign w:val="subscript"/>
        </w:rPr>
        <w:t>2</w:t>
      </w:r>
      <w:r>
        <w:rPr>
          <w:rFonts w:hint="eastAsia"/>
          <w:color w:val="auto"/>
        </w:rPr>
        <w:t>SO</w:t>
      </w:r>
      <w:r>
        <w:rPr>
          <w:rFonts w:hint="eastAsia"/>
          <w:color w:val="auto"/>
          <w:vertAlign w:val="subscript"/>
        </w:rPr>
        <w:t>4</w:t>
      </w:r>
      <w:r>
        <w:rPr>
          <w:rFonts w:hint="eastAsia"/>
          <w:color w:val="auto"/>
        </w:rPr>
        <w:t>、HNO</w:t>
      </w:r>
      <w:r>
        <w:rPr>
          <w:rFonts w:hint="eastAsia"/>
          <w:color w:val="auto"/>
          <w:vertAlign w:val="subscript"/>
        </w:rPr>
        <w:t>3</w:t>
      </w:r>
      <w:r>
        <w:rPr>
          <w:rFonts w:hint="eastAsia"/>
          <w:color w:val="auto"/>
        </w:rPr>
        <w:t>等简单无机物。</w:t>
      </w:r>
    </w:p>
    <w:p w14:paraId="15B19216">
      <w:pPr>
        <w:bidi w:val="0"/>
        <w:rPr>
          <w:rFonts w:hint="eastAsia"/>
          <w:color w:val="auto"/>
        </w:rPr>
      </w:pPr>
      <w:r>
        <w:rPr>
          <w:rFonts w:hint="eastAsia"/>
          <w:color w:val="auto"/>
        </w:rPr>
        <w:t>（6）燃烧法</w:t>
      </w:r>
    </w:p>
    <w:p w14:paraId="3FE2C3BD">
      <w:pPr>
        <w:bidi w:val="0"/>
        <w:rPr>
          <w:color w:val="auto"/>
        </w:rPr>
      </w:pPr>
      <w:r>
        <w:rPr>
          <w:rFonts w:hint="eastAsia"/>
          <w:color w:val="auto"/>
        </w:rPr>
        <w:t>燃烧法有直接燃烧法和</w:t>
      </w:r>
      <w:r>
        <w:rPr>
          <w:rFonts w:hint="eastAsia"/>
          <w:color w:val="auto"/>
          <w:lang w:eastAsia="zh-CN"/>
        </w:rPr>
        <w:t>触媒</w:t>
      </w:r>
      <w:r>
        <w:rPr>
          <w:rFonts w:hint="eastAsia"/>
          <w:color w:val="auto"/>
        </w:rPr>
        <w:t>燃烧法。根据臭气的特点，当温度达到648℃，接触时间0.3s以上时，臭气会直接燃烧，达到脱臭的目的。在污水处理厂内，常利用污泥消化后产生的沼气，使一些强烈的臭气燃烧，但工程实例较少。</w:t>
      </w:r>
    </w:p>
    <w:p w14:paraId="7CB4E58B">
      <w:pPr>
        <w:bidi w:val="0"/>
        <w:rPr>
          <w:color w:val="auto"/>
        </w:rPr>
      </w:pPr>
      <w:r>
        <w:rPr>
          <w:color w:val="auto"/>
        </w:rPr>
        <w:t>综上所述并考虑本项目用地局限性，各产臭源位置，拟采取生物滤池除臭法对本项目产生的恶臭气体进行处理。</w:t>
      </w:r>
    </w:p>
    <w:p w14:paraId="2D2EB249">
      <w:pPr>
        <w:pageBreakBefore w:val="0"/>
        <w:wordWrap/>
        <w:autoSpaceDE w:val="0"/>
        <w:autoSpaceDN w:val="0"/>
        <w:bidi w:val="0"/>
        <w:adjustRightInd/>
        <w:snapToGrid/>
        <w:ind w:firstLine="480"/>
        <w:rPr>
          <w:color w:val="auto"/>
          <w:kern w:val="0"/>
        </w:rPr>
      </w:pPr>
      <w:r>
        <w:rPr>
          <w:color w:val="auto"/>
          <w:kern w:val="0"/>
        </w:rPr>
        <w:t>3、工艺技术经济可行性分析</w:t>
      </w:r>
    </w:p>
    <w:p w14:paraId="0E634A73">
      <w:pPr>
        <w:pageBreakBefore w:val="0"/>
        <w:wordWrap/>
        <w:autoSpaceDE w:val="0"/>
        <w:autoSpaceDN w:val="0"/>
        <w:bidi w:val="0"/>
        <w:adjustRightInd/>
        <w:snapToGrid/>
        <w:ind w:firstLine="480"/>
        <w:rPr>
          <w:color w:val="auto"/>
          <w:kern w:val="0"/>
        </w:rPr>
      </w:pPr>
      <w:r>
        <w:rPr>
          <w:color w:val="auto"/>
          <w:kern w:val="0"/>
        </w:rPr>
        <w:t>根据《环境工程技术手册-废水污染控制技术手册》（化学工业出版社）</w:t>
      </w:r>
      <w:r>
        <w:rPr>
          <w:rFonts w:hint="eastAsia"/>
          <w:color w:val="auto"/>
          <w:kern w:val="0"/>
          <w:lang w:eastAsia="zh-CN"/>
        </w:rPr>
        <w:t>“</w:t>
      </w:r>
      <w:r>
        <w:rPr>
          <w:color w:val="auto"/>
          <w:kern w:val="0"/>
        </w:rPr>
        <w:t>第十三章臭气处理</w:t>
      </w:r>
      <w:r>
        <w:rPr>
          <w:rFonts w:hint="eastAsia"/>
          <w:color w:val="auto"/>
          <w:kern w:val="0"/>
          <w:lang w:eastAsia="zh-CN"/>
        </w:rPr>
        <w:t>”</w:t>
      </w:r>
      <w:r>
        <w:rPr>
          <w:color w:val="auto"/>
          <w:kern w:val="0"/>
        </w:rPr>
        <w:t>的内容：生物过滤除臭法具有设备少，操作简单，不需要外加营养物，投资运行费用低，除臭效率高，对于醛、有机酸、硫化氢等污染物的去除率可达99%</w:t>
      </w:r>
      <w:r>
        <w:rPr>
          <w:rFonts w:hint="eastAsia"/>
          <w:color w:val="auto"/>
          <w:kern w:val="0"/>
          <w:lang w:eastAsia="zh-CN"/>
        </w:rPr>
        <w:t>，</w:t>
      </w:r>
      <w:r>
        <w:rPr>
          <w:color w:val="auto"/>
          <w:kern w:val="0"/>
        </w:rPr>
        <w:t>比较不同除臭工艺的投资费用可以看出，生物过滤除臭法是比较经济、适用、能够进行推广的方法。该手册中还提供了国内部分</w:t>
      </w:r>
      <w:r>
        <w:rPr>
          <w:rFonts w:hint="eastAsia"/>
          <w:color w:val="auto"/>
          <w:kern w:val="0"/>
          <w:lang w:eastAsia="zh-CN"/>
        </w:rPr>
        <w:t>污水处理厂</w:t>
      </w:r>
      <w:r>
        <w:rPr>
          <w:color w:val="auto"/>
          <w:kern w:val="0"/>
        </w:rPr>
        <w:t>除臭实例，如广州市大坦沙岛</w:t>
      </w:r>
      <w:r>
        <w:rPr>
          <w:rFonts w:hint="eastAsia"/>
          <w:color w:val="auto"/>
          <w:kern w:val="0"/>
          <w:lang w:eastAsia="zh-CN"/>
        </w:rPr>
        <w:t>污水处理厂</w:t>
      </w:r>
      <w:r>
        <w:rPr>
          <w:color w:val="auto"/>
          <w:kern w:val="0"/>
        </w:rPr>
        <w:t>、广州猎德污水处理厂、麦岛污水处理厂等，大部分采用生物法除臭技术，说明生物除臭法已经得到了广泛的运用，除臭效果明显。</w:t>
      </w:r>
    </w:p>
    <w:p w14:paraId="2364C16C">
      <w:pPr>
        <w:pageBreakBefore w:val="0"/>
        <w:wordWrap/>
        <w:autoSpaceDE w:val="0"/>
        <w:autoSpaceDN w:val="0"/>
        <w:bidi w:val="0"/>
        <w:adjustRightInd/>
        <w:snapToGrid/>
        <w:ind w:firstLine="480"/>
        <w:rPr>
          <w:color w:val="auto"/>
          <w:kern w:val="0"/>
        </w:rPr>
      </w:pPr>
      <w:r>
        <w:rPr>
          <w:color w:val="auto"/>
          <w:kern w:val="0"/>
        </w:rPr>
        <w:t>本项目除臭系统设计如下：</w:t>
      </w:r>
    </w:p>
    <w:p w14:paraId="325BBD1C">
      <w:pPr>
        <w:pageBreakBefore w:val="0"/>
        <w:wordWrap/>
        <w:autoSpaceDE w:val="0"/>
        <w:autoSpaceDN w:val="0"/>
        <w:bidi w:val="0"/>
        <w:adjustRightInd/>
        <w:snapToGrid/>
        <w:ind w:firstLine="480"/>
        <w:rPr>
          <w:color w:val="auto"/>
          <w:kern w:val="0"/>
        </w:rPr>
      </w:pPr>
      <w:r>
        <w:rPr>
          <w:color w:val="auto"/>
          <w:kern w:val="0"/>
        </w:rPr>
        <w:t>封闭式加盖：预处理区（</w:t>
      </w:r>
      <w:r>
        <w:rPr>
          <w:rFonts w:hint="eastAsia"/>
          <w:color w:val="auto"/>
          <w:kern w:val="0"/>
          <w:lang w:val="en-US" w:eastAsia="zh-CN"/>
        </w:rPr>
        <w:t>超细格栅</w:t>
      </w:r>
      <w:r>
        <w:rPr>
          <w:color w:val="auto"/>
          <w:kern w:val="0"/>
        </w:rPr>
        <w:t>、</w:t>
      </w:r>
      <w:r>
        <w:rPr>
          <w:rFonts w:hint="eastAsia"/>
          <w:color w:val="auto"/>
          <w:kern w:val="0"/>
          <w:lang w:val="en-US" w:eastAsia="zh-CN"/>
        </w:rPr>
        <w:t>调节池、应急池、水解酸化池</w:t>
      </w:r>
      <w:r>
        <w:rPr>
          <w:color w:val="auto"/>
          <w:kern w:val="0"/>
        </w:rPr>
        <w:t>）、生化反应区（</w:t>
      </w:r>
      <w:r>
        <w:rPr>
          <w:rFonts w:hint="eastAsia"/>
          <w:color w:val="auto"/>
          <w:kern w:val="0"/>
          <w:lang w:val="en-US" w:eastAsia="zh-CN"/>
        </w:rPr>
        <w:t>生化池</w:t>
      </w:r>
      <w:r>
        <w:rPr>
          <w:color w:val="auto"/>
          <w:kern w:val="0"/>
        </w:rPr>
        <w:t>）</w:t>
      </w:r>
      <w:r>
        <w:rPr>
          <w:rFonts w:hint="eastAsia"/>
          <w:color w:val="auto"/>
          <w:kern w:val="0"/>
          <w:lang w:eastAsia="zh-CN"/>
        </w:rPr>
        <w:t>、</w:t>
      </w:r>
      <w:r>
        <w:rPr>
          <w:rFonts w:hint="eastAsia"/>
          <w:color w:val="auto"/>
          <w:kern w:val="0"/>
          <w:lang w:val="en-US" w:eastAsia="zh-CN"/>
        </w:rPr>
        <w:t>深度处理单元（反硝化深床滤池、磁混凝沉淀池和高级氧化深度处理池）</w:t>
      </w:r>
      <w:r>
        <w:rPr>
          <w:color w:val="auto"/>
          <w:kern w:val="0"/>
        </w:rPr>
        <w:t>和污泥区（</w:t>
      </w:r>
      <w:r>
        <w:rPr>
          <w:rFonts w:hint="eastAsia"/>
          <w:color w:val="auto"/>
          <w:kern w:val="0"/>
          <w:lang w:eastAsia="zh-CN"/>
        </w:rPr>
        <w:t>污泥池</w:t>
      </w:r>
      <w:r>
        <w:rPr>
          <w:rFonts w:hint="eastAsia"/>
          <w:color w:val="auto"/>
          <w:kern w:val="0"/>
        </w:rPr>
        <w:t>、脱水间等</w:t>
      </w:r>
      <w:r>
        <w:rPr>
          <w:color w:val="auto"/>
          <w:kern w:val="0"/>
        </w:rPr>
        <w:t>）均采用玻璃钢、钢板或钢筋混凝土池顶，污泥脱水车间的离心机不单独密封，但需对整个污泥脱水机和配套的污泥料仓上方设置管道进行负压抽风，然后通过管道将废气接入除臭设施。</w:t>
      </w:r>
    </w:p>
    <w:p w14:paraId="5026A406">
      <w:pPr>
        <w:pageBreakBefore w:val="0"/>
        <w:wordWrap/>
        <w:autoSpaceDE w:val="0"/>
        <w:autoSpaceDN w:val="0"/>
        <w:bidi w:val="0"/>
        <w:adjustRightInd/>
        <w:snapToGrid/>
        <w:ind w:firstLine="480"/>
        <w:rPr>
          <w:color w:val="auto"/>
        </w:rPr>
      </w:pPr>
      <w:r>
        <w:rPr>
          <w:color w:val="auto"/>
          <w:kern w:val="0"/>
        </w:rPr>
        <w:t>臭气收集：将各封闭单元内的臭气通过输送管路进行收集，收集后的臭气送入末端生物滤池除臭系统。本次拟购置</w:t>
      </w:r>
      <w:r>
        <w:rPr>
          <w:rFonts w:hint="eastAsia"/>
          <w:color w:val="auto"/>
          <w:kern w:val="0"/>
          <w:lang w:val="en-US" w:eastAsia="zh-CN"/>
        </w:rPr>
        <w:t>1</w:t>
      </w:r>
      <w:r>
        <w:rPr>
          <w:color w:val="auto"/>
          <w:kern w:val="0"/>
        </w:rPr>
        <w:t>套生物除臭系统，其中：预处理单元和生化系统各设一套生物滤池除臭装置，排气筒内径为</w:t>
      </w:r>
      <w:r>
        <w:rPr>
          <w:rFonts w:hint="eastAsia"/>
          <w:color w:val="auto"/>
          <w:kern w:val="0"/>
          <w:lang w:val="en-US" w:eastAsia="zh-CN"/>
        </w:rPr>
        <w:t>1.0</w:t>
      </w:r>
      <w:r>
        <w:rPr>
          <w:color w:val="auto"/>
          <w:kern w:val="0"/>
        </w:rPr>
        <w:t>m，处理风量</w:t>
      </w:r>
      <w:r>
        <w:rPr>
          <w:rFonts w:hint="eastAsia"/>
          <w:color w:val="auto"/>
          <w:kern w:val="0"/>
          <w:lang w:val="en-US" w:eastAsia="zh-CN"/>
        </w:rPr>
        <w:t>20</w:t>
      </w:r>
      <w:r>
        <w:rPr>
          <w:color w:val="auto"/>
          <w:kern w:val="0"/>
        </w:rPr>
        <w:t>000</w:t>
      </w:r>
      <w:r>
        <w:rPr>
          <w:rFonts w:hint="eastAsia"/>
          <w:color w:val="auto"/>
          <w:kern w:val="0"/>
          <w:lang w:eastAsia="zh-CN"/>
        </w:rPr>
        <w:t>m³</w:t>
      </w:r>
      <w:r>
        <w:rPr>
          <w:color w:val="auto"/>
          <w:kern w:val="0"/>
        </w:rPr>
        <w:t>/h。设计换气次数至少为1次/h，采用该收集方式，污水处理单元的恶臭气体收集效率可以达到95%。</w:t>
      </w:r>
    </w:p>
    <w:p w14:paraId="66E6A76F">
      <w:pPr>
        <w:pageBreakBefore w:val="0"/>
        <w:wordWrap/>
        <w:bidi w:val="0"/>
        <w:adjustRightInd/>
        <w:snapToGrid/>
        <w:ind w:firstLine="482"/>
        <w:rPr>
          <w:b/>
          <w:color w:val="auto"/>
        </w:rPr>
      </w:pPr>
      <w:r>
        <w:rPr>
          <w:b/>
          <w:color w:val="auto"/>
        </w:rPr>
        <w:t>4、无组织恶臭污染防治对策</w:t>
      </w:r>
    </w:p>
    <w:p w14:paraId="5C14C081">
      <w:pPr>
        <w:pageBreakBefore w:val="0"/>
        <w:wordWrap/>
        <w:bidi w:val="0"/>
        <w:adjustRightInd/>
        <w:snapToGrid/>
        <w:ind w:firstLine="480"/>
        <w:rPr>
          <w:color w:val="auto"/>
        </w:rPr>
      </w:pPr>
      <w:r>
        <w:rPr>
          <w:color w:val="auto"/>
        </w:rPr>
        <w:t>①对构筑物采取密闭措施</w:t>
      </w:r>
    </w:p>
    <w:p w14:paraId="62245402">
      <w:pPr>
        <w:pageBreakBefore w:val="0"/>
        <w:wordWrap/>
        <w:bidi w:val="0"/>
        <w:adjustRightInd/>
        <w:snapToGrid/>
        <w:ind w:firstLine="480"/>
        <w:rPr>
          <w:color w:val="auto"/>
        </w:rPr>
      </w:pPr>
      <w:r>
        <w:rPr>
          <w:color w:val="auto"/>
        </w:rPr>
        <w:t>项目污水处理厂各构筑物中，污泥脱水间为密闭结构，污泥贮池密闭，相比敞开式结构可大幅降低恶臭的排放量。</w:t>
      </w:r>
    </w:p>
    <w:p w14:paraId="6D02A09E">
      <w:pPr>
        <w:pageBreakBefore w:val="0"/>
        <w:wordWrap/>
        <w:bidi w:val="0"/>
        <w:adjustRightInd/>
        <w:snapToGrid/>
        <w:ind w:firstLine="480"/>
        <w:rPr>
          <w:color w:val="auto"/>
        </w:rPr>
      </w:pPr>
      <w:r>
        <w:rPr>
          <w:color w:val="auto"/>
        </w:rPr>
        <w:t>②设置卫生防护距离</w:t>
      </w:r>
    </w:p>
    <w:p w14:paraId="3213B062">
      <w:pPr>
        <w:pageBreakBefore w:val="0"/>
        <w:wordWrap/>
        <w:bidi w:val="0"/>
        <w:adjustRightInd/>
        <w:snapToGrid/>
        <w:ind w:firstLine="480"/>
        <w:rPr>
          <w:b/>
          <w:bCs/>
          <w:i/>
          <w:iCs/>
          <w:color w:val="auto"/>
          <w:spacing w:val="2"/>
          <w:sz w:val="22"/>
        </w:rPr>
      </w:pPr>
      <w:r>
        <w:rPr>
          <w:color w:val="auto"/>
        </w:rPr>
        <w:t>通过设置卫生防护距离，并要求该范围内不得建设居住、教育、医疗等相关设施，确保项目污水处理厂运行过程中产生的恶臭不对周围人居环境造成影响。</w:t>
      </w:r>
      <w:r>
        <w:rPr>
          <w:b/>
          <w:bCs/>
          <w:iCs/>
          <w:color w:val="auto"/>
          <w:spacing w:val="2"/>
        </w:rPr>
        <w:t>项目以</w:t>
      </w:r>
      <w:r>
        <w:rPr>
          <w:rFonts w:hint="eastAsia"/>
          <w:b/>
          <w:bCs/>
          <w:iCs/>
          <w:color w:val="auto"/>
          <w:spacing w:val="2"/>
        </w:rPr>
        <w:t>预处理</w:t>
      </w:r>
      <w:r>
        <w:rPr>
          <w:rFonts w:hint="eastAsia"/>
          <w:b/>
          <w:bCs/>
          <w:iCs/>
          <w:color w:val="auto"/>
          <w:spacing w:val="2"/>
          <w:lang w:val="en-US" w:eastAsia="zh-CN"/>
        </w:rPr>
        <w:t>单元</w:t>
      </w:r>
      <w:r>
        <w:rPr>
          <w:rFonts w:hint="eastAsia"/>
          <w:b/>
          <w:bCs/>
          <w:iCs/>
          <w:color w:val="auto"/>
          <w:spacing w:val="2"/>
        </w:rPr>
        <w:t>（超细格栅、调节池、应急池、水解酸化池）、生化反应区（生化池）、深度处理单元（反硝化深床滤池、磁混凝沉淀池和高级氧化深度处理池）和污泥区（污泥池、脱水间等）</w:t>
      </w:r>
      <w:r>
        <w:rPr>
          <w:b/>
          <w:bCs/>
          <w:iCs/>
          <w:color w:val="auto"/>
          <w:spacing w:val="2"/>
        </w:rPr>
        <w:t>构筑物边界向外，划定</w:t>
      </w:r>
      <w:r>
        <w:rPr>
          <w:rFonts w:hint="eastAsia"/>
          <w:b/>
          <w:bCs/>
          <w:iCs/>
          <w:color w:val="auto"/>
          <w:spacing w:val="2"/>
          <w:lang w:val="en-US" w:eastAsia="zh-CN"/>
        </w:rPr>
        <w:t>5</w:t>
      </w:r>
      <w:r>
        <w:rPr>
          <w:b/>
          <w:bCs/>
          <w:iCs/>
          <w:color w:val="auto"/>
          <w:spacing w:val="2"/>
        </w:rPr>
        <w:t>0m的卫生防护距离。</w:t>
      </w:r>
    </w:p>
    <w:p w14:paraId="59D51D26">
      <w:pPr>
        <w:pageBreakBefore w:val="0"/>
        <w:wordWrap/>
        <w:bidi w:val="0"/>
        <w:adjustRightInd/>
        <w:snapToGrid/>
        <w:ind w:firstLine="480"/>
        <w:rPr>
          <w:color w:val="auto"/>
        </w:rPr>
      </w:pPr>
      <w:r>
        <w:rPr>
          <w:color w:val="auto"/>
          <w:szCs w:val="28"/>
        </w:rPr>
        <w:t>③</w:t>
      </w:r>
      <w:r>
        <w:rPr>
          <w:color w:val="auto"/>
        </w:rPr>
        <w:t>加强厂区及厂界绿化</w:t>
      </w:r>
    </w:p>
    <w:p w14:paraId="6A454D98">
      <w:pPr>
        <w:pageBreakBefore w:val="0"/>
        <w:wordWrap/>
        <w:bidi w:val="0"/>
        <w:adjustRightInd/>
        <w:snapToGrid/>
        <w:ind w:firstLine="480"/>
        <w:rPr>
          <w:color w:val="auto"/>
        </w:rPr>
      </w:pPr>
      <w:r>
        <w:rPr>
          <w:color w:val="auto"/>
        </w:rPr>
        <w:t>绿色植物具有一定的吸收有害气体，减轻恶臭异味的作用，为达到此种目的，工程应保证绿化面积达30%以上。植物的选择也应考虑抗污力强，净化空气好的植物；此外，在厂区内应广种花草、果树，使厂区形成花园式布局。各季的果树花和花卉香味可以降低或减轻恶臭味在空气中的浓度（至少人的感觉会降低）而达到防护的目的。常见优势树种列入</w:t>
      </w:r>
      <w:r>
        <w:rPr>
          <w:rFonts w:hint="eastAsia"/>
          <w:color w:val="auto"/>
          <w:lang w:val="en-US" w:eastAsia="zh-CN"/>
        </w:rPr>
        <w:t>下</w:t>
      </w:r>
      <w:r>
        <w:rPr>
          <w:color w:val="auto"/>
        </w:rPr>
        <w:t>表中。</w:t>
      </w:r>
    </w:p>
    <w:p w14:paraId="484BD6DC">
      <w:pPr>
        <w:pStyle w:val="15"/>
        <w:numPr>
          <w:ilvl w:val="0"/>
          <w:numId w:val="37"/>
        </w:numPr>
        <w:bidi w:val="0"/>
        <w:ind w:left="0" w:leftChars="0" w:firstLine="0" w:firstLineChars="0"/>
        <w:rPr>
          <w:color w:val="auto"/>
        </w:rPr>
      </w:pPr>
      <w:r>
        <w:rPr>
          <w:color w:val="auto"/>
        </w:rPr>
        <w:t>绿化树种的特性及保护环境功能</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00"/>
        <w:gridCol w:w="3299"/>
        <w:gridCol w:w="4247"/>
      </w:tblGrid>
      <w:tr w14:paraId="6CA7F0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1BAB7FA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种类</w:t>
            </w:r>
          </w:p>
        </w:tc>
        <w:tc>
          <w:tcPr>
            <w:tcW w:w="3299" w:type="dxa"/>
            <w:tcBorders>
              <w:tl2br w:val="nil"/>
              <w:tr2bl w:val="nil"/>
            </w:tcBorders>
            <w:noWrap w:val="0"/>
            <w:vAlign w:val="center"/>
          </w:tcPr>
          <w:p w14:paraId="7DFDD42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特性</w:t>
            </w:r>
          </w:p>
        </w:tc>
        <w:tc>
          <w:tcPr>
            <w:tcW w:w="4247" w:type="dxa"/>
            <w:tcBorders>
              <w:tl2br w:val="nil"/>
              <w:tr2bl w:val="nil"/>
            </w:tcBorders>
            <w:noWrap w:val="0"/>
            <w:vAlign w:val="center"/>
          </w:tcPr>
          <w:p w14:paraId="18617D0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保护环境功能</w:t>
            </w:r>
          </w:p>
        </w:tc>
      </w:tr>
      <w:tr w14:paraId="650FF3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23CE6967">
            <w:pPr>
              <w:pageBreakBefore w:val="0"/>
              <w:wordWrap/>
              <w:bidi w:val="0"/>
              <w:adjustRightInd/>
              <w:snapToGrid/>
              <w:spacing w:line="240" w:lineRule="auto"/>
              <w:ind w:firstLine="0" w:firstLineChars="0"/>
              <w:jc w:val="center"/>
              <w:rPr>
                <w:color w:val="auto"/>
                <w:sz w:val="21"/>
                <w:szCs w:val="21"/>
              </w:rPr>
            </w:pPr>
            <w:r>
              <w:rPr>
                <w:color w:val="auto"/>
                <w:sz w:val="21"/>
                <w:szCs w:val="21"/>
              </w:rPr>
              <w:t>银杏</w:t>
            </w:r>
          </w:p>
        </w:tc>
        <w:tc>
          <w:tcPr>
            <w:tcW w:w="3299" w:type="dxa"/>
            <w:tcBorders>
              <w:tl2br w:val="nil"/>
              <w:tr2bl w:val="nil"/>
            </w:tcBorders>
            <w:noWrap w:val="0"/>
            <w:vAlign w:val="center"/>
          </w:tcPr>
          <w:p w14:paraId="2656DCD1">
            <w:pPr>
              <w:pageBreakBefore w:val="0"/>
              <w:wordWrap/>
              <w:bidi w:val="0"/>
              <w:adjustRightInd/>
              <w:snapToGrid/>
              <w:spacing w:line="240" w:lineRule="auto"/>
              <w:ind w:firstLine="0" w:firstLineChars="0"/>
              <w:jc w:val="center"/>
              <w:rPr>
                <w:color w:val="auto"/>
                <w:sz w:val="21"/>
                <w:szCs w:val="21"/>
              </w:rPr>
            </w:pPr>
            <w:r>
              <w:rPr>
                <w:color w:val="auto"/>
                <w:sz w:val="21"/>
                <w:szCs w:val="21"/>
              </w:rPr>
              <w:t>耐寒、适应性强</w:t>
            </w:r>
          </w:p>
        </w:tc>
        <w:tc>
          <w:tcPr>
            <w:tcW w:w="4247" w:type="dxa"/>
            <w:tcBorders>
              <w:tl2br w:val="nil"/>
              <w:tr2bl w:val="nil"/>
            </w:tcBorders>
            <w:noWrap w:val="0"/>
            <w:vAlign w:val="center"/>
          </w:tcPr>
          <w:p w14:paraId="79B422DD">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吸收有害气体、杀菌</w:t>
            </w:r>
          </w:p>
        </w:tc>
      </w:tr>
      <w:tr w14:paraId="114BA2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3FD3120A">
            <w:pPr>
              <w:pageBreakBefore w:val="0"/>
              <w:wordWrap/>
              <w:bidi w:val="0"/>
              <w:adjustRightInd/>
              <w:snapToGrid/>
              <w:spacing w:line="240" w:lineRule="auto"/>
              <w:ind w:firstLine="0" w:firstLineChars="0"/>
              <w:jc w:val="center"/>
              <w:rPr>
                <w:color w:val="auto"/>
                <w:sz w:val="21"/>
                <w:szCs w:val="21"/>
              </w:rPr>
            </w:pPr>
            <w:r>
              <w:rPr>
                <w:color w:val="auto"/>
                <w:sz w:val="21"/>
                <w:szCs w:val="21"/>
              </w:rPr>
              <w:t>刺槐</w:t>
            </w:r>
          </w:p>
        </w:tc>
        <w:tc>
          <w:tcPr>
            <w:tcW w:w="3299" w:type="dxa"/>
            <w:tcBorders>
              <w:tl2br w:val="nil"/>
              <w:tr2bl w:val="nil"/>
            </w:tcBorders>
            <w:noWrap w:val="0"/>
            <w:vAlign w:val="center"/>
          </w:tcPr>
          <w:p w14:paraId="7B98E6C1">
            <w:pPr>
              <w:pageBreakBefore w:val="0"/>
              <w:wordWrap/>
              <w:bidi w:val="0"/>
              <w:adjustRightInd/>
              <w:snapToGrid/>
              <w:spacing w:line="240" w:lineRule="auto"/>
              <w:ind w:firstLine="0" w:firstLineChars="0"/>
              <w:jc w:val="center"/>
              <w:rPr>
                <w:color w:val="auto"/>
                <w:sz w:val="21"/>
                <w:szCs w:val="21"/>
              </w:rPr>
            </w:pPr>
            <w:r>
              <w:rPr>
                <w:color w:val="auto"/>
                <w:sz w:val="21"/>
                <w:szCs w:val="21"/>
              </w:rPr>
              <w:t>耐塞、抗旱、怕水湿</w:t>
            </w:r>
          </w:p>
        </w:tc>
        <w:tc>
          <w:tcPr>
            <w:tcW w:w="4247" w:type="dxa"/>
            <w:tcBorders>
              <w:tl2br w:val="nil"/>
              <w:tr2bl w:val="nil"/>
            </w:tcBorders>
            <w:noWrap w:val="0"/>
            <w:vAlign w:val="center"/>
          </w:tcPr>
          <w:p w14:paraId="7D397233">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w:t>
            </w:r>
          </w:p>
        </w:tc>
      </w:tr>
      <w:tr w14:paraId="402C62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784E472C">
            <w:pPr>
              <w:pageBreakBefore w:val="0"/>
              <w:wordWrap/>
              <w:bidi w:val="0"/>
              <w:adjustRightInd/>
              <w:snapToGrid/>
              <w:spacing w:line="240" w:lineRule="auto"/>
              <w:ind w:firstLine="0" w:firstLineChars="0"/>
              <w:jc w:val="center"/>
              <w:rPr>
                <w:color w:val="auto"/>
                <w:sz w:val="21"/>
                <w:szCs w:val="21"/>
              </w:rPr>
            </w:pPr>
            <w:r>
              <w:rPr>
                <w:color w:val="auto"/>
                <w:sz w:val="21"/>
                <w:szCs w:val="21"/>
              </w:rPr>
              <w:t>泡桐</w:t>
            </w:r>
          </w:p>
        </w:tc>
        <w:tc>
          <w:tcPr>
            <w:tcW w:w="3299" w:type="dxa"/>
            <w:tcBorders>
              <w:tl2br w:val="nil"/>
              <w:tr2bl w:val="nil"/>
            </w:tcBorders>
            <w:noWrap w:val="0"/>
            <w:vAlign w:val="center"/>
          </w:tcPr>
          <w:p w14:paraId="629E4265">
            <w:pPr>
              <w:pageBreakBefore w:val="0"/>
              <w:wordWrap/>
              <w:bidi w:val="0"/>
              <w:adjustRightInd/>
              <w:snapToGrid/>
              <w:spacing w:line="240" w:lineRule="auto"/>
              <w:ind w:firstLine="0" w:firstLineChars="0"/>
              <w:jc w:val="center"/>
              <w:rPr>
                <w:color w:val="auto"/>
                <w:sz w:val="21"/>
                <w:szCs w:val="21"/>
              </w:rPr>
            </w:pPr>
            <w:r>
              <w:rPr>
                <w:color w:val="auto"/>
                <w:sz w:val="21"/>
                <w:szCs w:val="21"/>
              </w:rPr>
              <w:t>耐旱、不耐水湿</w:t>
            </w:r>
          </w:p>
        </w:tc>
        <w:tc>
          <w:tcPr>
            <w:tcW w:w="4247" w:type="dxa"/>
            <w:tcBorders>
              <w:tl2br w:val="nil"/>
              <w:tr2bl w:val="nil"/>
            </w:tcBorders>
            <w:noWrap w:val="0"/>
            <w:vAlign w:val="center"/>
          </w:tcPr>
          <w:p w14:paraId="5EC6C78E">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抗污染、吸收有害气体、防尘</w:t>
            </w:r>
          </w:p>
        </w:tc>
      </w:tr>
      <w:tr w14:paraId="19B7EE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0D975570">
            <w:pPr>
              <w:pageBreakBefore w:val="0"/>
              <w:wordWrap/>
              <w:bidi w:val="0"/>
              <w:adjustRightInd/>
              <w:snapToGrid/>
              <w:spacing w:line="240" w:lineRule="auto"/>
              <w:ind w:firstLine="0" w:firstLineChars="0"/>
              <w:jc w:val="center"/>
              <w:rPr>
                <w:color w:val="auto"/>
                <w:sz w:val="21"/>
                <w:szCs w:val="21"/>
              </w:rPr>
            </w:pPr>
            <w:r>
              <w:rPr>
                <w:color w:val="auto"/>
                <w:sz w:val="21"/>
                <w:szCs w:val="21"/>
              </w:rPr>
              <w:t>油松</w:t>
            </w:r>
          </w:p>
        </w:tc>
        <w:tc>
          <w:tcPr>
            <w:tcW w:w="3299" w:type="dxa"/>
            <w:tcBorders>
              <w:tl2br w:val="nil"/>
              <w:tr2bl w:val="nil"/>
            </w:tcBorders>
            <w:noWrap w:val="0"/>
            <w:vAlign w:val="center"/>
          </w:tcPr>
          <w:p w14:paraId="7093C5B8">
            <w:pPr>
              <w:pageBreakBefore w:val="0"/>
              <w:wordWrap/>
              <w:bidi w:val="0"/>
              <w:adjustRightInd/>
              <w:snapToGrid/>
              <w:spacing w:line="240" w:lineRule="auto"/>
              <w:ind w:firstLine="0" w:firstLineChars="0"/>
              <w:jc w:val="center"/>
              <w:rPr>
                <w:color w:val="auto"/>
                <w:sz w:val="21"/>
                <w:szCs w:val="21"/>
              </w:rPr>
            </w:pPr>
            <w:r>
              <w:rPr>
                <w:color w:val="auto"/>
                <w:sz w:val="21"/>
                <w:szCs w:val="21"/>
              </w:rPr>
              <w:t>耐寒、耐旱、常绿</w:t>
            </w:r>
          </w:p>
        </w:tc>
        <w:tc>
          <w:tcPr>
            <w:tcW w:w="4247" w:type="dxa"/>
            <w:tcBorders>
              <w:tl2br w:val="nil"/>
              <w:tr2bl w:val="nil"/>
            </w:tcBorders>
            <w:noWrap w:val="0"/>
            <w:vAlign w:val="center"/>
          </w:tcPr>
          <w:p w14:paraId="0C080296">
            <w:pPr>
              <w:pageBreakBefore w:val="0"/>
              <w:wordWrap/>
              <w:bidi w:val="0"/>
              <w:adjustRightInd/>
              <w:snapToGrid/>
              <w:spacing w:line="240" w:lineRule="auto"/>
              <w:ind w:firstLine="0" w:firstLineChars="0"/>
              <w:jc w:val="center"/>
              <w:rPr>
                <w:color w:val="auto"/>
                <w:sz w:val="21"/>
                <w:szCs w:val="21"/>
              </w:rPr>
            </w:pPr>
            <w:r>
              <w:rPr>
                <w:color w:val="auto"/>
                <w:sz w:val="21"/>
                <w:szCs w:val="21"/>
              </w:rPr>
              <w:t>防尘、防风</w:t>
            </w:r>
          </w:p>
        </w:tc>
      </w:tr>
      <w:tr w14:paraId="7EE84E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3504D423">
            <w:pPr>
              <w:pageBreakBefore w:val="0"/>
              <w:wordWrap/>
              <w:bidi w:val="0"/>
              <w:adjustRightInd/>
              <w:snapToGrid/>
              <w:spacing w:line="240" w:lineRule="auto"/>
              <w:ind w:firstLine="0" w:firstLineChars="0"/>
              <w:jc w:val="center"/>
              <w:rPr>
                <w:color w:val="auto"/>
                <w:sz w:val="21"/>
                <w:szCs w:val="21"/>
              </w:rPr>
            </w:pPr>
            <w:r>
              <w:rPr>
                <w:color w:val="auto"/>
                <w:sz w:val="21"/>
                <w:szCs w:val="21"/>
              </w:rPr>
              <w:t>槐树</w:t>
            </w:r>
          </w:p>
        </w:tc>
        <w:tc>
          <w:tcPr>
            <w:tcW w:w="3299" w:type="dxa"/>
            <w:tcBorders>
              <w:tl2br w:val="nil"/>
              <w:tr2bl w:val="nil"/>
            </w:tcBorders>
            <w:noWrap w:val="0"/>
            <w:vAlign w:val="center"/>
          </w:tcPr>
          <w:p w14:paraId="345CE20B">
            <w:pPr>
              <w:pageBreakBefore w:val="0"/>
              <w:wordWrap/>
              <w:bidi w:val="0"/>
              <w:adjustRightInd/>
              <w:snapToGrid/>
              <w:spacing w:line="240" w:lineRule="auto"/>
              <w:ind w:firstLine="0" w:firstLineChars="0"/>
              <w:jc w:val="center"/>
              <w:rPr>
                <w:color w:val="auto"/>
                <w:sz w:val="21"/>
                <w:szCs w:val="21"/>
              </w:rPr>
            </w:pPr>
            <w:r>
              <w:rPr>
                <w:color w:val="auto"/>
                <w:sz w:val="21"/>
                <w:szCs w:val="21"/>
              </w:rPr>
              <w:t>喜干冷气候</w:t>
            </w:r>
          </w:p>
        </w:tc>
        <w:tc>
          <w:tcPr>
            <w:tcW w:w="4247" w:type="dxa"/>
            <w:tcBorders>
              <w:tl2br w:val="nil"/>
              <w:tr2bl w:val="nil"/>
            </w:tcBorders>
            <w:noWrap w:val="0"/>
            <w:vAlign w:val="center"/>
          </w:tcPr>
          <w:p w14:paraId="4FFB61E4">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w:t>
            </w:r>
          </w:p>
        </w:tc>
      </w:tr>
      <w:tr w14:paraId="707825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785655F5">
            <w:pPr>
              <w:pageBreakBefore w:val="0"/>
              <w:wordWrap/>
              <w:bidi w:val="0"/>
              <w:adjustRightInd/>
              <w:snapToGrid/>
              <w:spacing w:line="240" w:lineRule="auto"/>
              <w:ind w:firstLine="0" w:firstLineChars="0"/>
              <w:jc w:val="center"/>
              <w:rPr>
                <w:color w:val="auto"/>
                <w:sz w:val="21"/>
                <w:szCs w:val="21"/>
              </w:rPr>
            </w:pPr>
            <w:r>
              <w:rPr>
                <w:color w:val="auto"/>
                <w:sz w:val="21"/>
                <w:szCs w:val="21"/>
              </w:rPr>
              <w:t>旱柳</w:t>
            </w:r>
          </w:p>
        </w:tc>
        <w:tc>
          <w:tcPr>
            <w:tcW w:w="3299" w:type="dxa"/>
            <w:tcBorders>
              <w:tl2br w:val="nil"/>
              <w:tr2bl w:val="nil"/>
            </w:tcBorders>
            <w:noWrap w:val="0"/>
            <w:vAlign w:val="center"/>
          </w:tcPr>
          <w:p w14:paraId="77764637">
            <w:pPr>
              <w:pageBreakBefore w:val="0"/>
              <w:wordWrap/>
              <w:bidi w:val="0"/>
              <w:adjustRightInd/>
              <w:snapToGrid/>
              <w:spacing w:line="240" w:lineRule="auto"/>
              <w:ind w:firstLine="0" w:firstLineChars="0"/>
              <w:jc w:val="center"/>
              <w:rPr>
                <w:color w:val="auto"/>
                <w:sz w:val="21"/>
                <w:szCs w:val="21"/>
              </w:rPr>
            </w:pPr>
            <w:r>
              <w:rPr>
                <w:color w:val="auto"/>
                <w:sz w:val="21"/>
                <w:szCs w:val="21"/>
              </w:rPr>
              <w:t>耐旱、耐水湿</w:t>
            </w:r>
          </w:p>
        </w:tc>
        <w:tc>
          <w:tcPr>
            <w:tcW w:w="4247" w:type="dxa"/>
            <w:tcBorders>
              <w:tl2br w:val="nil"/>
              <w:tr2bl w:val="nil"/>
            </w:tcBorders>
            <w:noWrap w:val="0"/>
            <w:vAlign w:val="center"/>
          </w:tcPr>
          <w:p w14:paraId="57CC0161">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w:t>
            </w:r>
          </w:p>
        </w:tc>
      </w:tr>
      <w:tr w14:paraId="7DD1FF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74C9AB2D">
            <w:pPr>
              <w:pageBreakBefore w:val="0"/>
              <w:wordWrap/>
              <w:bidi w:val="0"/>
              <w:adjustRightInd/>
              <w:snapToGrid/>
              <w:spacing w:line="240" w:lineRule="auto"/>
              <w:ind w:firstLine="0" w:firstLineChars="0"/>
              <w:jc w:val="center"/>
              <w:rPr>
                <w:color w:val="auto"/>
                <w:sz w:val="21"/>
                <w:szCs w:val="21"/>
              </w:rPr>
            </w:pPr>
            <w:r>
              <w:rPr>
                <w:color w:val="auto"/>
                <w:sz w:val="21"/>
                <w:szCs w:val="21"/>
              </w:rPr>
              <w:t>垂柳</w:t>
            </w:r>
          </w:p>
        </w:tc>
        <w:tc>
          <w:tcPr>
            <w:tcW w:w="3299" w:type="dxa"/>
            <w:tcBorders>
              <w:tl2br w:val="nil"/>
              <w:tr2bl w:val="nil"/>
            </w:tcBorders>
            <w:noWrap w:val="0"/>
            <w:vAlign w:val="center"/>
          </w:tcPr>
          <w:p w14:paraId="01075F52">
            <w:pPr>
              <w:pageBreakBefore w:val="0"/>
              <w:wordWrap/>
              <w:bidi w:val="0"/>
              <w:adjustRightInd/>
              <w:snapToGrid/>
              <w:spacing w:line="240" w:lineRule="auto"/>
              <w:ind w:firstLine="0" w:firstLineChars="0"/>
              <w:jc w:val="center"/>
              <w:rPr>
                <w:color w:val="auto"/>
                <w:sz w:val="21"/>
                <w:szCs w:val="21"/>
              </w:rPr>
            </w:pPr>
            <w:r>
              <w:rPr>
                <w:color w:val="auto"/>
                <w:sz w:val="21"/>
                <w:szCs w:val="21"/>
              </w:rPr>
              <w:t>耐水湿</w:t>
            </w:r>
          </w:p>
        </w:tc>
        <w:tc>
          <w:tcPr>
            <w:tcW w:w="4247" w:type="dxa"/>
            <w:tcBorders>
              <w:tl2br w:val="nil"/>
              <w:tr2bl w:val="nil"/>
            </w:tcBorders>
            <w:noWrap w:val="0"/>
            <w:vAlign w:val="center"/>
          </w:tcPr>
          <w:p w14:paraId="627EA543">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w:t>
            </w:r>
          </w:p>
        </w:tc>
      </w:tr>
      <w:tr w14:paraId="4B8F38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22914855">
            <w:pPr>
              <w:pageBreakBefore w:val="0"/>
              <w:wordWrap/>
              <w:bidi w:val="0"/>
              <w:adjustRightInd/>
              <w:snapToGrid/>
              <w:spacing w:line="240" w:lineRule="auto"/>
              <w:ind w:firstLine="0" w:firstLineChars="0"/>
              <w:jc w:val="center"/>
              <w:rPr>
                <w:color w:val="auto"/>
                <w:sz w:val="21"/>
                <w:szCs w:val="21"/>
              </w:rPr>
            </w:pPr>
            <w:r>
              <w:rPr>
                <w:color w:val="auto"/>
                <w:sz w:val="21"/>
                <w:szCs w:val="21"/>
              </w:rPr>
              <w:t>加杨</w:t>
            </w:r>
          </w:p>
        </w:tc>
        <w:tc>
          <w:tcPr>
            <w:tcW w:w="3299" w:type="dxa"/>
            <w:tcBorders>
              <w:tl2br w:val="nil"/>
              <w:tr2bl w:val="nil"/>
            </w:tcBorders>
            <w:noWrap w:val="0"/>
            <w:vAlign w:val="center"/>
          </w:tcPr>
          <w:p w14:paraId="411A1538">
            <w:pPr>
              <w:pageBreakBefore w:val="0"/>
              <w:wordWrap/>
              <w:bidi w:val="0"/>
              <w:adjustRightInd/>
              <w:snapToGrid/>
              <w:spacing w:line="240" w:lineRule="auto"/>
              <w:ind w:firstLine="0" w:firstLineChars="0"/>
              <w:jc w:val="center"/>
              <w:rPr>
                <w:color w:val="auto"/>
                <w:sz w:val="21"/>
                <w:szCs w:val="21"/>
              </w:rPr>
            </w:pPr>
            <w:r>
              <w:rPr>
                <w:color w:val="auto"/>
                <w:sz w:val="21"/>
                <w:szCs w:val="21"/>
              </w:rPr>
              <w:t>耐涝</w:t>
            </w:r>
          </w:p>
        </w:tc>
        <w:tc>
          <w:tcPr>
            <w:tcW w:w="4247" w:type="dxa"/>
            <w:tcBorders>
              <w:tl2br w:val="nil"/>
              <w:tr2bl w:val="nil"/>
            </w:tcBorders>
            <w:noWrap w:val="0"/>
            <w:vAlign w:val="center"/>
          </w:tcPr>
          <w:p w14:paraId="2EDC0130">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吸收有害气体、防风</w:t>
            </w:r>
          </w:p>
        </w:tc>
      </w:tr>
    </w:tbl>
    <w:p w14:paraId="541A3A66">
      <w:pPr>
        <w:pageBreakBefore w:val="0"/>
        <w:wordWrap/>
        <w:bidi w:val="0"/>
        <w:adjustRightInd/>
        <w:snapToGrid/>
        <w:spacing w:before="120" w:beforeLines="50"/>
        <w:ind w:firstLine="480"/>
        <w:rPr>
          <w:color w:val="auto"/>
        </w:rPr>
      </w:pPr>
      <w:r>
        <w:rPr>
          <w:color w:val="auto"/>
          <w:szCs w:val="28"/>
        </w:rPr>
        <w:t>④</w:t>
      </w:r>
      <w:r>
        <w:rPr>
          <w:color w:val="auto"/>
        </w:rPr>
        <w:t>污泥等固废及时清运</w:t>
      </w:r>
      <w:r>
        <w:rPr>
          <w:rFonts w:hint="eastAsia"/>
          <w:color w:val="auto"/>
        </w:rPr>
        <w:t>，</w:t>
      </w:r>
      <w:r>
        <w:rPr>
          <w:color w:val="auto"/>
        </w:rPr>
        <w:t>削减厂内恶臭源强度及数量。</w:t>
      </w:r>
    </w:p>
    <w:p w14:paraId="01E42B68">
      <w:pPr>
        <w:pageBreakBefore w:val="0"/>
        <w:wordWrap/>
        <w:bidi w:val="0"/>
        <w:adjustRightInd/>
        <w:snapToGrid/>
        <w:ind w:firstLine="480"/>
        <w:rPr>
          <w:color w:val="auto"/>
        </w:rPr>
      </w:pPr>
      <w:r>
        <w:rPr>
          <w:color w:val="auto"/>
          <w:szCs w:val="28"/>
        </w:rPr>
        <w:t>⑤</w:t>
      </w:r>
      <w:r>
        <w:rPr>
          <w:color w:val="auto"/>
        </w:rPr>
        <w:t>加强个人劳动卫生保护</w:t>
      </w:r>
    </w:p>
    <w:p w14:paraId="34D9E782">
      <w:pPr>
        <w:pageBreakBefore w:val="0"/>
        <w:wordWrap/>
        <w:bidi w:val="0"/>
        <w:adjustRightInd/>
        <w:snapToGrid/>
        <w:ind w:firstLine="480"/>
        <w:rPr>
          <w:b/>
          <w:bCs/>
          <w:color w:val="auto"/>
        </w:rPr>
      </w:pPr>
      <w:r>
        <w:rPr>
          <w:color w:val="auto"/>
          <w:szCs w:val="28"/>
        </w:rPr>
        <w:t>⑥</w:t>
      </w:r>
      <w:r>
        <w:rPr>
          <w:color w:val="auto"/>
        </w:rPr>
        <w:t>重视</w:t>
      </w:r>
      <w:r>
        <w:rPr>
          <w:rFonts w:hint="eastAsia"/>
          <w:color w:val="auto"/>
          <w:lang w:eastAsia="zh-CN"/>
        </w:rPr>
        <w:t>做好</w:t>
      </w:r>
      <w:r>
        <w:rPr>
          <w:color w:val="auto"/>
        </w:rPr>
        <w:t>消毒杀菌、</w:t>
      </w:r>
      <w:r>
        <w:rPr>
          <w:color w:val="auto"/>
          <w:lang w:val="en-GB"/>
        </w:rPr>
        <w:t>灭蚊蝇等环境卫生</w:t>
      </w:r>
      <w:r>
        <w:rPr>
          <w:color w:val="auto"/>
        </w:rPr>
        <w:t>工作。</w:t>
      </w:r>
    </w:p>
    <w:p w14:paraId="03478CAA">
      <w:pPr>
        <w:pageBreakBefore w:val="0"/>
        <w:wordWrap/>
        <w:bidi w:val="0"/>
        <w:adjustRightInd/>
        <w:snapToGrid/>
        <w:ind w:firstLine="482"/>
        <w:rPr>
          <w:b/>
          <w:color w:val="auto"/>
        </w:rPr>
      </w:pPr>
      <w:r>
        <w:rPr>
          <w:b/>
          <w:color w:val="auto"/>
        </w:rPr>
        <w:t>5、卫生防护距离的划定及恶臭防治措施的有效性和可行性分析</w:t>
      </w:r>
    </w:p>
    <w:p w14:paraId="7E04C514">
      <w:pPr>
        <w:pageBreakBefore w:val="0"/>
        <w:wordWrap/>
        <w:bidi w:val="0"/>
        <w:adjustRightInd/>
        <w:snapToGrid/>
        <w:ind w:firstLine="480"/>
        <w:rPr>
          <w:color w:val="auto"/>
        </w:rPr>
      </w:pPr>
      <w:r>
        <w:rPr>
          <w:color w:val="auto"/>
        </w:rPr>
        <w:t>根据报告书第四章对项目卫生防护距离的计算，确定项目卫生防护距离为</w:t>
      </w:r>
      <w:r>
        <w:rPr>
          <w:bCs/>
          <w:iCs/>
          <w:color w:val="auto"/>
          <w:spacing w:val="2"/>
        </w:rPr>
        <w:t>项目以</w:t>
      </w:r>
      <w:r>
        <w:rPr>
          <w:rFonts w:hint="eastAsia"/>
          <w:bCs/>
          <w:iCs/>
          <w:color w:val="auto"/>
          <w:spacing w:val="2"/>
        </w:rPr>
        <w:t>预处理单元（超细格栅、调节池、应急池、水解酸化池）、生化反应区（生化池）、深度处理单元（反硝化深床滤池、磁混凝沉淀池和高级氧化深度处理池）和污泥区（污泥池、脱水间等）</w:t>
      </w:r>
      <w:r>
        <w:rPr>
          <w:bCs/>
          <w:iCs/>
          <w:color w:val="auto"/>
          <w:spacing w:val="2"/>
        </w:rPr>
        <w:t>等构筑物边界向外，划定</w:t>
      </w:r>
      <w:r>
        <w:rPr>
          <w:rFonts w:hint="eastAsia"/>
          <w:bCs/>
          <w:iCs/>
          <w:color w:val="auto"/>
          <w:spacing w:val="2"/>
          <w:lang w:val="en-US" w:eastAsia="zh-CN"/>
        </w:rPr>
        <w:t>50</w:t>
      </w:r>
      <w:r>
        <w:rPr>
          <w:bCs/>
          <w:iCs/>
          <w:color w:val="auto"/>
          <w:spacing w:val="2"/>
        </w:rPr>
        <w:t>m的卫生防护距离。</w:t>
      </w:r>
      <w:r>
        <w:rPr>
          <w:b/>
          <w:color w:val="auto"/>
          <w:szCs w:val="28"/>
        </w:rPr>
        <w:t>同时</w:t>
      </w:r>
      <w:r>
        <w:rPr>
          <w:rFonts w:hint="eastAsia"/>
          <w:b/>
          <w:color w:val="auto"/>
          <w:szCs w:val="28"/>
          <w:lang w:eastAsia="zh-CN"/>
        </w:rPr>
        <w:t>，根</w:t>
      </w:r>
      <w:r>
        <w:rPr>
          <w:b/>
          <w:color w:val="auto"/>
          <w:szCs w:val="28"/>
        </w:rPr>
        <w:t>据现场踏勘发现：本</w:t>
      </w:r>
      <w:r>
        <w:rPr>
          <w:b/>
          <w:color w:val="auto"/>
          <w:spacing w:val="2"/>
          <w:szCs w:val="28"/>
        </w:rPr>
        <w:t>项目</w:t>
      </w:r>
      <w:r>
        <w:rPr>
          <w:b/>
          <w:color w:val="auto"/>
          <w:szCs w:val="28"/>
        </w:rPr>
        <w:t>划定的卫生防护距离范围内无散居村民住户等环境敏感目标，不涉及环保搬迁。</w:t>
      </w:r>
    </w:p>
    <w:p w14:paraId="5A5B257A">
      <w:pPr>
        <w:pageBreakBefore w:val="0"/>
        <w:wordWrap/>
        <w:bidi w:val="0"/>
        <w:adjustRightInd/>
        <w:snapToGrid/>
        <w:ind w:firstLine="490"/>
        <w:rPr>
          <w:color w:val="auto"/>
          <w:szCs w:val="28"/>
        </w:rPr>
      </w:pPr>
      <w:r>
        <w:rPr>
          <w:b/>
          <w:color w:val="auto"/>
          <w:spacing w:val="2"/>
          <w:szCs w:val="28"/>
        </w:rPr>
        <w:t>环评要求：</w:t>
      </w:r>
      <w:r>
        <w:rPr>
          <w:color w:val="auto"/>
          <w:spacing w:val="2"/>
          <w:szCs w:val="28"/>
        </w:rPr>
        <w:t>在项目所设定的卫生防护距离内禁止修建医院、学校、集中居住区等环境敏感设施。同时还要求：①在污泥脱水间等室内部分，考虑采用机械通风的方式，减少臭气影响；②运输车辆密闭，避开运输高峰期，尽量减少臭气对运输线路附近大气环境的影响；③</w:t>
      </w:r>
      <w:r>
        <w:rPr>
          <w:color w:val="auto"/>
          <w:szCs w:val="28"/>
        </w:rPr>
        <w:t>采取必要的减臭措施，污泥处理设施应设在非完全敞开式的建筑内；</w:t>
      </w:r>
      <w:r>
        <w:rPr>
          <w:color w:val="auto"/>
          <w:spacing w:val="2"/>
          <w:szCs w:val="28"/>
        </w:rPr>
        <w:t>④</w:t>
      </w:r>
      <w:r>
        <w:rPr>
          <w:color w:val="auto"/>
          <w:szCs w:val="28"/>
        </w:rPr>
        <w:t>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szCs w:val="28"/>
          <w:lang w:eastAsia="zh-CN"/>
        </w:rPr>
        <w:t>采取</w:t>
      </w:r>
      <w:r>
        <w:rPr>
          <w:color w:val="auto"/>
          <w:szCs w:val="28"/>
        </w:rPr>
        <w:t>及时清除积泥的措施来防止臭气的影响；⑥项目厂区需设置绿化带。</w:t>
      </w:r>
    </w:p>
    <w:p w14:paraId="134535E5">
      <w:pPr>
        <w:pageBreakBefore w:val="0"/>
        <w:wordWrap/>
        <w:bidi w:val="0"/>
        <w:adjustRightInd/>
        <w:snapToGrid/>
        <w:ind w:firstLine="480"/>
        <w:rPr>
          <w:color w:val="auto"/>
        </w:rPr>
      </w:pPr>
      <w:r>
        <w:rPr>
          <w:color w:val="auto"/>
          <w:szCs w:val="28"/>
        </w:rPr>
        <w:t>以上措施属目前污水处理厂恶臭处理的主要措施，在大、中、小型污水处理厂（站）均得到广泛应用，取得良好的效果。</w:t>
      </w:r>
    </w:p>
    <w:p w14:paraId="56A74763">
      <w:pPr>
        <w:pageBreakBefore w:val="0"/>
        <w:wordWrap/>
        <w:bidi w:val="0"/>
        <w:adjustRightInd/>
        <w:snapToGrid/>
        <w:ind w:firstLine="480"/>
        <w:rPr>
          <w:color w:val="auto"/>
          <w:szCs w:val="28"/>
        </w:rPr>
      </w:pPr>
      <w:r>
        <w:rPr>
          <w:color w:val="auto"/>
          <w:szCs w:val="28"/>
        </w:rPr>
        <w:t>根据《城市污水处理工程项目建设标准》（建标[2001]77号文）要求：</w:t>
      </w:r>
      <w:r>
        <w:rPr>
          <w:rFonts w:hint="eastAsia"/>
          <w:color w:val="auto"/>
          <w:lang w:eastAsia="zh-CN"/>
        </w:rPr>
        <w:t>“</w:t>
      </w:r>
      <w:r>
        <w:rPr>
          <w:color w:val="auto"/>
        </w:rPr>
        <w:t>厂外居住区与产生臭气的生产设施的距离，不宜小于50</w:t>
      </w:r>
      <w:r>
        <w:rPr>
          <w:rFonts w:hint="eastAsia"/>
          <w:color w:val="auto"/>
          <w:lang w:eastAsia="zh-CN"/>
        </w:rPr>
        <w:t>～</w:t>
      </w:r>
      <w:r>
        <w:rPr>
          <w:color w:val="auto"/>
        </w:rPr>
        <w:t>100m</w:t>
      </w:r>
      <w:r>
        <w:rPr>
          <w:rFonts w:hint="eastAsia"/>
          <w:color w:val="auto"/>
          <w:lang w:eastAsia="zh-CN"/>
        </w:rPr>
        <w:t>”</w:t>
      </w:r>
      <w:r>
        <w:rPr>
          <w:color w:val="auto"/>
          <w:szCs w:val="28"/>
        </w:rPr>
        <w:t>。本环评设置卫生防护距离满足标准要求。</w:t>
      </w:r>
    </w:p>
    <w:p w14:paraId="1400D989">
      <w:pPr>
        <w:pageBreakBefore w:val="0"/>
        <w:wordWrap/>
        <w:bidi w:val="0"/>
        <w:adjustRightInd/>
        <w:snapToGrid/>
        <w:ind w:firstLine="482"/>
        <w:rPr>
          <w:b/>
          <w:color w:val="auto"/>
        </w:rPr>
      </w:pPr>
      <w:r>
        <w:rPr>
          <w:b/>
          <w:color w:val="auto"/>
        </w:rPr>
        <w:t>综上分析，</w:t>
      </w:r>
      <w:r>
        <w:rPr>
          <w:b/>
          <w:color w:val="auto"/>
          <w:szCs w:val="28"/>
        </w:rPr>
        <w:t>环评提出的恶臭防治措施具有较好的可行性和可靠性；项目通过对以上</w:t>
      </w:r>
      <w:r>
        <w:rPr>
          <w:b/>
          <w:color w:val="auto"/>
        </w:rPr>
        <w:t>措施的落实，可最大限度的减轻项目废气无组织排放对周围环境造成的影响，措施可行。</w:t>
      </w:r>
    </w:p>
    <w:p w14:paraId="5D3B402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固废处置措施及可行性分析</w:t>
      </w:r>
    </w:p>
    <w:p w14:paraId="671BA137">
      <w:pPr>
        <w:pageBreakBefore w:val="0"/>
        <w:wordWrap/>
        <w:bidi w:val="0"/>
        <w:adjustRightInd/>
        <w:snapToGrid/>
        <w:ind w:firstLine="480"/>
        <w:rPr>
          <w:color w:val="auto"/>
        </w:rPr>
      </w:pPr>
      <w:bookmarkStart w:id="234" w:name="_Toc264624083"/>
      <w:r>
        <w:rPr>
          <w:color w:val="auto"/>
        </w:rPr>
        <w:t>本项目营运期间固体废物主要是污水处理厂产生的栅渣和砂，初沉池、二沉池、</w:t>
      </w:r>
      <w:r>
        <w:rPr>
          <w:rFonts w:hint="eastAsia"/>
          <w:color w:val="auto"/>
          <w:lang w:eastAsia="zh-CN"/>
        </w:rPr>
        <w:t>磁混凝沉淀池</w:t>
      </w:r>
      <w:r>
        <w:rPr>
          <w:color w:val="auto"/>
        </w:rPr>
        <w:t>的污泥，生物除臭系统废弃填料，维修产生的废矿物油，化验室废液，废包装材料和员工生活垃圾</w:t>
      </w:r>
      <w:r>
        <w:rPr>
          <w:rFonts w:hint="eastAsia"/>
          <w:color w:val="auto"/>
          <w:lang w:val="en-US" w:eastAsia="zh-CN"/>
        </w:rPr>
        <w:t>等</w:t>
      </w:r>
      <w:r>
        <w:rPr>
          <w:color w:val="auto"/>
        </w:rPr>
        <w:t>。</w:t>
      </w:r>
    </w:p>
    <w:p w14:paraId="5C11CCA0">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生活垃圾</w:t>
      </w:r>
    </w:p>
    <w:p w14:paraId="202D6774">
      <w:pPr>
        <w:pageBreakBefore w:val="0"/>
        <w:wordWrap/>
        <w:bidi w:val="0"/>
        <w:adjustRightInd/>
        <w:snapToGrid/>
        <w:ind w:firstLine="480"/>
        <w:rPr>
          <w:rFonts w:hint="eastAsia" w:eastAsia="宋体"/>
          <w:color w:val="auto"/>
          <w:lang w:val="en-US" w:eastAsia="zh-CN"/>
        </w:rPr>
      </w:pPr>
      <w:r>
        <w:rPr>
          <w:rFonts w:hint="eastAsia"/>
          <w:color w:val="auto"/>
        </w:rPr>
        <w:t>生活垃圾经分类收集后，由当地环卫部门统一收集后处置。</w:t>
      </w:r>
      <w:r>
        <w:rPr>
          <w:rFonts w:hint="eastAsia"/>
          <w:color w:val="auto"/>
          <w:lang w:val="en-US" w:eastAsia="zh-CN"/>
        </w:rPr>
        <w:t>餐厨垃圾采用塑料桶收集后定期交由有相应处理能力的单位清运处置。</w:t>
      </w:r>
    </w:p>
    <w:p w14:paraId="1216528D">
      <w:pPr>
        <w:pageBreakBefore w:val="0"/>
        <w:wordWrap/>
        <w:bidi w:val="0"/>
        <w:adjustRightInd/>
        <w:snapToGrid/>
        <w:ind w:firstLine="480"/>
        <w:rPr>
          <w:b/>
          <w:bCs/>
          <w:color w:val="auto"/>
        </w:rPr>
      </w:pPr>
      <w:r>
        <w:rPr>
          <w:b/>
          <w:bCs/>
          <w:color w:val="auto"/>
        </w:rPr>
        <w:t>（</w:t>
      </w:r>
      <w:r>
        <w:rPr>
          <w:rFonts w:hint="eastAsia"/>
          <w:b/>
          <w:bCs/>
          <w:color w:val="auto"/>
          <w:lang w:val="en-US" w:eastAsia="zh-CN"/>
        </w:rPr>
        <w:t>2</w:t>
      </w:r>
      <w:r>
        <w:rPr>
          <w:b/>
          <w:bCs/>
          <w:color w:val="auto"/>
        </w:rPr>
        <w:t>）一般固废暂存</w:t>
      </w:r>
    </w:p>
    <w:p w14:paraId="4FE1335F">
      <w:pPr>
        <w:pageBreakBefore w:val="0"/>
        <w:wordWrap/>
        <w:bidi w:val="0"/>
        <w:adjustRightInd/>
        <w:snapToGrid/>
        <w:ind w:firstLine="480"/>
        <w:rPr>
          <w:color w:val="auto"/>
        </w:rPr>
      </w:pPr>
      <w:r>
        <w:rPr>
          <w:color w:val="auto"/>
        </w:rPr>
        <w:t>格栅拦截的栅渣脱水后，暂存于厂内的</w:t>
      </w:r>
      <w:r>
        <w:rPr>
          <w:rFonts w:hint="eastAsia"/>
          <w:color w:val="auto"/>
          <w:lang w:val="en-US" w:eastAsia="zh-CN"/>
        </w:rPr>
        <w:t>一般固废暂存区</w:t>
      </w:r>
      <w:r>
        <w:rPr>
          <w:rFonts w:hint="eastAsia"/>
          <w:color w:val="auto"/>
        </w:rPr>
        <w:t>中</w:t>
      </w:r>
      <w:r>
        <w:rPr>
          <w:color w:val="auto"/>
        </w:rPr>
        <w:t>，定期送往当地生活垃圾填埋场；生物除臭系统废弃填料经填料生产厂家统一回收；废包装材料外卖至废品回收站综合利用。</w:t>
      </w:r>
    </w:p>
    <w:p w14:paraId="4DC15920">
      <w:pPr>
        <w:pageBreakBefore w:val="0"/>
        <w:wordWrap/>
        <w:bidi w:val="0"/>
        <w:adjustRightInd/>
        <w:snapToGrid/>
        <w:ind w:firstLine="480"/>
        <w:rPr>
          <w:b/>
          <w:bCs/>
          <w:color w:val="auto"/>
        </w:rPr>
      </w:pPr>
      <w:r>
        <w:rPr>
          <w:b/>
          <w:bCs/>
          <w:color w:val="auto"/>
        </w:rPr>
        <w:t>（</w:t>
      </w:r>
      <w:r>
        <w:rPr>
          <w:rFonts w:hint="eastAsia"/>
          <w:b/>
          <w:bCs/>
          <w:color w:val="auto"/>
          <w:lang w:val="en-US" w:eastAsia="zh-CN"/>
        </w:rPr>
        <w:t>3</w:t>
      </w:r>
      <w:r>
        <w:rPr>
          <w:b/>
          <w:bCs/>
          <w:color w:val="auto"/>
        </w:rPr>
        <w:t>）危废暂存区</w:t>
      </w:r>
    </w:p>
    <w:p w14:paraId="26779078">
      <w:pPr>
        <w:pageBreakBefore w:val="0"/>
        <w:wordWrap/>
        <w:bidi w:val="0"/>
        <w:adjustRightInd/>
        <w:snapToGrid/>
        <w:ind w:firstLine="480"/>
        <w:rPr>
          <w:color w:val="auto"/>
        </w:rPr>
      </w:pPr>
      <w:r>
        <w:rPr>
          <w:rFonts w:hint="eastAsia"/>
          <w:color w:val="auto"/>
          <w:lang w:val="en-US" w:eastAsia="zh-CN"/>
        </w:rPr>
        <w:t>废机油和废机油桶、含有棉纱手套、化验废液和废化学试剂瓶</w:t>
      </w:r>
      <w:r>
        <w:rPr>
          <w:color w:val="auto"/>
        </w:rPr>
        <w:t>属危废，分类收集后交由具有危废处理资质单位处置，拟在项目</w:t>
      </w:r>
      <w:r>
        <w:rPr>
          <w:rFonts w:hint="eastAsia"/>
          <w:color w:val="auto"/>
          <w:lang w:val="en-US" w:eastAsia="zh-CN"/>
        </w:rPr>
        <w:t>东</w:t>
      </w:r>
      <w:r>
        <w:rPr>
          <w:color w:val="auto"/>
        </w:rPr>
        <w:t>侧设置1处占地面积约</w:t>
      </w:r>
      <w:r>
        <w:rPr>
          <w:rFonts w:hint="eastAsia"/>
          <w:color w:val="auto"/>
          <w:lang w:val="en-US" w:eastAsia="zh-CN"/>
        </w:rPr>
        <w:t>100</w:t>
      </w:r>
      <w:r>
        <w:rPr>
          <w:rFonts w:hint="eastAsia"/>
          <w:color w:val="auto"/>
          <w:lang w:eastAsia="zh-CN"/>
        </w:rPr>
        <w:t>m²的</w:t>
      </w:r>
      <w:r>
        <w:rPr>
          <w:color w:val="auto"/>
        </w:rPr>
        <w:t>危险废物暂存间。危废暂存间按《危险废物贮存污染控制标准》（</w:t>
      </w:r>
      <w:r>
        <w:rPr>
          <w:rFonts w:hint="eastAsia"/>
          <w:color w:val="auto"/>
          <w:lang w:eastAsia="zh-CN"/>
        </w:rPr>
        <w:t>GB18597-2023</w:t>
      </w:r>
      <w:r>
        <w:rPr>
          <w:rFonts w:hint="eastAsia"/>
          <w:color w:val="auto"/>
        </w:rPr>
        <w:t>）</w:t>
      </w:r>
      <w:r>
        <w:rPr>
          <w:color w:val="auto"/>
        </w:rPr>
        <w:t>要求，设有防腐、防渗措施。</w:t>
      </w:r>
    </w:p>
    <w:p w14:paraId="60B8BA6D">
      <w:pPr>
        <w:pageBreakBefore w:val="0"/>
        <w:kinsoku/>
        <w:wordWrap/>
        <w:overflowPunct/>
        <w:autoSpaceDE w:val="0"/>
        <w:autoSpaceDN w:val="0"/>
        <w:bidi w:val="0"/>
        <w:adjustRightInd/>
        <w:snapToGrid/>
        <w:ind w:firstLine="480"/>
        <w:jc w:val="left"/>
        <w:rPr>
          <w:color w:val="auto"/>
        </w:rPr>
      </w:pPr>
      <w:r>
        <w:rPr>
          <w:color w:val="auto"/>
        </w:rPr>
        <w:t>①</w:t>
      </w:r>
      <w:r>
        <w:rPr>
          <w:color w:val="auto"/>
          <w:sz w:val="24"/>
        </w:rPr>
        <w:t>危险废物暂存</w:t>
      </w:r>
      <w:r>
        <w:rPr>
          <w:rFonts w:hint="eastAsia"/>
          <w:color w:val="auto"/>
          <w:sz w:val="24"/>
        </w:rPr>
        <w:t>间</w:t>
      </w:r>
      <w:r>
        <w:rPr>
          <w:color w:val="auto"/>
          <w:spacing w:val="-2"/>
          <w:sz w:val="24"/>
        </w:rPr>
        <w:t>应</w:t>
      </w:r>
      <w:r>
        <w:rPr>
          <w:rFonts w:hint="eastAsia"/>
          <w:color w:val="auto"/>
          <w:spacing w:val="-2"/>
          <w:sz w:val="24"/>
        </w:rPr>
        <w:t>做到防风、防晒、防雨、防漏、防渗、防腐和防止危险废物流失、扬散等措施。</w:t>
      </w:r>
    </w:p>
    <w:p w14:paraId="303DA4B3">
      <w:pPr>
        <w:pageBreakBefore w:val="0"/>
        <w:kinsoku/>
        <w:wordWrap/>
        <w:overflowPunct/>
        <w:autoSpaceDE w:val="0"/>
        <w:autoSpaceDN w:val="0"/>
        <w:bidi w:val="0"/>
        <w:adjustRightInd/>
        <w:snapToGrid/>
        <w:ind w:firstLine="480"/>
        <w:jc w:val="left"/>
        <w:rPr>
          <w:color w:val="auto"/>
        </w:rPr>
      </w:pPr>
      <w:r>
        <w:rPr>
          <w:color w:val="auto"/>
        </w:rPr>
        <w:t>②</w:t>
      </w:r>
      <w:r>
        <w:rPr>
          <w:rFonts w:hint="eastAsia"/>
          <w:color w:val="auto"/>
          <w:sz w:val="24"/>
        </w:rPr>
        <w:t>贮存设施应根据危险废物的类别、数量、形态、物理化学性质和污染防治等要求设置必要的贮存分区，避免不相容的危险废物接触、混合</w:t>
      </w:r>
      <w:r>
        <w:rPr>
          <w:color w:val="auto"/>
          <w:sz w:val="24"/>
        </w:rPr>
        <w:t>。</w:t>
      </w:r>
    </w:p>
    <w:p w14:paraId="7754F064">
      <w:pPr>
        <w:pageBreakBefore w:val="0"/>
        <w:kinsoku/>
        <w:wordWrap/>
        <w:overflowPunct/>
        <w:autoSpaceDE w:val="0"/>
        <w:autoSpaceDN w:val="0"/>
        <w:bidi w:val="0"/>
        <w:adjustRightInd/>
        <w:snapToGrid/>
        <w:ind w:firstLine="480"/>
        <w:jc w:val="left"/>
        <w:rPr>
          <w:color w:val="auto"/>
        </w:rPr>
      </w:pPr>
      <w:r>
        <w:rPr>
          <w:color w:val="auto"/>
        </w:rPr>
        <w:t>③</w:t>
      </w:r>
      <w:r>
        <w:rPr>
          <w:rFonts w:hint="eastAsia"/>
          <w:color w:val="auto"/>
          <w:sz w:val="24"/>
        </w:rPr>
        <w:t>贮存设施或贮存分区内地面、墙面裙脚、堵截泄漏的围堰、接触危险废物的隔板和墙体等应采用坚固的材料建造，表面无裂缝。</w:t>
      </w:r>
    </w:p>
    <w:p w14:paraId="17CB7236">
      <w:pPr>
        <w:snapToGrid w:val="0"/>
        <w:spacing w:line="360" w:lineRule="auto"/>
        <w:ind w:firstLine="480" w:firstLineChars="200"/>
        <w:rPr>
          <w:color w:val="auto"/>
          <w:sz w:val="24"/>
        </w:rPr>
      </w:pPr>
      <w:r>
        <w:rPr>
          <w:color w:val="auto"/>
        </w:rPr>
        <w:t>④</w:t>
      </w:r>
      <w:r>
        <w:rPr>
          <w:rFonts w:hint="eastAsia"/>
          <w:color w:val="auto"/>
          <w:sz w:val="24"/>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sz w:val="24"/>
          <w:vertAlign w:val="superscript"/>
        </w:rPr>
        <w:t>-7</w:t>
      </w:r>
      <w:r>
        <w:rPr>
          <w:rFonts w:hint="eastAsia"/>
          <w:color w:val="auto"/>
          <w:sz w:val="24"/>
        </w:rPr>
        <w:t>cm/s</w:t>
      </w:r>
      <w:r>
        <w:rPr>
          <w:rFonts w:hint="eastAsia"/>
          <w:color w:val="auto"/>
          <w:sz w:val="24"/>
          <w:lang w:eastAsia="zh-CN"/>
        </w:rPr>
        <w:t>）</w:t>
      </w:r>
      <w:r>
        <w:rPr>
          <w:rFonts w:hint="eastAsia"/>
          <w:color w:val="auto"/>
          <w:sz w:val="24"/>
        </w:rPr>
        <w:t>，或至少2mm厚高密度聚乙烯膜等人工防渗材料（渗透系数不大于10</w:t>
      </w:r>
      <w:r>
        <w:rPr>
          <w:rFonts w:hint="eastAsia"/>
          <w:color w:val="auto"/>
          <w:sz w:val="24"/>
          <w:vertAlign w:val="superscript"/>
        </w:rPr>
        <w:t>-10</w:t>
      </w:r>
      <w:r>
        <w:rPr>
          <w:rFonts w:hint="eastAsia"/>
          <w:color w:val="auto"/>
          <w:sz w:val="24"/>
        </w:rPr>
        <w:t>cm/s</w:t>
      </w:r>
      <w:r>
        <w:rPr>
          <w:rFonts w:hint="eastAsia"/>
          <w:color w:val="auto"/>
          <w:sz w:val="24"/>
          <w:lang w:eastAsia="zh-CN"/>
        </w:rPr>
        <w:t>）</w:t>
      </w:r>
      <w:r>
        <w:rPr>
          <w:rFonts w:hint="eastAsia"/>
          <w:color w:val="auto"/>
          <w:sz w:val="24"/>
        </w:rPr>
        <w:t>，或其他防渗性能等效的材料。</w:t>
      </w:r>
    </w:p>
    <w:p w14:paraId="1B1BC71F">
      <w:pPr>
        <w:bidi w:val="0"/>
        <w:rPr>
          <w:rFonts w:hint="default"/>
          <w:color w:val="auto"/>
        </w:rPr>
      </w:pPr>
      <w:r>
        <w:rPr>
          <w:rFonts w:hint="default"/>
          <w:color w:val="auto"/>
        </w:rPr>
        <w:t>⑤</w:t>
      </w:r>
      <w:r>
        <w:rPr>
          <w:rFonts w:hint="eastAsia"/>
          <w:color w:val="auto"/>
          <w:sz w:val="24"/>
        </w:rPr>
        <w:t>贮存设施应采取技术和管理措施防止无关人员进入。</w:t>
      </w:r>
    </w:p>
    <w:p w14:paraId="1B6C038E">
      <w:pPr>
        <w:bidi w:val="0"/>
        <w:rPr>
          <w:rFonts w:hint="default"/>
          <w:color w:val="auto"/>
        </w:rPr>
      </w:pPr>
      <w:r>
        <w:rPr>
          <w:rFonts w:hint="default"/>
          <w:color w:val="auto"/>
        </w:rPr>
        <w:t>⑥</w:t>
      </w:r>
      <w:r>
        <w:rPr>
          <w:rFonts w:hint="eastAsia"/>
          <w:color w:val="auto"/>
          <w:sz w:val="24"/>
        </w:rPr>
        <w:t>不同贮存分区之间应采取隔离措施。隔离措施可根据危险废物</w:t>
      </w:r>
      <w:r>
        <w:rPr>
          <w:rFonts w:hint="eastAsia"/>
          <w:color w:val="auto"/>
          <w:sz w:val="24"/>
          <w:lang w:eastAsia="zh-CN"/>
        </w:rPr>
        <w:t>特点</w:t>
      </w:r>
      <w:r>
        <w:rPr>
          <w:rFonts w:hint="eastAsia"/>
          <w:color w:val="auto"/>
          <w:sz w:val="24"/>
        </w:rPr>
        <w:t>采用过道、隔板或隔墙等方式。</w:t>
      </w:r>
    </w:p>
    <w:p w14:paraId="49AF1B14">
      <w:pPr>
        <w:bidi w:val="0"/>
        <w:rPr>
          <w:rFonts w:hint="default"/>
          <w:color w:val="auto"/>
        </w:rPr>
      </w:pPr>
      <w:r>
        <w:rPr>
          <w:rFonts w:hint="default"/>
          <w:color w:val="auto"/>
        </w:rPr>
        <w:t>⑦</w:t>
      </w:r>
      <w:r>
        <w:rPr>
          <w:rFonts w:hint="eastAsia"/>
          <w:color w:val="auto"/>
          <w:sz w:val="24"/>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22718F03">
      <w:pPr>
        <w:bidi w:val="0"/>
        <w:rPr>
          <w:rFonts w:hint="eastAsia"/>
          <w:color w:val="auto"/>
        </w:rPr>
      </w:pPr>
      <w:r>
        <w:rPr>
          <w:rFonts w:hint="eastAsia"/>
          <w:color w:val="auto"/>
        </w:rPr>
        <w:t>⑧</w:t>
      </w:r>
      <w:r>
        <w:rPr>
          <w:rFonts w:hint="eastAsia"/>
          <w:color w:val="auto"/>
          <w:sz w:val="24"/>
        </w:rPr>
        <w:t>贮存场可整体或分区设计液体导流和收集设施，收集设施容积应保证在最不利条件下可以容纳对应贮存区域产生的渗滤液、废水等液态物质。</w:t>
      </w:r>
    </w:p>
    <w:p w14:paraId="3515FE65">
      <w:pPr>
        <w:bidi w:val="0"/>
        <w:rPr>
          <w:rFonts w:hint="eastAsia"/>
          <w:color w:val="auto"/>
        </w:rPr>
      </w:pPr>
      <w:r>
        <w:rPr>
          <w:rFonts w:hint="eastAsia"/>
          <w:color w:val="auto"/>
        </w:rPr>
        <w:t>⑨</w:t>
      </w:r>
      <w:r>
        <w:rPr>
          <w:color w:val="auto"/>
        </w:rPr>
        <w:t>应按</w:t>
      </w:r>
      <w:r>
        <w:rPr>
          <w:rFonts w:hint="eastAsia"/>
          <w:color w:val="auto"/>
        </w:rPr>
        <w:t>《危险废物识别标志设置技术规范》</w:t>
      </w:r>
      <w:r>
        <w:rPr>
          <w:color w:val="auto"/>
        </w:rPr>
        <w:t>（HJ1276-2022）要求设置警示标志及环境保护图形标志。</w:t>
      </w:r>
    </w:p>
    <w:p w14:paraId="24236C42">
      <w:pPr>
        <w:pageBreakBefore w:val="0"/>
        <w:kinsoku/>
        <w:wordWrap/>
        <w:overflowPunct/>
        <w:autoSpaceDE w:val="0"/>
        <w:autoSpaceDN w:val="0"/>
        <w:bidi w:val="0"/>
        <w:adjustRightInd/>
        <w:snapToGrid/>
        <w:ind w:firstLine="480"/>
        <w:jc w:val="left"/>
        <w:rPr>
          <w:color w:val="auto"/>
        </w:rPr>
      </w:pPr>
      <w:r>
        <w:rPr>
          <w:color w:val="auto"/>
        </w:rPr>
        <w:t>项目建设单位拟建的危险废物暂存间必须按照《危险废物贮存污染控制标准》（</w:t>
      </w:r>
      <w:r>
        <w:rPr>
          <w:rFonts w:hint="eastAsia"/>
          <w:color w:val="auto"/>
          <w:lang w:eastAsia="zh-CN"/>
        </w:rPr>
        <w:t>GB18597-2023</w:t>
      </w:r>
      <w:r>
        <w:rPr>
          <w:rFonts w:hint="eastAsia"/>
          <w:color w:val="auto"/>
        </w:rPr>
        <w:t>）</w:t>
      </w:r>
      <w:r>
        <w:rPr>
          <w:color w:val="auto"/>
        </w:rPr>
        <w:t>的要求执行。</w:t>
      </w:r>
    </w:p>
    <w:p w14:paraId="72E2BCE7">
      <w:pPr>
        <w:pageBreakBefore w:val="0"/>
        <w:kinsoku/>
        <w:wordWrap/>
        <w:overflowPunct/>
        <w:autoSpaceDE w:val="0"/>
        <w:autoSpaceDN w:val="0"/>
        <w:bidi w:val="0"/>
        <w:adjustRightInd/>
        <w:snapToGrid/>
        <w:ind w:firstLine="482"/>
        <w:jc w:val="left"/>
        <w:rPr>
          <w:b/>
          <w:bCs/>
          <w:color w:val="auto"/>
        </w:rPr>
      </w:pPr>
      <w:r>
        <w:rPr>
          <w:b/>
          <w:bCs/>
          <w:color w:val="auto"/>
        </w:rPr>
        <w:t>危险废物贮存容器：</w:t>
      </w:r>
    </w:p>
    <w:p w14:paraId="416D5547">
      <w:pPr>
        <w:pageBreakBefore w:val="0"/>
        <w:kinsoku/>
        <w:wordWrap/>
        <w:overflowPunct/>
        <w:bidi w:val="0"/>
        <w:adjustRightInd/>
        <w:snapToGrid/>
        <w:ind w:firstLine="480"/>
        <w:rPr>
          <w:color w:val="auto"/>
        </w:rPr>
      </w:pPr>
      <w:r>
        <w:rPr>
          <w:rFonts w:hint="eastAsia"/>
          <w:color w:val="auto"/>
          <w:lang w:val="en-US" w:eastAsia="zh-CN"/>
        </w:rPr>
        <w:t>A</w:t>
      </w:r>
      <w:r>
        <w:rPr>
          <w:color w:val="auto"/>
        </w:rPr>
        <w:t>.应当使用符合标准的容器盛装危险废物。</w:t>
      </w:r>
    </w:p>
    <w:p w14:paraId="5C44FA68">
      <w:pPr>
        <w:pageBreakBefore w:val="0"/>
        <w:kinsoku/>
        <w:wordWrap/>
        <w:overflowPunct/>
        <w:bidi w:val="0"/>
        <w:adjustRightInd/>
        <w:snapToGrid/>
        <w:ind w:firstLine="480"/>
        <w:rPr>
          <w:color w:val="auto"/>
        </w:rPr>
      </w:pPr>
      <w:r>
        <w:rPr>
          <w:rFonts w:hint="eastAsia"/>
          <w:color w:val="auto"/>
          <w:lang w:val="en-US" w:eastAsia="zh-CN"/>
        </w:rPr>
        <w:t>B</w:t>
      </w:r>
      <w:r>
        <w:rPr>
          <w:color w:val="auto"/>
        </w:rPr>
        <w:t>.装载危险废物的容器及材质要满足相应的强度要求。</w:t>
      </w:r>
    </w:p>
    <w:p w14:paraId="6EAFA8EC">
      <w:pPr>
        <w:pageBreakBefore w:val="0"/>
        <w:kinsoku/>
        <w:wordWrap/>
        <w:overflowPunct/>
        <w:bidi w:val="0"/>
        <w:adjustRightInd/>
        <w:snapToGrid/>
        <w:ind w:firstLine="480"/>
        <w:rPr>
          <w:color w:val="auto"/>
        </w:rPr>
      </w:pPr>
      <w:r>
        <w:rPr>
          <w:rFonts w:hint="eastAsia"/>
          <w:color w:val="auto"/>
          <w:lang w:val="en-US" w:eastAsia="zh-CN"/>
        </w:rPr>
        <w:t>C</w:t>
      </w:r>
      <w:r>
        <w:rPr>
          <w:color w:val="auto"/>
        </w:rPr>
        <w:t>.装载危险废物的容器必须完好无损。</w:t>
      </w:r>
    </w:p>
    <w:p w14:paraId="7A655EAF">
      <w:pPr>
        <w:pageBreakBefore w:val="0"/>
        <w:kinsoku/>
        <w:wordWrap/>
        <w:overflowPunct/>
        <w:bidi w:val="0"/>
        <w:adjustRightInd/>
        <w:snapToGrid/>
        <w:ind w:firstLine="480"/>
        <w:rPr>
          <w:color w:val="auto"/>
        </w:rPr>
      </w:pPr>
      <w:r>
        <w:rPr>
          <w:rFonts w:hint="eastAsia"/>
          <w:color w:val="auto"/>
          <w:lang w:val="en-US" w:eastAsia="zh-CN"/>
        </w:rPr>
        <w:t>D</w:t>
      </w:r>
      <w:r>
        <w:rPr>
          <w:color w:val="auto"/>
        </w:rPr>
        <w:t>.盛装危险废物的容器材质和衬里要与危险废物相容（不相互反应</w:t>
      </w:r>
      <w:r>
        <w:rPr>
          <w:rFonts w:hint="eastAsia"/>
          <w:color w:val="auto"/>
        </w:rPr>
        <w:t>）</w:t>
      </w:r>
      <w:r>
        <w:rPr>
          <w:color w:val="auto"/>
        </w:rPr>
        <w:t>。</w:t>
      </w:r>
    </w:p>
    <w:p w14:paraId="715305B7">
      <w:pPr>
        <w:pageBreakBefore w:val="0"/>
        <w:kinsoku/>
        <w:wordWrap/>
        <w:overflowPunct/>
        <w:bidi w:val="0"/>
        <w:adjustRightInd/>
        <w:snapToGrid/>
        <w:ind w:firstLine="480"/>
        <w:rPr>
          <w:color w:val="auto"/>
        </w:rPr>
      </w:pPr>
      <w:r>
        <w:rPr>
          <w:rFonts w:hint="eastAsia"/>
          <w:color w:val="auto"/>
          <w:lang w:val="en-US" w:eastAsia="zh-CN"/>
        </w:rPr>
        <w:t>E</w:t>
      </w:r>
      <w:r>
        <w:rPr>
          <w:color w:val="auto"/>
        </w:rPr>
        <w:t>.危险废物暂存间必须与医疗区、加工区和人员活动密集区隔开，方便危险废物装卸、装卸人员及运送车辆的出入；应有严密的封闭措施，设专人管理，避免非工作人员进出，以及防鼠、防蚊蝇、防蟑螂、防盗以及预防儿童接触等安全措施。</w:t>
      </w:r>
    </w:p>
    <w:p w14:paraId="56230F3B">
      <w:pPr>
        <w:pageBreakBefore w:val="0"/>
        <w:kinsoku/>
        <w:wordWrap/>
        <w:overflowPunct/>
        <w:autoSpaceDE w:val="0"/>
        <w:autoSpaceDN w:val="0"/>
        <w:bidi w:val="0"/>
        <w:adjustRightInd/>
        <w:snapToGrid/>
        <w:ind w:firstLine="482"/>
        <w:jc w:val="left"/>
        <w:rPr>
          <w:b/>
          <w:bCs/>
          <w:color w:val="auto"/>
        </w:rPr>
      </w:pPr>
      <w:r>
        <w:rPr>
          <w:b/>
          <w:bCs/>
          <w:color w:val="auto"/>
        </w:rPr>
        <w:t>危险废物的交接：</w:t>
      </w:r>
    </w:p>
    <w:p w14:paraId="280CEB3B">
      <w:pPr>
        <w:pageBreakBefore w:val="0"/>
        <w:kinsoku/>
        <w:wordWrap/>
        <w:overflowPunct/>
        <w:bidi w:val="0"/>
        <w:adjustRightInd/>
        <w:snapToGrid/>
        <w:ind w:firstLine="480"/>
        <w:rPr>
          <w:color w:val="auto"/>
        </w:rPr>
      </w:pPr>
      <w:r>
        <w:rPr>
          <w:rFonts w:hint="eastAsia"/>
          <w:color w:val="auto"/>
          <w:lang w:val="en-US" w:eastAsia="zh-CN"/>
        </w:rPr>
        <w:t>A</w:t>
      </w:r>
      <w:r>
        <w:rPr>
          <w:color w:val="auto"/>
        </w:rPr>
        <w:t>.废物转运应当依照《中华人民共和国固体废物污染环境防治法》的规定，执行危险废物转移联单管理制度。应当对危险废物进行登记，登记内容应当包括危险废物的来源、种类、重量或者数量、交接时间、处置方法、最终去向以及经办人签名等项目。保存时间为</w:t>
      </w:r>
      <w:r>
        <w:rPr>
          <w:rFonts w:hint="eastAsia"/>
          <w:color w:val="auto"/>
          <w:lang w:val="en-US" w:eastAsia="zh-CN"/>
        </w:rPr>
        <w:t>5</w:t>
      </w:r>
      <w:r>
        <w:rPr>
          <w:color w:val="auto"/>
        </w:rPr>
        <w:t>年。</w:t>
      </w:r>
    </w:p>
    <w:p w14:paraId="228D4D09">
      <w:pPr>
        <w:pageBreakBefore w:val="0"/>
        <w:kinsoku/>
        <w:wordWrap/>
        <w:overflowPunct/>
        <w:bidi w:val="0"/>
        <w:adjustRightInd/>
        <w:snapToGrid/>
        <w:ind w:firstLine="480"/>
        <w:rPr>
          <w:color w:val="auto"/>
        </w:rPr>
      </w:pPr>
      <w:r>
        <w:rPr>
          <w:rFonts w:hint="eastAsia"/>
          <w:color w:val="auto"/>
          <w:lang w:val="en-US" w:eastAsia="zh-CN"/>
        </w:rPr>
        <w:t>B</w:t>
      </w:r>
      <w:r>
        <w:rPr>
          <w:color w:val="auto"/>
        </w:rPr>
        <w:t>.每车每次运送的危险废物采用《危险废物运送登记卡》管理，一车一卡，由危险废物管理人员交接时填写并签字。当危险废物运至处置单位时，处置厂接收人员确认该登记卡上填写的危险废物数量真实、准确后签收。</w:t>
      </w:r>
    </w:p>
    <w:p w14:paraId="473288DC">
      <w:pPr>
        <w:pageBreakBefore w:val="0"/>
        <w:kinsoku/>
        <w:wordWrap/>
        <w:overflowPunct/>
        <w:autoSpaceDE w:val="0"/>
        <w:autoSpaceDN w:val="0"/>
        <w:bidi w:val="0"/>
        <w:adjustRightInd/>
        <w:snapToGrid/>
        <w:ind w:firstLine="482"/>
        <w:jc w:val="left"/>
        <w:rPr>
          <w:rFonts w:hint="eastAsia"/>
          <w:b/>
          <w:bCs/>
          <w:color w:val="auto"/>
        </w:rPr>
      </w:pPr>
      <w:r>
        <w:rPr>
          <w:b/>
          <w:bCs/>
          <w:color w:val="auto"/>
        </w:rPr>
        <w:t>危险废物的运送</w:t>
      </w:r>
      <w:r>
        <w:rPr>
          <w:rFonts w:hint="eastAsia"/>
          <w:b/>
          <w:bCs/>
          <w:color w:val="auto"/>
        </w:rPr>
        <w:t>：</w:t>
      </w:r>
    </w:p>
    <w:p w14:paraId="1330537E">
      <w:pPr>
        <w:snapToGrid w:val="0"/>
        <w:spacing w:line="360" w:lineRule="auto"/>
        <w:ind w:left="34" w:firstLine="425"/>
        <w:rPr>
          <w:color w:val="auto"/>
          <w:sz w:val="24"/>
          <w:szCs w:val="21"/>
        </w:rPr>
      </w:pPr>
      <w:r>
        <w:rPr>
          <w:color w:val="auto"/>
          <w:sz w:val="24"/>
          <w:szCs w:val="21"/>
        </w:rPr>
        <w:t>危险废物由持有危险废物运输经营许可证的单位进行运输。运输过程中应做到</w:t>
      </w:r>
      <w:r>
        <w:rPr>
          <w:rFonts w:hint="eastAsia"/>
          <w:color w:val="auto"/>
          <w:sz w:val="24"/>
          <w:szCs w:val="21"/>
        </w:rPr>
        <w:t>以</w:t>
      </w:r>
      <w:r>
        <w:rPr>
          <w:color w:val="auto"/>
          <w:sz w:val="24"/>
          <w:szCs w:val="21"/>
        </w:rPr>
        <w:t>下要求：</w:t>
      </w:r>
    </w:p>
    <w:p w14:paraId="4801B18C">
      <w:pPr>
        <w:bidi w:val="0"/>
        <w:rPr>
          <w:color w:val="auto"/>
        </w:rPr>
      </w:pPr>
      <w:r>
        <w:rPr>
          <w:rFonts w:hint="eastAsia"/>
          <w:color w:val="auto"/>
        </w:rPr>
        <w:t>A</w:t>
      </w:r>
      <w:r>
        <w:rPr>
          <w:rFonts w:hint="eastAsia"/>
          <w:color w:val="auto"/>
          <w:lang w:eastAsia="zh-CN"/>
        </w:rPr>
        <w:t>.</w:t>
      </w:r>
      <w:r>
        <w:rPr>
          <w:rFonts w:hint="eastAsia"/>
          <w:color w:val="auto"/>
        </w:rPr>
        <w:t>执行危险废物转移联单管理制度。对危险废物进行登记，登记内容应当包括危险废物的来源、种类、重量或者数量、交接时间、处置方法、最终去向以及经办人签名等项目。保存时间为5年。</w:t>
      </w:r>
    </w:p>
    <w:p w14:paraId="6C13D4E7">
      <w:pPr>
        <w:bidi w:val="0"/>
        <w:rPr>
          <w:color w:val="auto"/>
        </w:rPr>
      </w:pPr>
      <w:r>
        <w:rPr>
          <w:rFonts w:hint="eastAsia"/>
          <w:color w:val="auto"/>
        </w:rPr>
        <w:t>B</w:t>
      </w:r>
      <w:r>
        <w:rPr>
          <w:rFonts w:hint="eastAsia"/>
          <w:color w:val="auto"/>
          <w:lang w:eastAsia="zh-CN"/>
        </w:rPr>
        <w:t>.</w:t>
      </w:r>
      <w:r>
        <w:rPr>
          <w:color w:val="auto"/>
        </w:rPr>
        <w:t>危险废物处置单位的运输人员必须掌握危险化学品运输的安全知识，了解所运载的危险物质的性质、危害特性、包装容器的使用特性和发生意外时的应急措施。运输车辆必须具有车辆危险货物运输许可证。</w:t>
      </w:r>
      <w:r>
        <w:rPr>
          <w:rFonts w:hint="eastAsia"/>
          <w:color w:val="auto"/>
        </w:rPr>
        <w:t>每车每次运送的危险废物采用《危险废物运送登记卡》管理，一车一卡，由危险废物管理人员交接时填写并签字。当危险废物运至处置单位时，处置厂接收人员确认该登记卡上填写的危险废物数量真实、准确后签收。</w:t>
      </w:r>
    </w:p>
    <w:p w14:paraId="05B5BA97">
      <w:pPr>
        <w:bidi w:val="0"/>
        <w:rPr>
          <w:color w:val="auto"/>
        </w:rPr>
      </w:pPr>
      <w:r>
        <w:rPr>
          <w:rFonts w:hint="eastAsia"/>
          <w:color w:val="auto"/>
        </w:rPr>
        <w:t>C</w:t>
      </w:r>
      <w:r>
        <w:rPr>
          <w:rFonts w:hint="eastAsia"/>
          <w:color w:val="auto"/>
          <w:lang w:eastAsia="zh-CN"/>
        </w:rPr>
        <w:t>.</w:t>
      </w:r>
      <w:r>
        <w:rPr>
          <w:color w:val="auto"/>
        </w:rPr>
        <w:t>处置单位在运输危险废物时必须配备押运人员，并随时处于押运人员的监管之下，不得超装、超载，严格按照所在城市规定的行车时间和行车路线行驶，不得进入危险化学品运输车辆禁止通行的区域。</w:t>
      </w:r>
    </w:p>
    <w:p w14:paraId="19DA7CB2">
      <w:pPr>
        <w:bidi w:val="0"/>
        <w:rPr>
          <w:color w:val="auto"/>
        </w:rPr>
      </w:pPr>
      <w:r>
        <w:rPr>
          <w:rFonts w:hint="eastAsia"/>
          <w:color w:val="auto"/>
        </w:rPr>
        <w:t>D</w:t>
      </w:r>
      <w:r>
        <w:rPr>
          <w:rFonts w:hint="eastAsia"/>
          <w:color w:val="auto"/>
          <w:lang w:eastAsia="zh-CN"/>
        </w:rPr>
        <w:t>.</w:t>
      </w:r>
      <w:r>
        <w:rPr>
          <w:color w:val="auto"/>
        </w:rPr>
        <w:t>危险废物在运输途中若发生被盗、丢失、流散、泄漏等情况时，公司及押运人员必须立即向当地公安部门报告，并采取一切可能的警示措施。</w:t>
      </w:r>
    </w:p>
    <w:p w14:paraId="29BC3A90">
      <w:pPr>
        <w:bidi w:val="0"/>
        <w:rPr>
          <w:color w:val="auto"/>
        </w:rPr>
      </w:pPr>
      <w:r>
        <w:rPr>
          <w:rFonts w:hint="eastAsia"/>
          <w:color w:val="auto"/>
        </w:rPr>
        <w:t>E</w:t>
      </w:r>
      <w:r>
        <w:rPr>
          <w:rFonts w:hint="eastAsia"/>
          <w:color w:val="auto"/>
          <w:lang w:eastAsia="zh-CN"/>
        </w:rPr>
        <w:t>.</w:t>
      </w:r>
      <w:r>
        <w:rPr>
          <w:color w:val="auto"/>
        </w:rPr>
        <w:t>一旦发生危险废物泄漏事故，企业和危废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14:paraId="5E8D50A7">
      <w:pPr>
        <w:pageBreakBefore w:val="0"/>
        <w:wordWrap/>
        <w:bidi w:val="0"/>
        <w:adjustRightInd/>
        <w:snapToGrid/>
        <w:ind w:firstLine="480"/>
        <w:rPr>
          <w:b/>
          <w:bCs/>
          <w:color w:val="auto"/>
        </w:rPr>
      </w:pPr>
      <w:r>
        <w:rPr>
          <w:b/>
          <w:bCs/>
          <w:color w:val="auto"/>
        </w:rPr>
        <w:t>（</w:t>
      </w:r>
      <w:r>
        <w:rPr>
          <w:rFonts w:hint="eastAsia"/>
          <w:b/>
          <w:bCs/>
          <w:color w:val="auto"/>
          <w:lang w:val="en-US" w:eastAsia="zh-CN"/>
        </w:rPr>
        <w:t>4</w:t>
      </w:r>
      <w:r>
        <w:rPr>
          <w:b/>
          <w:bCs/>
          <w:color w:val="auto"/>
        </w:rPr>
        <w:t>）污泥</w:t>
      </w:r>
    </w:p>
    <w:p w14:paraId="2AF4CC4E">
      <w:pPr>
        <w:pageBreakBefore w:val="0"/>
        <w:wordWrap/>
        <w:bidi w:val="0"/>
        <w:adjustRightInd/>
        <w:snapToGrid/>
        <w:ind w:firstLine="480"/>
        <w:rPr>
          <w:color w:val="auto"/>
        </w:rPr>
      </w:pPr>
      <w:r>
        <w:rPr>
          <w:color w:val="auto"/>
        </w:rPr>
        <w:t>剩余污泥存放于储泥池内，储泥池需作防腐、防渗处理；经脱水后的污泥暂存于泥饼仓中，泥柜出口设置电动刀闸阀，可直接排入密封翻斗车内进行运输。污水处理厂产生的污泥在搬运上车区域，设置专门的排水沟和地坪坡降，以便使清扫不干净的污泥再回到处理系统；污泥应及时外运</w:t>
      </w:r>
      <w:r>
        <w:rPr>
          <w:rFonts w:hint="eastAsia"/>
          <w:color w:val="auto"/>
        </w:rPr>
        <w:t>，降低环境影响</w:t>
      </w:r>
      <w:r>
        <w:rPr>
          <w:color w:val="auto"/>
        </w:rPr>
        <w:t>。</w:t>
      </w:r>
    </w:p>
    <w:p w14:paraId="54CAC441">
      <w:pPr>
        <w:pageBreakBefore w:val="0"/>
        <w:wordWrap/>
        <w:bidi w:val="0"/>
        <w:adjustRightInd/>
        <w:snapToGrid/>
        <w:ind w:firstLine="480"/>
        <w:rPr>
          <w:color w:val="auto"/>
        </w:rPr>
      </w:pPr>
      <w:r>
        <w:rPr>
          <w:color w:val="auto"/>
        </w:rPr>
        <w:t>在污泥脱水机房</w:t>
      </w:r>
      <w:r>
        <w:rPr>
          <w:rFonts w:hint="eastAsia"/>
          <w:color w:val="auto"/>
        </w:rPr>
        <w:t>外</w:t>
      </w:r>
      <w:r>
        <w:rPr>
          <w:color w:val="auto"/>
        </w:rPr>
        <w:t>设置脱水污泥</w:t>
      </w:r>
      <w:r>
        <w:rPr>
          <w:rFonts w:hint="eastAsia"/>
          <w:color w:val="auto"/>
        </w:rPr>
        <w:t>料仓</w:t>
      </w:r>
      <w:r>
        <w:rPr>
          <w:color w:val="auto"/>
        </w:rPr>
        <w:t>，因目前不能确定是否属于危废，为最大程度减小对外环境的影响，建议按上述危废暂存区的贮存场所要求进行设置。</w:t>
      </w:r>
    </w:p>
    <w:p w14:paraId="17930636">
      <w:pPr>
        <w:pageBreakBefore w:val="0"/>
        <w:wordWrap/>
        <w:bidi w:val="0"/>
        <w:adjustRightInd/>
        <w:snapToGrid/>
        <w:ind w:firstLine="480"/>
        <w:rPr>
          <w:color w:val="auto"/>
        </w:rPr>
      </w:pPr>
      <w:r>
        <w:rPr>
          <w:color w:val="auto"/>
        </w:rPr>
        <w:t>①污泥处置可行性分析</w:t>
      </w:r>
    </w:p>
    <w:p w14:paraId="542E6783">
      <w:pPr>
        <w:pageBreakBefore w:val="0"/>
        <w:wordWrap/>
        <w:bidi w:val="0"/>
        <w:adjustRightInd/>
        <w:snapToGrid/>
        <w:ind w:firstLine="480"/>
        <w:rPr>
          <w:color w:val="auto"/>
        </w:rPr>
      </w:pPr>
      <w:r>
        <w:rPr>
          <w:color w:val="auto"/>
        </w:rPr>
        <w:t>根据现有调查可知，</w:t>
      </w:r>
      <w:r>
        <w:rPr>
          <w:rFonts w:hint="eastAsia"/>
          <w:color w:val="auto"/>
          <w:lang w:val="en-US" w:eastAsia="zh-CN"/>
        </w:rPr>
        <w:t>规划</w:t>
      </w:r>
      <w:r>
        <w:rPr>
          <w:color w:val="auto"/>
        </w:rPr>
        <w:t>企业中分布有可能排放重金属工业废水的企业。因此污泥中有可能含有重金属。含有较高重金属的污泥进行农用时，不仅增加作物体内的重金属含量，还引起土壤重金属污染，当存在降水时，污泥和土壤中一部分重金属进入地表径流和地下渗流并随水流迁移，进而对地下水造成二次污染。</w:t>
      </w:r>
    </w:p>
    <w:p w14:paraId="45068139">
      <w:pPr>
        <w:pageBreakBefore w:val="0"/>
        <w:wordWrap/>
        <w:bidi w:val="0"/>
        <w:adjustRightInd/>
        <w:snapToGrid/>
        <w:ind w:firstLine="480"/>
        <w:rPr>
          <w:rFonts w:hint="eastAsia" w:eastAsia="宋体"/>
          <w:color w:val="auto"/>
          <w:lang w:eastAsia="zh-CN"/>
        </w:rPr>
      </w:pPr>
      <w:r>
        <w:rPr>
          <w:color w:val="auto"/>
        </w:rPr>
        <w:t>根据《关于污（废）水处理设施产生污泥危险特性鉴别有关意见的函》（环境保护部，环函[2010]129号）：</w:t>
      </w:r>
      <w:r>
        <w:rPr>
          <w:rFonts w:hint="eastAsia"/>
          <w:color w:val="auto"/>
          <w:lang w:eastAsia="zh-CN"/>
        </w:rPr>
        <w:t>“</w:t>
      </w:r>
      <w:r>
        <w:rPr>
          <w:color w:val="auto"/>
        </w:rPr>
        <w:t>二、专门处理工业废水（或同时处理少量生活污水）的处理设施产生的污泥，可能具有危险特性，应按《国家危险废物名录》、国家环境保护标准《危险废物鉴别技术规范》（HJ/T298-2007）和危险废物鉴别标准的规定，对污泥进行危险特性鉴别。</w:t>
      </w:r>
      <w:r>
        <w:rPr>
          <w:rFonts w:hint="eastAsia"/>
          <w:color w:val="auto"/>
          <w:lang w:eastAsia="zh-CN"/>
        </w:rPr>
        <w:t>”</w:t>
      </w:r>
    </w:p>
    <w:p w14:paraId="231166FB">
      <w:pPr>
        <w:pageBreakBefore w:val="0"/>
        <w:wordWrap/>
        <w:bidi w:val="0"/>
        <w:adjustRightInd/>
        <w:snapToGrid/>
        <w:ind w:firstLine="480"/>
        <w:rPr>
          <w:color w:val="auto"/>
        </w:rPr>
      </w:pPr>
      <w:r>
        <w:rPr>
          <w:color w:val="auto"/>
        </w:rPr>
        <w:t>若经鉴定不具有危险特性，属于一般工业固体废物，经检测泥质满足污泥不同种类（绿化、农用等）回用标准的则回用，不具有回用价值的，按照工业废渣运往其他第三方专业机构处置。</w:t>
      </w:r>
    </w:p>
    <w:p w14:paraId="44E83752">
      <w:pPr>
        <w:pageBreakBefore w:val="0"/>
        <w:wordWrap/>
        <w:bidi w:val="0"/>
        <w:adjustRightInd/>
        <w:snapToGrid/>
        <w:ind w:firstLine="480"/>
        <w:rPr>
          <w:color w:val="auto"/>
        </w:rPr>
      </w:pPr>
      <w:r>
        <w:rPr>
          <w:color w:val="auto"/>
        </w:rPr>
        <w:t>污泥运输过程中应采用密闭运输车辆运输，以进一步减少臭气散发，同时尽量避开学校、医院等环境敏感点的运输线路，以最大限度的减少污泥产生的臭气对运输道路沿线的居民、学校等环境敏感点的不利影响。</w:t>
      </w:r>
    </w:p>
    <w:p w14:paraId="44C9766B">
      <w:pPr>
        <w:pageBreakBefore w:val="0"/>
        <w:wordWrap/>
        <w:bidi w:val="0"/>
        <w:adjustRightInd/>
        <w:snapToGrid/>
        <w:ind w:firstLine="480"/>
        <w:rPr>
          <w:color w:val="auto"/>
        </w:rPr>
      </w:pPr>
      <w:r>
        <w:rPr>
          <w:color w:val="auto"/>
        </w:rPr>
        <w:t>格栅渣和生活垃圾由市政环卫部门统一收集后送垃圾填埋场进行最终的处理与处置；对外运处置的剩余污泥按照定期监测结果送相应资质单位进行处置定期分批次进行抽样检测，根据检测结果确定作出处置方式：若鉴定为危险废物，分类收集、暂存，交由有资质单位处置；若不属于危险废物（例如，I类一般固废），外运有相应资质单位处置。同时，环评要求：相应责任主体对污泥进行运输过程中应该加强管理，禁止沿途遗漏和抛洒，避免运输途中造成的二次污染，</w:t>
      </w:r>
      <w:r>
        <w:rPr>
          <w:bCs/>
          <w:color w:val="auto"/>
        </w:rPr>
        <w:t>措施可行。</w:t>
      </w:r>
    </w:p>
    <w:p w14:paraId="0D2290F0">
      <w:pPr>
        <w:pageBreakBefore w:val="0"/>
        <w:wordWrap/>
        <w:bidi w:val="0"/>
        <w:adjustRightInd/>
        <w:snapToGrid/>
        <w:ind w:firstLine="480"/>
        <w:rPr>
          <w:color w:val="auto"/>
        </w:rPr>
      </w:pPr>
      <w:r>
        <w:rPr>
          <w:color w:val="auto"/>
        </w:rPr>
        <w:t>②其他相关要求</w:t>
      </w:r>
    </w:p>
    <w:p w14:paraId="500C98FB">
      <w:pPr>
        <w:pageBreakBefore w:val="0"/>
        <w:wordWrap/>
        <w:bidi w:val="0"/>
        <w:adjustRightInd/>
        <w:snapToGrid/>
        <w:ind w:firstLine="482"/>
        <w:rPr>
          <w:color w:val="auto"/>
        </w:rPr>
      </w:pPr>
      <w:r>
        <w:rPr>
          <w:b/>
          <w:color w:val="auto"/>
        </w:rPr>
        <w:t>环评要求，</w:t>
      </w:r>
      <w:r>
        <w:rPr>
          <w:color w:val="auto"/>
        </w:rPr>
        <w:t>运输车辆密闭，污泥运输时要避开城市中心区，避开运输高峰期，尽量减小臭气对运输线路附近大气环境的影响；按照运输规定使用合格车辆、司机需有相应行车资格，严防震动、撞击、重压和倾倒，避免沿途抛洒污染环境。</w:t>
      </w:r>
    </w:p>
    <w:p w14:paraId="10AF9DA6">
      <w:pPr>
        <w:pageBreakBefore w:val="0"/>
        <w:wordWrap/>
        <w:bidi w:val="0"/>
        <w:adjustRightInd/>
        <w:snapToGrid/>
        <w:ind w:firstLine="472"/>
        <w:rPr>
          <w:color w:val="auto"/>
        </w:rPr>
      </w:pPr>
      <w:r>
        <w:rPr>
          <w:bCs/>
          <w:color w:val="auto"/>
          <w:spacing w:val="-2"/>
        </w:rPr>
        <w:t>废水处置单元、污泥处置区等必须有按规范设计，防渗、防腐、防雨和防流失措施，固废必须分类堆放。</w:t>
      </w:r>
      <w:r>
        <w:rPr>
          <w:b/>
          <w:snapToGrid w:val="0"/>
          <w:color w:val="auto"/>
          <w:kern w:val="0"/>
        </w:rPr>
        <w:t>项目固废处置满足环保要求，处理措施可行。</w:t>
      </w:r>
    </w:p>
    <w:bookmarkEnd w:id="234"/>
    <w:p w14:paraId="19D1A1ED">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噪声防治措施及可行性分析</w:t>
      </w:r>
    </w:p>
    <w:p w14:paraId="78E4D618">
      <w:pPr>
        <w:pageBreakBefore w:val="0"/>
        <w:wordWrap/>
        <w:bidi w:val="0"/>
        <w:adjustRightInd/>
        <w:snapToGrid/>
        <w:ind w:firstLine="480"/>
        <w:rPr>
          <w:color w:val="auto"/>
        </w:rPr>
      </w:pPr>
      <w:r>
        <w:rPr>
          <w:color w:val="auto"/>
        </w:rPr>
        <w:t>本工程的噪声源主要是厂区内各类水泵、鼓风机、格栅机及污泥脱水间等设备，声级一般在80</w:t>
      </w:r>
      <w:r>
        <w:rPr>
          <w:rFonts w:hint="eastAsia"/>
          <w:color w:val="auto"/>
          <w:lang w:eastAsia="zh-CN"/>
        </w:rPr>
        <w:t>~</w:t>
      </w:r>
      <w:r>
        <w:rPr>
          <w:color w:val="auto"/>
        </w:rPr>
        <w:t>95dB</w:t>
      </w:r>
      <w:r>
        <w:rPr>
          <w:rFonts w:hint="eastAsia"/>
          <w:color w:val="auto"/>
          <w:lang w:eastAsia="zh-CN"/>
        </w:rPr>
        <w:t>（</w:t>
      </w:r>
      <w:r>
        <w:rPr>
          <w:color w:val="auto"/>
        </w:rPr>
        <w:t>A</w:t>
      </w:r>
      <w:r>
        <w:rPr>
          <w:rFonts w:hint="eastAsia"/>
          <w:color w:val="auto"/>
          <w:lang w:eastAsia="zh-CN"/>
        </w:rPr>
        <w:t>）</w:t>
      </w:r>
      <w:r>
        <w:rPr>
          <w:color w:val="auto"/>
        </w:rPr>
        <w:t>之间。</w:t>
      </w:r>
    </w:p>
    <w:p w14:paraId="6456D099">
      <w:pPr>
        <w:pageBreakBefore w:val="0"/>
        <w:wordWrap/>
        <w:bidi w:val="0"/>
        <w:adjustRightInd/>
        <w:snapToGrid/>
        <w:ind w:firstLine="480"/>
        <w:rPr>
          <w:color w:val="auto"/>
        </w:rPr>
      </w:pPr>
      <w:r>
        <w:rPr>
          <w:color w:val="auto"/>
        </w:rPr>
        <w:t>治理措施：从设备选型上，尽量选用低噪声设备；对产生气流噪声的设备，如在风机进出口加装消声器；对产生机械噪声的设备如泵机，可在设备与基础之间安装减振装置；在噪声</w:t>
      </w:r>
      <w:r>
        <w:rPr>
          <w:rFonts w:hint="eastAsia"/>
          <w:color w:val="auto"/>
          <w:lang w:eastAsia="zh-CN"/>
        </w:rPr>
        <w:t>传播</w:t>
      </w:r>
      <w:r>
        <w:rPr>
          <w:color w:val="auto"/>
        </w:rPr>
        <w:t>途径上采取措施加以控制，</w:t>
      </w:r>
      <w:r>
        <w:rPr>
          <w:rFonts w:hint="eastAsia"/>
          <w:color w:val="auto"/>
          <w:lang w:eastAsia="zh-CN"/>
        </w:rPr>
        <w:t>加强</w:t>
      </w:r>
      <w:r>
        <w:rPr>
          <w:color w:val="auto"/>
        </w:rPr>
        <w:t>噪声源车间的建筑围护结构均以封闭为主，尽可能少开窗和其他无设防的洞口；同时车间外及厂界处设置绿化带，利用建筑物和树木阻隔声音的</w:t>
      </w:r>
      <w:r>
        <w:rPr>
          <w:rFonts w:hint="eastAsia"/>
          <w:color w:val="auto"/>
          <w:lang w:eastAsia="zh-CN"/>
        </w:rPr>
        <w:t>传播</w:t>
      </w:r>
      <w:r>
        <w:rPr>
          <w:color w:val="auto"/>
        </w:rPr>
        <w:t>。</w:t>
      </w:r>
    </w:p>
    <w:p w14:paraId="19CA70D6">
      <w:pPr>
        <w:pageBreakBefore w:val="0"/>
        <w:widowControl/>
        <w:wordWrap/>
        <w:bidi w:val="0"/>
        <w:adjustRightInd/>
        <w:snapToGrid/>
        <w:ind w:firstLine="504"/>
        <w:jc w:val="left"/>
        <w:rPr>
          <w:color w:val="auto"/>
          <w:spacing w:val="4"/>
          <w:kern w:val="18"/>
        </w:rPr>
      </w:pPr>
      <w:r>
        <w:rPr>
          <w:color w:val="auto"/>
          <w:spacing w:val="6"/>
          <w:kern w:val="18"/>
        </w:rPr>
        <w:t>通过以上措施对主要声源采取隔声、消声的措施，可有效降低其噪声对周围环境的影响，厂界外昼夜间噪声值可满足《工业企业厂界环境噪声排放标准》</w:t>
      </w:r>
      <w:r>
        <w:rPr>
          <w:rFonts w:hint="eastAsia"/>
          <w:color w:val="auto"/>
          <w:spacing w:val="6"/>
          <w:kern w:val="18"/>
          <w:lang w:eastAsia="zh-CN"/>
        </w:rPr>
        <w:t>（</w:t>
      </w:r>
      <w:r>
        <w:rPr>
          <w:color w:val="auto"/>
          <w:spacing w:val="6"/>
          <w:kern w:val="18"/>
        </w:rPr>
        <w:t>GB12348-2008</w:t>
      </w:r>
      <w:r>
        <w:rPr>
          <w:rFonts w:hint="eastAsia"/>
          <w:color w:val="auto"/>
          <w:spacing w:val="6"/>
          <w:kern w:val="18"/>
          <w:lang w:eastAsia="zh-CN"/>
        </w:rPr>
        <w:t>）</w:t>
      </w:r>
      <w:r>
        <w:rPr>
          <w:color w:val="auto"/>
          <w:spacing w:val="6"/>
          <w:kern w:val="18"/>
        </w:rPr>
        <w:t>中</w:t>
      </w:r>
      <w:r>
        <w:rPr>
          <w:rFonts w:hint="eastAsia"/>
          <w:color w:val="auto"/>
          <w:spacing w:val="6"/>
          <w:kern w:val="18"/>
          <w:lang w:val="en-US" w:eastAsia="zh-CN"/>
        </w:rPr>
        <w:t>2</w:t>
      </w:r>
      <w:r>
        <w:rPr>
          <w:color w:val="auto"/>
          <w:spacing w:val="6"/>
          <w:kern w:val="18"/>
        </w:rPr>
        <w:t>类标准的要求。</w:t>
      </w:r>
    </w:p>
    <w:p w14:paraId="7F48683B">
      <w:pPr>
        <w:pageBreakBefore w:val="0"/>
        <w:tabs>
          <w:tab w:val="left" w:pos="1680"/>
        </w:tabs>
        <w:wordWrap/>
        <w:bidi w:val="0"/>
        <w:adjustRightInd/>
        <w:snapToGrid/>
        <w:ind w:firstLine="504"/>
        <w:jc w:val="left"/>
        <w:rPr>
          <w:color w:val="auto"/>
        </w:rPr>
      </w:pPr>
      <w:r>
        <w:rPr>
          <w:color w:val="auto"/>
          <w:spacing w:val="6"/>
          <w:kern w:val="18"/>
        </w:rPr>
        <w:t>采取以上措施，厂界噪声可达标，噪声防治措施可行。</w:t>
      </w:r>
    </w:p>
    <w:p w14:paraId="16DEED1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地下水污染防治措施及可行性分析</w:t>
      </w:r>
    </w:p>
    <w:p w14:paraId="49CA7BDF">
      <w:pPr>
        <w:pStyle w:val="6"/>
        <w:bidi w:val="0"/>
        <w:rPr>
          <w:color w:val="auto"/>
        </w:rPr>
      </w:pPr>
      <w:r>
        <w:rPr>
          <w:color w:val="auto"/>
        </w:rPr>
        <w:t>分区防渗</w:t>
      </w:r>
    </w:p>
    <w:p w14:paraId="6D8AE21F">
      <w:pPr>
        <w:ind w:firstLine="480"/>
        <w:rPr>
          <w:rFonts w:cs="Times New Roman"/>
          <w:color w:val="auto"/>
        </w:rPr>
      </w:pPr>
      <w:r>
        <w:rPr>
          <w:rFonts w:eastAsia="宋体" w:cs="Times New Roman"/>
          <w:color w:val="auto"/>
        </w:rPr>
        <w:t>为防止项目运行</w:t>
      </w:r>
      <w:r>
        <w:rPr>
          <w:rFonts w:hint="eastAsia" w:eastAsia="宋体" w:cs="Times New Roman"/>
          <w:color w:val="auto"/>
        </w:rPr>
        <w:t>中处理的</w:t>
      </w:r>
      <w:r>
        <w:rPr>
          <w:rFonts w:eastAsia="宋体" w:cs="Times New Roman"/>
          <w:color w:val="auto"/>
        </w:rPr>
        <w:t>废水下渗污染地下水，本项目厂区设置重点防渗区、一般防渗区和简单防渗区</w:t>
      </w:r>
      <w:r>
        <w:rPr>
          <w:rFonts w:hint="eastAsia" w:eastAsia="宋体" w:cs="Times New Roman"/>
          <w:color w:val="auto"/>
        </w:rPr>
        <w:t>。</w:t>
      </w:r>
    </w:p>
    <w:p w14:paraId="0411B92D">
      <w:pPr>
        <w:ind w:firstLine="482"/>
        <w:rPr>
          <w:rFonts w:eastAsia="宋体" w:cs="Times New Roman"/>
          <w:b/>
          <w:bCs/>
          <w:snapToGrid w:val="0"/>
          <w:color w:val="auto"/>
          <w:szCs w:val="24"/>
        </w:rPr>
      </w:pPr>
      <w:r>
        <w:rPr>
          <w:rFonts w:eastAsia="宋体" w:cs="Times New Roman"/>
          <w:b/>
          <w:bCs/>
          <w:snapToGrid w:val="0"/>
          <w:color w:val="auto"/>
          <w:szCs w:val="24"/>
        </w:rPr>
        <w:t>1、重点防渗区</w:t>
      </w:r>
    </w:p>
    <w:p w14:paraId="6172C884">
      <w:pPr>
        <w:ind w:firstLine="480"/>
        <w:rPr>
          <w:rFonts w:cs="Times New Roman"/>
          <w:color w:val="auto"/>
        </w:rPr>
      </w:pPr>
      <w:r>
        <w:rPr>
          <w:rFonts w:cs="Times New Roman"/>
          <w:color w:val="auto"/>
        </w:rPr>
        <w:t>（1）危废暂存间</w:t>
      </w:r>
      <w:r>
        <w:rPr>
          <w:rFonts w:hint="eastAsia" w:cs="Times New Roman"/>
          <w:color w:val="auto"/>
        </w:rPr>
        <w:t>和机修间</w:t>
      </w:r>
    </w:p>
    <w:p w14:paraId="0B835CAD">
      <w:pPr>
        <w:ind w:firstLine="480"/>
        <w:rPr>
          <w:rFonts w:cs="Times New Roman"/>
          <w:color w:val="auto"/>
        </w:rPr>
      </w:pPr>
      <w:r>
        <w:rPr>
          <w:rFonts w:cs="Times New Roman"/>
          <w:color w:val="auto"/>
        </w:rPr>
        <w:t>由于</w:t>
      </w:r>
      <w:r>
        <w:rPr>
          <w:rFonts w:hint="eastAsia" w:cs="Times New Roman"/>
          <w:color w:val="auto"/>
        </w:rPr>
        <w:t>机修间和</w:t>
      </w:r>
      <w:r>
        <w:rPr>
          <w:rFonts w:cs="Times New Roman"/>
          <w:color w:val="auto"/>
        </w:rPr>
        <w:t>危废暂存间</w:t>
      </w:r>
      <w:r>
        <w:rPr>
          <w:rFonts w:hint="eastAsia" w:cs="Times New Roman"/>
          <w:color w:val="auto"/>
        </w:rPr>
        <w:t>为合建建筑</w:t>
      </w:r>
      <w:r>
        <w:rPr>
          <w:rFonts w:cs="Times New Roman"/>
          <w:color w:val="auto"/>
        </w:rPr>
        <w:t>，按照《危险废物贮存污染控制标准》（GB 18597-2023）对危废暂存间</w:t>
      </w:r>
      <w:r>
        <w:rPr>
          <w:rFonts w:hint="eastAsia" w:cs="Times New Roman"/>
          <w:color w:val="auto"/>
        </w:rPr>
        <w:t>和机修间厂房</w:t>
      </w:r>
      <w:r>
        <w:rPr>
          <w:rFonts w:cs="Times New Roman"/>
          <w:color w:val="auto"/>
        </w:rPr>
        <w:t>基础进行防渗处理，其防渗层的防渗性能不低于6.0m厚渗透系数为1.0×10</w:t>
      </w:r>
      <w:r>
        <w:rPr>
          <w:rFonts w:cs="Times New Roman"/>
          <w:color w:val="auto"/>
          <w:vertAlign w:val="superscript"/>
        </w:rPr>
        <w:t>-7</w:t>
      </w:r>
      <w:r>
        <w:rPr>
          <w:rFonts w:cs="Times New Roman"/>
          <w:color w:val="auto"/>
        </w:rPr>
        <w:t>cm/s的粘土层的防渗性能，或2mm厚高密度聚乙烯，或至少2mm厚的其他人工材料（渗透系数不大于1.0×10</w:t>
      </w:r>
      <w:r>
        <w:rPr>
          <w:rFonts w:cs="Times New Roman"/>
          <w:color w:val="auto"/>
          <w:vertAlign w:val="superscript"/>
        </w:rPr>
        <w:t>-10</w:t>
      </w:r>
      <w:r>
        <w:rPr>
          <w:rFonts w:cs="Times New Roman"/>
          <w:color w:val="auto"/>
        </w:rPr>
        <w:t>cm/s）。</w:t>
      </w:r>
    </w:p>
    <w:p w14:paraId="498721D4">
      <w:pPr>
        <w:ind w:firstLine="480"/>
        <w:rPr>
          <w:rFonts w:cs="Times New Roman"/>
          <w:color w:val="auto"/>
        </w:rPr>
      </w:pPr>
      <w:r>
        <w:rPr>
          <w:rFonts w:cs="Times New Roman"/>
          <w:color w:val="auto"/>
        </w:rPr>
        <w:t>本报告建议采用刚性+柔性防渗措施，即采用P8等级混凝土+2mmHDPE膜防渗结构。</w:t>
      </w:r>
      <w:bookmarkStart w:id="235" w:name="_Hlk173878238"/>
      <w:r>
        <w:rPr>
          <w:rFonts w:cs="Times New Roman"/>
          <w:color w:val="auto"/>
        </w:rPr>
        <w:t>暂存间内设置与</w:t>
      </w:r>
      <w:r>
        <w:rPr>
          <w:rFonts w:hint="eastAsia" w:cs="Times New Roman"/>
          <w:color w:val="auto"/>
        </w:rPr>
        <w:t>最大液态废物容器容积或液态废物总储量1/10（二者取较大者）容积</w:t>
      </w:r>
      <w:r>
        <w:rPr>
          <w:rFonts w:cs="Times New Roman"/>
          <w:color w:val="auto"/>
        </w:rPr>
        <w:t>相当的围堰</w:t>
      </w:r>
      <w:bookmarkEnd w:id="235"/>
      <w:r>
        <w:rPr>
          <w:rFonts w:cs="Times New Roman"/>
          <w:color w:val="auto"/>
        </w:rPr>
        <w:t>，围堰采用以P8等级混凝土为主体的防渗结构。</w:t>
      </w:r>
      <w:r>
        <w:rPr>
          <w:rFonts w:cs="Times New Roman"/>
          <w:color w:val="auto"/>
          <w:kern w:val="0"/>
        </w:rPr>
        <w:t>建议地坪及裙角防渗结构</w:t>
      </w:r>
      <w:r>
        <w:rPr>
          <w:rFonts w:cs="Times New Roman"/>
          <w:color w:val="auto"/>
        </w:rPr>
        <w:t>由上至下依次为：水泥基渗透结晶型防渗涂层（≥0.8mm）、抗渗混凝土面层（厚度20cm，抗渗等级为P8）、600g/m</w:t>
      </w:r>
      <w:r>
        <w:rPr>
          <w:rFonts w:cs="Times New Roman"/>
          <w:color w:val="auto"/>
          <w:vertAlign w:val="superscript"/>
        </w:rPr>
        <w:t>2</w:t>
      </w:r>
      <w:r>
        <w:rPr>
          <w:rFonts w:cs="Times New Roman"/>
          <w:color w:val="auto"/>
        </w:rPr>
        <w:t>长丝无纺土工布、1.5mm厚HDPE防渗膜、600g/m</w:t>
      </w:r>
      <w:r>
        <w:rPr>
          <w:rFonts w:cs="Times New Roman"/>
          <w:color w:val="auto"/>
          <w:vertAlign w:val="superscript"/>
        </w:rPr>
        <w:t>2</w:t>
      </w:r>
      <w:r>
        <w:rPr>
          <w:rFonts w:cs="Times New Roman"/>
          <w:color w:val="auto"/>
        </w:rPr>
        <w:t>长丝无纺土工布、抗渗混凝土基层（厚度10cm，抗渗等级为P8）。围堰环墙采用强度C30，厚20cm抗渗钢筋混凝土（抗渗等级P8）进行防渗。</w:t>
      </w:r>
    </w:p>
    <w:p w14:paraId="602998B5">
      <w:pPr>
        <w:snapToGrid w:val="0"/>
        <w:spacing w:before="163" w:beforeLines="50" w:line="240" w:lineRule="auto"/>
        <w:ind w:firstLine="0" w:firstLineChars="0"/>
        <w:jc w:val="center"/>
        <w:rPr>
          <w:rFonts w:cs="Times New Roman"/>
          <w:color w:val="auto"/>
        </w:rPr>
      </w:pPr>
      <w:r>
        <w:rPr>
          <w:rFonts w:cs="Times New Roman"/>
          <w:color w:val="auto"/>
        </w:rPr>
        <w:drawing>
          <wp:inline distT="0" distB="0" distL="0" distR="0">
            <wp:extent cx="3771900" cy="3214370"/>
            <wp:effectExtent l="0" t="0" r="0" b="5080"/>
            <wp:docPr id="1650636212" name="图片 1650636212" descr="C:\Users\luopeng0808\Desktop\防渗\重点防渗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36212" name="图片 1650636212" descr="C:\Users\luopeng0808\Desktop\防渗\重点防渗区1.jpg"/>
                    <pic:cNvPicPr>
                      <a:picLocks noChangeAspect="1" noChangeArrowheads="1"/>
                    </pic:cNvPicPr>
                  </pic:nvPicPr>
                  <pic:blipFill>
                    <a:blip r:embed="rId110" cstate="print">
                      <a:extLst>
                        <a:ext uri="{28A0092B-C50C-407E-A947-70E740481C1C}">
                          <a14:useLocalDpi xmlns:a14="http://schemas.microsoft.com/office/drawing/2010/main" val="0"/>
                        </a:ext>
                      </a:extLst>
                    </a:blip>
                    <a:srcRect l="7035" t="840" r="8965" b="2223"/>
                    <a:stretch>
                      <a:fillRect/>
                    </a:stretch>
                  </pic:blipFill>
                  <pic:spPr>
                    <a:xfrm>
                      <a:off x="0" y="0"/>
                      <a:ext cx="3812710" cy="3249470"/>
                    </a:xfrm>
                    <a:prstGeom prst="rect">
                      <a:avLst/>
                    </a:prstGeom>
                    <a:ln>
                      <a:noFill/>
                    </a:ln>
                  </pic:spPr>
                </pic:pic>
              </a:graphicData>
            </a:graphic>
          </wp:inline>
        </w:drawing>
      </w:r>
    </w:p>
    <w:p w14:paraId="36D437AA">
      <w:pPr>
        <w:snapToGrid w:val="0"/>
        <w:spacing w:before="163" w:beforeLines="50"/>
        <w:ind w:firstLine="422"/>
        <w:jc w:val="center"/>
        <w:rPr>
          <w:rFonts w:eastAsia="宋体" w:cs="Times New Roman"/>
          <w:b/>
          <w:color w:val="auto"/>
          <w:sz w:val="21"/>
        </w:rPr>
      </w:pPr>
      <w:r>
        <w:rPr>
          <w:rFonts w:eastAsia="宋体" w:cs="Times New Roman"/>
          <w:b/>
          <w:color w:val="auto"/>
          <w:sz w:val="21"/>
        </w:rPr>
        <w:t>图6.</w:t>
      </w:r>
      <w:r>
        <w:rPr>
          <w:rFonts w:hint="eastAsia" w:eastAsia="宋体" w:cs="Times New Roman"/>
          <w:b/>
          <w:color w:val="auto"/>
          <w:sz w:val="21"/>
          <w:lang w:val="en-US" w:eastAsia="zh-CN"/>
        </w:rPr>
        <w:t>2</w:t>
      </w:r>
      <w:r>
        <w:rPr>
          <w:rFonts w:eastAsia="宋体" w:cs="Times New Roman"/>
          <w:b/>
          <w:color w:val="auto"/>
          <w:sz w:val="21"/>
        </w:rPr>
        <w:t>-1 危险废物暂存间</w:t>
      </w:r>
      <w:r>
        <w:rPr>
          <w:rFonts w:hint="eastAsia" w:eastAsia="宋体" w:cs="Times New Roman"/>
          <w:b/>
          <w:color w:val="auto"/>
          <w:sz w:val="21"/>
        </w:rPr>
        <w:t>地面</w:t>
      </w:r>
      <w:r>
        <w:rPr>
          <w:rFonts w:eastAsia="宋体" w:cs="Times New Roman"/>
          <w:b/>
          <w:color w:val="auto"/>
          <w:sz w:val="21"/>
        </w:rPr>
        <w:t>防渗结构示意图</w:t>
      </w:r>
    </w:p>
    <w:p w14:paraId="06683B6B">
      <w:pPr>
        <w:pStyle w:val="711"/>
        <w:rPr>
          <w:rFonts w:cs="Times New Roman"/>
          <w:color w:val="auto"/>
          <w:kern w:val="0"/>
        </w:rPr>
      </w:pPr>
      <w:r>
        <w:rPr>
          <w:rFonts w:cs="Times New Roman"/>
          <w:color w:val="auto"/>
        </w:rPr>
        <w:drawing>
          <wp:inline distT="0" distB="0" distL="0" distR="0">
            <wp:extent cx="3694430" cy="3102610"/>
            <wp:effectExtent l="0" t="0" r="1270" b="2540"/>
            <wp:docPr id="2014028815" name="图片 201402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28815" name="图片 2014028815"/>
                    <pic:cNvPicPr>
                      <a:picLocks noChangeAspect="1"/>
                    </pic:cNvPicPr>
                  </pic:nvPicPr>
                  <pic:blipFill>
                    <a:blip r:embed="rId111"/>
                    <a:stretch>
                      <a:fillRect/>
                    </a:stretch>
                  </pic:blipFill>
                  <pic:spPr>
                    <a:xfrm>
                      <a:off x="0" y="0"/>
                      <a:ext cx="3694430" cy="3102610"/>
                    </a:xfrm>
                    <a:prstGeom prst="rect">
                      <a:avLst/>
                    </a:prstGeom>
                    <a:ln>
                      <a:noFill/>
                    </a:ln>
                  </pic:spPr>
                </pic:pic>
              </a:graphicData>
            </a:graphic>
          </wp:inline>
        </w:drawing>
      </w:r>
    </w:p>
    <w:p w14:paraId="67BC365C">
      <w:pPr>
        <w:ind w:firstLine="0" w:firstLineChars="0"/>
        <w:jc w:val="center"/>
        <w:rPr>
          <w:rFonts w:eastAsia="宋体" w:cs="Times New Roman"/>
          <w:snapToGrid w:val="0"/>
          <w:color w:val="auto"/>
          <w:szCs w:val="24"/>
        </w:rPr>
      </w:pPr>
      <w:r>
        <w:rPr>
          <w:rFonts w:eastAsia="宋体" w:cs="Times New Roman"/>
          <w:b/>
          <w:color w:val="auto"/>
          <w:sz w:val="21"/>
        </w:rPr>
        <w:t>图6.</w:t>
      </w:r>
      <w:r>
        <w:rPr>
          <w:rFonts w:hint="eastAsia" w:eastAsia="宋体" w:cs="Times New Roman"/>
          <w:b/>
          <w:color w:val="auto"/>
          <w:sz w:val="21"/>
          <w:lang w:val="en-US" w:eastAsia="zh-CN"/>
        </w:rPr>
        <w:t>2</w:t>
      </w:r>
      <w:r>
        <w:rPr>
          <w:rFonts w:eastAsia="宋体" w:cs="Times New Roman"/>
          <w:b/>
          <w:color w:val="auto"/>
          <w:sz w:val="21"/>
        </w:rPr>
        <w:t>-2  导流边沟</w:t>
      </w:r>
      <w:r>
        <w:rPr>
          <w:rFonts w:hint="eastAsia" w:eastAsia="宋体" w:cs="Times New Roman"/>
          <w:b/>
          <w:color w:val="auto"/>
          <w:sz w:val="21"/>
        </w:rPr>
        <w:t>及事故坑</w:t>
      </w:r>
      <w:r>
        <w:rPr>
          <w:rFonts w:eastAsia="宋体" w:cs="Times New Roman"/>
          <w:b/>
          <w:color w:val="auto"/>
          <w:sz w:val="21"/>
        </w:rPr>
        <w:t>刚性+柔性防渗示意图</w:t>
      </w:r>
    </w:p>
    <w:p w14:paraId="75407E66">
      <w:pPr>
        <w:ind w:firstLine="480"/>
        <w:rPr>
          <w:rFonts w:cs="Times New Roman"/>
          <w:color w:val="auto"/>
        </w:rPr>
      </w:pPr>
      <w:r>
        <w:rPr>
          <w:rFonts w:eastAsia="宋体" w:cs="Times New Roman"/>
          <w:color w:val="auto"/>
        </w:rPr>
        <w:t>（</w:t>
      </w:r>
      <w:r>
        <w:rPr>
          <w:rFonts w:hint="eastAsia" w:eastAsia="宋体" w:cs="Times New Roman"/>
          <w:color w:val="auto"/>
        </w:rPr>
        <w:t>2</w:t>
      </w:r>
      <w:r>
        <w:rPr>
          <w:rFonts w:eastAsia="宋体" w:cs="Times New Roman"/>
          <w:color w:val="auto"/>
        </w:rPr>
        <w:t>）</w:t>
      </w:r>
      <w:r>
        <w:rPr>
          <w:rFonts w:hint="eastAsia" w:cs="Times New Roman"/>
          <w:color w:val="auto"/>
        </w:rPr>
        <w:t>超细格栅池、污水厂调节池-事故应急池、水解酸化池、生化池、反硝化深床滤池、高级氧化深度处理系统、污泥脱水车间-磁混凝沉淀池、污泥池、紫外线消毒-出水计量渠、进出水在线监测间、园区应急事故池等所有池体</w:t>
      </w:r>
    </w:p>
    <w:p w14:paraId="463E13AD">
      <w:pPr>
        <w:widowControl/>
        <w:ind w:firstLine="480"/>
        <w:rPr>
          <w:rFonts w:cs="Times New Roman"/>
          <w:color w:val="auto"/>
        </w:rPr>
      </w:pPr>
      <w:r>
        <w:rPr>
          <w:rFonts w:hint="eastAsia" w:cs="Times New Roman"/>
          <w:color w:val="auto"/>
        </w:rPr>
        <w:t>超细格栅池、污水厂调节池-事故应急池、水解酸化池、生化池、反硝化深床滤池、高级氧化深度处理系统、污泥脱水车间-磁混凝沉淀池、污泥池、紫外线消毒-出水计量渠、进出水在线监测间、园区应急事故池等所有池体</w:t>
      </w:r>
      <w:r>
        <w:rPr>
          <w:rFonts w:cs="Times New Roman"/>
          <w:color w:val="auto"/>
        </w:rPr>
        <w:t>两侧均需延伸1.0m范围地坪，池体及周边地坪均采用30cm厚P8等级混凝土刚性防渗结构，其防渗性能与厚度Mb≥6.0m，渗透系数K≤1×10</w:t>
      </w:r>
      <w:r>
        <w:rPr>
          <w:rFonts w:cs="Times New Roman"/>
          <w:color w:val="auto"/>
          <w:vertAlign w:val="superscript"/>
        </w:rPr>
        <w:t>-7</w:t>
      </w:r>
      <w:r>
        <w:rPr>
          <w:rFonts w:cs="Times New Roman"/>
          <w:color w:val="auto"/>
        </w:rPr>
        <w:t>cm/s粘土防渗层等效。具体防渗结构如下：水泥基渗透结晶型防渗涂层（≥1.0mm）、抗渗混凝土面层（厚度300mm，抗渗等级为P8）、原土压（夯）实。</w:t>
      </w:r>
    </w:p>
    <w:p w14:paraId="5685C12B">
      <w:pPr>
        <w:widowControl/>
        <w:adjustRightInd w:val="0"/>
        <w:snapToGrid w:val="0"/>
        <w:ind w:firstLine="0" w:firstLineChars="0"/>
        <w:jc w:val="center"/>
        <w:rPr>
          <w:rFonts w:cs="Times New Roman"/>
          <w:color w:val="auto"/>
        </w:rPr>
      </w:pPr>
      <w:r>
        <w:rPr>
          <w:rFonts w:cs="Times New Roman"/>
          <w:color w:val="auto"/>
        </w:rPr>
        <w:drawing>
          <wp:inline distT="0" distB="0" distL="0" distR="0">
            <wp:extent cx="3967480" cy="2886075"/>
            <wp:effectExtent l="0" t="0" r="13970" b="9525"/>
            <wp:docPr id="1270274660" name="图片 1270274660" descr="C:\Users\luopeng0808\Desktop\防渗\重点防渗区（池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74660" name="图片 1270274660" descr="C:\Users\luopeng0808\Desktop\防渗\重点防渗区（池体）.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4029361" cy="2930900"/>
                    </a:xfrm>
                    <a:prstGeom prst="rect">
                      <a:avLst/>
                    </a:prstGeom>
                    <a:noFill/>
                    <a:ln>
                      <a:noFill/>
                    </a:ln>
                  </pic:spPr>
                </pic:pic>
              </a:graphicData>
            </a:graphic>
          </wp:inline>
        </w:drawing>
      </w:r>
    </w:p>
    <w:p w14:paraId="645068FC">
      <w:pPr>
        <w:snapToGrid w:val="0"/>
        <w:ind w:firstLine="198" w:firstLineChars="94"/>
        <w:jc w:val="center"/>
        <w:rPr>
          <w:rFonts w:cs="Times New Roman"/>
          <w:color w:val="auto"/>
        </w:rPr>
      </w:pPr>
      <w:r>
        <w:rPr>
          <w:rFonts w:cs="Times New Roman"/>
          <w:b/>
          <w:bCs/>
          <w:color w:val="auto"/>
          <w:sz w:val="21"/>
          <w:szCs w:val="20"/>
        </w:rPr>
        <w:t>图6.</w:t>
      </w:r>
      <w:r>
        <w:rPr>
          <w:rFonts w:hint="eastAsia" w:cs="Times New Roman"/>
          <w:b/>
          <w:bCs/>
          <w:color w:val="auto"/>
          <w:sz w:val="21"/>
          <w:szCs w:val="20"/>
          <w:lang w:val="en-US" w:eastAsia="zh-CN"/>
        </w:rPr>
        <w:t>2</w:t>
      </w:r>
      <w:r>
        <w:rPr>
          <w:rFonts w:cs="Times New Roman"/>
          <w:b/>
          <w:bCs/>
          <w:color w:val="auto"/>
          <w:sz w:val="21"/>
          <w:szCs w:val="20"/>
        </w:rPr>
        <w:t>-</w:t>
      </w:r>
      <w:r>
        <w:rPr>
          <w:rFonts w:hint="eastAsia" w:cs="Times New Roman"/>
          <w:b/>
          <w:bCs/>
          <w:color w:val="auto"/>
          <w:sz w:val="21"/>
          <w:szCs w:val="20"/>
        </w:rPr>
        <w:t>3</w:t>
      </w:r>
      <w:r>
        <w:rPr>
          <w:rFonts w:cs="Times New Roman"/>
          <w:b/>
          <w:bCs/>
          <w:color w:val="auto"/>
          <w:sz w:val="21"/>
          <w:szCs w:val="20"/>
        </w:rPr>
        <w:t xml:space="preserve"> </w:t>
      </w:r>
      <w:r>
        <w:rPr>
          <w:rFonts w:cs="Times New Roman"/>
          <w:b/>
          <w:bCs/>
          <w:color w:val="auto"/>
          <w:sz w:val="21"/>
        </w:rPr>
        <w:t>废水处理站各</w:t>
      </w:r>
      <w:r>
        <w:rPr>
          <w:rFonts w:cs="Times New Roman"/>
          <w:b/>
          <w:bCs/>
          <w:color w:val="auto"/>
          <w:sz w:val="21"/>
          <w:szCs w:val="20"/>
        </w:rPr>
        <w:t>池体重点防渗结构示意图</w:t>
      </w:r>
    </w:p>
    <w:p w14:paraId="7BD867A1">
      <w:pPr>
        <w:ind w:firstLine="482"/>
        <w:rPr>
          <w:rFonts w:eastAsia="宋体" w:cs="Times New Roman"/>
          <w:b/>
          <w:bCs/>
          <w:snapToGrid w:val="0"/>
          <w:color w:val="auto"/>
          <w:szCs w:val="24"/>
        </w:rPr>
      </w:pPr>
      <w:r>
        <w:rPr>
          <w:rFonts w:eastAsia="宋体" w:cs="Times New Roman"/>
          <w:b/>
          <w:bCs/>
          <w:snapToGrid w:val="0"/>
          <w:color w:val="auto"/>
          <w:szCs w:val="24"/>
        </w:rPr>
        <w:t>2、一般防渗区</w:t>
      </w:r>
    </w:p>
    <w:p w14:paraId="380C94C2">
      <w:pPr>
        <w:widowControl/>
        <w:ind w:firstLine="480"/>
        <w:rPr>
          <w:rFonts w:cs="Times New Roman"/>
          <w:color w:val="auto"/>
        </w:rPr>
      </w:pPr>
      <w:r>
        <w:rPr>
          <w:rFonts w:hint="eastAsia" w:cs="Times New Roman"/>
          <w:color w:val="auto"/>
        </w:rPr>
        <w:t>回用水池及泵房、变配电室及鼓风机房、加药间、园区环境监测</w:t>
      </w:r>
      <w:r>
        <w:rPr>
          <w:rFonts w:hint="eastAsia" w:eastAsia="宋体" w:cs="Times New Roman"/>
          <w:color w:val="auto"/>
        </w:rPr>
        <w:t>站</w:t>
      </w:r>
      <w:r>
        <w:rPr>
          <w:rFonts w:eastAsia="宋体" w:cs="Times New Roman"/>
          <w:color w:val="auto"/>
        </w:rPr>
        <w:t>等依据</w:t>
      </w:r>
      <w:r>
        <w:rPr>
          <w:rFonts w:cs="Times New Roman"/>
          <w:color w:val="auto"/>
          <w:szCs w:val="24"/>
        </w:rPr>
        <w:t>《环境影响评价技术导则—地下水环境》（HJ610-2016），</w:t>
      </w:r>
      <w:r>
        <w:rPr>
          <w:rFonts w:cs="Times New Roman"/>
          <w:color w:val="auto"/>
        </w:rPr>
        <w:t>其防渗层的防渗性能不低于厚度Mb≥1.5m，渗透系数K≤1×10</w:t>
      </w:r>
      <w:r>
        <w:rPr>
          <w:rFonts w:cs="Times New Roman"/>
          <w:color w:val="auto"/>
          <w:vertAlign w:val="superscript"/>
        </w:rPr>
        <w:t>-7</w:t>
      </w:r>
      <w:r>
        <w:rPr>
          <w:rFonts w:cs="Times New Roman"/>
          <w:color w:val="auto"/>
        </w:rPr>
        <w:t>cm/s粘土防渗层防渗性能。本次环评建议采用厚度不低于20cm、抗渗等级为P6（渗透系数≤0.49×10</w:t>
      </w:r>
      <w:r>
        <w:rPr>
          <w:rFonts w:cs="Times New Roman"/>
          <w:color w:val="auto"/>
          <w:vertAlign w:val="superscript"/>
        </w:rPr>
        <w:t>-8</w:t>
      </w:r>
      <w:r>
        <w:rPr>
          <w:rFonts w:cs="Times New Roman"/>
          <w:color w:val="auto"/>
        </w:rPr>
        <w:t>cm/s）的混凝土防渗结构。</w:t>
      </w:r>
    </w:p>
    <w:p w14:paraId="55B3A753">
      <w:pPr>
        <w:ind w:firstLine="482"/>
        <w:rPr>
          <w:rFonts w:cs="Times New Roman"/>
          <w:b/>
          <w:bCs/>
          <w:color w:val="auto"/>
        </w:rPr>
      </w:pPr>
      <w:r>
        <w:rPr>
          <w:rFonts w:cs="Times New Roman"/>
          <w:b/>
          <w:bCs/>
          <w:color w:val="auto"/>
        </w:rPr>
        <w:t>3、简单防渗区</w:t>
      </w:r>
    </w:p>
    <w:p w14:paraId="6826F49D">
      <w:pPr>
        <w:ind w:firstLine="480"/>
        <w:rPr>
          <w:rFonts w:eastAsia="宋体" w:cs="Times New Roman"/>
          <w:color w:val="auto"/>
        </w:rPr>
      </w:pPr>
      <w:r>
        <w:rPr>
          <w:rFonts w:hint="eastAsia" w:cs="Times New Roman"/>
          <w:color w:val="auto"/>
        </w:rPr>
        <w:t>综合办公楼</w:t>
      </w:r>
      <w:r>
        <w:rPr>
          <w:rFonts w:cs="Times New Roman"/>
          <w:color w:val="auto"/>
        </w:rPr>
        <w:t>、</w:t>
      </w:r>
      <w:r>
        <w:rPr>
          <w:rFonts w:hint="eastAsia" w:cs="Times New Roman"/>
          <w:color w:val="auto"/>
        </w:rPr>
        <w:t>门卫室</w:t>
      </w:r>
      <w:r>
        <w:rPr>
          <w:rFonts w:cs="Times New Roman"/>
          <w:color w:val="auto"/>
        </w:rPr>
        <w:t>等无持</w:t>
      </w:r>
      <w:r>
        <w:rPr>
          <w:rFonts w:eastAsia="宋体" w:cs="Times New Roman"/>
          <w:color w:val="auto"/>
          <w:szCs w:val="24"/>
        </w:rPr>
        <w:t>续产生地下水污染物的水力条件或不产生地下水污染物，可采取</w:t>
      </w:r>
      <w:r>
        <w:rPr>
          <w:rFonts w:cs="Times New Roman"/>
          <w:color w:val="auto"/>
        </w:rPr>
        <w:t>简单</w:t>
      </w:r>
      <w:r>
        <w:rPr>
          <w:rFonts w:hint="eastAsia" w:cs="Times New Roman"/>
          <w:color w:val="auto"/>
        </w:rPr>
        <w:t>一般</w:t>
      </w:r>
      <w:r>
        <w:rPr>
          <w:rFonts w:cs="Times New Roman"/>
          <w:color w:val="auto"/>
        </w:rPr>
        <w:t>地面硬化</w:t>
      </w:r>
      <w:r>
        <w:rPr>
          <w:rFonts w:hint="eastAsia" w:cs="Times New Roman"/>
          <w:color w:val="auto"/>
        </w:rPr>
        <w:t>即可</w:t>
      </w:r>
      <w:r>
        <w:rPr>
          <w:rFonts w:cs="Times New Roman"/>
          <w:color w:val="auto"/>
        </w:rPr>
        <w:t>。</w:t>
      </w:r>
    </w:p>
    <w:p w14:paraId="2A6329AF">
      <w:pPr>
        <w:ind w:firstLine="456"/>
        <w:rPr>
          <w:rFonts w:eastAsia="宋体" w:cs="Times New Roman"/>
          <w:bCs/>
          <w:color w:val="auto"/>
          <w:spacing w:val="-6"/>
          <w:szCs w:val="28"/>
        </w:rPr>
      </w:pPr>
      <w:r>
        <w:rPr>
          <w:rFonts w:eastAsia="宋体" w:cs="Times New Roman"/>
          <w:bCs/>
          <w:color w:val="auto"/>
          <w:spacing w:val="-6"/>
          <w:szCs w:val="28"/>
        </w:rPr>
        <w:t>各防渗分区的防渗结构具体应由专业设计单位根据相关要求进行设计，但不应低于环评提出的防渗级别和要求。</w:t>
      </w:r>
    </w:p>
    <w:p w14:paraId="33B319F8">
      <w:pPr>
        <w:pStyle w:val="6"/>
        <w:bidi w:val="0"/>
        <w:rPr>
          <w:color w:val="auto"/>
        </w:rPr>
      </w:pPr>
      <w:r>
        <w:rPr>
          <w:color w:val="auto"/>
        </w:rPr>
        <w:t>其他相关措施</w:t>
      </w:r>
    </w:p>
    <w:p w14:paraId="78F7FFFA">
      <w:pPr>
        <w:snapToGrid w:val="0"/>
        <w:ind w:firstLine="480"/>
        <w:rPr>
          <w:rFonts w:cs="Times New Roman"/>
          <w:color w:val="auto"/>
        </w:rPr>
      </w:pPr>
      <w:r>
        <w:rPr>
          <w:rFonts w:cs="Times New Roman"/>
          <w:color w:val="auto"/>
        </w:rPr>
        <w:t>（1）根据本项目产污特征，</w:t>
      </w:r>
      <w:r>
        <w:rPr>
          <w:rFonts w:hint="eastAsia" w:cs="Times New Roman"/>
          <w:color w:val="auto"/>
        </w:rPr>
        <w:t>、</w:t>
      </w:r>
      <w:r>
        <w:rPr>
          <w:rFonts w:cs="Times New Roman"/>
          <w:color w:val="auto"/>
        </w:rPr>
        <w:t>环评要求本项目运行过程中布设3个地下水水质监测点对评价区地下水水质进行动态监测。</w:t>
      </w:r>
    </w:p>
    <w:p w14:paraId="4EC1D602">
      <w:pPr>
        <w:widowControl/>
        <w:adjustRightInd w:val="0"/>
        <w:snapToGrid w:val="0"/>
        <w:ind w:firstLine="480"/>
        <w:rPr>
          <w:rFonts w:cs="Times New Roman"/>
          <w:color w:val="auto"/>
          <w:kern w:val="0"/>
        </w:rPr>
      </w:pPr>
      <w:r>
        <w:rPr>
          <w:rFonts w:cs="Times New Roman"/>
          <w:color w:val="auto"/>
          <w:kern w:val="0"/>
        </w:rPr>
        <w:t>（2）项目运行过程中，严格按照环评要求对地下水水质监测井进行监测，一旦发现水质异常，立刻采取有效措施（如采用水动力隔离技术）阻止污染羽的扩散迁移，将地下水控制在局部范围，避免对项目厂区下游地下水造成污染。</w:t>
      </w:r>
    </w:p>
    <w:p w14:paraId="015716D7">
      <w:pPr>
        <w:widowControl/>
        <w:adjustRightInd w:val="0"/>
        <w:snapToGrid w:val="0"/>
        <w:ind w:firstLine="480"/>
        <w:rPr>
          <w:rFonts w:cs="Times New Roman"/>
          <w:color w:val="auto"/>
          <w:kern w:val="0"/>
        </w:rPr>
      </w:pPr>
      <w:r>
        <w:rPr>
          <w:rFonts w:cs="Times New Roman"/>
          <w:color w:val="auto"/>
          <w:kern w:val="0"/>
        </w:rPr>
        <w:t>（3）加强污水处理站管路的检修，避免生产</w:t>
      </w:r>
      <w:r>
        <w:rPr>
          <w:rFonts w:hint="eastAsia" w:cs="Times New Roman"/>
          <w:color w:val="auto"/>
          <w:kern w:val="0"/>
        </w:rPr>
        <w:t>管线</w:t>
      </w:r>
      <w:r>
        <w:rPr>
          <w:rFonts w:cs="Times New Roman"/>
          <w:color w:val="auto"/>
          <w:kern w:val="0"/>
        </w:rPr>
        <w:t>中</w:t>
      </w:r>
      <w:r>
        <w:rPr>
          <w:rFonts w:hint="eastAsia" w:cs="Times New Roman"/>
          <w:color w:val="auto"/>
          <w:kern w:val="0"/>
        </w:rPr>
        <w:t>废水</w:t>
      </w:r>
      <w:r>
        <w:rPr>
          <w:rFonts w:cs="Times New Roman"/>
          <w:color w:val="auto"/>
          <w:kern w:val="0"/>
        </w:rPr>
        <w:t>的</w:t>
      </w:r>
      <w:r>
        <w:rPr>
          <w:rFonts w:hint="eastAsia" w:cs="Times New Roman"/>
          <w:color w:val="auto"/>
          <w:kern w:val="0"/>
        </w:rPr>
        <w:t>跑冒</w:t>
      </w:r>
      <w:r>
        <w:rPr>
          <w:rFonts w:cs="Times New Roman"/>
          <w:color w:val="auto"/>
          <w:kern w:val="0"/>
        </w:rPr>
        <w:t>滴漏。</w:t>
      </w:r>
    </w:p>
    <w:p w14:paraId="0513D6B4">
      <w:pPr>
        <w:widowControl/>
        <w:adjustRightInd w:val="0"/>
        <w:snapToGrid w:val="0"/>
        <w:ind w:firstLine="480"/>
        <w:rPr>
          <w:rFonts w:cs="Times New Roman"/>
          <w:color w:val="auto"/>
          <w:kern w:val="0"/>
        </w:rPr>
      </w:pPr>
      <w:r>
        <w:rPr>
          <w:rFonts w:cs="Times New Roman"/>
          <w:color w:val="auto"/>
          <w:kern w:val="0"/>
        </w:rPr>
        <w:t>（</w:t>
      </w:r>
      <w:r>
        <w:rPr>
          <w:rFonts w:hint="eastAsia" w:cs="Times New Roman"/>
          <w:color w:val="auto"/>
          <w:kern w:val="0"/>
        </w:rPr>
        <w:t>4</w:t>
      </w:r>
      <w:r>
        <w:rPr>
          <w:rFonts w:cs="Times New Roman"/>
          <w:color w:val="auto"/>
          <w:kern w:val="0"/>
        </w:rPr>
        <w:t>）避免雨污混排，实行“清污分流”。</w:t>
      </w:r>
    </w:p>
    <w:p w14:paraId="2006FF30">
      <w:pPr>
        <w:pageBreakBefore w:val="0"/>
        <w:wordWrap/>
        <w:bidi w:val="0"/>
        <w:adjustRightInd/>
        <w:snapToGrid/>
        <w:ind w:firstLine="480"/>
        <w:rPr>
          <w:color w:val="auto"/>
        </w:rPr>
      </w:pPr>
      <w:r>
        <w:rPr>
          <w:color w:val="auto"/>
        </w:rPr>
        <w:t>综上，采取以上地下水防治措施能够有效保证本项目不会对地下水产生明显影响，措施有效、可行。</w:t>
      </w:r>
    </w:p>
    <w:p w14:paraId="79FDE72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环境风险防范措施及可行性</w:t>
      </w:r>
    </w:p>
    <w:p w14:paraId="312193DA">
      <w:pPr>
        <w:pageBreakBefore w:val="0"/>
        <w:wordWrap/>
        <w:bidi w:val="0"/>
        <w:adjustRightInd/>
        <w:snapToGrid/>
        <w:ind w:firstLine="480"/>
        <w:rPr>
          <w:color w:val="auto"/>
        </w:rPr>
      </w:pPr>
      <w:r>
        <w:rPr>
          <w:color w:val="auto"/>
        </w:rPr>
        <w:t>项目对于使用的危险化学物品，采取一系列技术和管理措施，控制其使用风险，项目次氯酸钠储存量</w:t>
      </w:r>
      <w:r>
        <w:rPr>
          <w:rFonts w:hint="eastAsia"/>
          <w:color w:val="auto"/>
          <w:lang w:eastAsia="zh-CN"/>
        </w:rPr>
        <w:t>较少</w:t>
      </w:r>
      <w:r>
        <w:rPr>
          <w:color w:val="auto"/>
        </w:rPr>
        <w:t>。项目发生风险的类型和几率都很小，通过加强管理、采取有效的防范措施，加强对全体员工防范事故风险能力的培训，制定事故应急预案等，可进一步降低风险发生的</w:t>
      </w:r>
      <w:r>
        <w:rPr>
          <w:rFonts w:hint="eastAsia"/>
          <w:color w:val="auto"/>
          <w:lang w:eastAsia="zh-CN"/>
        </w:rPr>
        <w:t>概率</w:t>
      </w:r>
      <w:r>
        <w:rPr>
          <w:color w:val="auto"/>
        </w:rPr>
        <w:t>和造成的影响。</w:t>
      </w:r>
    </w:p>
    <w:p w14:paraId="7D3C171F">
      <w:pPr>
        <w:pageBreakBefore w:val="0"/>
        <w:wordWrap/>
        <w:bidi w:val="0"/>
        <w:adjustRightInd/>
        <w:snapToGrid/>
        <w:ind w:firstLine="480"/>
        <w:rPr>
          <w:color w:val="auto"/>
        </w:rPr>
      </w:pPr>
      <w:r>
        <w:rPr>
          <w:color w:val="auto"/>
        </w:rPr>
        <w:t>根据项目设计，项目</w:t>
      </w:r>
      <w:r>
        <w:rPr>
          <w:rFonts w:hint="eastAsia"/>
          <w:color w:val="auto"/>
        </w:rPr>
        <w:t>设置一座事故池</w:t>
      </w:r>
      <w:r>
        <w:rPr>
          <w:color w:val="auto"/>
        </w:rPr>
        <w:t>（容积</w:t>
      </w:r>
      <w:r>
        <w:rPr>
          <w:rFonts w:hint="eastAsia"/>
          <w:color w:val="auto"/>
          <w:lang w:val="en-US" w:eastAsia="zh-CN"/>
        </w:rPr>
        <w:t>3000</w:t>
      </w:r>
      <w:r>
        <w:rPr>
          <w:rFonts w:hint="eastAsia"/>
          <w:color w:val="auto"/>
          <w:lang w:eastAsia="zh-CN"/>
        </w:rPr>
        <w:t>m³</w:t>
      </w:r>
      <w:r>
        <w:rPr>
          <w:color w:val="auto"/>
        </w:rPr>
        <w:t>），确保事故状态下项目废水能导入应急池内暂存，避免未经处理的污水外排，对环境造成污染。</w:t>
      </w:r>
    </w:p>
    <w:p w14:paraId="45462318">
      <w:pPr>
        <w:pageBreakBefore w:val="0"/>
        <w:wordWrap/>
        <w:bidi w:val="0"/>
        <w:adjustRightInd/>
        <w:snapToGrid/>
        <w:ind w:firstLine="480"/>
        <w:rPr>
          <w:color w:val="auto"/>
        </w:rPr>
      </w:pPr>
      <w:r>
        <w:rPr>
          <w:color w:val="auto"/>
        </w:rPr>
        <w:t>综上，项目风险小，处于可接受水平，其</w:t>
      </w:r>
      <w:r>
        <w:rPr>
          <w:rFonts w:hint="eastAsia"/>
          <w:color w:val="auto"/>
          <w:lang w:eastAsia="zh-CN"/>
        </w:rPr>
        <w:t>风险</w:t>
      </w:r>
      <w:r>
        <w:rPr>
          <w:color w:val="auto"/>
        </w:rPr>
        <w:t>防范措施可靠，项目从环境风险防范角度分析可行。</w:t>
      </w:r>
    </w:p>
    <w:bookmarkEnd w:id="231"/>
    <w:bookmarkEnd w:id="232"/>
    <w:bookmarkEnd w:id="233"/>
    <w:p w14:paraId="731DACDD">
      <w:pPr>
        <w:pStyle w:val="5"/>
        <w:pageBreakBefore w:val="0"/>
        <w:wordWrap/>
        <w:bidi w:val="0"/>
        <w:adjustRightInd/>
        <w:snapToGrid/>
        <w:spacing w:before="48" w:after="48"/>
        <w:ind w:left="0"/>
        <w:rPr>
          <w:rFonts w:eastAsia="宋体"/>
          <w:color w:val="auto"/>
        </w:rPr>
      </w:pPr>
      <w:bookmarkStart w:id="236" w:name="_Toc15208"/>
      <w:r>
        <w:rPr>
          <w:rFonts w:hint="eastAsia" w:eastAsia="宋体"/>
          <w:color w:val="auto"/>
        </w:rPr>
        <w:t xml:space="preserve"> </w:t>
      </w:r>
      <w:r>
        <w:rPr>
          <w:rFonts w:eastAsia="宋体"/>
          <w:color w:val="auto"/>
        </w:rPr>
        <w:t>环保措施汇总及环保投资</w:t>
      </w:r>
      <w:bookmarkEnd w:id="236"/>
    </w:p>
    <w:p w14:paraId="5B7EE63B">
      <w:pPr>
        <w:pageBreakBefore w:val="0"/>
        <w:wordWrap/>
        <w:bidi w:val="0"/>
        <w:adjustRightInd/>
        <w:snapToGrid/>
        <w:ind w:firstLine="480"/>
        <w:rPr>
          <w:color w:val="auto"/>
        </w:rPr>
      </w:pPr>
      <w:bookmarkStart w:id="237" w:name="_Toc1753"/>
      <w:bookmarkStart w:id="238" w:name="_Toc374627826"/>
      <w:r>
        <w:rPr>
          <w:color w:val="auto"/>
        </w:rPr>
        <w:t>本项目环保投资为</w:t>
      </w:r>
      <w:r>
        <w:rPr>
          <w:rFonts w:hint="eastAsia"/>
          <w:color w:val="auto"/>
          <w:lang w:val="en-US" w:eastAsia="zh-CN"/>
        </w:rPr>
        <w:t>500</w:t>
      </w:r>
      <w:r>
        <w:rPr>
          <w:color w:val="auto"/>
        </w:rPr>
        <w:t>万元，占总投资</w:t>
      </w:r>
      <w:r>
        <w:rPr>
          <w:rFonts w:hint="eastAsia"/>
          <w:color w:val="auto"/>
          <w:lang w:eastAsia="zh-CN"/>
        </w:rPr>
        <w:t>39000</w:t>
      </w:r>
      <w:r>
        <w:rPr>
          <w:color w:val="auto"/>
        </w:rPr>
        <w:t>万元的1.</w:t>
      </w:r>
      <w:r>
        <w:rPr>
          <w:rFonts w:hint="eastAsia"/>
          <w:color w:val="auto"/>
          <w:lang w:val="en-US" w:eastAsia="zh-CN"/>
        </w:rPr>
        <w:t>28</w:t>
      </w:r>
      <w:r>
        <w:rPr>
          <w:color w:val="auto"/>
        </w:rPr>
        <w:t>%，项目施工期、营运期环保投资分布见</w:t>
      </w:r>
      <w:r>
        <w:rPr>
          <w:rFonts w:hint="eastAsia"/>
          <w:color w:val="auto"/>
          <w:lang w:val="en-US" w:eastAsia="zh-CN"/>
        </w:rPr>
        <w:t>下表</w:t>
      </w:r>
      <w:r>
        <w:rPr>
          <w:color w:val="auto"/>
        </w:rPr>
        <w:t>。</w:t>
      </w:r>
    </w:p>
    <w:p w14:paraId="18418A68">
      <w:pPr>
        <w:pStyle w:val="15"/>
        <w:numPr>
          <w:ilvl w:val="0"/>
          <w:numId w:val="37"/>
        </w:numPr>
        <w:bidi w:val="0"/>
        <w:ind w:left="0" w:leftChars="0" w:firstLine="0" w:firstLineChars="0"/>
        <w:rPr>
          <w:color w:val="auto"/>
        </w:rPr>
      </w:pPr>
      <w:r>
        <w:rPr>
          <w:color w:val="auto"/>
        </w:rPr>
        <w:t>环境保护措施及投资一览表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06"/>
        <w:gridCol w:w="1538"/>
        <w:gridCol w:w="5350"/>
        <w:gridCol w:w="1192"/>
      </w:tblGrid>
      <w:tr w14:paraId="1283F1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tcBorders>
              <w:tl2br w:val="nil"/>
              <w:tr2bl w:val="nil"/>
            </w:tcBorders>
            <w:noWrap w:val="0"/>
            <w:vAlign w:val="center"/>
          </w:tcPr>
          <w:p w14:paraId="461A112B">
            <w:pPr>
              <w:pStyle w:val="346"/>
              <w:pageBreakBefore w:val="0"/>
              <w:wordWrap/>
              <w:bidi w:val="0"/>
              <w:adjustRightInd/>
              <w:snapToGrid/>
              <w:spacing w:line="280" w:lineRule="exact"/>
              <w:textAlignment w:val="baseline"/>
              <w:rPr>
                <w:rFonts w:eastAsia="宋体"/>
                <w:b/>
                <w:bCs w:val="0"/>
                <w:color w:val="auto"/>
                <w:kern w:val="0"/>
                <w:sz w:val="21"/>
                <w:szCs w:val="21"/>
              </w:rPr>
            </w:pPr>
            <w:r>
              <w:rPr>
                <w:rFonts w:eastAsia="宋体"/>
                <w:b/>
                <w:bCs w:val="0"/>
                <w:color w:val="auto"/>
                <w:kern w:val="0"/>
                <w:sz w:val="21"/>
                <w:szCs w:val="21"/>
              </w:rPr>
              <w:t>序号</w:t>
            </w:r>
          </w:p>
        </w:tc>
        <w:tc>
          <w:tcPr>
            <w:tcW w:w="1538" w:type="dxa"/>
            <w:tcBorders>
              <w:tl2br w:val="nil"/>
              <w:tr2bl w:val="nil"/>
            </w:tcBorders>
            <w:noWrap w:val="0"/>
            <w:vAlign w:val="center"/>
          </w:tcPr>
          <w:p w14:paraId="498AD47C">
            <w:pPr>
              <w:pageBreakBefore w:val="0"/>
              <w:wordWrap/>
              <w:bidi w:val="0"/>
              <w:adjustRightInd/>
              <w:snapToGrid/>
              <w:spacing w:line="280" w:lineRule="exact"/>
              <w:ind w:firstLine="0" w:firstLineChars="0"/>
              <w:jc w:val="center"/>
              <w:rPr>
                <w:b/>
                <w:bCs w:val="0"/>
                <w:color w:val="auto"/>
                <w:sz w:val="21"/>
                <w:szCs w:val="21"/>
              </w:rPr>
            </w:pPr>
            <w:r>
              <w:rPr>
                <w:b/>
                <w:bCs w:val="0"/>
                <w:color w:val="auto"/>
                <w:sz w:val="21"/>
                <w:szCs w:val="21"/>
              </w:rPr>
              <w:t>项目</w:t>
            </w:r>
          </w:p>
        </w:tc>
        <w:tc>
          <w:tcPr>
            <w:tcW w:w="5350" w:type="dxa"/>
            <w:tcBorders>
              <w:tl2br w:val="nil"/>
              <w:tr2bl w:val="nil"/>
            </w:tcBorders>
            <w:noWrap w:val="0"/>
            <w:vAlign w:val="center"/>
          </w:tcPr>
          <w:p w14:paraId="7A938DDE">
            <w:pPr>
              <w:pageBreakBefore w:val="0"/>
              <w:wordWrap/>
              <w:bidi w:val="0"/>
              <w:adjustRightInd/>
              <w:snapToGrid/>
              <w:spacing w:line="280" w:lineRule="exact"/>
              <w:ind w:firstLine="0" w:firstLineChars="0"/>
              <w:jc w:val="center"/>
              <w:rPr>
                <w:b/>
                <w:bCs w:val="0"/>
                <w:color w:val="auto"/>
                <w:sz w:val="21"/>
                <w:szCs w:val="21"/>
              </w:rPr>
            </w:pPr>
            <w:r>
              <w:rPr>
                <w:b/>
                <w:bCs w:val="0"/>
                <w:color w:val="auto"/>
                <w:sz w:val="21"/>
                <w:szCs w:val="21"/>
              </w:rPr>
              <w:t>内容</w:t>
            </w:r>
          </w:p>
        </w:tc>
        <w:tc>
          <w:tcPr>
            <w:tcW w:w="1192" w:type="dxa"/>
            <w:tcBorders>
              <w:tl2br w:val="nil"/>
              <w:tr2bl w:val="nil"/>
            </w:tcBorders>
            <w:noWrap w:val="0"/>
            <w:vAlign w:val="center"/>
          </w:tcPr>
          <w:p w14:paraId="0250AC8F">
            <w:pPr>
              <w:pageBreakBefore w:val="0"/>
              <w:wordWrap/>
              <w:bidi w:val="0"/>
              <w:adjustRightInd/>
              <w:snapToGrid/>
              <w:spacing w:line="280" w:lineRule="exact"/>
              <w:ind w:firstLine="0" w:firstLineChars="0"/>
              <w:jc w:val="center"/>
              <w:rPr>
                <w:rFonts w:hint="eastAsia" w:eastAsia="宋体"/>
                <w:b/>
                <w:bCs w:val="0"/>
                <w:color w:val="auto"/>
                <w:sz w:val="21"/>
                <w:szCs w:val="21"/>
                <w:lang w:eastAsia="zh-CN"/>
              </w:rPr>
            </w:pPr>
            <w:r>
              <w:rPr>
                <w:b/>
                <w:bCs w:val="0"/>
                <w:color w:val="auto"/>
                <w:sz w:val="21"/>
                <w:szCs w:val="21"/>
              </w:rPr>
              <w:t>投资</w:t>
            </w:r>
            <w:r>
              <w:rPr>
                <w:rFonts w:hint="eastAsia"/>
                <w:b/>
                <w:bCs w:val="0"/>
                <w:color w:val="auto"/>
                <w:sz w:val="21"/>
                <w:szCs w:val="21"/>
                <w:lang w:eastAsia="zh-CN"/>
              </w:rPr>
              <w:t>（</w:t>
            </w:r>
            <w:r>
              <w:rPr>
                <w:b/>
                <w:bCs w:val="0"/>
                <w:color w:val="auto"/>
                <w:sz w:val="21"/>
                <w:szCs w:val="21"/>
              </w:rPr>
              <w:t>万元</w:t>
            </w:r>
            <w:r>
              <w:rPr>
                <w:rFonts w:hint="eastAsia"/>
                <w:b/>
                <w:bCs w:val="0"/>
                <w:color w:val="auto"/>
                <w:sz w:val="21"/>
                <w:szCs w:val="21"/>
                <w:lang w:eastAsia="zh-CN"/>
              </w:rPr>
              <w:t>）</w:t>
            </w:r>
          </w:p>
        </w:tc>
      </w:tr>
      <w:tr w14:paraId="650B51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restart"/>
            <w:tcBorders>
              <w:tl2br w:val="nil"/>
              <w:tr2bl w:val="nil"/>
            </w:tcBorders>
            <w:noWrap w:val="0"/>
            <w:vAlign w:val="center"/>
          </w:tcPr>
          <w:p w14:paraId="375DBDA2">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w:t>
            </w:r>
          </w:p>
        </w:tc>
        <w:tc>
          <w:tcPr>
            <w:tcW w:w="1538" w:type="dxa"/>
            <w:tcBorders>
              <w:tl2br w:val="nil"/>
              <w:tr2bl w:val="nil"/>
            </w:tcBorders>
            <w:noWrap w:val="0"/>
            <w:vAlign w:val="center"/>
          </w:tcPr>
          <w:p w14:paraId="1C059418">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施工期扬尘防治</w:t>
            </w:r>
          </w:p>
        </w:tc>
        <w:tc>
          <w:tcPr>
            <w:tcW w:w="5350" w:type="dxa"/>
            <w:tcBorders>
              <w:tl2br w:val="nil"/>
              <w:tr2bl w:val="nil"/>
            </w:tcBorders>
            <w:noWrap w:val="0"/>
            <w:vAlign w:val="center"/>
          </w:tcPr>
          <w:p w14:paraId="7C2016FC">
            <w:pPr>
              <w:pageBreakBefore w:val="0"/>
              <w:wordWrap/>
              <w:bidi w:val="0"/>
              <w:adjustRightInd/>
              <w:snapToGrid/>
              <w:spacing w:line="280" w:lineRule="exact"/>
              <w:ind w:firstLine="0" w:firstLineChars="0"/>
              <w:rPr>
                <w:color w:val="auto"/>
                <w:sz w:val="21"/>
                <w:szCs w:val="21"/>
              </w:rPr>
            </w:pPr>
            <w:r>
              <w:rPr>
                <w:color w:val="auto"/>
                <w:sz w:val="21"/>
                <w:szCs w:val="21"/>
              </w:rPr>
              <w:t>洒水工具、清扫工具等。</w:t>
            </w:r>
          </w:p>
        </w:tc>
        <w:tc>
          <w:tcPr>
            <w:tcW w:w="1192" w:type="dxa"/>
            <w:tcBorders>
              <w:tl2br w:val="nil"/>
              <w:tr2bl w:val="nil"/>
            </w:tcBorders>
            <w:noWrap w:val="0"/>
            <w:vAlign w:val="center"/>
          </w:tcPr>
          <w:p w14:paraId="0E189FAC">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r>
      <w:tr w14:paraId="46416F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59AE3742">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6F6F81DD">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施工期废水防治</w:t>
            </w:r>
          </w:p>
        </w:tc>
        <w:tc>
          <w:tcPr>
            <w:tcW w:w="5350" w:type="dxa"/>
            <w:tcBorders>
              <w:tl2br w:val="nil"/>
              <w:tr2bl w:val="nil"/>
            </w:tcBorders>
            <w:noWrap w:val="0"/>
            <w:vAlign w:val="center"/>
          </w:tcPr>
          <w:p w14:paraId="3A291CDA">
            <w:pPr>
              <w:pageBreakBefore w:val="0"/>
              <w:wordWrap/>
              <w:bidi w:val="0"/>
              <w:adjustRightInd/>
              <w:snapToGrid/>
              <w:spacing w:line="280" w:lineRule="exact"/>
              <w:ind w:firstLine="0" w:firstLineChars="0"/>
              <w:rPr>
                <w:color w:val="auto"/>
                <w:sz w:val="21"/>
                <w:szCs w:val="21"/>
              </w:rPr>
            </w:pPr>
            <w:r>
              <w:rPr>
                <w:color w:val="auto"/>
                <w:sz w:val="21"/>
                <w:szCs w:val="21"/>
              </w:rPr>
              <w:t>施工废水沉淀、隔油设施；生活污水排入</w:t>
            </w:r>
            <w:r>
              <w:rPr>
                <w:rFonts w:hint="eastAsia"/>
                <w:color w:val="auto"/>
                <w:sz w:val="21"/>
                <w:szCs w:val="21"/>
                <w:lang w:val="en-US" w:eastAsia="zh-CN"/>
              </w:rPr>
              <w:t>曾口镇</w:t>
            </w:r>
            <w:r>
              <w:rPr>
                <w:color w:val="auto"/>
                <w:sz w:val="21"/>
                <w:szCs w:val="21"/>
              </w:rPr>
              <w:t>污水处理厂。</w:t>
            </w:r>
          </w:p>
        </w:tc>
        <w:tc>
          <w:tcPr>
            <w:tcW w:w="1192" w:type="dxa"/>
            <w:tcBorders>
              <w:tl2br w:val="nil"/>
              <w:tr2bl w:val="nil"/>
            </w:tcBorders>
            <w:noWrap w:val="0"/>
            <w:vAlign w:val="center"/>
          </w:tcPr>
          <w:p w14:paraId="00FDCD3C">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256B55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55D36C60">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3DB5B35E">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施工期噪声</w:t>
            </w:r>
          </w:p>
        </w:tc>
        <w:tc>
          <w:tcPr>
            <w:tcW w:w="5350" w:type="dxa"/>
            <w:tcBorders>
              <w:tl2br w:val="nil"/>
              <w:tr2bl w:val="nil"/>
            </w:tcBorders>
            <w:noWrap w:val="0"/>
            <w:vAlign w:val="center"/>
          </w:tcPr>
          <w:p w14:paraId="692220B4">
            <w:pPr>
              <w:pageBreakBefore w:val="0"/>
              <w:wordWrap/>
              <w:bidi w:val="0"/>
              <w:adjustRightInd/>
              <w:snapToGrid/>
              <w:spacing w:line="280" w:lineRule="exact"/>
              <w:ind w:firstLine="0" w:firstLineChars="0"/>
              <w:rPr>
                <w:color w:val="auto"/>
                <w:sz w:val="21"/>
                <w:szCs w:val="21"/>
              </w:rPr>
            </w:pPr>
            <w:r>
              <w:rPr>
                <w:rFonts w:hint="eastAsia"/>
                <w:color w:val="auto"/>
                <w:sz w:val="21"/>
                <w:szCs w:val="21"/>
              </w:rPr>
              <w:t>合理安排施工作业时间，施工机具合理布局</w:t>
            </w:r>
          </w:p>
        </w:tc>
        <w:tc>
          <w:tcPr>
            <w:tcW w:w="1192" w:type="dxa"/>
            <w:tcBorders>
              <w:tl2br w:val="nil"/>
              <w:tr2bl w:val="nil"/>
            </w:tcBorders>
            <w:noWrap w:val="0"/>
            <w:vAlign w:val="center"/>
          </w:tcPr>
          <w:p w14:paraId="362A789A">
            <w:pPr>
              <w:pageBreakBefore w:val="0"/>
              <w:wordWrap/>
              <w:bidi w:val="0"/>
              <w:adjustRightInd/>
              <w:snapToGrid/>
              <w:spacing w:line="28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r>
      <w:tr w14:paraId="557D8B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68F89C14">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78F9FFB8">
            <w:pPr>
              <w:pageBreakBefore w:val="0"/>
              <w:wordWrap/>
              <w:bidi w:val="0"/>
              <w:adjustRightInd/>
              <w:snapToGrid/>
              <w:spacing w:line="280" w:lineRule="exact"/>
              <w:ind w:firstLine="0" w:firstLineChars="0"/>
              <w:jc w:val="center"/>
              <w:rPr>
                <w:rFonts w:hint="default"/>
                <w:color w:val="auto"/>
                <w:sz w:val="21"/>
                <w:szCs w:val="21"/>
                <w:lang w:val="en-US" w:eastAsia="zh-CN"/>
              </w:rPr>
            </w:pPr>
            <w:r>
              <w:rPr>
                <w:rFonts w:hint="eastAsia"/>
                <w:color w:val="auto"/>
                <w:sz w:val="21"/>
                <w:szCs w:val="21"/>
                <w:lang w:val="en-US" w:eastAsia="zh-CN"/>
              </w:rPr>
              <w:t>施工期固废</w:t>
            </w:r>
          </w:p>
        </w:tc>
        <w:tc>
          <w:tcPr>
            <w:tcW w:w="5350" w:type="dxa"/>
            <w:tcBorders>
              <w:tl2br w:val="nil"/>
              <w:tr2bl w:val="nil"/>
            </w:tcBorders>
            <w:noWrap w:val="0"/>
            <w:vAlign w:val="center"/>
          </w:tcPr>
          <w:p w14:paraId="7E6D090A">
            <w:pPr>
              <w:pageBreakBefore w:val="0"/>
              <w:wordWrap/>
              <w:bidi w:val="0"/>
              <w:adjustRightInd/>
              <w:snapToGrid/>
              <w:spacing w:line="280" w:lineRule="exact"/>
              <w:ind w:firstLine="0" w:firstLineChars="0"/>
              <w:rPr>
                <w:rFonts w:hint="default" w:eastAsia="宋体"/>
                <w:color w:val="auto"/>
                <w:sz w:val="21"/>
                <w:szCs w:val="21"/>
                <w:lang w:val="en-US" w:eastAsia="zh-CN"/>
              </w:rPr>
            </w:pPr>
            <w:r>
              <w:rPr>
                <w:rFonts w:hint="eastAsia"/>
                <w:color w:val="auto"/>
                <w:sz w:val="21"/>
                <w:szCs w:val="21"/>
                <w:lang w:val="en-US" w:eastAsia="zh-CN"/>
              </w:rPr>
              <w:t>生活垃圾由市政环卫部门清运，建筑垃圾和废土石方运至政府指定地点。</w:t>
            </w:r>
          </w:p>
        </w:tc>
        <w:tc>
          <w:tcPr>
            <w:tcW w:w="1192" w:type="dxa"/>
            <w:tcBorders>
              <w:tl2br w:val="nil"/>
              <w:tr2bl w:val="nil"/>
            </w:tcBorders>
            <w:noWrap w:val="0"/>
            <w:vAlign w:val="center"/>
          </w:tcPr>
          <w:p w14:paraId="3A5636BC">
            <w:pPr>
              <w:pageBreakBefore w:val="0"/>
              <w:wordWrap/>
              <w:bidi w:val="0"/>
              <w:adjustRightInd/>
              <w:snapToGrid/>
              <w:spacing w:line="280" w:lineRule="exact"/>
              <w:ind w:firstLine="0" w:firstLineChars="0"/>
              <w:jc w:val="center"/>
              <w:rPr>
                <w:rFonts w:hint="default"/>
                <w:color w:val="auto"/>
                <w:sz w:val="21"/>
                <w:szCs w:val="21"/>
                <w:lang w:val="en-US" w:eastAsia="zh-CN"/>
              </w:rPr>
            </w:pPr>
            <w:r>
              <w:rPr>
                <w:rFonts w:hint="eastAsia"/>
                <w:color w:val="auto"/>
                <w:sz w:val="21"/>
                <w:szCs w:val="21"/>
                <w:lang w:val="en-US" w:eastAsia="zh-CN"/>
              </w:rPr>
              <w:t>10</w:t>
            </w:r>
          </w:p>
        </w:tc>
      </w:tr>
      <w:tr w14:paraId="1144FC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6EDB93E">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5A3F6A36">
            <w:pPr>
              <w:pageBreakBefore w:val="0"/>
              <w:wordWrap/>
              <w:bidi w:val="0"/>
              <w:adjustRightInd/>
              <w:snapToGrid/>
              <w:spacing w:line="280" w:lineRule="exact"/>
              <w:ind w:firstLine="0" w:firstLineChars="0"/>
              <w:jc w:val="center"/>
              <w:rPr>
                <w:color w:val="auto"/>
                <w:sz w:val="21"/>
                <w:szCs w:val="21"/>
              </w:rPr>
            </w:pPr>
            <w:r>
              <w:rPr>
                <w:color w:val="auto"/>
                <w:sz w:val="21"/>
                <w:szCs w:val="21"/>
              </w:rPr>
              <w:t>水土流失防治</w:t>
            </w:r>
          </w:p>
        </w:tc>
        <w:tc>
          <w:tcPr>
            <w:tcW w:w="5350" w:type="dxa"/>
            <w:tcBorders>
              <w:tl2br w:val="nil"/>
              <w:tr2bl w:val="nil"/>
            </w:tcBorders>
            <w:noWrap w:val="0"/>
            <w:vAlign w:val="center"/>
          </w:tcPr>
          <w:p w14:paraId="7A1C2D28">
            <w:pPr>
              <w:pageBreakBefore w:val="0"/>
              <w:wordWrap/>
              <w:bidi w:val="0"/>
              <w:adjustRightInd/>
              <w:snapToGrid/>
              <w:spacing w:line="280" w:lineRule="exact"/>
              <w:ind w:firstLine="0" w:firstLineChars="0"/>
              <w:rPr>
                <w:color w:val="auto"/>
                <w:sz w:val="21"/>
                <w:szCs w:val="21"/>
              </w:rPr>
            </w:pPr>
            <w:r>
              <w:rPr>
                <w:rFonts w:hint="eastAsia"/>
                <w:color w:val="auto"/>
                <w:sz w:val="21"/>
                <w:szCs w:val="21"/>
                <w:lang w:eastAsia="zh-CN"/>
              </w:rPr>
              <w:t>挖除</w:t>
            </w:r>
            <w:r>
              <w:rPr>
                <w:color w:val="auto"/>
                <w:sz w:val="21"/>
                <w:szCs w:val="21"/>
              </w:rPr>
              <w:t>土方土工布护栏等。</w:t>
            </w:r>
          </w:p>
        </w:tc>
        <w:tc>
          <w:tcPr>
            <w:tcW w:w="1192" w:type="dxa"/>
            <w:tcBorders>
              <w:tl2br w:val="nil"/>
              <w:tr2bl w:val="nil"/>
            </w:tcBorders>
            <w:noWrap w:val="0"/>
            <w:vAlign w:val="center"/>
          </w:tcPr>
          <w:p w14:paraId="07EA0AB7">
            <w:pPr>
              <w:pageBreakBefore w:val="0"/>
              <w:wordWrap/>
              <w:bidi w:val="0"/>
              <w:adjustRightInd/>
              <w:snapToGrid/>
              <w:spacing w:line="280" w:lineRule="exact"/>
              <w:ind w:firstLine="0" w:firstLineChars="0"/>
              <w:jc w:val="center"/>
              <w:rPr>
                <w:color w:val="auto"/>
                <w:sz w:val="21"/>
                <w:szCs w:val="21"/>
              </w:rPr>
            </w:pPr>
            <w:r>
              <w:rPr>
                <w:color w:val="auto"/>
                <w:sz w:val="21"/>
                <w:szCs w:val="21"/>
              </w:rPr>
              <w:t>20</w:t>
            </w:r>
          </w:p>
        </w:tc>
      </w:tr>
      <w:tr w14:paraId="3B1320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3F99D86B">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67C37FA1">
            <w:pPr>
              <w:pageBreakBefore w:val="0"/>
              <w:wordWrap/>
              <w:bidi w:val="0"/>
              <w:adjustRightInd/>
              <w:snapToGrid/>
              <w:spacing w:line="280" w:lineRule="exact"/>
              <w:ind w:firstLine="0" w:firstLineChars="0"/>
              <w:jc w:val="center"/>
              <w:rPr>
                <w:color w:val="auto"/>
                <w:sz w:val="21"/>
                <w:szCs w:val="21"/>
              </w:rPr>
            </w:pPr>
            <w:r>
              <w:rPr>
                <w:color w:val="auto"/>
                <w:sz w:val="21"/>
                <w:szCs w:val="21"/>
              </w:rPr>
              <w:t>环境监测</w:t>
            </w:r>
          </w:p>
        </w:tc>
        <w:tc>
          <w:tcPr>
            <w:tcW w:w="5350" w:type="dxa"/>
            <w:tcBorders>
              <w:tl2br w:val="nil"/>
              <w:tr2bl w:val="nil"/>
            </w:tcBorders>
            <w:noWrap w:val="0"/>
            <w:vAlign w:val="center"/>
          </w:tcPr>
          <w:p w14:paraId="3E3A8E07">
            <w:pPr>
              <w:pageBreakBefore w:val="0"/>
              <w:wordWrap/>
              <w:bidi w:val="0"/>
              <w:adjustRightInd/>
              <w:snapToGrid/>
              <w:spacing w:line="280" w:lineRule="exact"/>
              <w:ind w:firstLine="0" w:firstLineChars="0"/>
              <w:rPr>
                <w:color w:val="auto"/>
                <w:kern w:val="0"/>
                <w:sz w:val="21"/>
                <w:szCs w:val="21"/>
              </w:rPr>
            </w:pPr>
            <w:r>
              <w:rPr>
                <w:color w:val="auto"/>
                <w:sz w:val="21"/>
                <w:szCs w:val="21"/>
              </w:rPr>
              <w:t>环境空气监测、地表水、地下水、水土流失、噪声监测。</w:t>
            </w:r>
          </w:p>
        </w:tc>
        <w:tc>
          <w:tcPr>
            <w:tcW w:w="1192" w:type="dxa"/>
            <w:tcBorders>
              <w:tl2br w:val="nil"/>
              <w:tr2bl w:val="nil"/>
            </w:tcBorders>
            <w:noWrap w:val="0"/>
            <w:vAlign w:val="center"/>
          </w:tcPr>
          <w:p w14:paraId="4736C50C">
            <w:pPr>
              <w:pStyle w:val="664"/>
              <w:pageBreakBefore w:val="0"/>
              <w:wordWrap/>
              <w:bidi w:val="0"/>
              <w:adjustRightInd/>
              <w:snapToGrid/>
              <w:spacing w:before="0" w:line="280" w:lineRule="exact"/>
              <w:rPr>
                <w:color w:val="auto"/>
                <w:sz w:val="21"/>
                <w:szCs w:val="21"/>
              </w:rPr>
            </w:pPr>
            <w:r>
              <w:rPr>
                <w:color w:val="auto"/>
                <w:sz w:val="21"/>
                <w:szCs w:val="21"/>
              </w:rPr>
              <w:t>20</w:t>
            </w:r>
          </w:p>
        </w:tc>
      </w:tr>
      <w:tr w14:paraId="551D26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72676E6">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36438FE8">
            <w:pPr>
              <w:pageBreakBefore w:val="0"/>
              <w:wordWrap/>
              <w:bidi w:val="0"/>
              <w:adjustRightInd/>
              <w:snapToGrid/>
              <w:spacing w:line="280" w:lineRule="exact"/>
              <w:ind w:firstLine="0" w:firstLineChars="0"/>
              <w:jc w:val="center"/>
              <w:rPr>
                <w:color w:val="auto"/>
                <w:sz w:val="21"/>
                <w:szCs w:val="21"/>
              </w:rPr>
            </w:pPr>
            <w:r>
              <w:rPr>
                <w:color w:val="auto"/>
                <w:sz w:val="21"/>
                <w:szCs w:val="21"/>
              </w:rPr>
              <w:t>环境监理</w:t>
            </w:r>
          </w:p>
        </w:tc>
        <w:tc>
          <w:tcPr>
            <w:tcW w:w="5350" w:type="dxa"/>
            <w:tcBorders>
              <w:tl2br w:val="nil"/>
              <w:tr2bl w:val="nil"/>
            </w:tcBorders>
            <w:noWrap w:val="0"/>
            <w:vAlign w:val="center"/>
          </w:tcPr>
          <w:p w14:paraId="43DB1CEF">
            <w:pPr>
              <w:pageBreakBefore w:val="0"/>
              <w:wordWrap/>
              <w:bidi w:val="0"/>
              <w:adjustRightInd/>
              <w:snapToGrid/>
              <w:spacing w:line="280" w:lineRule="exact"/>
              <w:ind w:firstLine="0" w:firstLineChars="0"/>
              <w:rPr>
                <w:color w:val="auto"/>
                <w:kern w:val="0"/>
                <w:sz w:val="21"/>
                <w:szCs w:val="21"/>
              </w:rPr>
            </w:pPr>
            <w:r>
              <w:rPr>
                <w:color w:val="auto"/>
                <w:sz w:val="21"/>
                <w:szCs w:val="21"/>
              </w:rPr>
              <w:t>环境保护措施执行、落实情况。</w:t>
            </w:r>
          </w:p>
        </w:tc>
        <w:tc>
          <w:tcPr>
            <w:tcW w:w="1192" w:type="dxa"/>
            <w:tcBorders>
              <w:tl2br w:val="nil"/>
              <w:tr2bl w:val="nil"/>
            </w:tcBorders>
            <w:noWrap w:val="0"/>
            <w:vAlign w:val="center"/>
          </w:tcPr>
          <w:p w14:paraId="1FD4404F">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7349C7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restart"/>
            <w:tcBorders>
              <w:tl2br w:val="nil"/>
              <w:tr2bl w:val="nil"/>
            </w:tcBorders>
            <w:noWrap w:val="0"/>
            <w:vAlign w:val="center"/>
          </w:tcPr>
          <w:p w14:paraId="3229E90A">
            <w:pPr>
              <w:pageBreakBefore w:val="0"/>
              <w:wordWrap/>
              <w:bidi w:val="0"/>
              <w:adjustRightInd/>
              <w:snapToGrid/>
              <w:spacing w:line="280" w:lineRule="exact"/>
              <w:ind w:firstLine="0" w:firstLineChars="0"/>
              <w:jc w:val="center"/>
              <w:rPr>
                <w:color w:val="auto"/>
                <w:sz w:val="21"/>
                <w:szCs w:val="21"/>
              </w:rPr>
            </w:pPr>
            <w:r>
              <w:rPr>
                <w:color w:val="auto"/>
                <w:sz w:val="21"/>
                <w:szCs w:val="21"/>
              </w:rPr>
              <w:t>运行期</w:t>
            </w:r>
          </w:p>
        </w:tc>
        <w:tc>
          <w:tcPr>
            <w:tcW w:w="1538" w:type="dxa"/>
            <w:tcBorders>
              <w:tl2br w:val="nil"/>
              <w:tr2bl w:val="nil"/>
            </w:tcBorders>
            <w:noWrap w:val="0"/>
            <w:vAlign w:val="center"/>
          </w:tcPr>
          <w:p w14:paraId="0FB56100">
            <w:pPr>
              <w:pageBreakBefore w:val="0"/>
              <w:wordWrap/>
              <w:bidi w:val="0"/>
              <w:adjustRightInd/>
              <w:snapToGrid/>
              <w:spacing w:line="280" w:lineRule="exact"/>
              <w:ind w:firstLine="0" w:firstLineChars="0"/>
              <w:jc w:val="center"/>
              <w:rPr>
                <w:color w:val="auto"/>
                <w:sz w:val="21"/>
                <w:szCs w:val="21"/>
              </w:rPr>
            </w:pPr>
            <w:r>
              <w:rPr>
                <w:color w:val="auto"/>
                <w:sz w:val="21"/>
                <w:szCs w:val="21"/>
              </w:rPr>
              <w:t>水污染治理措施</w:t>
            </w:r>
          </w:p>
        </w:tc>
        <w:tc>
          <w:tcPr>
            <w:tcW w:w="5350" w:type="dxa"/>
            <w:tcBorders>
              <w:tl2br w:val="nil"/>
              <w:tr2bl w:val="nil"/>
            </w:tcBorders>
            <w:noWrap w:val="0"/>
            <w:vAlign w:val="center"/>
          </w:tcPr>
          <w:p w14:paraId="7BD310FF">
            <w:pPr>
              <w:pageBreakBefore w:val="0"/>
              <w:wordWrap/>
              <w:bidi w:val="0"/>
              <w:adjustRightInd/>
              <w:snapToGrid/>
              <w:spacing w:line="280" w:lineRule="exact"/>
              <w:ind w:firstLine="0" w:firstLineChars="0"/>
              <w:rPr>
                <w:color w:val="auto"/>
                <w:sz w:val="21"/>
                <w:szCs w:val="21"/>
              </w:rPr>
            </w:pPr>
            <w:r>
              <w:rPr>
                <w:color w:val="auto"/>
                <w:sz w:val="21"/>
                <w:szCs w:val="21"/>
              </w:rPr>
              <w:t>经分析，本项目纳污范围内各类污废水和厂区内部排污经收集、预处理，进入本项目拟建废水处理系统，集中处理。同时，预留深度处理设施用地，确保出水达标。</w:t>
            </w:r>
          </w:p>
        </w:tc>
        <w:tc>
          <w:tcPr>
            <w:tcW w:w="1192" w:type="dxa"/>
            <w:tcBorders>
              <w:tl2br w:val="nil"/>
              <w:tr2bl w:val="nil"/>
            </w:tcBorders>
            <w:noWrap w:val="0"/>
            <w:vAlign w:val="center"/>
          </w:tcPr>
          <w:p w14:paraId="02446282">
            <w:pPr>
              <w:pageBreakBefore w:val="0"/>
              <w:wordWrap/>
              <w:bidi w:val="0"/>
              <w:adjustRightInd/>
              <w:snapToGrid/>
              <w:spacing w:line="280" w:lineRule="exact"/>
              <w:ind w:firstLine="0" w:firstLineChars="0"/>
              <w:jc w:val="center"/>
              <w:rPr>
                <w:color w:val="auto"/>
                <w:sz w:val="21"/>
                <w:szCs w:val="21"/>
              </w:rPr>
            </w:pPr>
            <w:r>
              <w:rPr>
                <w:color w:val="auto"/>
                <w:sz w:val="21"/>
                <w:szCs w:val="21"/>
              </w:rPr>
              <w:t>列入主体工程投资</w:t>
            </w:r>
          </w:p>
        </w:tc>
      </w:tr>
      <w:tr w14:paraId="50B2DD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2573F0FF">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5C40CA5B">
            <w:pPr>
              <w:pageBreakBefore w:val="0"/>
              <w:wordWrap/>
              <w:bidi w:val="0"/>
              <w:adjustRightInd/>
              <w:snapToGrid/>
              <w:spacing w:line="280" w:lineRule="exact"/>
              <w:ind w:firstLine="0" w:firstLineChars="0"/>
              <w:jc w:val="center"/>
              <w:rPr>
                <w:color w:val="auto"/>
                <w:sz w:val="21"/>
                <w:szCs w:val="21"/>
              </w:rPr>
            </w:pPr>
            <w:r>
              <w:rPr>
                <w:rFonts w:hint="eastAsia"/>
                <w:color w:val="auto"/>
                <w:sz w:val="21"/>
                <w:szCs w:val="21"/>
                <w:lang w:eastAsia="zh-CN"/>
              </w:rPr>
              <w:t>废气污染治理</w:t>
            </w:r>
          </w:p>
          <w:p w14:paraId="6870377E">
            <w:pPr>
              <w:pageBreakBefore w:val="0"/>
              <w:wordWrap/>
              <w:bidi w:val="0"/>
              <w:adjustRightInd/>
              <w:snapToGrid/>
              <w:spacing w:line="280" w:lineRule="exact"/>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理措施</w:t>
            </w:r>
          </w:p>
        </w:tc>
        <w:tc>
          <w:tcPr>
            <w:tcW w:w="5350" w:type="dxa"/>
            <w:tcBorders>
              <w:tl2br w:val="nil"/>
              <w:tr2bl w:val="nil"/>
            </w:tcBorders>
            <w:noWrap w:val="0"/>
            <w:vAlign w:val="center"/>
          </w:tcPr>
          <w:p w14:paraId="5BAB0249">
            <w:pPr>
              <w:pageBreakBefore w:val="0"/>
              <w:wordWrap/>
              <w:bidi w:val="0"/>
              <w:adjustRightInd/>
              <w:snapToGrid/>
              <w:spacing w:line="280" w:lineRule="exact"/>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新建</w:t>
            </w:r>
            <w:r>
              <w:rPr>
                <w:rFonts w:hint="eastAsia"/>
                <w:color w:val="auto"/>
                <w:sz w:val="21"/>
                <w:szCs w:val="21"/>
                <w:lang w:val="en-US" w:eastAsia="zh-CN"/>
              </w:rPr>
              <w:t>1</w:t>
            </w:r>
            <w:r>
              <w:rPr>
                <w:color w:val="auto"/>
                <w:sz w:val="21"/>
                <w:szCs w:val="21"/>
              </w:rPr>
              <w:t>套生物除臭系统，并对预处理单元、生化处理系统</w:t>
            </w:r>
            <w:r>
              <w:rPr>
                <w:rFonts w:hint="eastAsia"/>
                <w:color w:val="auto"/>
                <w:sz w:val="21"/>
                <w:szCs w:val="21"/>
                <w:lang w:eastAsia="zh-CN"/>
              </w:rPr>
              <w:t>、</w:t>
            </w:r>
            <w:r>
              <w:rPr>
                <w:rFonts w:hint="eastAsia"/>
                <w:color w:val="auto"/>
                <w:sz w:val="21"/>
                <w:szCs w:val="21"/>
                <w:lang w:val="en-US" w:eastAsia="zh-CN"/>
              </w:rPr>
              <w:t>深度处理单元</w:t>
            </w:r>
            <w:r>
              <w:rPr>
                <w:color w:val="auto"/>
                <w:sz w:val="21"/>
                <w:szCs w:val="21"/>
              </w:rPr>
              <w:t>以及污泥处理单元进行加盖、密封，用于恶臭气体的收集（收集率≥95%）、净化处理（去除率95%），尾气经15m排气筒达标排放。同时，加强厂区室内通风，剩余污泥及时清运；本期工程</w:t>
            </w:r>
            <w:r>
              <w:rPr>
                <w:color w:val="auto"/>
                <w:spacing w:val="2"/>
                <w:sz w:val="21"/>
                <w:szCs w:val="21"/>
              </w:rPr>
              <w:t>以主要恶臭源（</w:t>
            </w:r>
            <w:r>
              <w:rPr>
                <w:color w:val="auto"/>
                <w:sz w:val="21"/>
                <w:szCs w:val="21"/>
              </w:rPr>
              <w:t>预处理单元、生化单元、</w:t>
            </w:r>
            <w:r>
              <w:rPr>
                <w:rFonts w:hint="eastAsia"/>
                <w:color w:val="auto"/>
                <w:sz w:val="21"/>
                <w:szCs w:val="21"/>
                <w:lang w:val="en-US" w:eastAsia="zh-CN"/>
              </w:rPr>
              <w:t>深度处理单元、</w:t>
            </w:r>
            <w:r>
              <w:rPr>
                <w:color w:val="auto"/>
                <w:sz w:val="21"/>
                <w:szCs w:val="21"/>
              </w:rPr>
              <w:t>污泥单元等构筑物</w:t>
            </w:r>
            <w:r>
              <w:rPr>
                <w:color w:val="auto"/>
                <w:spacing w:val="2"/>
                <w:sz w:val="21"/>
                <w:szCs w:val="21"/>
              </w:rPr>
              <w:t>）</w:t>
            </w:r>
            <w:r>
              <w:rPr>
                <w:color w:val="auto"/>
                <w:sz w:val="21"/>
                <w:szCs w:val="21"/>
              </w:rPr>
              <w:t>边界为起点向外划定</w:t>
            </w:r>
            <w:r>
              <w:rPr>
                <w:rFonts w:hint="eastAsia"/>
                <w:color w:val="auto"/>
                <w:sz w:val="21"/>
                <w:szCs w:val="21"/>
                <w:lang w:val="en-US" w:eastAsia="zh-CN"/>
              </w:rPr>
              <w:t>5</w:t>
            </w:r>
            <w:r>
              <w:rPr>
                <w:color w:val="auto"/>
                <w:sz w:val="21"/>
                <w:szCs w:val="21"/>
              </w:rPr>
              <w:t>0m的卫生防护距离。同时，针对食堂油烟设置高效油烟净化器，要求处理后的尾气上顶排放，从而降低其环境影响。</w:t>
            </w:r>
          </w:p>
        </w:tc>
        <w:tc>
          <w:tcPr>
            <w:tcW w:w="1192" w:type="dxa"/>
            <w:tcBorders>
              <w:tl2br w:val="nil"/>
              <w:tr2bl w:val="nil"/>
            </w:tcBorders>
            <w:noWrap w:val="0"/>
            <w:vAlign w:val="center"/>
          </w:tcPr>
          <w:p w14:paraId="716263DB">
            <w:pPr>
              <w:pageBreakBefore w:val="0"/>
              <w:wordWrap/>
              <w:bidi w:val="0"/>
              <w:adjustRightInd/>
              <w:snapToGrid/>
              <w:spacing w:line="280" w:lineRule="exact"/>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200</w:t>
            </w:r>
          </w:p>
        </w:tc>
      </w:tr>
      <w:tr w14:paraId="00F001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E2A7640">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0C3B3A07">
            <w:pPr>
              <w:pageBreakBefore w:val="0"/>
              <w:wordWrap/>
              <w:bidi w:val="0"/>
              <w:adjustRightInd/>
              <w:snapToGrid/>
              <w:spacing w:line="280" w:lineRule="exact"/>
              <w:ind w:firstLine="0" w:firstLineChars="0"/>
              <w:jc w:val="center"/>
              <w:rPr>
                <w:color w:val="auto"/>
                <w:sz w:val="21"/>
                <w:szCs w:val="21"/>
              </w:rPr>
            </w:pPr>
            <w:r>
              <w:rPr>
                <w:color w:val="auto"/>
                <w:sz w:val="21"/>
                <w:szCs w:val="21"/>
              </w:rPr>
              <w:t>固体废弃物处理</w:t>
            </w:r>
          </w:p>
        </w:tc>
        <w:tc>
          <w:tcPr>
            <w:tcW w:w="5350" w:type="dxa"/>
            <w:tcBorders>
              <w:tl2br w:val="nil"/>
              <w:tr2bl w:val="nil"/>
            </w:tcBorders>
            <w:noWrap w:val="0"/>
            <w:vAlign w:val="center"/>
          </w:tcPr>
          <w:p w14:paraId="151B2C25">
            <w:pPr>
              <w:pageBreakBefore w:val="0"/>
              <w:wordWrap/>
              <w:bidi w:val="0"/>
              <w:adjustRightInd/>
              <w:snapToGrid/>
              <w:spacing w:line="280" w:lineRule="exact"/>
              <w:ind w:firstLine="0" w:firstLineChars="0"/>
              <w:rPr>
                <w:rFonts w:hint="default" w:eastAsia="宋体"/>
                <w:color w:val="auto"/>
                <w:sz w:val="21"/>
                <w:szCs w:val="21"/>
                <w:lang w:val="en-US" w:eastAsia="zh-CN"/>
              </w:rPr>
            </w:pPr>
            <w:r>
              <w:rPr>
                <w:color w:val="auto"/>
                <w:sz w:val="21"/>
                <w:szCs w:val="21"/>
              </w:rPr>
              <w:t>格栅渣经收集、处理后送地方垃圾填埋场处置；生活垃圾，由市政环卫部门定期清运；污泥经分类收集、脱水处理后，并定期抽检，根据检测结果进行按质处理，同时加强堆棚防渗、防雨设置。</w:t>
            </w:r>
            <w:r>
              <w:rPr>
                <w:rFonts w:hint="eastAsia"/>
                <w:color w:val="auto"/>
                <w:sz w:val="21"/>
                <w:szCs w:val="21"/>
                <w:lang w:val="en-US" w:eastAsia="zh-CN"/>
              </w:rPr>
              <w:t>危险废物分类收集后暂存于危废暂存间，定期交有资质单位处置。</w:t>
            </w:r>
          </w:p>
        </w:tc>
        <w:tc>
          <w:tcPr>
            <w:tcW w:w="1192" w:type="dxa"/>
            <w:tcBorders>
              <w:tl2br w:val="nil"/>
              <w:tr2bl w:val="nil"/>
            </w:tcBorders>
            <w:noWrap w:val="0"/>
            <w:vAlign w:val="center"/>
          </w:tcPr>
          <w:p w14:paraId="5942DB41">
            <w:pPr>
              <w:pageBreakBefore w:val="0"/>
              <w:wordWrap/>
              <w:bidi w:val="0"/>
              <w:adjustRightInd/>
              <w:snapToGrid/>
              <w:spacing w:line="280" w:lineRule="exact"/>
              <w:ind w:firstLine="0" w:firstLineChars="0"/>
              <w:jc w:val="center"/>
              <w:rPr>
                <w:color w:val="auto"/>
                <w:sz w:val="21"/>
                <w:szCs w:val="21"/>
              </w:rPr>
            </w:pPr>
            <w:r>
              <w:rPr>
                <w:color w:val="auto"/>
                <w:sz w:val="21"/>
                <w:szCs w:val="21"/>
              </w:rPr>
              <w:t>50</w:t>
            </w:r>
          </w:p>
        </w:tc>
      </w:tr>
      <w:tr w14:paraId="240B6A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7EFA243">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11B7E46A">
            <w:pPr>
              <w:pageBreakBefore w:val="0"/>
              <w:wordWrap/>
              <w:bidi w:val="0"/>
              <w:adjustRightInd/>
              <w:snapToGrid/>
              <w:spacing w:line="280" w:lineRule="exact"/>
              <w:ind w:firstLine="0" w:firstLineChars="0"/>
              <w:jc w:val="center"/>
              <w:rPr>
                <w:color w:val="auto"/>
                <w:sz w:val="21"/>
                <w:szCs w:val="21"/>
              </w:rPr>
            </w:pPr>
            <w:r>
              <w:rPr>
                <w:color w:val="auto"/>
                <w:sz w:val="21"/>
                <w:szCs w:val="21"/>
              </w:rPr>
              <w:t>噪声治理</w:t>
            </w:r>
          </w:p>
        </w:tc>
        <w:tc>
          <w:tcPr>
            <w:tcW w:w="5350" w:type="dxa"/>
            <w:tcBorders>
              <w:tl2br w:val="nil"/>
              <w:tr2bl w:val="nil"/>
            </w:tcBorders>
            <w:noWrap w:val="0"/>
            <w:vAlign w:val="center"/>
          </w:tcPr>
          <w:p w14:paraId="144A4A53">
            <w:pPr>
              <w:pageBreakBefore w:val="0"/>
              <w:wordWrap/>
              <w:bidi w:val="0"/>
              <w:adjustRightInd/>
              <w:snapToGrid/>
              <w:spacing w:line="280" w:lineRule="exact"/>
              <w:ind w:firstLine="0" w:firstLineChars="0"/>
              <w:rPr>
                <w:color w:val="auto"/>
                <w:sz w:val="21"/>
                <w:szCs w:val="21"/>
              </w:rPr>
            </w:pPr>
            <w:r>
              <w:rPr>
                <w:color w:val="auto"/>
                <w:sz w:val="21"/>
                <w:szCs w:val="21"/>
              </w:rPr>
              <w:t>采用隔声、消声、吸声、减震处理及建筑隔声</w:t>
            </w:r>
          </w:p>
        </w:tc>
        <w:tc>
          <w:tcPr>
            <w:tcW w:w="1192" w:type="dxa"/>
            <w:tcBorders>
              <w:tl2br w:val="nil"/>
              <w:tr2bl w:val="nil"/>
            </w:tcBorders>
            <w:noWrap w:val="0"/>
            <w:vAlign w:val="center"/>
          </w:tcPr>
          <w:p w14:paraId="42D337EE">
            <w:pPr>
              <w:pageBreakBefore w:val="0"/>
              <w:wordWrap/>
              <w:bidi w:val="0"/>
              <w:adjustRightInd/>
              <w:snapToGrid/>
              <w:spacing w:line="280" w:lineRule="exact"/>
              <w:ind w:firstLine="0" w:firstLineChars="0"/>
              <w:jc w:val="center"/>
              <w:rPr>
                <w:color w:val="auto"/>
                <w:sz w:val="21"/>
                <w:szCs w:val="21"/>
              </w:rPr>
            </w:pPr>
            <w:r>
              <w:rPr>
                <w:color w:val="auto"/>
                <w:sz w:val="21"/>
                <w:szCs w:val="21"/>
              </w:rPr>
              <w:t>20</w:t>
            </w:r>
          </w:p>
        </w:tc>
      </w:tr>
      <w:tr w14:paraId="763251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127A4C1E">
            <w:pPr>
              <w:pageBreakBefore w:val="0"/>
              <w:wordWrap/>
              <w:bidi w:val="0"/>
              <w:adjustRightInd/>
              <w:snapToGrid/>
              <w:spacing w:line="280" w:lineRule="exact"/>
              <w:ind w:firstLine="0" w:firstLineChars="0"/>
              <w:jc w:val="center"/>
              <w:rPr>
                <w:color w:val="auto"/>
                <w:sz w:val="21"/>
                <w:szCs w:val="21"/>
              </w:rPr>
            </w:pPr>
          </w:p>
        </w:tc>
        <w:tc>
          <w:tcPr>
            <w:tcW w:w="1538" w:type="dxa"/>
            <w:vMerge w:val="restart"/>
            <w:tcBorders>
              <w:tl2br w:val="nil"/>
              <w:tr2bl w:val="nil"/>
            </w:tcBorders>
            <w:noWrap w:val="0"/>
            <w:vAlign w:val="center"/>
          </w:tcPr>
          <w:p w14:paraId="35E5ED4A">
            <w:pPr>
              <w:pageBreakBefore w:val="0"/>
              <w:wordWrap/>
              <w:bidi w:val="0"/>
              <w:adjustRightInd/>
              <w:snapToGrid/>
              <w:spacing w:line="280" w:lineRule="exact"/>
              <w:ind w:firstLine="0" w:firstLineChars="0"/>
              <w:jc w:val="center"/>
              <w:rPr>
                <w:color w:val="auto"/>
                <w:sz w:val="21"/>
                <w:szCs w:val="21"/>
              </w:rPr>
            </w:pPr>
            <w:r>
              <w:rPr>
                <w:color w:val="auto"/>
                <w:sz w:val="21"/>
                <w:szCs w:val="21"/>
              </w:rPr>
              <w:t>风险防范</w:t>
            </w:r>
          </w:p>
        </w:tc>
        <w:tc>
          <w:tcPr>
            <w:tcW w:w="5350" w:type="dxa"/>
            <w:tcBorders>
              <w:tl2br w:val="nil"/>
              <w:tr2bl w:val="nil"/>
            </w:tcBorders>
            <w:noWrap w:val="0"/>
            <w:vAlign w:val="center"/>
          </w:tcPr>
          <w:p w14:paraId="25A2B763">
            <w:pPr>
              <w:pageBreakBefore w:val="0"/>
              <w:wordWrap/>
              <w:bidi w:val="0"/>
              <w:adjustRightInd/>
              <w:snapToGrid/>
              <w:spacing w:line="280" w:lineRule="exact"/>
              <w:ind w:firstLine="0" w:firstLineChars="0"/>
              <w:rPr>
                <w:color w:val="auto"/>
                <w:sz w:val="21"/>
                <w:szCs w:val="21"/>
              </w:rPr>
            </w:pPr>
            <w:r>
              <w:rPr>
                <w:color w:val="auto"/>
                <w:sz w:val="21"/>
                <w:szCs w:val="21"/>
              </w:rPr>
              <w:t>合理布置总图</w:t>
            </w:r>
            <w:r>
              <w:rPr>
                <w:rFonts w:hint="eastAsia"/>
                <w:color w:val="auto"/>
                <w:sz w:val="21"/>
                <w:szCs w:val="21"/>
                <w:lang w:eastAsia="zh-CN"/>
              </w:rPr>
              <w:t>：</w:t>
            </w:r>
            <w:r>
              <w:rPr>
                <w:color w:val="auto"/>
                <w:sz w:val="21"/>
                <w:szCs w:val="21"/>
              </w:rPr>
              <w:t>应符合GB50178-93、GB50016-2006等有关规定，满足生产工艺要求，保证工艺流程顺畅，管线短捷，有利生产和便于管理，满足安全、卫生、环保、消防等要求。</w:t>
            </w:r>
          </w:p>
        </w:tc>
        <w:tc>
          <w:tcPr>
            <w:tcW w:w="1192" w:type="dxa"/>
            <w:tcBorders>
              <w:tl2br w:val="nil"/>
              <w:tr2bl w:val="nil"/>
            </w:tcBorders>
            <w:noWrap w:val="0"/>
            <w:vAlign w:val="center"/>
          </w:tcPr>
          <w:p w14:paraId="36AEDF61">
            <w:pPr>
              <w:pageBreakBefore w:val="0"/>
              <w:wordWrap/>
              <w:bidi w:val="0"/>
              <w:adjustRightInd/>
              <w:snapToGrid/>
              <w:spacing w:line="280" w:lineRule="exact"/>
              <w:ind w:firstLine="0" w:firstLineChars="0"/>
              <w:jc w:val="center"/>
              <w:rPr>
                <w:color w:val="auto"/>
                <w:sz w:val="21"/>
                <w:szCs w:val="21"/>
              </w:rPr>
            </w:pPr>
            <w:r>
              <w:rPr>
                <w:color w:val="auto"/>
                <w:sz w:val="21"/>
                <w:szCs w:val="21"/>
              </w:rPr>
              <w:t>计入主体工程</w:t>
            </w:r>
          </w:p>
        </w:tc>
      </w:tr>
      <w:tr w14:paraId="2EED2F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15717667">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651E3D5B">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388639F1">
            <w:pPr>
              <w:pageBreakBefore w:val="0"/>
              <w:wordWrap/>
              <w:bidi w:val="0"/>
              <w:adjustRightInd/>
              <w:snapToGrid/>
              <w:spacing w:line="280" w:lineRule="exact"/>
              <w:ind w:firstLine="0" w:firstLineChars="0"/>
              <w:rPr>
                <w:color w:val="auto"/>
                <w:sz w:val="21"/>
                <w:szCs w:val="21"/>
              </w:rPr>
            </w:pPr>
            <w:r>
              <w:rPr>
                <w:color w:val="auto"/>
                <w:sz w:val="21"/>
                <w:szCs w:val="21"/>
              </w:rPr>
              <w:t>制定污水处理厂环境风险应急预案，加强环境管理，区域、部门联动，降低事故排污环境影响</w:t>
            </w:r>
          </w:p>
        </w:tc>
        <w:tc>
          <w:tcPr>
            <w:tcW w:w="1192" w:type="dxa"/>
            <w:tcBorders>
              <w:tl2br w:val="nil"/>
              <w:tr2bl w:val="nil"/>
            </w:tcBorders>
            <w:noWrap w:val="0"/>
            <w:vAlign w:val="center"/>
          </w:tcPr>
          <w:p w14:paraId="14C98DA1">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6A540E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34ED415A">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5027E11E">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71195655">
            <w:pPr>
              <w:pageBreakBefore w:val="0"/>
              <w:wordWrap/>
              <w:bidi w:val="0"/>
              <w:adjustRightInd/>
              <w:snapToGrid/>
              <w:spacing w:line="280" w:lineRule="exact"/>
              <w:ind w:firstLine="0" w:firstLineChars="0"/>
              <w:rPr>
                <w:color w:val="auto"/>
                <w:sz w:val="21"/>
                <w:szCs w:val="21"/>
              </w:rPr>
            </w:pPr>
            <w:r>
              <w:rPr>
                <w:color w:val="auto"/>
                <w:sz w:val="21"/>
                <w:szCs w:val="21"/>
              </w:rPr>
              <w:t>工艺技术和设计安全防范措施、自动控制设计安全防范措施、消防及火灾报警系统、生产管理安全防范措施、对进水水质污染事故防范措施、受洪水冲刷的工程预防措施，例如：采用双电源、设置室外消火栓、各种灭火器材、设置火灾报警系统。</w:t>
            </w:r>
          </w:p>
        </w:tc>
        <w:tc>
          <w:tcPr>
            <w:tcW w:w="1192" w:type="dxa"/>
            <w:tcBorders>
              <w:tl2br w:val="nil"/>
              <w:tr2bl w:val="nil"/>
            </w:tcBorders>
            <w:noWrap w:val="0"/>
            <w:vAlign w:val="center"/>
          </w:tcPr>
          <w:p w14:paraId="09B8FA86">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3454AA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20C7745B">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0ECA99E8">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1B122AAA">
            <w:pPr>
              <w:pageBreakBefore w:val="0"/>
              <w:wordWrap/>
              <w:bidi w:val="0"/>
              <w:adjustRightInd/>
              <w:snapToGrid/>
              <w:spacing w:line="280" w:lineRule="exact"/>
              <w:ind w:firstLine="0" w:firstLineChars="0"/>
              <w:rPr>
                <w:color w:val="auto"/>
                <w:sz w:val="21"/>
                <w:szCs w:val="21"/>
              </w:rPr>
            </w:pPr>
            <w:r>
              <w:rPr>
                <w:color w:val="auto"/>
                <w:sz w:val="21"/>
                <w:szCs w:val="21"/>
              </w:rPr>
              <w:t>进、出水水质自动监测装置及报警装置</w:t>
            </w:r>
          </w:p>
        </w:tc>
        <w:tc>
          <w:tcPr>
            <w:tcW w:w="1192" w:type="dxa"/>
            <w:tcBorders>
              <w:tl2br w:val="nil"/>
              <w:tr2bl w:val="nil"/>
            </w:tcBorders>
            <w:noWrap w:val="0"/>
            <w:vAlign w:val="center"/>
          </w:tcPr>
          <w:p w14:paraId="392927C1">
            <w:pPr>
              <w:pageBreakBefore w:val="0"/>
              <w:wordWrap/>
              <w:bidi w:val="0"/>
              <w:adjustRightInd/>
              <w:snapToGrid/>
              <w:spacing w:line="280" w:lineRule="exact"/>
              <w:ind w:firstLine="0" w:firstLineChars="0"/>
              <w:jc w:val="center"/>
              <w:rPr>
                <w:color w:val="auto"/>
                <w:sz w:val="21"/>
                <w:szCs w:val="21"/>
              </w:rPr>
            </w:pPr>
            <w:r>
              <w:rPr>
                <w:color w:val="auto"/>
                <w:sz w:val="21"/>
                <w:szCs w:val="21"/>
              </w:rPr>
              <w:t>列入在线监测系统、主体工程投资</w:t>
            </w:r>
          </w:p>
        </w:tc>
      </w:tr>
      <w:tr w14:paraId="4B65E3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7AB16176">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5D05478A">
            <w:pPr>
              <w:pageBreakBefore w:val="0"/>
              <w:wordWrap/>
              <w:bidi w:val="0"/>
              <w:adjustRightInd/>
              <w:snapToGrid/>
              <w:spacing w:line="280" w:lineRule="exact"/>
              <w:ind w:firstLine="0" w:firstLineChars="0"/>
              <w:jc w:val="center"/>
              <w:rPr>
                <w:color w:val="auto"/>
                <w:sz w:val="21"/>
                <w:szCs w:val="21"/>
              </w:rPr>
            </w:pPr>
            <w:r>
              <w:rPr>
                <w:color w:val="auto"/>
                <w:sz w:val="21"/>
                <w:szCs w:val="21"/>
              </w:rPr>
              <w:t>厂区绿化</w:t>
            </w:r>
          </w:p>
        </w:tc>
        <w:tc>
          <w:tcPr>
            <w:tcW w:w="5350" w:type="dxa"/>
            <w:tcBorders>
              <w:tl2br w:val="nil"/>
              <w:tr2bl w:val="nil"/>
            </w:tcBorders>
            <w:noWrap w:val="0"/>
            <w:vAlign w:val="center"/>
          </w:tcPr>
          <w:p w14:paraId="2F6C3901">
            <w:pPr>
              <w:pageBreakBefore w:val="0"/>
              <w:wordWrap/>
              <w:bidi w:val="0"/>
              <w:adjustRightInd/>
              <w:snapToGrid/>
              <w:spacing w:line="280" w:lineRule="exact"/>
              <w:ind w:firstLine="0" w:firstLineChars="0"/>
              <w:rPr>
                <w:color w:val="auto"/>
                <w:sz w:val="21"/>
                <w:szCs w:val="21"/>
              </w:rPr>
            </w:pPr>
            <w:r>
              <w:rPr>
                <w:color w:val="auto"/>
                <w:sz w:val="21"/>
                <w:szCs w:val="21"/>
              </w:rPr>
              <w:t>设置绿化隔离带，以高大乔木和灌木相结合，绿化带宽度不应小于5m</w:t>
            </w:r>
          </w:p>
        </w:tc>
        <w:tc>
          <w:tcPr>
            <w:tcW w:w="1192" w:type="dxa"/>
            <w:tcBorders>
              <w:tl2br w:val="nil"/>
              <w:tr2bl w:val="nil"/>
            </w:tcBorders>
            <w:noWrap w:val="0"/>
            <w:vAlign w:val="center"/>
          </w:tcPr>
          <w:p w14:paraId="030B6C69">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576D31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1F9A6220">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4D173ADD">
            <w:pPr>
              <w:pageBreakBefore w:val="0"/>
              <w:wordWrap/>
              <w:bidi w:val="0"/>
              <w:adjustRightInd/>
              <w:snapToGrid/>
              <w:spacing w:line="280" w:lineRule="exact"/>
              <w:ind w:firstLine="0" w:firstLineChars="0"/>
              <w:jc w:val="center"/>
              <w:rPr>
                <w:color w:val="auto"/>
                <w:sz w:val="21"/>
                <w:szCs w:val="21"/>
              </w:rPr>
            </w:pPr>
            <w:r>
              <w:rPr>
                <w:color w:val="auto"/>
                <w:sz w:val="21"/>
                <w:szCs w:val="21"/>
              </w:rPr>
              <w:t>生态恢复</w:t>
            </w:r>
          </w:p>
        </w:tc>
        <w:tc>
          <w:tcPr>
            <w:tcW w:w="5350" w:type="dxa"/>
            <w:tcBorders>
              <w:tl2br w:val="nil"/>
              <w:tr2bl w:val="nil"/>
            </w:tcBorders>
            <w:noWrap w:val="0"/>
            <w:vAlign w:val="center"/>
          </w:tcPr>
          <w:p w14:paraId="74F34506">
            <w:pPr>
              <w:pageBreakBefore w:val="0"/>
              <w:wordWrap/>
              <w:bidi w:val="0"/>
              <w:adjustRightInd/>
              <w:snapToGrid/>
              <w:spacing w:line="280" w:lineRule="exact"/>
              <w:ind w:firstLine="0" w:firstLineChars="0"/>
              <w:rPr>
                <w:color w:val="auto"/>
                <w:sz w:val="21"/>
                <w:szCs w:val="21"/>
              </w:rPr>
            </w:pPr>
            <w:r>
              <w:rPr>
                <w:color w:val="auto"/>
                <w:sz w:val="21"/>
                <w:szCs w:val="21"/>
              </w:rPr>
              <w:t>污水管网沿线生态恢复（覆土绿化）</w:t>
            </w:r>
          </w:p>
        </w:tc>
        <w:tc>
          <w:tcPr>
            <w:tcW w:w="1192" w:type="dxa"/>
            <w:tcBorders>
              <w:tl2br w:val="nil"/>
              <w:tr2bl w:val="nil"/>
            </w:tcBorders>
            <w:noWrap w:val="0"/>
            <w:vAlign w:val="center"/>
          </w:tcPr>
          <w:p w14:paraId="020FCB28">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5A96AB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0AF369B">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74292930">
            <w:pPr>
              <w:pageBreakBefore w:val="0"/>
              <w:wordWrap/>
              <w:bidi w:val="0"/>
              <w:adjustRightInd/>
              <w:snapToGrid/>
              <w:spacing w:line="280" w:lineRule="exact"/>
              <w:ind w:firstLine="0" w:firstLineChars="0"/>
              <w:jc w:val="center"/>
              <w:rPr>
                <w:color w:val="auto"/>
                <w:sz w:val="21"/>
                <w:szCs w:val="21"/>
              </w:rPr>
            </w:pPr>
            <w:r>
              <w:rPr>
                <w:color w:val="auto"/>
                <w:sz w:val="21"/>
                <w:szCs w:val="21"/>
              </w:rPr>
              <w:t>环境管理</w:t>
            </w:r>
          </w:p>
        </w:tc>
        <w:tc>
          <w:tcPr>
            <w:tcW w:w="5350" w:type="dxa"/>
            <w:tcBorders>
              <w:tl2br w:val="nil"/>
              <w:tr2bl w:val="nil"/>
            </w:tcBorders>
            <w:noWrap w:val="0"/>
            <w:vAlign w:val="center"/>
          </w:tcPr>
          <w:p w14:paraId="5FE2C6D2">
            <w:pPr>
              <w:pageBreakBefore w:val="0"/>
              <w:wordWrap/>
              <w:bidi w:val="0"/>
              <w:adjustRightInd/>
              <w:snapToGrid/>
              <w:spacing w:line="280" w:lineRule="exact"/>
              <w:ind w:firstLine="0" w:firstLineChars="0"/>
              <w:rPr>
                <w:color w:val="auto"/>
                <w:sz w:val="21"/>
                <w:szCs w:val="21"/>
              </w:rPr>
            </w:pPr>
            <w:r>
              <w:rPr>
                <w:rFonts w:hint="eastAsia"/>
                <w:color w:val="auto"/>
                <w:sz w:val="21"/>
                <w:szCs w:val="21"/>
                <w:lang w:eastAsia="zh-CN"/>
              </w:rPr>
              <w:t>污水处理厂</w:t>
            </w:r>
            <w:r>
              <w:rPr>
                <w:color w:val="auto"/>
                <w:sz w:val="21"/>
                <w:szCs w:val="21"/>
              </w:rPr>
              <w:t>进出水在线监测系统（pH、COD、NH</w:t>
            </w:r>
            <w:r>
              <w:rPr>
                <w:color w:val="auto"/>
                <w:sz w:val="21"/>
                <w:szCs w:val="21"/>
                <w:vertAlign w:val="subscript"/>
              </w:rPr>
              <w:t>3</w:t>
            </w:r>
            <w:r>
              <w:rPr>
                <w:color w:val="auto"/>
                <w:sz w:val="21"/>
                <w:szCs w:val="21"/>
              </w:rPr>
              <w:t>-N、TN、TP、</w:t>
            </w:r>
            <w:r>
              <w:rPr>
                <w:rFonts w:hint="eastAsia"/>
                <w:color w:val="auto"/>
                <w:sz w:val="21"/>
                <w:szCs w:val="21"/>
                <w:lang w:val="en-US" w:eastAsia="zh-CN"/>
              </w:rPr>
              <w:t>石油类、甲醛</w:t>
            </w:r>
            <w:r>
              <w:rPr>
                <w:color w:val="auto"/>
                <w:sz w:val="21"/>
                <w:szCs w:val="21"/>
              </w:rPr>
              <w:t>等）</w:t>
            </w:r>
          </w:p>
        </w:tc>
        <w:tc>
          <w:tcPr>
            <w:tcW w:w="1192" w:type="dxa"/>
            <w:tcBorders>
              <w:tl2br w:val="nil"/>
              <w:tr2bl w:val="nil"/>
            </w:tcBorders>
            <w:noWrap w:val="0"/>
            <w:vAlign w:val="center"/>
          </w:tcPr>
          <w:p w14:paraId="7F754E13">
            <w:pPr>
              <w:pageBreakBefore w:val="0"/>
              <w:wordWrap/>
              <w:bidi w:val="0"/>
              <w:adjustRightInd/>
              <w:snapToGrid/>
              <w:spacing w:line="280" w:lineRule="exact"/>
              <w:ind w:firstLine="0" w:firstLineChars="0"/>
              <w:jc w:val="center"/>
              <w:rPr>
                <w:color w:val="auto"/>
                <w:sz w:val="21"/>
                <w:szCs w:val="21"/>
              </w:rPr>
            </w:pPr>
            <w:r>
              <w:rPr>
                <w:color w:val="auto"/>
                <w:sz w:val="21"/>
                <w:szCs w:val="21"/>
              </w:rPr>
              <w:t>50</w:t>
            </w:r>
          </w:p>
        </w:tc>
      </w:tr>
      <w:tr w14:paraId="0600E2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594" w:type="dxa"/>
            <w:gridSpan w:val="3"/>
            <w:tcBorders>
              <w:tl2br w:val="nil"/>
              <w:tr2bl w:val="nil"/>
            </w:tcBorders>
            <w:noWrap w:val="0"/>
            <w:vAlign w:val="center"/>
          </w:tcPr>
          <w:p w14:paraId="7D7FD18E">
            <w:pPr>
              <w:pageBreakBefore w:val="0"/>
              <w:wordWrap/>
              <w:bidi w:val="0"/>
              <w:adjustRightInd/>
              <w:snapToGrid/>
              <w:spacing w:line="280" w:lineRule="exact"/>
              <w:ind w:firstLine="0" w:firstLineChars="0"/>
              <w:jc w:val="center"/>
              <w:rPr>
                <w:color w:val="auto"/>
                <w:sz w:val="21"/>
                <w:szCs w:val="21"/>
              </w:rPr>
            </w:pPr>
            <w:r>
              <w:rPr>
                <w:color w:val="auto"/>
                <w:sz w:val="21"/>
                <w:szCs w:val="21"/>
              </w:rPr>
              <w:t>合计</w:t>
            </w:r>
          </w:p>
        </w:tc>
        <w:tc>
          <w:tcPr>
            <w:tcW w:w="1192" w:type="dxa"/>
            <w:tcBorders>
              <w:tl2br w:val="nil"/>
              <w:tr2bl w:val="nil"/>
            </w:tcBorders>
            <w:noWrap w:val="0"/>
            <w:vAlign w:val="center"/>
          </w:tcPr>
          <w:p w14:paraId="65FD2F63">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500</w:t>
            </w:r>
          </w:p>
        </w:tc>
      </w:tr>
    </w:tbl>
    <w:p w14:paraId="2740E673">
      <w:pPr>
        <w:pStyle w:val="4"/>
        <w:pageBreakBefore w:val="0"/>
        <w:wordWrap/>
        <w:bidi w:val="0"/>
        <w:adjustRightInd/>
        <w:snapToGrid/>
        <w:rPr>
          <w:rFonts w:ascii="Times New Roman" w:hAnsi="Times New Roman" w:eastAsia="宋体"/>
          <w:color w:val="auto"/>
        </w:rPr>
      </w:pPr>
      <w:bookmarkStart w:id="239" w:name="_Toc30213"/>
      <w:r>
        <w:rPr>
          <w:rFonts w:hint="eastAsia" w:ascii="Times New Roman" w:hAnsi="Times New Roman" w:eastAsia="宋体"/>
          <w:color w:val="auto"/>
        </w:rPr>
        <w:t xml:space="preserve"> </w:t>
      </w:r>
      <w:bookmarkStart w:id="240" w:name="_Toc17364"/>
      <w:r>
        <w:rPr>
          <w:rFonts w:ascii="Times New Roman" w:hAnsi="Times New Roman" w:eastAsia="宋体"/>
          <w:color w:val="auto"/>
        </w:rPr>
        <w:t>环保治理措施技术、经济评述结论</w:t>
      </w:r>
      <w:bookmarkEnd w:id="239"/>
      <w:bookmarkEnd w:id="240"/>
    </w:p>
    <w:p w14:paraId="3D62AEE1">
      <w:pPr>
        <w:pageBreakBefore w:val="0"/>
        <w:wordWrap/>
        <w:bidi w:val="0"/>
        <w:adjustRightInd/>
        <w:snapToGrid/>
        <w:ind w:firstLine="480"/>
        <w:jc w:val="left"/>
        <w:rPr>
          <w:color w:val="auto"/>
        </w:rPr>
      </w:pPr>
      <w:r>
        <w:rPr>
          <w:color w:val="auto"/>
        </w:rPr>
        <w:t>在经过对建设单位提出的三废治理措施进行技术经济分析之后，建设单位提出的三废治理措施总体上是可行的。</w:t>
      </w:r>
    </w:p>
    <w:p w14:paraId="21338EBA">
      <w:pPr>
        <w:pageBreakBefore w:val="0"/>
        <w:wordWrap/>
        <w:bidi w:val="0"/>
        <w:adjustRightInd/>
        <w:snapToGrid/>
        <w:ind w:firstLine="480"/>
        <w:rPr>
          <w:color w:val="auto"/>
        </w:rPr>
      </w:pPr>
      <w:r>
        <w:rPr>
          <w:color w:val="auto"/>
        </w:rPr>
        <w:t>环保治理设施的总建设费用为</w:t>
      </w:r>
      <w:r>
        <w:rPr>
          <w:rFonts w:hint="eastAsia"/>
          <w:color w:val="auto"/>
          <w:lang w:eastAsia="zh-CN"/>
        </w:rPr>
        <w:t>500万元</w:t>
      </w:r>
      <w:r>
        <w:rPr>
          <w:color w:val="auto"/>
        </w:rPr>
        <w:t>人民币，占项目总投资的</w:t>
      </w:r>
      <w:r>
        <w:rPr>
          <w:rFonts w:hint="eastAsia"/>
          <w:color w:val="auto"/>
          <w:lang w:eastAsia="zh-CN"/>
        </w:rPr>
        <w:t>1.28%</w:t>
      </w:r>
      <w:r>
        <w:rPr>
          <w:color w:val="auto"/>
        </w:rPr>
        <w:t>，在经济上是可行的。</w:t>
      </w:r>
    </w:p>
    <w:p w14:paraId="12F4DDB7">
      <w:pPr>
        <w:pageBreakBefore w:val="0"/>
        <w:wordWrap/>
        <w:bidi w:val="0"/>
        <w:adjustRightInd/>
        <w:snapToGrid/>
        <w:ind w:firstLine="480"/>
        <w:rPr>
          <w:color w:val="auto"/>
        </w:rPr>
      </w:pPr>
      <w:r>
        <w:rPr>
          <w:color w:val="auto"/>
        </w:rPr>
        <w:t>总结前面各章节的分析结果，可以认为，本项目所采取的</w:t>
      </w:r>
      <w:r>
        <w:rPr>
          <w:rFonts w:hint="eastAsia"/>
          <w:color w:val="auto"/>
          <w:lang w:eastAsia="zh-CN"/>
        </w:rPr>
        <w:t>“</w:t>
      </w:r>
      <w:r>
        <w:rPr>
          <w:color w:val="auto"/>
        </w:rPr>
        <w:t>三废</w:t>
      </w:r>
      <w:r>
        <w:rPr>
          <w:rFonts w:hint="eastAsia"/>
          <w:color w:val="auto"/>
          <w:lang w:eastAsia="zh-CN"/>
        </w:rPr>
        <w:t>”</w:t>
      </w:r>
      <w:r>
        <w:rPr>
          <w:color w:val="auto"/>
        </w:rPr>
        <w:t>污染源治理措施，从同类型污水处理厂的长期运行效果看，其</w:t>
      </w:r>
      <w:r>
        <w:rPr>
          <w:rFonts w:hint="eastAsia"/>
          <w:color w:val="auto"/>
          <w:lang w:eastAsia="zh-CN"/>
        </w:rPr>
        <w:t>“</w:t>
      </w:r>
      <w:r>
        <w:rPr>
          <w:color w:val="auto"/>
        </w:rPr>
        <w:t>三废</w:t>
      </w:r>
      <w:r>
        <w:rPr>
          <w:rFonts w:hint="eastAsia"/>
          <w:color w:val="auto"/>
          <w:lang w:eastAsia="zh-CN"/>
        </w:rPr>
        <w:t>”</w:t>
      </w:r>
      <w:r>
        <w:rPr>
          <w:color w:val="auto"/>
        </w:rPr>
        <w:t>治理措施技术是先进的，治理效果是好的，操作管理和维护维修是方便的，运行费用低廉，所获得的环境效益和经济效益较好。只要建设单位在今后的生产运行中，强化环境保护管理工作，尤其是做好废水、废气和废渣治理设施的管理工作，本项目所采取的环境保护措施经济合理，它既能达到发展生产的目的，又能达到设计要求做到达标排放和保护好环境的目的。</w:t>
      </w:r>
    </w:p>
    <w:p w14:paraId="7A189397">
      <w:pPr>
        <w:pageBreakBefore w:val="0"/>
        <w:wordWrap/>
        <w:bidi w:val="0"/>
        <w:adjustRightInd/>
        <w:snapToGrid/>
        <w:spacing w:line="300" w:lineRule="auto"/>
        <w:ind w:firstLine="440"/>
        <w:jc w:val="left"/>
        <w:rPr>
          <w:color w:val="auto"/>
          <w:kern w:val="0"/>
          <w:sz w:val="22"/>
        </w:rPr>
      </w:pPr>
    </w:p>
    <w:p w14:paraId="58E77255">
      <w:pPr>
        <w:keepNext/>
        <w:keepLines/>
        <w:pageBreakBefore w:val="0"/>
        <w:wordWrap/>
        <w:bidi w:val="0"/>
        <w:adjustRightInd/>
        <w:snapToGrid/>
        <w:spacing w:before="340" w:after="240"/>
        <w:ind w:firstLine="880"/>
        <w:jc w:val="center"/>
        <w:outlineLvl w:val="0"/>
        <w:rPr>
          <w:bCs/>
          <w:color w:val="auto"/>
          <w:kern w:val="44"/>
          <w:sz w:val="44"/>
          <w:szCs w:val="44"/>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2C73C137">
      <w:pPr>
        <w:pStyle w:val="3"/>
        <w:pageBreakBefore w:val="0"/>
        <w:wordWrap/>
        <w:bidi w:val="0"/>
        <w:adjustRightInd/>
        <w:snapToGrid/>
        <w:rPr>
          <w:rFonts w:eastAsia="宋体"/>
          <w:color w:val="auto"/>
        </w:rPr>
      </w:pPr>
      <w:bookmarkStart w:id="241" w:name="_Toc505087376"/>
      <w:bookmarkStart w:id="242" w:name="_Toc26672"/>
      <w:r>
        <w:rPr>
          <w:rFonts w:hint="eastAsia" w:eastAsia="宋体"/>
          <w:color w:val="auto"/>
          <w:lang w:val="en-US" w:eastAsia="zh-CN"/>
        </w:rPr>
        <w:t xml:space="preserve"> </w:t>
      </w:r>
      <w:bookmarkStart w:id="243" w:name="_Toc8698"/>
      <w:r>
        <w:rPr>
          <w:rFonts w:eastAsia="宋体"/>
          <w:color w:val="auto"/>
        </w:rPr>
        <w:t>环境影响经济损益分析</w:t>
      </w:r>
      <w:bookmarkEnd w:id="237"/>
      <w:bookmarkEnd w:id="238"/>
      <w:bookmarkEnd w:id="241"/>
      <w:bookmarkEnd w:id="242"/>
      <w:bookmarkEnd w:id="243"/>
    </w:p>
    <w:p w14:paraId="5341AA86">
      <w:pPr>
        <w:pageBreakBefore w:val="0"/>
        <w:wordWrap/>
        <w:bidi w:val="0"/>
        <w:adjustRightInd/>
        <w:snapToGrid/>
        <w:ind w:firstLine="480"/>
        <w:rPr>
          <w:color w:val="auto"/>
        </w:rPr>
      </w:pPr>
      <w:bookmarkStart w:id="244" w:name="_Toc235514137"/>
      <w:bookmarkStart w:id="245" w:name="_Toc6894"/>
      <w:bookmarkStart w:id="246" w:name="_Toc374627836"/>
      <w:bookmarkStart w:id="247" w:name="_Toc351714425"/>
      <w:bookmarkStart w:id="248" w:name="_Toc237332832"/>
      <w:bookmarkStart w:id="249" w:name="_Toc505087377"/>
      <w:r>
        <w:rPr>
          <w:rFonts w:hint="eastAsia"/>
          <w:color w:val="auto"/>
        </w:rPr>
        <w:t>环境影响经济损益分析</w:t>
      </w:r>
      <w:r>
        <w:rPr>
          <w:rFonts w:hint="eastAsia"/>
          <w:color w:val="auto"/>
          <w:lang w:eastAsia="zh-CN"/>
        </w:rPr>
        <w:t>即</w:t>
      </w:r>
      <w:r>
        <w:rPr>
          <w:rFonts w:hint="eastAsia"/>
          <w:color w:val="auto"/>
        </w:rPr>
        <w:t>针对项目的性质和当地的具体情况，确定环境影响因子，从而对项目环境影响范围内的环境影响总体作出经济评价。因此环境影响经济损益分析的重点，是对工程的主要环境影响因子作出投资费用和经济损益的评价。本项目为污水处理厂工程，属环境正效益项目</w:t>
      </w:r>
      <w:r>
        <w:rPr>
          <w:color w:val="auto"/>
        </w:rPr>
        <w:t>。</w:t>
      </w:r>
    </w:p>
    <w:bookmarkEnd w:id="244"/>
    <w:bookmarkEnd w:id="245"/>
    <w:bookmarkEnd w:id="246"/>
    <w:bookmarkEnd w:id="247"/>
    <w:bookmarkEnd w:id="248"/>
    <w:bookmarkEnd w:id="249"/>
    <w:p w14:paraId="49DA847B">
      <w:pPr>
        <w:pStyle w:val="4"/>
        <w:pageBreakBefore w:val="0"/>
        <w:wordWrap/>
        <w:bidi w:val="0"/>
        <w:adjustRightInd/>
        <w:snapToGrid/>
        <w:rPr>
          <w:rFonts w:ascii="Times New Roman" w:hAnsi="Times New Roman" w:eastAsia="宋体"/>
          <w:color w:val="auto"/>
        </w:rPr>
      </w:pPr>
      <w:bookmarkStart w:id="250" w:name="_Toc32749"/>
      <w:bookmarkStart w:id="251" w:name="_Toc362082765"/>
      <w:bookmarkStart w:id="252" w:name="_Toc374627833"/>
      <w:bookmarkStart w:id="253" w:name="_Toc20134"/>
      <w:bookmarkStart w:id="254" w:name="_Toc505087378"/>
      <w:bookmarkStart w:id="255" w:name="_Toc362082768"/>
      <w:bookmarkStart w:id="256" w:name="_Toc374627840"/>
      <w:bookmarkStart w:id="257" w:name="_Toc29119"/>
      <w:r>
        <w:rPr>
          <w:rFonts w:hint="eastAsia" w:ascii="Times New Roman" w:hAnsi="Times New Roman" w:eastAsia="宋体"/>
          <w:color w:val="auto"/>
        </w:rPr>
        <w:t xml:space="preserve"> </w:t>
      </w:r>
      <w:bookmarkStart w:id="258" w:name="_Toc1113"/>
      <w:r>
        <w:rPr>
          <w:rFonts w:ascii="Times New Roman" w:hAnsi="Times New Roman" w:eastAsia="宋体"/>
          <w:color w:val="auto"/>
        </w:rPr>
        <w:t>环境影响经济损益分析方法</w:t>
      </w:r>
      <w:bookmarkEnd w:id="250"/>
      <w:bookmarkEnd w:id="251"/>
      <w:bookmarkEnd w:id="252"/>
      <w:bookmarkEnd w:id="253"/>
      <w:bookmarkEnd w:id="254"/>
      <w:bookmarkEnd w:id="258"/>
    </w:p>
    <w:p w14:paraId="7AE65204">
      <w:pPr>
        <w:pageBreakBefore w:val="0"/>
        <w:wordWrap/>
        <w:bidi w:val="0"/>
        <w:adjustRightInd/>
        <w:snapToGrid/>
        <w:ind w:firstLine="480"/>
        <w:rPr>
          <w:color w:val="auto"/>
        </w:rPr>
      </w:pPr>
      <w:r>
        <w:rPr>
          <w:color w:val="auto"/>
        </w:rPr>
        <w:t>环境经济损益分析是建设项目环境影响评价的一个重要组成部分，它是综合评价判断建设项目的环保投资是否能够补偿或多大程度上补偿了由此可能造成的环境损失的重要依据。环境经济损益分析与工程经济分析不同，除了需计算用于治理、控制污染所需的投资和费用外，还要同时核算可能收到的环境经济效益、社会环境效益和环境污染损失，通过对建设项目环境的经济损益分析，综合反映项目开发建设的社会环境效益和环境经济效益。</w:t>
      </w:r>
    </w:p>
    <w:p w14:paraId="2583D8BD">
      <w:pPr>
        <w:pStyle w:val="4"/>
        <w:pageBreakBefore w:val="0"/>
        <w:wordWrap/>
        <w:bidi w:val="0"/>
        <w:adjustRightInd/>
        <w:snapToGrid/>
        <w:rPr>
          <w:rFonts w:ascii="Times New Roman" w:hAnsi="Times New Roman" w:eastAsia="宋体"/>
          <w:color w:val="auto"/>
        </w:rPr>
      </w:pPr>
      <w:bookmarkStart w:id="259" w:name="_Toc17865"/>
      <w:bookmarkStart w:id="260" w:name="_Toc505087379"/>
      <w:r>
        <w:rPr>
          <w:rFonts w:hint="eastAsia" w:ascii="Times New Roman" w:hAnsi="Times New Roman" w:eastAsia="宋体"/>
          <w:color w:val="auto"/>
        </w:rPr>
        <w:t xml:space="preserve"> </w:t>
      </w:r>
      <w:bookmarkStart w:id="261" w:name="_Toc628"/>
      <w:r>
        <w:rPr>
          <w:rFonts w:ascii="Times New Roman" w:hAnsi="Times New Roman" w:eastAsia="宋体"/>
          <w:color w:val="auto"/>
        </w:rPr>
        <w:t>项目环境效益</w:t>
      </w:r>
      <w:bookmarkEnd w:id="255"/>
      <w:bookmarkEnd w:id="256"/>
      <w:bookmarkEnd w:id="257"/>
      <w:bookmarkEnd w:id="259"/>
      <w:bookmarkEnd w:id="260"/>
      <w:bookmarkEnd w:id="261"/>
    </w:p>
    <w:p w14:paraId="234B3A1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社会效益</w:t>
      </w:r>
    </w:p>
    <w:p w14:paraId="05B6AE4C">
      <w:pPr>
        <w:pageBreakBefore w:val="0"/>
        <w:wordWrap/>
        <w:bidi w:val="0"/>
        <w:adjustRightInd/>
        <w:snapToGrid/>
        <w:ind w:firstLine="480"/>
        <w:rPr>
          <w:color w:val="auto"/>
        </w:rPr>
      </w:pPr>
      <w:r>
        <w:rPr>
          <w:color w:val="auto"/>
        </w:rPr>
        <w:t>污水处理厂的建设是城镇基础设施的一部分，以服务社会为主要目的，建成后将完善（郫都区、</w:t>
      </w:r>
      <w:r>
        <w:rPr>
          <w:rFonts w:hint="eastAsia"/>
          <w:color w:val="auto"/>
          <w:lang w:eastAsia="zh-CN"/>
        </w:rPr>
        <w:t>巴州区</w:t>
      </w:r>
      <w:r>
        <w:rPr>
          <w:color w:val="auto"/>
        </w:rPr>
        <w:t>）区域排水设施的建设，解决郫都区、</w:t>
      </w:r>
      <w:r>
        <w:rPr>
          <w:rFonts w:hint="eastAsia"/>
          <w:color w:val="auto"/>
          <w:lang w:eastAsia="zh-CN"/>
        </w:rPr>
        <w:t>巴州区</w:t>
      </w:r>
      <w:r>
        <w:rPr>
          <w:color w:val="auto"/>
        </w:rPr>
        <w:t>的水污染问题，将明显提高该地区的环境质量，改善投资环境，对外商更具吸引力，保证经济的可持续发展。做到经济建设、城乡建设、环境建设同步规划、同步实施、同步发展。同时有利于治理污染，改善水质，保护生态环境，促进居民身心健康。</w:t>
      </w:r>
    </w:p>
    <w:p w14:paraId="14C189DA">
      <w:pPr>
        <w:pageBreakBefore w:val="0"/>
        <w:wordWrap/>
        <w:bidi w:val="0"/>
        <w:adjustRightInd/>
        <w:snapToGrid/>
        <w:ind w:firstLine="480"/>
        <w:rPr>
          <w:color w:val="auto"/>
        </w:rPr>
      </w:pPr>
      <w:r>
        <w:rPr>
          <w:color w:val="auto"/>
        </w:rPr>
        <w:t>建设单位（或运营单位）实行基层员工本地化，对缓解当地的就业压力，增加社会安定因素起到了积极作用。公司经济效益良好，在生产过程中产生的污染物能得到有效控制，不会对周围居民及社会环境造成不良影响。</w:t>
      </w:r>
    </w:p>
    <w:p w14:paraId="55839E9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环境效益</w:t>
      </w:r>
    </w:p>
    <w:p w14:paraId="0C791A3C">
      <w:pPr>
        <w:pageBreakBefore w:val="0"/>
        <w:wordWrap/>
        <w:bidi w:val="0"/>
        <w:adjustRightInd/>
        <w:snapToGrid/>
        <w:ind w:firstLine="480"/>
        <w:rPr>
          <w:color w:val="auto"/>
          <w:kern w:val="0"/>
          <w:szCs w:val="21"/>
        </w:rPr>
      </w:pPr>
      <w:r>
        <w:rPr>
          <w:color w:val="auto"/>
        </w:rPr>
        <w:t>本项目建成后，废水处理规模为</w:t>
      </w:r>
      <w:r>
        <w:rPr>
          <w:rFonts w:hint="eastAsia"/>
          <w:color w:val="auto"/>
          <w:lang w:val="en-US" w:eastAsia="zh-CN"/>
        </w:rPr>
        <w:t>0.3</w:t>
      </w:r>
      <w:r>
        <w:rPr>
          <w:color w:val="auto"/>
        </w:rPr>
        <w:t>万t/a，</w:t>
      </w:r>
      <w:r>
        <w:rPr>
          <w:rFonts w:hint="eastAsia"/>
          <w:color w:val="auto"/>
        </w:rPr>
        <w:t>项目排水执行《城镇污水处理厂污染物排放标准》（GB18918-2002）一级A标准。</w:t>
      </w:r>
    </w:p>
    <w:p w14:paraId="4A4AF84D">
      <w:pPr>
        <w:pStyle w:val="13"/>
        <w:pageBreakBefore w:val="0"/>
        <w:numPr>
          <w:ilvl w:val="0"/>
          <w:numId w:val="38"/>
        </w:numPr>
        <w:wordWrap/>
        <w:bidi w:val="0"/>
        <w:adjustRightInd/>
        <w:snapToGrid/>
        <w:ind w:left="0" w:leftChars="0" w:firstLine="0" w:firstLineChars="0"/>
        <w:rPr>
          <w:color w:val="auto"/>
        </w:rPr>
      </w:pPr>
      <w:r>
        <w:rPr>
          <w:color w:val="auto"/>
        </w:rPr>
        <w:t>项目建成前后污染物入河量及削减情况</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85"/>
        <w:gridCol w:w="870"/>
        <w:gridCol w:w="1125"/>
        <w:gridCol w:w="660"/>
        <w:gridCol w:w="750"/>
        <w:gridCol w:w="735"/>
        <w:gridCol w:w="660"/>
        <w:gridCol w:w="690"/>
        <w:gridCol w:w="660"/>
        <w:gridCol w:w="645"/>
        <w:gridCol w:w="705"/>
        <w:gridCol w:w="501"/>
      </w:tblGrid>
      <w:tr w14:paraId="77CFC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23B0E8D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处理对象</w:t>
            </w:r>
          </w:p>
        </w:tc>
        <w:tc>
          <w:tcPr>
            <w:tcW w:w="1995" w:type="dxa"/>
            <w:gridSpan w:val="2"/>
            <w:vMerge w:val="restart"/>
            <w:tcBorders>
              <w:tl2br w:val="nil"/>
              <w:tr2bl w:val="nil"/>
            </w:tcBorders>
            <w:noWrap w:val="0"/>
            <w:vAlign w:val="center"/>
          </w:tcPr>
          <w:p w14:paraId="6201157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水污染物</w:t>
            </w:r>
          </w:p>
        </w:tc>
        <w:tc>
          <w:tcPr>
            <w:tcW w:w="660" w:type="dxa"/>
            <w:vMerge w:val="restart"/>
            <w:tcBorders>
              <w:tl2br w:val="nil"/>
              <w:tr2bl w:val="nil"/>
            </w:tcBorders>
            <w:noWrap w:val="0"/>
            <w:vAlign w:val="center"/>
          </w:tcPr>
          <w:p w14:paraId="77F4B715">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5346" w:type="dxa"/>
            <w:gridSpan w:val="8"/>
            <w:tcBorders>
              <w:tl2br w:val="nil"/>
              <w:tr2bl w:val="nil"/>
            </w:tcBorders>
            <w:noWrap w:val="0"/>
            <w:vAlign w:val="center"/>
          </w:tcPr>
          <w:p w14:paraId="7CCECCA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主要污染物指标</w:t>
            </w:r>
          </w:p>
        </w:tc>
      </w:tr>
      <w:tr w14:paraId="2E595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05C0CAC9">
            <w:pPr>
              <w:pageBreakBefore w:val="0"/>
              <w:wordWrap/>
              <w:bidi w:val="0"/>
              <w:adjustRightInd/>
              <w:snapToGrid/>
              <w:spacing w:line="240" w:lineRule="auto"/>
              <w:ind w:firstLine="0" w:firstLineChars="0"/>
              <w:jc w:val="center"/>
              <w:rPr>
                <w:b/>
                <w:bCs/>
                <w:color w:val="auto"/>
                <w:sz w:val="21"/>
                <w:szCs w:val="21"/>
              </w:rPr>
            </w:pPr>
          </w:p>
        </w:tc>
        <w:tc>
          <w:tcPr>
            <w:tcW w:w="1995" w:type="dxa"/>
            <w:gridSpan w:val="2"/>
            <w:vMerge w:val="continue"/>
            <w:tcBorders>
              <w:tl2br w:val="nil"/>
              <w:tr2bl w:val="nil"/>
            </w:tcBorders>
            <w:noWrap w:val="0"/>
            <w:vAlign w:val="center"/>
          </w:tcPr>
          <w:p w14:paraId="6D503832">
            <w:pPr>
              <w:pageBreakBefore w:val="0"/>
              <w:wordWrap/>
              <w:bidi w:val="0"/>
              <w:adjustRightInd/>
              <w:snapToGrid/>
              <w:spacing w:line="240" w:lineRule="auto"/>
              <w:ind w:firstLine="0" w:firstLineChars="0"/>
              <w:jc w:val="center"/>
              <w:rPr>
                <w:b/>
                <w:bCs/>
                <w:color w:val="auto"/>
                <w:sz w:val="21"/>
                <w:szCs w:val="21"/>
              </w:rPr>
            </w:pPr>
          </w:p>
        </w:tc>
        <w:tc>
          <w:tcPr>
            <w:tcW w:w="660" w:type="dxa"/>
            <w:vMerge w:val="continue"/>
            <w:tcBorders>
              <w:tl2br w:val="nil"/>
              <w:tr2bl w:val="nil"/>
            </w:tcBorders>
            <w:noWrap w:val="0"/>
            <w:vAlign w:val="center"/>
          </w:tcPr>
          <w:p w14:paraId="0279D3E1">
            <w:pPr>
              <w:pageBreakBefore w:val="0"/>
              <w:wordWrap/>
              <w:bidi w:val="0"/>
              <w:adjustRightInd/>
              <w:snapToGrid/>
              <w:spacing w:line="240" w:lineRule="auto"/>
              <w:ind w:firstLine="0" w:firstLineChars="0"/>
              <w:jc w:val="center"/>
              <w:rPr>
                <w:b/>
                <w:bCs/>
                <w:color w:val="auto"/>
                <w:sz w:val="21"/>
                <w:szCs w:val="21"/>
              </w:rPr>
            </w:pPr>
          </w:p>
        </w:tc>
        <w:tc>
          <w:tcPr>
            <w:tcW w:w="750" w:type="dxa"/>
            <w:tcBorders>
              <w:tl2br w:val="nil"/>
              <w:tr2bl w:val="nil"/>
            </w:tcBorders>
            <w:noWrap w:val="0"/>
            <w:vAlign w:val="center"/>
          </w:tcPr>
          <w:p w14:paraId="43B6FA3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tc>
        <w:tc>
          <w:tcPr>
            <w:tcW w:w="735" w:type="dxa"/>
            <w:tcBorders>
              <w:tl2br w:val="nil"/>
              <w:tr2bl w:val="nil"/>
            </w:tcBorders>
            <w:noWrap w:val="0"/>
            <w:vAlign w:val="center"/>
          </w:tcPr>
          <w:p w14:paraId="3A018F2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BOD</w:t>
            </w:r>
            <w:r>
              <w:rPr>
                <w:b/>
                <w:bCs/>
                <w:color w:val="auto"/>
                <w:sz w:val="21"/>
                <w:szCs w:val="21"/>
                <w:vertAlign w:val="subscript"/>
              </w:rPr>
              <w:t>5</w:t>
            </w:r>
          </w:p>
        </w:tc>
        <w:tc>
          <w:tcPr>
            <w:tcW w:w="660" w:type="dxa"/>
            <w:tcBorders>
              <w:tl2br w:val="nil"/>
              <w:tr2bl w:val="nil"/>
            </w:tcBorders>
            <w:noWrap w:val="0"/>
            <w:vAlign w:val="center"/>
          </w:tcPr>
          <w:p w14:paraId="07BC4B8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tc>
        <w:tc>
          <w:tcPr>
            <w:tcW w:w="690" w:type="dxa"/>
            <w:tcBorders>
              <w:tl2br w:val="nil"/>
              <w:tr2bl w:val="nil"/>
            </w:tcBorders>
            <w:noWrap w:val="0"/>
            <w:vAlign w:val="center"/>
          </w:tcPr>
          <w:p w14:paraId="6D7C580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660" w:type="dxa"/>
            <w:tcBorders>
              <w:tl2br w:val="nil"/>
              <w:tr2bl w:val="nil"/>
            </w:tcBorders>
            <w:noWrap w:val="0"/>
            <w:vAlign w:val="center"/>
          </w:tcPr>
          <w:p w14:paraId="55459C5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TN</w:t>
            </w:r>
          </w:p>
        </w:tc>
        <w:tc>
          <w:tcPr>
            <w:tcW w:w="645" w:type="dxa"/>
            <w:tcBorders>
              <w:tl2br w:val="nil"/>
              <w:tr2bl w:val="nil"/>
            </w:tcBorders>
            <w:noWrap w:val="0"/>
            <w:vAlign w:val="center"/>
          </w:tcPr>
          <w:p w14:paraId="1D80B2D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TP</w:t>
            </w:r>
          </w:p>
        </w:tc>
        <w:tc>
          <w:tcPr>
            <w:tcW w:w="705" w:type="dxa"/>
            <w:tcBorders>
              <w:tl2br w:val="nil"/>
              <w:tr2bl w:val="nil"/>
            </w:tcBorders>
            <w:noWrap w:val="0"/>
            <w:vAlign w:val="center"/>
          </w:tcPr>
          <w:p w14:paraId="0DCEF26C">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石油类</w:t>
            </w:r>
          </w:p>
        </w:tc>
        <w:tc>
          <w:tcPr>
            <w:tcW w:w="501" w:type="dxa"/>
            <w:tcBorders>
              <w:tl2br w:val="nil"/>
              <w:tr2bl w:val="nil"/>
            </w:tcBorders>
            <w:noWrap w:val="0"/>
            <w:vAlign w:val="center"/>
          </w:tcPr>
          <w:p w14:paraId="76B6F546">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7C061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5056FB7F">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eastAsia="zh-CN"/>
              </w:rPr>
              <w:t>巴中市巴州区曾口片区污水处理厂</w:t>
            </w:r>
            <w:r>
              <w:rPr>
                <w:color w:val="auto"/>
                <w:sz w:val="21"/>
                <w:szCs w:val="21"/>
              </w:rPr>
              <w:t>纳污范围内排水单元</w:t>
            </w:r>
          </w:p>
        </w:tc>
        <w:tc>
          <w:tcPr>
            <w:tcW w:w="870" w:type="dxa"/>
            <w:vMerge w:val="restart"/>
            <w:tcBorders>
              <w:tl2br w:val="nil"/>
              <w:tr2bl w:val="nil"/>
            </w:tcBorders>
            <w:noWrap w:val="0"/>
            <w:vAlign w:val="center"/>
          </w:tcPr>
          <w:p w14:paraId="0C7D9427">
            <w:pPr>
              <w:pageBreakBefore w:val="0"/>
              <w:wordWrap/>
              <w:bidi w:val="0"/>
              <w:adjustRightInd/>
              <w:snapToGrid/>
              <w:spacing w:line="240" w:lineRule="auto"/>
              <w:ind w:firstLine="0" w:firstLineChars="0"/>
              <w:jc w:val="center"/>
              <w:rPr>
                <w:color w:val="auto"/>
                <w:sz w:val="21"/>
                <w:szCs w:val="21"/>
              </w:rPr>
            </w:pPr>
            <w:r>
              <w:rPr>
                <w:color w:val="auto"/>
                <w:sz w:val="21"/>
                <w:szCs w:val="21"/>
              </w:rPr>
              <w:t>处理前</w:t>
            </w:r>
          </w:p>
        </w:tc>
        <w:tc>
          <w:tcPr>
            <w:tcW w:w="1125" w:type="dxa"/>
            <w:tcBorders>
              <w:tl2br w:val="nil"/>
              <w:tr2bl w:val="nil"/>
            </w:tcBorders>
            <w:noWrap w:val="0"/>
            <w:vAlign w:val="center"/>
          </w:tcPr>
          <w:p w14:paraId="47BFFBB3">
            <w:pPr>
              <w:pageBreakBefore w:val="0"/>
              <w:wordWrap/>
              <w:bidi w:val="0"/>
              <w:adjustRightInd/>
              <w:snapToGrid/>
              <w:spacing w:line="240" w:lineRule="auto"/>
              <w:ind w:firstLine="0" w:firstLineChars="0"/>
              <w:jc w:val="center"/>
              <w:rPr>
                <w:color w:val="auto"/>
                <w:sz w:val="21"/>
                <w:szCs w:val="21"/>
              </w:rPr>
            </w:pPr>
            <w:r>
              <w:rPr>
                <w:color w:val="auto"/>
                <w:sz w:val="21"/>
                <w:szCs w:val="21"/>
              </w:rPr>
              <w:t>产生浓度mg/L</w:t>
            </w:r>
          </w:p>
        </w:tc>
        <w:tc>
          <w:tcPr>
            <w:tcW w:w="660" w:type="dxa"/>
            <w:vMerge w:val="restart"/>
            <w:tcBorders>
              <w:tl2br w:val="nil"/>
              <w:tr2bl w:val="nil"/>
            </w:tcBorders>
            <w:noWrap w:val="0"/>
            <w:vAlign w:val="center"/>
          </w:tcPr>
          <w:p w14:paraId="4AC4737B">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3000</w:t>
            </w:r>
          </w:p>
        </w:tc>
        <w:tc>
          <w:tcPr>
            <w:tcW w:w="750" w:type="dxa"/>
            <w:tcBorders>
              <w:tl2br w:val="nil"/>
              <w:tr2bl w:val="nil"/>
            </w:tcBorders>
            <w:noWrap w:val="0"/>
            <w:vAlign w:val="center"/>
          </w:tcPr>
          <w:p w14:paraId="4CCBA28C">
            <w:pPr>
              <w:pStyle w:val="12"/>
              <w:bidi w:val="0"/>
              <w:rPr>
                <w:color w:val="auto"/>
              </w:rPr>
            </w:pPr>
            <w:r>
              <w:rPr>
                <w:rFonts w:hint="default"/>
                <w:color w:val="auto"/>
                <w:lang w:val="en-US" w:eastAsia="zh-CN"/>
              </w:rPr>
              <w:t>350</w:t>
            </w:r>
          </w:p>
        </w:tc>
        <w:tc>
          <w:tcPr>
            <w:tcW w:w="735" w:type="dxa"/>
            <w:tcBorders>
              <w:tl2br w:val="nil"/>
              <w:tr2bl w:val="nil"/>
            </w:tcBorders>
            <w:noWrap w:val="0"/>
            <w:vAlign w:val="center"/>
          </w:tcPr>
          <w:p w14:paraId="08CA5132">
            <w:pPr>
              <w:pStyle w:val="12"/>
              <w:bidi w:val="0"/>
              <w:rPr>
                <w:color w:val="auto"/>
              </w:rPr>
            </w:pPr>
            <w:r>
              <w:rPr>
                <w:rFonts w:hint="default"/>
                <w:color w:val="auto"/>
                <w:lang w:val="en-US" w:eastAsia="zh-CN"/>
              </w:rPr>
              <w:t>150</w:t>
            </w:r>
          </w:p>
        </w:tc>
        <w:tc>
          <w:tcPr>
            <w:tcW w:w="660" w:type="dxa"/>
            <w:tcBorders>
              <w:tl2br w:val="nil"/>
              <w:tr2bl w:val="nil"/>
            </w:tcBorders>
            <w:noWrap w:val="0"/>
            <w:vAlign w:val="center"/>
          </w:tcPr>
          <w:p w14:paraId="7E127D9A">
            <w:pPr>
              <w:pStyle w:val="12"/>
              <w:bidi w:val="0"/>
              <w:rPr>
                <w:color w:val="auto"/>
              </w:rPr>
            </w:pPr>
            <w:r>
              <w:rPr>
                <w:rFonts w:hint="default"/>
                <w:color w:val="auto"/>
                <w:lang w:val="en-US" w:eastAsia="zh-CN"/>
              </w:rPr>
              <w:t>400</w:t>
            </w:r>
          </w:p>
        </w:tc>
        <w:tc>
          <w:tcPr>
            <w:tcW w:w="690" w:type="dxa"/>
            <w:tcBorders>
              <w:tl2br w:val="nil"/>
              <w:tr2bl w:val="nil"/>
            </w:tcBorders>
            <w:noWrap w:val="0"/>
            <w:vAlign w:val="center"/>
          </w:tcPr>
          <w:p w14:paraId="266CC862">
            <w:pPr>
              <w:pStyle w:val="12"/>
              <w:bidi w:val="0"/>
              <w:rPr>
                <w:color w:val="auto"/>
              </w:rPr>
            </w:pPr>
            <w:r>
              <w:rPr>
                <w:rFonts w:hint="default"/>
                <w:color w:val="auto"/>
                <w:lang w:val="en-US" w:eastAsia="zh-CN"/>
              </w:rPr>
              <w:t>50</w:t>
            </w:r>
          </w:p>
        </w:tc>
        <w:tc>
          <w:tcPr>
            <w:tcW w:w="660" w:type="dxa"/>
            <w:tcBorders>
              <w:tl2br w:val="nil"/>
              <w:tr2bl w:val="nil"/>
            </w:tcBorders>
            <w:noWrap w:val="0"/>
            <w:vAlign w:val="center"/>
          </w:tcPr>
          <w:p w14:paraId="01076FFB">
            <w:pPr>
              <w:pStyle w:val="12"/>
              <w:bidi w:val="0"/>
              <w:rPr>
                <w:color w:val="auto"/>
              </w:rPr>
            </w:pPr>
            <w:r>
              <w:rPr>
                <w:rFonts w:hint="default"/>
                <w:color w:val="auto"/>
                <w:lang w:val="en-US" w:eastAsia="zh-CN"/>
              </w:rPr>
              <w:t>80</w:t>
            </w:r>
          </w:p>
        </w:tc>
        <w:tc>
          <w:tcPr>
            <w:tcW w:w="645" w:type="dxa"/>
            <w:tcBorders>
              <w:tl2br w:val="nil"/>
              <w:tr2bl w:val="nil"/>
            </w:tcBorders>
            <w:noWrap w:val="0"/>
            <w:vAlign w:val="center"/>
          </w:tcPr>
          <w:p w14:paraId="4E69374A">
            <w:pPr>
              <w:pStyle w:val="12"/>
              <w:bidi w:val="0"/>
              <w:rPr>
                <w:color w:val="auto"/>
              </w:rPr>
            </w:pPr>
            <w:r>
              <w:rPr>
                <w:rFonts w:hint="default"/>
                <w:color w:val="auto"/>
                <w:lang w:val="en-US" w:eastAsia="zh-CN"/>
              </w:rPr>
              <w:t>4</w:t>
            </w:r>
          </w:p>
        </w:tc>
        <w:tc>
          <w:tcPr>
            <w:tcW w:w="705" w:type="dxa"/>
            <w:tcBorders>
              <w:tl2br w:val="nil"/>
              <w:tr2bl w:val="nil"/>
            </w:tcBorders>
            <w:noWrap w:val="0"/>
            <w:vAlign w:val="center"/>
          </w:tcPr>
          <w:p w14:paraId="7DF7C1DB">
            <w:pPr>
              <w:pStyle w:val="12"/>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13532798">
            <w:pPr>
              <w:pStyle w:val="12"/>
              <w:bidi w:val="0"/>
              <w:rPr>
                <w:rFonts w:hint="default"/>
                <w:color w:val="auto"/>
                <w:lang w:val="en-US" w:eastAsia="zh-CN"/>
              </w:rPr>
            </w:pPr>
            <w:r>
              <w:rPr>
                <w:rFonts w:hint="eastAsia"/>
                <w:color w:val="auto"/>
                <w:lang w:val="en-US" w:eastAsia="zh-CN"/>
              </w:rPr>
              <w:t>1</w:t>
            </w:r>
          </w:p>
        </w:tc>
      </w:tr>
      <w:tr w14:paraId="662B2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190CE707">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3376AD65">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4252502E">
            <w:pPr>
              <w:pageBreakBefore w:val="0"/>
              <w:wordWrap/>
              <w:bidi w:val="0"/>
              <w:adjustRightInd/>
              <w:snapToGrid/>
              <w:spacing w:line="240" w:lineRule="auto"/>
              <w:ind w:firstLine="0" w:firstLineChars="0"/>
              <w:jc w:val="center"/>
              <w:rPr>
                <w:color w:val="auto"/>
                <w:sz w:val="21"/>
                <w:szCs w:val="21"/>
              </w:rPr>
            </w:pPr>
            <w:r>
              <w:rPr>
                <w:color w:val="auto"/>
                <w:sz w:val="21"/>
                <w:szCs w:val="21"/>
              </w:rPr>
              <w:t>产生量t/a</w:t>
            </w:r>
          </w:p>
        </w:tc>
        <w:tc>
          <w:tcPr>
            <w:tcW w:w="660" w:type="dxa"/>
            <w:vMerge w:val="continue"/>
            <w:tcBorders>
              <w:tl2br w:val="nil"/>
              <w:tr2bl w:val="nil"/>
            </w:tcBorders>
            <w:noWrap w:val="0"/>
            <w:vAlign w:val="center"/>
          </w:tcPr>
          <w:p w14:paraId="1AB8F3CD">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038AD921">
            <w:pPr>
              <w:pStyle w:val="12"/>
              <w:bidi w:val="0"/>
              <w:rPr>
                <w:color w:val="auto"/>
              </w:rPr>
            </w:pPr>
            <w:r>
              <w:rPr>
                <w:rFonts w:hint="default"/>
                <w:color w:val="auto"/>
                <w:lang w:val="en-US" w:eastAsia="zh-CN"/>
              </w:rPr>
              <w:t>383.25</w:t>
            </w:r>
          </w:p>
        </w:tc>
        <w:tc>
          <w:tcPr>
            <w:tcW w:w="735" w:type="dxa"/>
            <w:tcBorders>
              <w:tl2br w:val="nil"/>
              <w:tr2bl w:val="nil"/>
            </w:tcBorders>
            <w:noWrap w:val="0"/>
            <w:vAlign w:val="center"/>
          </w:tcPr>
          <w:p w14:paraId="54DDB6A0">
            <w:pPr>
              <w:pStyle w:val="12"/>
              <w:bidi w:val="0"/>
              <w:rPr>
                <w:color w:val="auto"/>
              </w:rPr>
            </w:pPr>
            <w:r>
              <w:rPr>
                <w:rFonts w:hint="default"/>
                <w:color w:val="auto"/>
                <w:lang w:val="en-US" w:eastAsia="zh-CN"/>
              </w:rPr>
              <w:t>164.25</w:t>
            </w:r>
          </w:p>
        </w:tc>
        <w:tc>
          <w:tcPr>
            <w:tcW w:w="660" w:type="dxa"/>
            <w:tcBorders>
              <w:tl2br w:val="nil"/>
              <w:tr2bl w:val="nil"/>
            </w:tcBorders>
            <w:noWrap w:val="0"/>
            <w:vAlign w:val="center"/>
          </w:tcPr>
          <w:p w14:paraId="7BE99095">
            <w:pPr>
              <w:pStyle w:val="12"/>
              <w:bidi w:val="0"/>
              <w:rPr>
                <w:color w:val="auto"/>
              </w:rPr>
            </w:pPr>
            <w:r>
              <w:rPr>
                <w:rFonts w:hint="default"/>
                <w:color w:val="auto"/>
                <w:lang w:val="en-US" w:eastAsia="zh-CN"/>
              </w:rPr>
              <w:t>438</w:t>
            </w:r>
          </w:p>
        </w:tc>
        <w:tc>
          <w:tcPr>
            <w:tcW w:w="690" w:type="dxa"/>
            <w:tcBorders>
              <w:tl2br w:val="nil"/>
              <w:tr2bl w:val="nil"/>
            </w:tcBorders>
            <w:noWrap w:val="0"/>
            <w:vAlign w:val="center"/>
          </w:tcPr>
          <w:p w14:paraId="2B53DC96">
            <w:pPr>
              <w:pStyle w:val="12"/>
              <w:bidi w:val="0"/>
              <w:rPr>
                <w:color w:val="auto"/>
              </w:rPr>
            </w:pPr>
            <w:r>
              <w:rPr>
                <w:rFonts w:hint="default"/>
                <w:color w:val="auto"/>
                <w:lang w:val="en-US" w:eastAsia="zh-CN"/>
              </w:rPr>
              <w:t>54.75</w:t>
            </w:r>
          </w:p>
        </w:tc>
        <w:tc>
          <w:tcPr>
            <w:tcW w:w="660" w:type="dxa"/>
            <w:tcBorders>
              <w:tl2br w:val="nil"/>
              <w:tr2bl w:val="nil"/>
            </w:tcBorders>
            <w:noWrap w:val="0"/>
            <w:vAlign w:val="center"/>
          </w:tcPr>
          <w:p w14:paraId="2F4F1789">
            <w:pPr>
              <w:pStyle w:val="12"/>
              <w:bidi w:val="0"/>
              <w:rPr>
                <w:color w:val="auto"/>
              </w:rPr>
            </w:pPr>
            <w:r>
              <w:rPr>
                <w:rFonts w:hint="default"/>
                <w:color w:val="auto"/>
                <w:lang w:val="en-US" w:eastAsia="zh-CN"/>
              </w:rPr>
              <w:t>87.6</w:t>
            </w:r>
          </w:p>
        </w:tc>
        <w:tc>
          <w:tcPr>
            <w:tcW w:w="645" w:type="dxa"/>
            <w:tcBorders>
              <w:tl2br w:val="nil"/>
              <w:tr2bl w:val="nil"/>
            </w:tcBorders>
            <w:noWrap w:val="0"/>
            <w:vAlign w:val="center"/>
          </w:tcPr>
          <w:p w14:paraId="702E0FDB">
            <w:pPr>
              <w:pStyle w:val="12"/>
              <w:bidi w:val="0"/>
              <w:rPr>
                <w:color w:val="auto"/>
              </w:rPr>
            </w:pPr>
            <w:r>
              <w:rPr>
                <w:rFonts w:hint="default"/>
                <w:color w:val="auto"/>
                <w:lang w:val="en-US" w:eastAsia="zh-CN"/>
              </w:rPr>
              <w:t>4.38</w:t>
            </w:r>
          </w:p>
        </w:tc>
        <w:tc>
          <w:tcPr>
            <w:tcW w:w="705" w:type="dxa"/>
            <w:tcBorders>
              <w:tl2br w:val="nil"/>
              <w:tr2bl w:val="nil"/>
            </w:tcBorders>
            <w:noWrap w:val="0"/>
            <w:vAlign w:val="center"/>
          </w:tcPr>
          <w:p w14:paraId="3699E01A">
            <w:pPr>
              <w:pStyle w:val="12"/>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555CEF92">
            <w:pPr>
              <w:pStyle w:val="12"/>
              <w:bidi w:val="0"/>
              <w:rPr>
                <w:rFonts w:hint="default"/>
                <w:color w:val="auto"/>
                <w:lang w:val="en-US" w:eastAsia="zh-CN"/>
              </w:rPr>
            </w:pPr>
            <w:r>
              <w:rPr>
                <w:rFonts w:hint="eastAsia"/>
                <w:color w:val="auto"/>
                <w:lang w:val="en-US" w:eastAsia="zh-CN"/>
              </w:rPr>
              <w:t>1.095</w:t>
            </w:r>
          </w:p>
        </w:tc>
      </w:tr>
      <w:tr w14:paraId="3C54B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2CDAA879">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62DAD86F">
            <w:pPr>
              <w:pageBreakBefore w:val="0"/>
              <w:wordWrap/>
              <w:bidi w:val="0"/>
              <w:adjustRightInd/>
              <w:snapToGrid/>
              <w:spacing w:line="240" w:lineRule="auto"/>
              <w:ind w:firstLine="0" w:firstLineChars="0"/>
              <w:jc w:val="center"/>
              <w:rPr>
                <w:color w:val="auto"/>
                <w:sz w:val="21"/>
                <w:szCs w:val="21"/>
              </w:rPr>
            </w:pPr>
            <w:r>
              <w:rPr>
                <w:color w:val="auto"/>
                <w:sz w:val="21"/>
                <w:szCs w:val="21"/>
              </w:rPr>
              <w:t>处理后</w:t>
            </w:r>
          </w:p>
        </w:tc>
        <w:tc>
          <w:tcPr>
            <w:tcW w:w="1125" w:type="dxa"/>
            <w:tcBorders>
              <w:tl2br w:val="nil"/>
              <w:tr2bl w:val="nil"/>
            </w:tcBorders>
            <w:noWrap w:val="0"/>
            <w:vAlign w:val="center"/>
          </w:tcPr>
          <w:p w14:paraId="0FB5863B">
            <w:pPr>
              <w:pageBreakBefore w:val="0"/>
              <w:wordWrap/>
              <w:bidi w:val="0"/>
              <w:adjustRightInd/>
              <w:snapToGrid/>
              <w:spacing w:line="240" w:lineRule="auto"/>
              <w:ind w:firstLine="0" w:firstLineChars="0"/>
              <w:jc w:val="center"/>
              <w:rPr>
                <w:color w:val="auto"/>
                <w:sz w:val="21"/>
                <w:szCs w:val="21"/>
              </w:rPr>
            </w:pPr>
            <w:r>
              <w:rPr>
                <w:color w:val="auto"/>
                <w:sz w:val="21"/>
                <w:szCs w:val="21"/>
              </w:rPr>
              <w:t>排放浓度mg/L</w:t>
            </w:r>
          </w:p>
        </w:tc>
        <w:tc>
          <w:tcPr>
            <w:tcW w:w="660" w:type="dxa"/>
            <w:vMerge w:val="restart"/>
            <w:tcBorders>
              <w:tl2br w:val="nil"/>
              <w:tr2bl w:val="nil"/>
            </w:tcBorders>
            <w:noWrap w:val="0"/>
            <w:vAlign w:val="center"/>
          </w:tcPr>
          <w:p w14:paraId="367CD8B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3000</w:t>
            </w:r>
          </w:p>
        </w:tc>
        <w:tc>
          <w:tcPr>
            <w:tcW w:w="750" w:type="dxa"/>
            <w:tcBorders>
              <w:tl2br w:val="nil"/>
              <w:tr2bl w:val="nil"/>
            </w:tcBorders>
            <w:noWrap w:val="0"/>
            <w:vAlign w:val="center"/>
          </w:tcPr>
          <w:p w14:paraId="10FB538D">
            <w:pPr>
              <w:pStyle w:val="12"/>
              <w:bidi w:val="0"/>
              <w:rPr>
                <w:color w:val="auto"/>
              </w:rPr>
            </w:pPr>
            <w:r>
              <w:rPr>
                <w:rFonts w:hint="default"/>
                <w:color w:val="auto"/>
                <w:lang w:val="en-US" w:eastAsia="zh-CN"/>
              </w:rPr>
              <w:t>50</w:t>
            </w:r>
          </w:p>
        </w:tc>
        <w:tc>
          <w:tcPr>
            <w:tcW w:w="735" w:type="dxa"/>
            <w:tcBorders>
              <w:tl2br w:val="nil"/>
              <w:tr2bl w:val="nil"/>
            </w:tcBorders>
            <w:noWrap w:val="0"/>
            <w:vAlign w:val="center"/>
          </w:tcPr>
          <w:p w14:paraId="624DFF88">
            <w:pPr>
              <w:pStyle w:val="12"/>
              <w:bidi w:val="0"/>
              <w:rPr>
                <w:color w:val="auto"/>
              </w:rPr>
            </w:pPr>
            <w:r>
              <w:rPr>
                <w:rFonts w:hint="default"/>
                <w:color w:val="auto"/>
                <w:lang w:val="en-US" w:eastAsia="zh-CN"/>
              </w:rPr>
              <w:t>10</w:t>
            </w:r>
          </w:p>
        </w:tc>
        <w:tc>
          <w:tcPr>
            <w:tcW w:w="660" w:type="dxa"/>
            <w:tcBorders>
              <w:tl2br w:val="nil"/>
              <w:tr2bl w:val="nil"/>
            </w:tcBorders>
            <w:noWrap w:val="0"/>
            <w:vAlign w:val="center"/>
          </w:tcPr>
          <w:p w14:paraId="06354BBF">
            <w:pPr>
              <w:pStyle w:val="12"/>
              <w:bidi w:val="0"/>
              <w:rPr>
                <w:color w:val="auto"/>
              </w:rPr>
            </w:pPr>
            <w:r>
              <w:rPr>
                <w:rFonts w:hint="default"/>
                <w:color w:val="auto"/>
                <w:lang w:val="en-US" w:eastAsia="zh-CN"/>
              </w:rPr>
              <w:t>10</w:t>
            </w:r>
          </w:p>
        </w:tc>
        <w:tc>
          <w:tcPr>
            <w:tcW w:w="690" w:type="dxa"/>
            <w:tcBorders>
              <w:tl2br w:val="nil"/>
              <w:tr2bl w:val="nil"/>
            </w:tcBorders>
            <w:noWrap w:val="0"/>
            <w:vAlign w:val="center"/>
          </w:tcPr>
          <w:p w14:paraId="4B419165">
            <w:pPr>
              <w:pStyle w:val="12"/>
              <w:bidi w:val="0"/>
              <w:rPr>
                <w:color w:val="auto"/>
              </w:rPr>
            </w:pPr>
            <w:r>
              <w:rPr>
                <w:rFonts w:hint="default"/>
                <w:color w:val="auto"/>
                <w:lang w:val="en-US" w:eastAsia="zh-CN"/>
              </w:rPr>
              <w:t>5</w:t>
            </w:r>
          </w:p>
        </w:tc>
        <w:tc>
          <w:tcPr>
            <w:tcW w:w="660" w:type="dxa"/>
            <w:tcBorders>
              <w:tl2br w:val="nil"/>
              <w:tr2bl w:val="nil"/>
            </w:tcBorders>
            <w:noWrap w:val="0"/>
            <w:vAlign w:val="center"/>
          </w:tcPr>
          <w:p w14:paraId="3ED1F2FE">
            <w:pPr>
              <w:pStyle w:val="12"/>
              <w:bidi w:val="0"/>
              <w:rPr>
                <w:color w:val="auto"/>
              </w:rPr>
            </w:pPr>
            <w:r>
              <w:rPr>
                <w:rFonts w:hint="default"/>
                <w:color w:val="auto"/>
                <w:lang w:val="en-US" w:eastAsia="zh-CN"/>
              </w:rPr>
              <w:t>15</w:t>
            </w:r>
          </w:p>
        </w:tc>
        <w:tc>
          <w:tcPr>
            <w:tcW w:w="645" w:type="dxa"/>
            <w:tcBorders>
              <w:tl2br w:val="nil"/>
              <w:tr2bl w:val="nil"/>
            </w:tcBorders>
            <w:noWrap w:val="0"/>
            <w:vAlign w:val="center"/>
          </w:tcPr>
          <w:p w14:paraId="2B106E69">
            <w:pPr>
              <w:pStyle w:val="12"/>
              <w:bidi w:val="0"/>
              <w:rPr>
                <w:color w:val="auto"/>
              </w:rPr>
            </w:pPr>
            <w:r>
              <w:rPr>
                <w:rFonts w:hint="default"/>
                <w:color w:val="auto"/>
                <w:lang w:val="en-US" w:eastAsia="zh-CN"/>
              </w:rPr>
              <w:t>0.5</w:t>
            </w:r>
          </w:p>
        </w:tc>
        <w:tc>
          <w:tcPr>
            <w:tcW w:w="705" w:type="dxa"/>
            <w:tcBorders>
              <w:tl2br w:val="nil"/>
              <w:tr2bl w:val="nil"/>
            </w:tcBorders>
            <w:noWrap w:val="0"/>
            <w:vAlign w:val="center"/>
          </w:tcPr>
          <w:p w14:paraId="65803F05">
            <w:pPr>
              <w:pStyle w:val="12"/>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6D7EB903">
            <w:pPr>
              <w:pStyle w:val="12"/>
              <w:bidi w:val="0"/>
              <w:rPr>
                <w:rFonts w:hint="default"/>
                <w:color w:val="auto"/>
                <w:lang w:val="en-US" w:eastAsia="zh-CN"/>
              </w:rPr>
            </w:pPr>
            <w:r>
              <w:rPr>
                <w:rFonts w:hint="eastAsia"/>
                <w:color w:val="auto"/>
                <w:lang w:val="en-US" w:eastAsia="zh-CN"/>
              </w:rPr>
              <w:t>1</w:t>
            </w:r>
          </w:p>
        </w:tc>
      </w:tr>
      <w:tr w14:paraId="305DA3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5036265C">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66AF553C">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2BEDB1AC">
            <w:pPr>
              <w:pageBreakBefore w:val="0"/>
              <w:wordWrap/>
              <w:bidi w:val="0"/>
              <w:adjustRightInd/>
              <w:snapToGrid/>
              <w:spacing w:line="240" w:lineRule="auto"/>
              <w:ind w:firstLine="0" w:firstLineChars="0"/>
              <w:jc w:val="center"/>
              <w:rPr>
                <w:color w:val="auto"/>
                <w:sz w:val="21"/>
                <w:szCs w:val="21"/>
              </w:rPr>
            </w:pPr>
            <w:r>
              <w:rPr>
                <w:color w:val="auto"/>
                <w:sz w:val="21"/>
                <w:szCs w:val="21"/>
              </w:rPr>
              <w:t>排放量t/a</w:t>
            </w:r>
          </w:p>
        </w:tc>
        <w:tc>
          <w:tcPr>
            <w:tcW w:w="660" w:type="dxa"/>
            <w:vMerge w:val="continue"/>
            <w:tcBorders>
              <w:tl2br w:val="nil"/>
              <w:tr2bl w:val="nil"/>
            </w:tcBorders>
            <w:noWrap w:val="0"/>
            <w:vAlign w:val="center"/>
          </w:tcPr>
          <w:p w14:paraId="64CC8D90">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237B27F5">
            <w:pPr>
              <w:pStyle w:val="12"/>
              <w:bidi w:val="0"/>
              <w:rPr>
                <w:color w:val="auto"/>
              </w:rPr>
            </w:pPr>
            <w:r>
              <w:rPr>
                <w:rFonts w:hint="default"/>
                <w:color w:val="auto"/>
                <w:lang w:val="en-US" w:eastAsia="zh-CN"/>
              </w:rPr>
              <w:t>54.75</w:t>
            </w:r>
          </w:p>
        </w:tc>
        <w:tc>
          <w:tcPr>
            <w:tcW w:w="735" w:type="dxa"/>
            <w:tcBorders>
              <w:tl2br w:val="nil"/>
              <w:tr2bl w:val="nil"/>
            </w:tcBorders>
            <w:noWrap w:val="0"/>
            <w:vAlign w:val="center"/>
          </w:tcPr>
          <w:p w14:paraId="4309AC99">
            <w:pPr>
              <w:pStyle w:val="12"/>
              <w:bidi w:val="0"/>
              <w:rPr>
                <w:color w:val="auto"/>
              </w:rPr>
            </w:pPr>
            <w:r>
              <w:rPr>
                <w:rFonts w:hint="default"/>
                <w:color w:val="auto"/>
                <w:lang w:val="en-US" w:eastAsia="zh-CN"/>
              </w:rPr>
              <w:t>10.95</w:t>
            </w:r>
          </w:p>
        </w:tc>
        <w:tc>
          <w:tcPr>
            <w:tcW w:w="660" w:type="dxa"/>
            <w:tcBorders>
              <w:tl2br w:val="nil"/>
              <w:tr2bl w:val="nil"/>
            </w:tcBorders>
            <w:noWrap w:val="0"/>
            <w:vAlign w:val="center"/>
          </w:tcPr>
          <w:p w14:paraId="6A377C29">
            <w:pPr>
              <w:pStyle w:val="12"/>
              <w:bidi w:val="0"/>
              <w:rPr>
                <w:color w:val="auto"/>
              </w:rPr>
            </w:pPr>
            <w:r>
              <w:rPr>
                <w:rFonts w:hint="default"/>
                <w:color w:val="auto"/>
                <w:lang w:val="en-US" w:eastAsia="zh-CN"/>
              </w:rPr>
              <w:t>10.95</w:t>
            </w:r>
          </w:p>
        </w:tc>
        <w:tc>
          <w:tcPr>
            <w:tcW w:w="690" w:type="dxa"/>
            <w:tcBorders>
              <w:tl2br w:val="nil"/>
              <w:tr2bl w:val="nil"/>
            </w:tcBorders>
            <w:noWrap w:val="0"/>
            <w:vAlign w:val="center"/>
          </w:tcPr>
          <w:p w14:paraId="27FBAAE8">
            <w:pPr>
              <w:pStyle w:val="12"/>
              <w:bidi w:val="0"/>
              <w:rPr>
                <w:color w:val="auto"/>
              </w:rPr>
            </w:pPr>
            <w:r>
              <w:rPr>
                <w:rFonts w:hint="default"/>
                <w:color w:val="auto"/>
                <w:lang w:val="en-US" w:eastAsia="zh-CN"/>
              </w:rPr>
              <w:t>5.475</w:t>
            </w:r>
          </w:p>
        </w:tc>
        <w:tc>
          <w:tcPr>
            <w:tcW w:w="660" w:type="dxa"/>
            <w:tcBorders>
              <w:tl2br w:val="nil"/>
              <w:tr2bl w:val="nil"/>
            </w:tcBorders>
            <w:noWrap w:val="0"/>
            <w:vAlign w:val="center"/>
          </w:tcPr>
          <w:p w14:paraId="5C361241">
            <w:pPr>
              <w:pStyle w:val="12"/>
              <w:bidi w:val="0"/>
              <w:rPr>
                <w:color w:val="auto"/>
              </w:rPr>
            </w:pPr>
            <w:r>
              <w:rPr>
                <w:rFonts w:hint="default"/>
                <w:color w:val="auto"/>
                <w:lang w:val="en-US" w:eastAsia="zh-CN"/>
              </w:rPr>
              <w:t>16.425</w:t>
            </w:r>
          </w:p>
        </w:tc>
        <w:tc>
          <w:tcPr>
            <w:tcW w:w="645" w:type="dxa"/>
            <w:tcBorders>
              <w:tl2br w:val="nil"/>
              <w:tr2bl w:val="nil"/>
            </w:tcBorders>
            <w:noWrap w:val="0"/>
            <w:vAlign w:val="center"/>
          </w:tcPr>
          <w:p w14:paraId="1B09CC56">
            <w:pPr>
              <w:pStyle w:val="12"/>
              <w:bidi w:val="0"/>
              <w:rPr>
                <w:color w:val="auto"/>
              </w:rPr>
            </w:pPr>
            <w:r>
              <w:rPr>
                <w:rFonts w:hint="default"/>
                <w:color w:val="auto"/>
                <w:lang w:val="en-US" w:eastAsia="zh-CN"/>
              </w:rPr>
              <w:t>0.5475</w:t>
            </w:r>
          </w:p>
        </w:tc>
        <w:tc>
          <w:tcPr>
            <w:tcW w:w="705" w:type="dxa"/>
            <w:tcBorders>
              <w:tl2br w:val="nil"/>
              <w:tr2bl w:val="nil"/>
            </w:tcBorders>
            <w:noWrap w:val="0"/>
            <w:vAlign w:val="center"/>
          </w:tcPr>
          <w:p w14:paraId="6746AB6F">
            <w:pPr>
              <w:pStyle w:val="12"/>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48DCA2A6">
            <w:pPr>
              <w:pStyle w:val="12"/>
              <w:bidi w:val="0"/>
              <w:rPr>
                <w:rFonts w:hint="default"/>
                <w:color w:val="auto"/>
                <w:lang w:val="en-US" w:eastAsia="zh-CN"/>
              </w:rPr>
            </w:pPr>
            <w:r>
              <w:rPr>
                <w:rFonts w:hint="eastAsia"/>
                <w:color w:val="auto"/>
                <w:lang w:val="en-US" w:eastAsia="zh-CN"/>
              </w:rPr>
              <w:t>1.095</w:t>
            </w:r>
          </w:p>
        </w:tc>
      </w:tr>
      <w:tr w14:paraId="37443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4AA6FE90">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03F78D2D">
            <w:pPr>
              <w:pageBreakBefore w:val="0"/>
              <w:wordWrap/>
              <w:bidi w:val="0"/>
              <w:adjustRightInd/>
              <w:snapToGrid/>
              <w:spacing w:line="240" w:lineRule="auto"/>
              <w:ind w:firstLine="0" w:firstLineChars="0"/>
              <w:jc w:val="center"/>
              <w:rPr>
                <w:color w:val="auto"/>
                <w:sz w:val="21"/>
                <w:szCs w:val="21"/>
              </w:rPr>
            </w:pPr>
            <w:r>
              <w:rPr>
                <w:color w:val="auto"/>
                <w:sz w:val="21"/>
                <w:szCs w:val="21"/>
              </w:rPr>
              <w:t>削减量</w:t>
            </w:r>
          </w:p>
          <w:p w14:paraId="05954791">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0C82DDEC">
            <w:pPr>
              <w:pageBreakBefore w:val="0"/>
              <w:wordWrap/>
              <w:bidi w:val="0"/>
              <w:adjustRightInd/>
              <w:snapToGrid/>
              <w:spacing w:line="240" w:lineRule="auto"/>
              <w:ind w:firstLine="0" w:firstLineChars="0"/>
              <w:jc w:val="center"/>
              <w:rPr>
                <w:color w:val="auto"/>
                <w:sz w:val="21"/>
                <w:szCs w:val="21"/>
              </w:rPr>
            </w:pPr>
            <w:r>
              <w:rPr>
                <w:color w:val="auto"/>
                <w:sz w:val="21"/>
                <w:szCs w:val="21"/>
              </w:rPr>
              <w:t>日削减t/d</w:t>
            </w:r>
          </w:p>
        </w:tc>
        <w:tc>
          <w:tcPr>
            <w:tcW w:w="660" w:type="dxa"/>
            <w:vMerge w:val="restart"/>
            <w:tcBorders>
              <w:tl2br w:val="nil"/>
              <w:tr2bl w:val="nil"/>
            </w:tcBorders>
            <w:noWrap w:val="0"/>
            <w:vAlign w:val="center"/>
          </w:tcPr>
          <w:p w14:paraId="685B775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4267C6E3">
            <w:pPr>
              <w:pStyle w:val="12"/>
              <w:bidi w:val="0"/>
              <w:rPr>
                <w:color w:val="auto"/>
              </w:rPr>
            </w:pPr>
            <w:r>
              <w:rPr>
                <w:rFonts w:hint="default"/>
                <w:color w:val="auto"/>
                <w:lang w:val="en-US" w:eastAsia="zh-CN"/>
              </w:rPr>
              <w:t>0.9</w:t>
            </w:r>
          </w:p>
        </w:tc>
        <w:tc>
          <w:tcPr>
            <w:tcW w:w="735" w:type="dxa"/>
            <w:tcBorders>
              <w:tl2br w:val="nil"/>
              <w:tr2bl w:val="nil"/>
            </w:tcBorders>
            <w:noWrap w:val="0"/>
            <w:vAlign w:val="center"/>
          </w:tcPr>
          <w:p w14:paraId="51B32BA1">
            <w:pPr>
              <w:pStyle w:val="12"/>
              <w:bidi w:val="0"/>
              <w:rPr>
                <w:color w:val="auto"/>
              </w:rPr>
            </w:pPr>
            <w:r>
              <w:rPr>
                <w:rFonts w:hint="default"/>
                <w:color w:val="auto"/>
                <w:lang w:val="en-US" w:eastAsia="zh-CN"/>
              </w:rPr>
              <w:t>0.42</w:t>
            </w:r>
          </w:p>
        </w:tc>
        <w:tc>
          <w:tcPr>
            <w:tcW w:w="660" w:type="dxa"/>
            <w:tcBorders>
              <w:tl2br w:val="nil"/>
              <w:tr2bl w:val="nil"/>
            </w:tcBorders>
            <w:noWrap w:val="0"/>
            <w:vAlign w:val="center"/>
          </w:tcPr>
          <w:p w14:paraId="1911F80A">
            <w:pPr>
              <w:pStyle w:val="12"/>
              <w:bidi w:val="0"/>
              <w:rPr>
                <w:color w:val="auto"/>
              </w:rPr>
            </w:pPr>
            <w:r>
              <w:rPr>
                <w:rFonts w:hint="default"/>
                <w:color w:val="auto"/>
                <w:lang w:val="en-US" w:eastAsia="zh-CN"/>
              </w:rPr>
              <w:t>1.17</w:t>
            </w:r>
          </w:p>
        </w:tc>
        <w:tc>
          <w:tcPr>
            <w:tcW w:w="690" w:type="dxa"/>
            <w:tcBorders>
              <w:tl2br w:val="nil"/>
              <w:tr2bl w:val="nil"/>
            </w:tcBorders>
            <w:noWrap w:val="0"/>
            <w:vAlign w:val="center"/>
          </w:tcPr>
          <w:p w14:paraId="5C1E1B26">
            <w:pPr>
              <w:pStyle w:val="12"/>
              <w:bidi w:val="0"/>
              <w:rPr>
                <w:color w:val="auto"/>
              </w:rPr>
            </w:pPr>
            <w:r>
              <w:rPr>
                <w:rFonts w:hint="default"/>
                <w:color w:val="auto"/>
                <w:lang w:val="en-US" w:eastAsia="zh-CN"/>
              </w:rPr>
              <w:t>0.135</w:t>
            </w:r>
          </w:p>
        </w:tc>
        <w:tc>
          <w:tcPr>
            <w:tcW w:w="660" w:type="dxa"/>
            <w:tcBorders>
              <w:tl2br w:val="nil"/>
              <w:tr2bl w:val="nil"/>
            </w:tcBorders>
            <w:noWrap w:val="0"/>
            <w:vAlign w:val="center"/>
          </w:tcPr>
          <w:p w14:paraId="0F2D0347">
            <w:pPr>
              <w:pStyle w:val="12"/>
              <w:bidi w:val="0"/>
              <w:rPr>
                <w:color w:val="auto"/>
              </w:rPr>
            </w:pPr>
            <w:r>
              <w:rPr>
                <w:rFonts w:hint="default"/>
                <w:color w:val="auto"/>
                <w:lang w:val="en-US" w:eastAsia="zh-CN"/>
              </w:rPr>
              <w:t>0.195</w:t>
            </w:r>
          </w:p>
        </w:tc>
        <w:tc>
          <w:tcPr>
            <w:tcW w:w="645" w:type="dxa"/>
            <w:tcBorders>
              <w:tl2br w:val="nil"/>
              <w:tr2bl w:val="nil"/>
            </w:tcBorders>
            <w:noWrap w:val="0"/>
            <w:vAlign w:val="center"/>
          </w:tcPr>
          <w:p w14:paraId="19EAA25B">
            <w:pPr>
              <w:pStyle w:val="12"/>
              <w:bidi w:val="0"/>
              <w:rPr>
                <w:color w:val="auto"/>
              </w:rPr>
            </w:pPr>
            <w:r>
              <w:rPr>
                <w:rFonts w:hint="default"/>
                <w:color w:val="auto"/>
                <w:lang w:val="en-US" w:eastAsia="zh-CN"/>
              </w:rPr>
              <w:t>0.0105</w:t>
            </w:r>
          </w:p>
        </w:tc>
        <w:tc>
          <w:tcPr>
            <w:tcW w:w="705" w:type="dxa"/>
            <w:tcBorders>
              <w:tl2br w:val="nil"/>
              <w:tr2bl w:val="nil"/>
            </w:tcBorders>
            <w:noWrap w:val="0"/>
            <w:vAlign w:val="center"/>
          </w:tcPr>
          <w:p w14:paraId="03A25324">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22C3657F">
            <w:pPr>
              <w:pStyle w:val="12"/>
              <w:bidi w:val="0"/>
              <w:rPr>
                <w:rFonts w:hint="default"/>
                <w:color w:val="auto"/>
                <w:lang w:val="en-US" w:eastAsia="zh-CN"/>
              </w:rPr>
            </w:pPr>
            <w:r>
              <w:rPr>
                <w:rFonts w:hint="eastAsia"/>
                <w:color w:val="auto"/>
                <w:lang w:val="en-US" w:eastAsia="zh-CN"/>
              </w:rPr>
              <w:t>0</w:t>
            </w:r>
          </w:p>
        </w:tc>
      </w:tr>
      <w:tr w14:paraId="735F0F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65A833C4">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7B6EB207">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085FEC7B">
            <w:pPr>
              <w:pageBreakBefore w:val="0"/>
              <w:wordWrap/>
              <w:bidi w:val="0"/>
              <w:adjustRightInd/>
              <w:snapToGrid/>
              <w:spacing w:line="240" w:lineRule="auto"/>
              <w:ind w:firstLine="0" w:firstLineChars="0"/>
              <w:jc w:val="center"/>
              <w:rPr>
                <w:color w:val="auto"/>
                <w:sz w:val="21"/>
                <w:szCs w:val="21"/>
              </w:rPr>
            </w:pPr>
            <w:r>
              <w:rPr>
                <w:color w:val="auto"/>
                <w:sz w:val="21"/>
                <w:szCs w:val="21"/>
              </w:rPr>
              <w:t>年削减t/a</w:t>
            </w:r>
          </w:p>
        </w:tc>
        <w:tc>
          <w:tcPr>
            <w:tcW w:w="660" w:type="dxa"/>
            <w:vMerge w:val="continue"/>
            <w:tcBorders>
              <w:tl2br w:val="nil"/>
              <w:tr2bl w:val="nil"/>
            </w:tcBorders>
            <w:noWrap w:val="0"/>
            <w:vAlign w:val="center"/>
          </w:tcPr>
          <w:p w14:paraId="4676874C">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7E3A027A">
            <w:pPr>
              <w:pStyle w:val="12"/>
              <w:bidi w:val="0"/>
              <w:rPr>
                <w:color w:val="auto"/>
              </w:rPr>
            </w:pPr>
            <w:r>
              <w:rPr>
                <w:rFonts w:hint="default"/>
                <w:color w:val="auto"/>
                <w:lang w:val="en-US" w:eastAsia="zh-CN"/>
              </w:rPr>
              <w:t>328.5</w:t>
            </w:r>
          </w:p>
        </w:tc>
        <w:tc>
          <w:tcPr>
            <w:tcW w:w="735" w:type="dxa"/>
            <w:tcBorders>
              <w:tl2br w:val="nil"/>
              <w:tr2bl w:val="nil"/>
            </w:tcBorders>
            <w:noWrap w:val="0"/>
            <w:vAlign w:val="center"/>
          </w:tcPr>
          <w:p w14:paraId="17D72FE6">
            <w:pPr>
              <w:pStyle w:val="12"/>
              <w:bidi w:val="0"/>
              <w:rPr>
                <w:color w:val="auto"/>
              </w:rPr>
            </w:pPr>
            <w:r>
              <w:rPr>
                <w:rFonts w:hint="default"/>
                <w:color w:val="auto"/>
                <w:lang w:val="en-US" w:eastAsia="zh-CN"/>
              </w:rPr>
              <w:t>153.3</w:t>
            </w:r>
          </w:p>
        </w:tc>
        <w:tc>
          <w:tcPr>
            <w:tcW w:w="660" w:type="dxa"/>
            <w:tcBorders>
              <w:tl2br w:val="nil"/>
              <w:tr2bl w:val="nil"/>
            </w:tcBorders>
            <w:noWrap w:val="0"/>
            <w:vAlign w:val="center"/>
          </w:tcPr>
          <w:p w14:paraId="45C66048">
            <w:pPr>
              <w:pStyle w:val="12"/>
              <w:bidi w:val="0"/>
              <w:rPr>
                <w:color w:val="auto"/>
              </w:rPr>
            </w:pPr>
            <w:r>
              <w:rPr>
                <w:rFonts w:hint="default"/>
                <w:color w:val="auto"/>
                <w:lang w:val="en-US" w:eastAsia="zh-CN"/>
              </w:rPr>
              <w:t>427.05</w:t>
            </w:r>
          </w:p>
        </w:tc>
        <w:tc>
          <w:tcPr>
            <w:tcW w:w="690" w:type="dxa"/>
            <w:tcBorders>
              <w:tl2br w:val="nil"/>
              <w:tr2bl w:val="nil"/>
            </w:tcBorders>
            <w:noWrap w:val="0"/>
            <w:vAlign w:val="center"/>
          </w:tcPr>
          <w:p w14:paraId="4097606B">
            <w:pPr>
              <w:pStyle w:val="12"/>
              <w:bidi w:val="0"/>
              <w:rPr>
                <w:color w:val="auto"/>
              </w:rPr>
            </w:pPr>
            <w:r>
              <w:rPr>
                <w:rFonts w:hint="default"/>
                <w:color w:val="auto"/>
                <w:lang w:val="en-US" w:eastAsia="zh-CN"/>
              </w:rPr>
              <w:t>49.275</w:t>
            </w:r>
          </w:p>
        </w:tc>
        <w:tc>
          <w:tcPr>
            <w:tcW w:w="660" w:type="dxa"/>
            <w:tcBorders>
              <w:tl2br w:val="nil"/>
              <w:tr2bl w:val="nil"/>
            </w:tcBorders>
            <w:noWrap w:val="0"/>
            <w:vAlign w:val="center"/>
          </w:tcPr>
          <w:p w14:paraId="6711EBD3">
            <w:pPr>
              <w:pStyle w:val="12"/>
              <w:bidi w:val="0"/>
              <w:rPr>
                <w:color w:val="auto"/>
              </w:rPr>
            </w:pPr>
            <w:r>
              <w:rPr>
                <w:rFonts w:hint="default"/>
                <w:color w:val="auto"/>
                <w:lang w:val="en-US" w:eastAsia="zh-CN"/>
              </w:rPr>
              <w:t>71.175</w:t>
            </w:r>
          </w:p>
        </w:tc>
        <w:tc>
          <w:tcPr>
            <w:tcW w:w="645" w:type="dxa"/>
            <w:tcBorders>
              <w:tl2br w:val="nil"/>
              <w:tr2bl w:val="nil"/>
            </w:tcBorders>
            <w:noWrap w:val="0"/>
            <w:vAlign w:val="center"/>
          </w:tcPr>
          <w:p w14:paraId="22FDDB5A">
            <w:pPr>
              <w:pStyle w:val="12"/>
              <w:bidi w:val="0"/>
              <w:rPr>
                <w:color w:val="auto"/>
              </w:rPr>
            </w:pPr>
            <w:r>
              <w:rPr>
                <w:rFonts w:hint="default"/>
                <w:color w:val="auto"/>
                <w:lang w:val="en-US" w:eastAsia="zh-CN"/>
              </w:rPr>
              <w:t>3.8325</w:t>
            </w:r>
          </w:p>
        </w:tc>
        <w:tc>
          <w:tcPr>
            <w:tcW w:w="705" w:type="dxa"/>
            <w:tcBorders>
              <w:tl2br w:val="nil"/>
              <w:tr2bl w:val="nil"/>
            </w:tcBorders>
            <w:noWrap w:val="0"/>
            <w:vAlign w:val="center"/>
          </w:tcPr>
          <w:p w14:paraId="55B6B8F6">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7FB7FE92">
            <w:pPr>
              <w:pStyle w:val="12"/>
              <w:bidi w:val="0"/>
              <w:rPr>
                <w:rFonts w:hint="default"/>
                <w:color w:val="auto"/>
                <w:lang w:val="en-US" w:eastAsia="zh-CN"/>
              </w:rPr>
            </w:pPr>
            <w:r>
              <w:rPr>
                <w:rFonts w:hint="eastAsia"/>
                <w:color w:val="auto"/>
                <w:lang w:val="en-US" w:eastAsia="zh-CN"/>
              </w:rPr>
              <w:t>0</w:t>
            </w:r>
          </w:p>
        </w:tc>
      </w:tr>
      <w:tr w14:paraId="55AE2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2B6056C3">
            <w:pPr>
              <w:pageBreakBefore w:val="0"/>
              <w:wordWrap/>
              <w:bidi w:val="0"/>
              <w:adjustRightInd/>
              <w:snapToGrid/>
              <w:spacing w:line="240" w:lineRule="auto"/>
              <w:ind w:firstLine="0" w:firstLineChars="0"/>
              <w:jc w:val="center"/>
              <w:rPr>
                <w:color w:val="auto"/>
                <w:sz w:val="21"/>
                <w:szCs w:val="21"/>
              </w:rPr>
            </w:pPr>
          </w:p>
        </w:tc>
        <w:tc>
          <w:tcPr>
            <w:tcW w:w="1995" w:type="dxa"/>
            <w:gridSpan w:val="2"/>
            <w:tcBorders>
              <w:tl2br w:val="nil"/>
              <w:tr2bl w:val="nil"/>
            </w:tcBorders>
            <w:noWrap w:val="0"/>
            <w:vAlign w:val="center"/>
          </w:tcPr>
          <w:p w14:paraId="5BA0D692">
            <w:pPr>
              <w:pageBreakBefore w:val="0"/>
              <w:wordWrap/>
              <w:bidi w:val="0"/>
              <w:adjustRightInd/>
              <w:snapToGrid/>
              <w:spacing w:line="240" w:lineRule="auto"/>
              <w:ind w:firstLine="0" w:firstLineChars="0"/>
              <w:jc w:val="center"/>
              <w:rPr>
                <w:color w:val="auto"/>
                <w:sz w:val="21"/>
                <w:szCs w:val="21"/>
              </w:rPr>
            </w:pPr>
            <w:r>
              <w:rPr>
                <w:color w:val="auto"/>
                <w:sz w:val="21"/>
                <w:szCs w:val="21"/>
              </w:rPr>
              <w:t>削减率%</w:t>
            </w:r>
          </w:p>
        </w:tc>
        <w:tc>
          <w:tcPr>
            <w:tcW w:w="660" w:type="dxa"/>
            <w:tcBorders>
              <w:tl2br w:val="nil"/>
              <w:tr2bl w:val="nil"/>
            </w:tcBorders>
            <w:noWrap w:val="0"/>
            <w:vAlign w:val="center"/>
          </w:tcPr>
          <w:p w14:paraId="65441EB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68354BF6">
            <w:pPr>
              <w:pStyle w:val="12"/>
              <w:bidi w:val="0"/>
              <w:rPr>
                <w:color w:val="auto"/>
              </w:rPr>
            </w:pPr>
            <w:r>
              <w:rPr>
                <w:rFonts w:hint="default"/>
                <w:color w:val="auto"/>
                <w:lang w:val="en-US" w:eastAsia="zh-CN"/>
              </w:rPr>
              <w:t>85.7</w:t>
            </w:r>
          </w:p>
        </w:tc>
        <w:tc>
          <w:tcPr>
            <w:tcW w:w="735" w:type="dxa"/>
            <w:tcBorders>
              <w:tl2br w:val="nil"/>
              <w:tr2bl w:val="nil"/>
            </w:tcBorders>
            <w:noWrap w:val="0"/>
            <w:vAlign w:val="center"/>
          </w:tcPr>
          <w:p w14:paraId="7F9294EE">
            <w:pPr>
              <w:pStyle w:val="12"/>
              <w:bidi w:val="0"/>
              <w:rPr>
                <w:color w:val="auto"/>
              </w:rPr>
            </w:pPr>
            <w:r>
              <w:rPr>
                <w:rFonts w:hint="default"/>
                <w:color w:val="auto"/>
                <w:lang w:val="en-US" w:eastAsia="zh-CN"/>
              </w:rPr>
              <w:t>93.3</w:t>
            </w:r>
          </w:p>
        </w:tc>
        <w:tc>
          <w:tcPr>
            <w:tcW w:w="660" w:type="dxa"/>
            <w:tcBorders>
              <w:tl2br w:val="nil"/>
              <w:tr2bl w:val="nil"/>
            </w:tcBorders>
            <w:noWrap w:val="0"/>
            <w:vAlign w:val="center"/>
          </w:tcPr>
          <w:p w14:paraId="7B883A34">
            <w:pPr>
              <w:pStyle w:val="12"/>
              <w:bidi w:val="0"/>
              <w:rPr>
                <w:color w:val="auto"/>
              </w:rPr>
            </w:pPr>
            <w:r>
              <w:rPr>
                <w:rFonts w:hint="default"/>
                <w:color w:val="auto"/>
                <w:lang w:val="en-US" w:eastAsia="zh-CN"/>
              </w:rPr>
              <w:t>97.5</w:t>
            </w:r>
          </w:p>
        </w:tc>
        <w:tc>
          <w:tcPr>
            <w:tcW w:w="690" w:type="dxa"/>
            <w:tcBorders>
              <w:tl2br w:val="nil"/>
              <w:tr2bl w:val="nil"/>
            </w:tcBorders>
            <w:noWrap w:val="0"/>
            <w:vAlign w:val="center"/>
          </w:tcPr>
          <w:p w14:paraId="69B3D70E">
            <w:pPr>
              <w:pStyle w:val="12"/>
              <w:bidi w:val="0"/>
              <w:rPr>
                <w:color w:val="auto"/>
              </w:rPr>
            </w:pPr>
            <w:r>
              <w:rPr>
                <w:rFonts w:hint="default"/>
                <w:color w:val="auto"/>
                <w:lang w:val="en-US" w:eastAsia="zh-CN"/>
              </w:rPr>
              <w:t>90</w:t>
            </w:r>
          </w:p>
        </w:tc>
        <w:tc>
          <w:tcPr>
            <w:tcW w:w="660" w:type="dxa"/>
            <w:tcBorders>
              <w:tl2br w:val="nil"/>
              <w:tr2bl w:val="nil"/>
            </w:tcBorders>
            <w:noWrap w:val="0"/>
            <w:vAlign w:val="center"/>
          </w:tcPr>
          <w:p w14:paraId="2D3B4CC8">
            <w:pPr>
              <w:pStyle w:val="12"/>
              <w:bidi w:val="0"/>
              <w:rPr>
                <w:color w:val="auto"/>
              </w:rPr>
            </w:pPr>
            <w:r>
              <w:rPr>
                <w:rFonts w:hint="default"/>
                <w:color w:val="auto"/>
                <w:lang w:val="en-US" w:eastAsia="zh-CN"/>
              </w:rPr>
              <w:t>81.25</w:t>
            </w:r>
          </w:p>
        </w:tc>
        <w:tc>
          <w:tcPr>
            <w:tcW w:w="645" w:type="dxa"/>
            <w:tcBorders>
              <w:tl2br w:val="nil"/>
              <w:tr2bl w:val="nil"/>
            </w:tcBorders>
            <w:noWrap w:val="0"/>
            <w:vAlign w:val="center"/>
          </w:tcPr>
          <w:p w14:paraId="3873B02C">
            <w:pPr>
              <w:pStyle w:val="12"/>
              <w:bidi w:val="0"/>
              <w:rPr>
                <w:color w:val="auto"/>
              </w:rPr>
            </w:pPr>
            <w:r>
              <w:rPr>
                <w:rFonts w:hint="default"/>
                <w:color w:val="auto"/>
                <w:lang w:val="en-US" w:eastAsia="zh-CN"/>
              </w:rPr>
              <w:t>87.5</w:t>
            </w:r>
          </w:p>
        </w:tc>
        <w:tc>
          <w:tcPr>
            <w:tcW w:w="705" w:type="dxa"/>
            <w:tcBorders>
              <w:tl2br w:val="nil"/>
              <w:tr2bl w:val="nil"/>
            </w:tcBorders>
            <w:noWrap w:val="0"/>
            <w:vAlign w:val="center"/>
          </w:tcPr>
          <w:p w14:paraId="08EFE9C3">
            <w:pPr>
              <w:pStyle w:val="12"/>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6D7F98DD">
            <w:pPr>
              <w:pStyle w:val="12"/>
              <w:bidi w:val="0"/>
              <w:rPr>
                <w:rFonts w:hint="default"/>
                <w:color w:val="auto"/>
                <w:lang w:val="en-US" w:eastAsia="zh-CN"/>
              </w:rPr>
            </w:pPr>
            <w:r>
              <w:rPr>
                <w:rFonts w:hint="eastAsia"/>
                <w:color w:val="auto"/>
                <w:lang w:val="en-US" w:eastAsia="zh-CN"/>
              </w:rPr>
              <w:t>0</w:t>
            </w:r>
          </w:p>
        </w:tc>
      </w:tr>
      <w:tr w14:paraId="74B7B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46E71644">
            <w:pPr>
              <w:pageBreakBefore w:val="0"/>
              <w:wordWrap/>
              <w:bidi w:val="0"/>
              <w:adjustRightInd/>
              <w:snapToGrid/>
              <w:spacing w:line="240" w:lineRule="auto"/>
              <w:ind w:firstLine="0" w:firstLineChars="0"/>
              <w:jc w:val="center"/>
              <w:rPr>
                <w:color w:val="auto"/>
                <w:sz w:val="21"/>
                <w:szCs w:val="21"/>
              </w:rPr>
            </w:pPr>
          </w:p>
        </w:tc>
        <w:tc>
          <w:tcPr>
            <w:tcW w:w="2655" w:type="dxa"/>
            <w:gridSpan w:val="3"/>
            <w:tcBorders>
              <w:tl2br w:val="nil"/>
              <w:tr2bl w:val="nil"/>
            </w:tcBorders>
            <w:noWrap w:val="0"/>
            <w:vAlign w:val="center"/>
          </w:tcPr>
          <w:p w14:paraId="61689FB6">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（GB18918-2002）</w:t>
            </w:r>
          </w:p>
        </w:tc>
        <w:tc>
          <w:tcPr>
            <w:tcW w:w="750" w:type="dxa"/>
            <w:tcBorders>
              <w:tl2br w:val="nil"/>
              <w:tr2bl w:val="nil"/>
            </w:tcBorders>
            <w:noWrap w:val="0"/>
            <w:vAlign w:val="center"/>
          </w:tcPr>
          <w:p w14:paraId="5907DE0B">
            <w:pPr>
              <w:pStyle w:val="12"/>
              <w:bidi w:val="0"/>
              <w:rPr>
                <w:color w:val="auto"/>
              </w:rPr>
            </w:pPr>
            <w:r>
              <w:rPr>
                <w:rFonts w:hint="default"/>
                <w:color w:val="auto"/>
                <w:lang w:val="en-US" w:eastAsia="zh-CN"/>
              </w:rPr>
              <w:t>50</w:t>
            </w:r>
          </w:p>
        </w:tc>
        <w:tc>
          <w:tcPr>
            <w:tcW w:w="735" w:type="dxa"/>
            <w:tcBorders>
              <w:tl2br w:val="nil"/>
              <w:tr2bl w:val="nil"/>
            </w:tcBorders>
            <w:noWrap w:val="0"/>
            <w:vAlign w:val="center"/>
          </w:tcPr>
          <w:p w14:paraId="57CA6F44">
            <w:pPr>
              <w:pStyle w:val="12"/>
              <w:bidi w:val="0"/>
              <w:rPr>
                <w:color w:val="auto"/>
              </w:rPr>
            </w:pPr>
            <w:r>
              <w:rPr>
                <w:rFonts w:hint="default"/>
                <w:color w:val="auto"/>
                <w:lang w:val="en-US" w:eastAsia="zh-CN"/>
              </w:rPr>
              <w:t>10</w:t>
            </w:r>
          </w:p>
        </w:tc>
        <w:tc>
          <w:tcPr>
            <w:tcW w:w="660" w:type="dxa"/>
            <w:tcBorders>
              <w:tl2br w:val="nil"/>
              <w:tr2bl w:val="nil"/>
            </w:tcBorders>
            <w:noWrap w:val="0"/>
            <w:vAlign w:val="center"/>
          </w:tcPr>
          <w:p w14:paraId="1EEEC559">
            <w:pPr>
              <w:pStyle w:val="12"/>
              <w:bidi w:val="0"/>
              <w:rPr>
                <w:color w:val="auto"/>
              </w:rPr>
            </w:pPr>
            <w:r>
              <w:rPr>
                <w:rFonts w:hint="default"/>
                <w:color w:val="auto"/>
                <w:lang w:val="en-US" w:eastAsia="zh-CN"/>
              </w:rPr>
              <w:t>10</w:t>
            </w:r>
          </w:p>
        </w:tc>
        <w:tc>
          <w:tcPr>
            <w:tcW w:w="690" w:type="dxa"/>
            <w:tcBorders>
              <w:tl2br w:val="nil"/>
              <w:tr2bl w:val="nil"/>
            </w:tcBorders>
            <w:noWrap w:val="0"/>
            <w:vAlign w:val="center"/>
          </w:tcPr>
          <w:p w14:paraId="1E2C79EC">
            <w:pPr>
              <w:pStyle w:val="12"/>
              <w:bidi w:val="0"/>
              <w:rPr>
                <w:color w:val="auto"/>
              </w:rPr>
            </w:pPr>
            <w:r>
              <w:rPr>
                <w:rFonts w:hint="default"/>
                <w:color w:val="auto"/>
                <w:lang w:val="en-US" w:eastAsia="zh-CN"/>
              </w:rPr>
              <w:t>5</w:t>
            </w:r>
          </w:p>
        </w:tc>
        <w:tc>
          <w:tcPr>
            <w:tcW w:w="660" w:type="dxa"/>
            <w:tcBorders>
              <w:tl2br w:val="nil"/>
              <w:tr2bl w:val="nil"/>
            </w:tcBorders>
            <w:noWrap w:val="0"/>
            <w:vAlign w:val="center"/>
          </w:tcPr>
          <w:p w14:paraId="1D9BAB1E">
            <w:pPr>
              <w:pStyle w:val="12"/>
              <w:bidi w:val="0"/>
              <w:rPr>
                <w:color w:val="auto"/>
              </w:rPr>
            </w:pPr>
            <w:r>
              <w:rPr>
                <w:rFonts w:hint="default"/>
                <w:color w:val="auto"/>
                <w:lang w:val="en-US" w:eastAsia="zh-CN"/>
              </w:rPr>
              <w:t>15</w:t>
            </w:r>
          </w:p>
        </w:tc>
        <w:tc>
          <w:tcPr>
            <w:tcW w:w="645" w:type="dxa"/>
            <w:tcBorders>
              <w:tl2br w:val="nil"/>
              <w:tr2bl w:val="nil"/>
            </w:tcBorders>
            <w:noWrap w:val="0"/>
            <w:vAlign w:val="center"/>
          </w:tcPr>
          <w:p w14:paraId="4F4C5A96">
            <w:pPr>
              <w:pStyle w:val="12"/>
              <w:bidi w:val="0"/>
              <w:rPr>
                <w:color w:val="auto"/>
              </w:rPr>
            </w:pPr>
            <w:r>
              <w:rPr>
                <w:rFonts w:hint="default"/>
                <w:color w:val="auto"/>
                <w:lang w:val="en-US" w:eastAsia="zh-CN"/>
              </w:rPr>
              <w:t>0.5</w:t>
            </w:r>
          </w:p>
        </w:tc>
        <w:tc>
          <w:tcPr>
            <w:tcW w:w="705" w:type="dxa"/>
            <w:tcBorders>
              <w:tl2br w:val="nil"/>
              <w:tr2bl w:val="nil"/>
            </w:tcBorders>
            <w:noWrap w:val="0"/>
            <w:vAlign w:val="center"/>
          </w:tcPr>
          <w:p w14:paraId="1AF20B13">
            <w:pPr>
              <w:pStyle w:val="12"/>
              <w:bidi w:val="0"/>
              <w:rPr>
                <w:rFonts w:hint="default"/>
                <w:color w:val="auto"/>
                <w:lang w:val="en-US" w:eastAsia="zh-CN"/>
              </w:rPr>
            </w:pPr>
            <w:r>
              <w:rPr>
                <w:rFonts w:hint="eastAsia"/>
                <w:color w:val="auto"/>
                <w:lang w:val="en-US" w:eastAsia="zh-CN"/>
              </w:rPr>
              <w:t>1.0</w:t>
            </w:r>
          </w:p>
        </w:tc>
        <w:tc>
          <w:tcPr>
            <w:tcW w:w="501" w:type="dxa"/>
            <w:tcBorders>
              <w:tl2br w:val="nil"/>
              <w:tr2bl w:val="nil"/>
            </w:tcBorders>
            <w:noWrap w:val="0"/>
            <w:vAlign w:val="center"/>
          </w:tcPr>
          <w:p w14:paraId="3BF67950">
            <w:pPr>
              <w:pStyle w:val="12"/>
              <w:bidi w:val="0"/>
              <w:rPr>
                <w:rFonts w:hint="default"/>
                <w:color w:val="auto"/>
                <w:lang w:val="en-US" w:eastAsia="zh-CN"/>
              </w:rPr>
            </w:pPr>
            <w:r>
              <w:rPr>
                <w:rFonts w:hint="eastAsia"/>
                <w:color w:val="auto"/>
                <w:lang w:val="en-US" w:eastAsia="zh-CN"/>
              </w:rPr>
              <w:t>1.0</w:t>
            </w:r>
          </w:p>
        </w:tc>
      </w:tr>
      <w:tr w14:paraId="0D148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86" w:type="dxa"/>
            <w:gridSpan w:val="12"/>
            <w:tcBorders>
              <w:tl2br w:val="nil"/>
              <w:tr2bl w:val="nil"/>
            </w:tcBorders>
            <w:noWrap w:val="0"/>
            <w:vAlign w:val="center"/>
          </w:tcPr>
          <w:p w14:paraId="4A86936A">
            <w:pPr>
              <w:pageBreakBefore w:val="0"/>
              <w:wordWrap/>
              <w:bidi w:val="0"/>
              <w:adjustRightInd/>
              <w:snapToGrid/>
              <w:spacing w:line="240" w:lineRule="auto"/>
              <w:ind w:firstLine="0" w:firstLineChars="0"/>
              <w:jc w:val="left"/>
              <w:rPr>
                <w:color w:val="auto"/>
                <w:sz w:val="21"/>
                <w:szCs w:val="21"/>
              </w:rPr>
            </w:pPr>
            <w:r>
              <w:rPr>
                <w:color w:val="auto"/>
                <w:sz w:val="21"/>
                <w:szCs w:val="21"/>
              </w:rPr>
              <w:t>注：污水处理前排放量按设计进水水质核算，处理后排放量按</w:t>
            </w:r>
            <w:r>
              <w:rPr>
                <w:bCs/>
                <w:color w:val="auto"/>
                <w:sz w:val="21"/>
                <w:szCs w:val="21"/>
              </w:rPr>
              <w:t>《城镇污水处理厂污染物排放标准》（GB18918-2002）一级A标准要求</w:t>
            </w:r>
            <w:r>
              <w:rPr>
                <w:color w:val="auto"/>
                <w:sz w:val="21"/>
                <w:szCs w:val="21"/>
              </w:rPr>
              <w:t>。</w:t>
            </w:r>
          </w:p>
        </w:tc>
      </w:tr>
    </w:tbl>
    <w:p w14:paraId="5C105D43">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则主要水污染物削减</w:t>
      </w:r>
      <w:r>
        <w:rPr>
          <w:rFonts w:hint="eastAsia"/>
          <w:color w:val="auto"/>
        </w:rPr>
        <w:t>量</w:t>
      </w:r>
      <w:r>
        <w:rPr>
          <w:color w:val="auto"/>
        </w:rPr>
        <w:t>为COD</w:t>
      </w:r>
      <w:r>
        <w:rPr>
          <w:color w:val="auto"/>
          <w:vertAlign w:val="subscript"/>
        </w:rPr>
        <w:t>Cr</w:t>
      </w:r>
      <w:r>
        <w:rPr>
          <w:rFonts w:hint="eastAsia"/>
          <w:color w:val="auto"/>
          <w:lang w:val="en-US" w:eastAsia="zh-CN"/>
        </w:rPr>
        <w:t>328.5</w:t>
      </w:r>
      <w:r>
        <w:rPr>
          <w:color w:val="auto"/>
        </w:rPr>
        <w:t>t/a、</w:t>
      </w:r>
      <w:r>
        <w:rPr>
          <w:rFonts w:hint="eastAsia"/>
          <w:color w:val="auto"/>
          <w:lang w:val="en-US" w:eastAsia="zh-CN"/>
        </w:rPr>
        <w:t>49.275</w:t>
      </w:r>
      <w:r>
        <w:rPr>
          <w:color w:val="auto"/>
        </w:rPr>
        <w:t>t/a、总磷</w:t>
      </w:r>
      <w:r>
        <w:rPr>
          <w:rFonts w:hint="eastAsia"/>
          <w:color w:val="auto"/>
          <w:lang w:val="en-US" w:eastAsia="zh-CN"/>
        </w:rPr>
        <w:t>3.8325</w:t>
      </w:r>
      <w:r>
        <w:rPr>
          <w:color w:val="auto"/>
        </w:rPr>
        <w:t>t/a、总氮</w:t>
      </w:r>
      <w:r>
        <w:rPr>
          <w:rFonts w:hint="eastAsia"/>
          <w:color w:val="auto"/>
          <w:lang w:val="en-US" w:eastAsia="zh-CN"/>
        </w:rPr>
        <w:t>71.175</w:t>
      </w:r>
      <w:r>
        <w:rPr>
          <w:color w:val="auto"/>
        </w:rPr>
        <w:t>t/a。</w:t>
      </w:r>
    </w:p>
    <w:p w14:paraId="22AF3F2D">
      <w:pPr>
        <w:bidi w:val="0"/>
        <w:rPr>
          <w:color w:val="auto"/>
        </w:rPr>
      </w:pPr>
      <w:r>
        <w:rPr>
          <w:color w:val="auto"/>
        </w:rPr>
        <w:t>同时，拟建项目废水处理水污染物总量经地方环保部门协调解决，明确替代源，故本项目的建设不会增大</w:t>
      </w:r>
      <w:r>
        <w:rPr>
          <w:rFonts w:hint="eastAsia"/>
          <w:color w:val="auto"/>
          <w:lang w:eastAsia="zh-CN"/>
        </w:rPr>
        <w:t>巴河</w:t>
      </w:r>
      <w:r>
        <w:rPr>
          <w:color w:val="auto"/>
        </w:rPr>
        <w:t xml:space="preserve">水污染物负荷。 </w:t>
      </w:r>
    </w:p>
    <w:p w14:paraId="485E1C68">
      <w:pPr>
        <w:pageBreakBefore w:val="0"/>
        <w:wordWrap/>
        <w:bidi w:val="0"/>
        <w:adjustRightInd/>
        <w:snapToGrid/>
        <w:ind w:firstLine="482"/>
        <w:rPr>
          <w:bCs/>
          <w:color w:val="auto"/>
          <w:lang w:val="de-DE"/>
        </w:rPr>
      </w:pPr>
      <w:r>
        <w:rPr>
          <w:b/>
          <w:color w:val="auto"/>
        </w:rPr>
        <w:t>项目污水处理厂工程的实施，将</w:t>
      </w:r>
      <w:r>
        <w:rPr>
          <w:rFonts w:hint="eastAsia"/>
          <w:b/>
          <w:color w:val="auto"/>
          <w:lang w:val="en-US" w:eastAsia="zh-CN"/>
        </w:rPr>
        <w:t>满足四川巴中经济开发区-曾口区块污水处理要求</w:t>
      </w:r>
      <w:r>
        <w:rPr>
          <w:b/>
          <w:color w:val="auto"/>
        </w:rPr>
        <w:t>，</w:t>
      </w:r>
      <w:r>
        <w:rPr>
          <w:rFonts w:hint="eastAsia"/>
          <w:b/>
          <w:color w:val="auto"/>
          <w:lang w:val="en-US" w:eastAsia="zh-CN"/>
        </w:rPr>
        <w:t>园区</w:t>
      </w:r>
      <w:r>
        <w:rPr>
          <w:b/>
          <w:color w:val="auto"/>
        </w:rPr>
        <w:t>外排污染物浓度和排放量大幅度减少，对于改善</w:t>
      </w:r>
      <w:r>
        <w:rPr>
          <w:rFonts w:hint="eastAsia"/>
          <w:b/>
          <w:color w:val="auto"/>
          <w:lang w:eastAsia="zh-CN"/>
        </w:rPr>
        <w:t>巴河</w:t>
      </w:r>
      <w:r>
        <w:rPr>
          <w:b/>
          <w:color w:val="auto"/>
        </w:rPr>
        <w:t>水质具有明显的环境正效益，同时也可降低项目排污口下游水环境的污染风险。</w:t>
      </w:r>
    </w:p>
    <w:p w14:paraId="22F86CC2">
      <w:pPr>
        <w:pStyle w:val="5"/>
        <w:pageBreakBefore w:val="0"/>
        <w:wordWrap/>
        <w:bidi w:val="0"/>
        <w:adjustRightInd/>
        <w:snapToGrid/>
        <w:spacing w:before="48" w:after="48"/>
        <w:ind w:left="0"/>
        <w:rPr>
          <w:rFonts w:eastAsia="宋体"/>
          <w:color w:val="auto"/>
        </w:rPr>
      </w:pPr>
      <w:bookmarkStart w:id="262" w:name="_Toc505087380"/>
      <w:r>
        <w:rPr>
          <w:rFonts w:hint="eastAsia" w:eastAsia="宋体"/>
          <w:color w:val="auto"/>
        </w:rPr>
        <w:t xml:space="preserve"> </w:t>
      </w:r>
      <w:r>
        <w:rPr>
          <w:rFonts w:eastAsia="宋体"/>
          <w:color w:val="auto"/>
        </w:rPr>
        <w:t>经济效益</w:t>
      </w:r>
    </w:p>
    <w:p w14:paraId="352164D2">
      <w:pPr>
        <w:pageBreakBefore w:val="0"/>
        <w:wordWrap/>
        <w:bidi w:val="0"/>
        <w:adjustRightInd/>
        <w:snapToGrid/>
        <w:ind w:firstLine="480"/>
        <w:rPr>
          <w:bCs/>
          <w:color w:val="auto"/>
        </w:rPr>
      </w:pPr>
      <w:r>
        <w:rPr>
          <w:bCs/>
          <w:color w:val="auto"/>
        </w:rPr>
        <w:t>1、工程的经济效益指标</w:t>
      </w:r>
    </w:p>
    <w:p w14:paraId="170674AF">
      <w:pPr>
        <w:pageBreakBefore w:val="0"/>
        <w:wordWrap/>
        <w:bidi w:val="0"/>
        <w:adjustRightInd/>
        <w:snapToGrid/>
        <w:ind w:firstLine="480"/>
        <w:rPr>
          <w:color w:val="auto"/>
        </w:rPr>
      </w:pPr>
      <w:r>
        <w:rPr>
          <w:color w:val="auto"/>
        </w:rPr>
        <w:t>根据国家建设部关于《征收排水设施有偿使用费的暂行规定》中的有关条例，通过收取排污费，使本工程具有一定的经济效益。主要经济指标见</w:t>
      </w:r>
      <w:r>
        <w:rPr>
          <w:rFonts w:hint="eastAsia"/>
          <w:color w:val="auto"/>
          <w:lang w:val="en-US" w:eastAsia="zh-CN"/>
        </w:rPr>
        <w:t>下表</w:t>
      </w:r>
      <w:r>
        <w:rPr>
          <w:color w:val="auto"/>
        </w:rPr>
        <w:t>。</w:t>
      </w:r>
    </w:p>
    <w:p w14:paraId="16F0A305">
      <w:pPr>
        <w:pStyle w:val="13"/>
        <w:pageBreakBefore w:val="0"/>
        <w:numPr>
          <w:ilvl w:val="0"/>
          <w:numId w:val="38"/>
        </w:numPr>
        <w:wordWrap/>
        <w:bidi w:val="0"/>
        <w:adjustRightInd/>
        <w:snapToGrid/>
        <w:ind w:left="0" w:leftChars="0" w:firstLine="0" w:firstLineChars="0"/>
        <w:rPr>
          <w:color w:val="auto"/>
        </w:rPr>
      </w:pPr>
      <w:r>
        <w:rPr>
          <w:color w:val="auto"/>
        </w:rPr>
        <w:t>污水处理厂工程主要经济指标</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4561"/>
        <w:gridCol w:w="1611"/>
        <w:gridCol w:w="1780"/>
      </w:tblGrid>
      <w:tr w14:paraId="39BC1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94" w:type="dxa"/>
            <w:tcBorders>
              <w:tl2br w:val="nil"/>
              <w:tr2bl w:val="nil"/>
            </w:tcBorders>
            <w:noWrap w:val="0"/>
            <w:vAlign w:val="center"/>
          </w:tcPr>
          <w:p w14:paraId="06284A65">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序号</w:t>
            </w:r>
          </w:p>
        </w:tc>
        <w:tc>
          <w:tcPr>
            <w:tcW w:w="4561" w:type="dxa"/>
            <w:tcBorders>
              <w:tl2br w:val="nil"/>
              <w:tr2bl w:val="nil"/>
            </w:tcBorders>
            <w:noWrap w:val="0"/>
            <w:vAlign w:val="center"/>
          </w:tcPr>
          <w:p w14:paraId="7B55B7FB">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项目</w:t>
            </w:r>
          </w:p>
        </w:tc>
        <w:tc>
          <w:tcPr>
            <w:tcW w:w="1611" w:type="dxa"/>
            <w:tcBorders>
              <w:tl2br w:val="nil"/>
              <w:tr2bl w:val="nil"/>
            </w:tcBorders>
            <w:noWrap w:val="0"/>
            <w:vAlign w:val="center"/>
          </w:tcPr>
          <w:p w14:paraId="3E02F6C0">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单位</w:t>
            </w:r>
          </w:p>
        </w:tc>
        <w:tc>
          <w:tcPr>
            <w:tcW w:w="1780" w:type="dxa"/>
            <w:tcBorders>
              <w:tl2br w:val="nil"/>
              <w:tr2bl w:val="nil"/>
            </w:tcBorders>
            <w:noWrap w:val="0"/>
            <w:vAlign w:val="center"/>
          </w:tcPr>
          <w:p w14:paraId="79CA2729">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指标</w:t>
            </w:r>
          </w:p>
        </w:tc>
      </w:tr>
      <w:tr w14:paraId="7790B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6C1444AA">
            <w:pPr>
              <w:pageBreakBefore w:val="0"/>
              <w:wordWrap/>
              <w:bidi w:val="0"/>
              <w:adjustRightInd/>
              <w:snapToGrid/>
              <w:spacing w:line="320" w:lineRule="exact"/>
              <w:ind w:firstLine="0" w:firstLineChars="0"/>
              <w:jc w:val="center"/>
              <w:rPr>
                <w:color w:val="auto"/>
                <w:sz w:val="21"/>
                <w:szCs w:val="21"/>
              </w:rPr>
            </w:pPr>
            <w:r>
              <w:rPr>
                <w:color w:val="auto"/>
                <w:sz w:val="21"/>
                <w:szCs w:val="21"/>
              </w:rPr>
              <w:t>1</w:t>
            </w:r>
          </w:p>
        </w:tc>
        <w:tc>
          <w:tcPr>
            <w:tcW w:w="4561" w:type="dxa"/>
            <w:tcBorders>
              <w:tl2br w:val="nil"/>
              <w:tr2bl w:val="nil"/>
            </w:tcBorders>
            <w:noWrap w:val="0"/>
            <w:vAlign w:val="center"/>
          </w:tcPr>
          <w:p w14:paraId="39C44EBB">
            <w:pPr>
              <w:pageBreakBefore w:val="0"/>
              <w:wordWrap/>
              <w:bidi w:val="0"/>
              <w:adjustRightInd/>
              <w:snapToGrid/>
              <w:spacing w:line="320" w:lineRule="exact"/>
              <w:ind w:firstLine="0" w:firstLineChars="0"/>
              <w:jc w:val="center"/>
              <w:rPr>
                <w:color w:val="auto"/>
                <w:sz w:val="21"/>
                <w:szCs w:val="21"/>
              </w:rPr>
            </w:pPr>
            <w:r>
              <w:rPr>
                <w:color w:val="auto"/>
                <w:sz w:val="21"/>
                <w:szCs w:val="21"/>
              </w:rPr>
              <w:t>污水处理厂规模</w:t>
            </w:r>
          </w:p>
        </w:tc>
        <w:tc>
          <w:tcPr>
            <w:tcW w:w="1611" w:type="dxa"/>
            <w:tcBorders>
              <w:tl2br w:val="nil"/>
              <w:tr2bl w:val="nil"/>
            </w:tcBorders>
            <w:noWrap w:val="0"/>
            <w:vAlign w:val="center"/>
          </w:tcPr>
          <w:p w14:paraId="1F53605F">
            <w:pPr>
              <w:pageBreakBefore w:val="0"/>
              <w:wordWrap/>
              <w:bidi w:val="0"/>
              <w:adjustRightInd/>
              <w:snapToGrid/>
              <w:spacing w:line="320" w:lineRule="exact"/>
              <w:ind w:firstLine="0" w:firstLineChars="0"/>
              <w:jc w:val="center"/>
              <w:rPr>
                <w:color w:val="auto"/>
                <w:sz w:val="21"/>
                <w:szCs w:val="21"/>
              </w:rPr>
            </w:pPr>
            <w:r>
              <w:rPr>
                <w:color w:val="auto"/>
                <w:sz w:val="21"/>
                <w:szCs w:val="21"/>
              </w:rPr>
              <w:t>万</w:t>
            </w:r>
            <w:r>
              <w:rPr>
                <w:rFonts w:hint="eastAsia"/>
                <w:color w:val="auto"/>
                <w:sz w:val="21"/>
                <w:szCs w:val="21"/>
                <w:lang w:eastAsia="zh-CN"/>
              </w:rPr>
              <w:t>m³</w:t>
            </w:r>
            <w:r>
              <w:rPr>
                <w:color w:val="auto"/>
                <w:sz w:val="21"/>
                <w:szCs w:val="21"/>
              </w:rPr>
              <w:t>/d</w:t>
            </w:r>
          </w:p>
        </w:tc>
        <w:tc>
          <w:tcPr>
            <w:tcW w:w="1780" w:type="dxa"/>
            <w:tcBorders>
              <w:tl2br w:val="nil"/>
              <w:tr2bl w:val="nil"/>
            </w:tcBorders>
            <w:noWrap w:val="0"/>
            <w:vAlign w:val="center"/>
          </w:tcPr>
          <w:p w14:paraId="3B272821">
            <w:pPr>
              <w:pageBreakBefore w:val="0"/>
              <w:wordWrap/>
              <w:bidi w:val="0"/>
              <w:adjustRightInd/>
              <w:snapToGrid/>
              <w:spacing w:line="32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0.3</w:t>
            </w:r>
          </w:p>
        </w:tc>
      </w:tr>
      <w:tr w14:paraId="00448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4C812ECB">
            <w:pPr>
              <w:pageBreakBefore w:val="0"/>
              <w:wordWrap/>
              <w:bidi w:val="0"/>
              <w:adjustRightInd/>
              <w:snapToGrid/>
              <w:spacing w:line="320" w:lineRule="exact"/>
              <w:ind w:firstLine="0" w:firstLineChars="0"/>
              <w:jc w:val="center"/>
              <w:rPr>
                <w:color w:val="auto"/>
                <w:sz w:val="21"/>
                <w:szCs w:val="21"/>
              </w:rPr>
            </w:pPr>
            <w:r>
              <w:rPr>
                <w:color w:val="auto"/>
                <w:sz w:val="21"/>
                <w:szCs w:val="21"/>
              </w:rPr>
              <w:t>2</w:t>
            </w:r>
          </w:p>
        </w:tc>
        <w:tc>
          <w:tcPr>
            <w:tcW w:w="4561" w:type="dxa"/>
            <w:tcBorders>
              <w:tl2br w:val="nil"/>
              <w:tr2bl w:val="nil"/>
            </w:tcBorders>
            <w:noWrap w:val="0"/>
            <w:vAlign w:val="center"/>
          </w:tcPr>
          <w:p w14:paraId="2CDCAD90">
            <w:pPr>
              <w:pageBreakBefore w:val="0"/>
              <w:wordWrap/>
              <w:bidi w:val="0"/>
              <w:adjustRightInd/>
              <w:snapToGrid/>
              <w:spacing w:line="320" w:lineRule="exact"/>
              <w:ind w:firstLine="0" w:firstLineChars="0"/>
              <w:jc w:val="center"/>
              <w:rPr>
                <w:color w:val="auto"/>
                <w:sz w:val="21"/>
                <w:szCs w:val="21"/>
              </w:rPr>
            </w:pPr>
            <w:r>
              <w:rPr>
                <w:color w:val="auto"/>
                <w:sz w:val="21"/>
                <w:szCs w:val="21"/>
              </w:rPr>
              <w:t>项目总投资</w:t>
            </w:r>
          </w:p>
        </w:tc>
        <w:tc>
          <w:tcPr>
            <w:tcW w:w="1611" w:type="dxa"/>
            <w:tcBorders>
              <w:tl2br w:val="nil"/>
              <w:tr2bl w:val="nil"/>
            </w:tcBorders>
            <w:noWrap w:val="0"/>
            <w:vAlign w:val="center"/>
          </w:tcPr>
          <w:p w14:paraId="12BD251C">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172826FB">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39000</w:t>
            </w:r>
          </w:p>
        </w:tc>
      </w:tr>
      <w:tr w14:paraId="7D06F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60672F78">
            <w:pPr>
              <w:pageBreakBefore w:val="0"/>
              <w:wordWrap/>
              <w:bidi w:val="0"/>
              <w:adjustRightInd/>
              <w:snapToGrid/>
              <w:spacing w:line="320" w:lineRule="exact"/>
              <w:ind w:firstLine="0" w:firstLineChars="0"/>
              <w:jc w:val="center"/>
              <w:rPr>
                <w:color w:val="auto"/>
                <w:sz w:val="21"/>
                <w:szCs w:val="21"/>
              </w:rPr>
            </w:pPr>
            <w:r>
              <w:rPr>
                <w:color w:val="auto"/>
                <w:sz w:val="21"/>
                <w:szCs w:val="21"/>
              </w:rPr>
              <w:t>3</w:t>
            </w:r>
          </w:p>
        </w:tc>
        <w:tc>
          <w:tcPr>
            <w:tcW w:w="4561" w:type="dxa"/>
            <w:tcBorders>
              <w:tl2br w:val="nil"/>
              <w:tr2bl w:val="nil"/>
            </w:tcBorders>
            <w:noWrap w:val="0"/>
            <w:vAlign w:val="center"/>
          </w:tcPr>
          <w:p w14:paraId="258306E1">
            <w:pPr>
              <w:pageBreakBefore w:val="0"/>
              <w:wordWrap/>
              <w:bidi w:val="0"/>
              <w:adjustRightInd/>
              <w:snapToGrid/>
              <w:spacing w:line="320" w:lineRule="exact"/>
              <w:ind w:firstLine="0" w:firstLineChars="0"/>
              <w:jc w:val="center"/>
              <w:rPr>
                <w:color w:val="auto"/>
                <w:sz w:val="21"/>
                <w:szCs w:val="21"/>
              </w:rPr>
            </w:pPr>
            <w:r>
              <w:rPr>
                <w:color w:val="auto"/>
                <w:sz w:val="21"/>
                <w:szCs w:val="21"/>
              </w:rPr>
              <w:t>工程费用</w:t>
            </w:r>
          </w:p>
        </w:tc>
        <w:tc>
          <w:tcPr>
            <w:tcW w:w="1611" w:type="dxa"/>
            <w:tcBorders>
              <w:tl2br w:val="nil"/>
              <w:tr2bl w:val="nil"/>
            </w:tcBorders>
            <w:noWrap w:val="0"/>
            <w:vAlign w:val="center"/>
          </w:tcPr>
          <w:p w14:paraId="68CD79B2">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7726002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32843.19</w:t>
            </w:r>
          </w:p>
        </w:tc>
      </w:tr>
      <w:tr w14:paraId="48E39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253B6256">
            <w:pPr>
              <w:pageBreakBefore w:val="0"/>
              <w:wordWrap/>
              <w:bidi w:val="0"/>
              <w:adjustRightInd/>
              <w:snapToGrid/>
              <w:spacing w:line="320" w:lineRule="exact"/>
              <w:ind w:firstLine="0" w:firstLineChars="0"/>
              <w:jc w:val="center"/>
              <w:rPr>
                <w:color w:val="auto"/>
                <w:sz w:val="21"/>
                <w:szCs w:val="21"/>
              </w:rPr>
            </w:pPr>
            <w:r>
              <w:rPr>
                <w:color w:val="auto"/>
                <w:sz w:val="21"/>
                <w:szCs w:val="21"/>
              </w:rPr>
              <w:t>4</w:t>
            </w:r>
          </w:p>
        </w:tc>
        <w:tc>
          <w:tcPr>
            <w:tcW w:w="4561" w:type="dxa"/>
            <w:tcBorders>
              <w:tl2br w:val="nil"/>
              <w:tr2bl w:val="nil"/>
            </w:tcBorders>
            <w:noWrap w:val="0"/>
            <w:vAlign w:val="center"/>
          </w:tcPr>
          <w:p w14:paraId="0122D81D">
            <w:pPr>
              <w:pageBreakBefore w:val="0"/>
              <w:wordWrap/>
              <w:bidi w:val="0"/>
              <w:adjustRightInd/>
              <w:snapToGrid/>
              <w:spacing w:line="320" w:lineRule="exact"/>
              <w:ind w:firstLine="0" w:firstLineChars="0"/>
              <w:jc w:val="center"/>
              <w:rPr>
                <w:color w:val="auto"/>
                <w:sz w:val="21"/>
                <w:szCs w:val="21"/>
              </w:rPr>
            </w:pPr>
            <w:r>
              <w:rPr>
                <w:color w:val="auto"/>
                <w:sz w:val="21"/>
                <w:szCs w:val="21"/>
              </w:rPr>
              <w:t>建设期利息</w:t>
            </w:r>
          </w:p>
        </w:tc>
        <w:tc>
          <w:tcPr>
            <w:tcW w:w="1611" w:type="dxa"/>
            <w:tcBorders>
              <w:tl2br w:val="nil"/>
              <w:tr2bl w:val="nil"/>
            </w:tcBorders>
            <w:noWrap w:val="0"/>
            <w:vAlign w:val="center"/>
          </w:tcPr>
          <w:p w14:paraId="50E7B395">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15F6A49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r w14:paraId="385D9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22659CF8">
            <w:pPr>
              <w:pageBreakBefore w:val="0"/>
              <w:wordWrap/>
              <w:bidi w:val="0"/>
              <w:adjustRightInd/>
              <w:snapToGrid/>
              <w:spacing w:line="320" w:lineRule="exact"/>
              <w:ind w:firstLine="0" w:firstLineChars="0"/>
              <w:jc w:val="center"/>
              <w:rPr>
                <w:color w:val="auto"/>
                <w:sz w:val="21"/>
                <w:szCs w:val="21"/>
              </w:rPr>
            </w:pPr>
            <w:r>
              <w:rPr>
                <w:color w:val="auto"/>
                <w:sz w:val="21"/>
                <w:szCs w:val="21"/>
              </w:rPr>
              <w:t>5</w:t>
            </w:r>
          </w:p>
        </w:tc>
        <w:tc>
          <w:tcPr>
            <w:tcW w:w="4561" w:type="dxa"/>
            <w:tcBorders>
              <w:tl2br w:val="nil"/>
              <w:tr2bl w:val="nil"/>
            </w:tcBorders>
            <w:noWrap w:val="0"/>
            <w:vAlign w:val="center"/>
          </w:tcPr>
          <w:p w14:paraId="44DC76FF">
            <w:pPr>
              <w:pageBreakBefore w:val="0"/>
              <w:wordWrap/>
              <w:bidi w:val="0"/>
              <w:adjustRightInd/>
              <w:snapToGrid/>
              <w:spacing w:line="320" w:lineRule="exact"/>
              <w:ind w:firstLine="0" w:firstLineChars="0"/>
              <w:jc w:val="center"/>
              <w:rPr>
                <w:color w:val="auto"/>
                <w:sz w:val="21"/>
                <w:szCs w:val="21"/>
              </w:rPr>
            </w:pPr>
            <w:r>
              <w:rPr>
                <w:color w:val="auto"/>
                <w:sz w:val="21"/>
                <w:szCs w:val="21"/>
              </w:rPr>
              <w:t>流动资金</w:t>
            </w:r>
          </w:p>
        </w:tc>
        <w:tc>
          <w:tcPr>
            <w:tcW w:w="1611" w:type="dxa"/>
            <w:tcBorders>
              <w:tl2br w:val="nil"/>
              <w:tr2bl w:val="nil"/>
            </w:tcBorders>
            <w:noWrap w:val="0"/>
            <w:vAlign w:val="center"/>
          </w:tcPr>
          <w:p w14:paraId="62A2A44A">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476667E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w:t>
            </w:r>
          </w:p>
        </w:tc>
      </w:tr>
    </w:tbl>
    <w:p w14:paraId="2B0020BA">
      <w:pPr>
        <w:pageBreakBefore w:val="0"/>
        <w:wordWrap/>
        <w:bidi w:val="0"/>
        <w:adjustRightInd/>
        <w:snapToGrid/>
        <w:spacing w:before="120" w:beforeLines="50"/>
        <w:ind w:firstLine="480"/>
        <w:rPr>
          <w:color w:val="auto"/>
        </w:rPr>
      </w:pPr>
      <w:r>
        <w:rPr>
          <w:color w:val="auto"/>
        </w:rPr>
        <w:t>2、间接</w:t>
      </w:r>
      <w:r>
        <w:rPr>
          <w:bCs/>
          <w:color w:val="auto"/>
        </w:rPr>
        <w:t>经济效益</w:t>
      </w:r>
    </w:p>
    <w:p w14:paraId="28E17BE2">
      <w:pPr>
        <w:pageBreakBefore w:val="0"/>
        <w:wordWrap/>
        <w:bidi w:val="0"/>
        <w:adjustRightInd/>
        <w:snapToGrid/>
        <w:ind w:firstLine="480"/>
        <w:rPr>
          <w:color w:val="auto"/>
        </w:rPr>
      </w:pPr>
      <w:r>
        <w:rPr>
          <w:color w:val="auto"/>
        </w:rPr>
        <w:t>污水处理工程并无显著的直接经济效益，但其投资的间接经济效果较为重要，主要是通过减少污水污染，挽回造成的社会经济损失：</w:t>
      </w:r>
    </w:p>
    <w:p w14:paraId="7CEC130C">
      <w:pPr>
        <w:pageBreakBefore w:val="0"/>
        <w:wordWrap/>
        <w:bidi w:val="0"/>
        <w:adjustRightInd/>
        <w:snapToGrid/>
        <w:ind w:firstLine="480"/>
        <w:rPr>
          <w:color w:val="auto"/>
        </w:rPr>
      </w:pPr>
      <w:r>
        <w:rPr>
          <w:color w:val="auto"/>
        </w:rPr>
        <w:t>（1）工业企业方面</w:t>
      </w:r>
    </w:p>
    <w:p w14:paraId="2985566B">
      <w:pPr>
        <w:pageBreakBefore w:val="0"/>
        <w:wordWrap/>
        <w:bidi w:val="0"/>
        <w:adjustRightInd/>
        <w:snapToGrid/>
        <w:ind w:firstLine="480"/>
        <w:rPr>
          <w:color w:val="auto"/>
        </w:rPr>
      </w:pPr>
      <w:r>
        <w:rPr>
          <w:color w:val="auto"/>
        </w:rPr>
        <w:t>可减少各工业企业分散进行污水处理所增加的投资运行管理费，减轻企业负担。</w:t>
      </w:r>
    </w:p>
    <w:p w14:paraId="3AEEC272">
      <w:pPr>
        <w:pageBreakBefore w:val="0"/>
        <w:wordWrap/>
        <w:bidi w:val="0"/>
        <w:adjustRightInd/>
        <w:snapToGrid/>
        <w:ind w:firstLine="480"/>
        <w:rPr>
          <w:color w:val="auto"/>
        </w:rPr>
      </w:pPr>
      <w:r>
        <w:rPr>
          <w:color w:val="auto"/>
        </w:rPr>
        <w:t xml:space="preserve">（2）城市供水方面 </w:t>
      </w:r>
    </w:p>
    <w:p w14:paraId="6974F0C3">
      <w:pPr>
        <w:pageBreakBefore w:val="0"/>
        <w:wordWrap/>
        <w:bidi w:val="0"/>
        <w:adjustRightInd/>
        <w:snapToGrid/>
        <w:ind w:firstLine="480"/>
        <w:rPr>
          <w:color w:val="auto"/>
        </w:rPr>
      </w:pPr>
      <w:r>
        <w:rPr>
          <w:color w:val="auto"/>
        </w:rPr>
        <w:t>水厂源水受到污染后，会增加给水处理的费用。</w:t>
      </w:r>
    </w:p>
    <w:p w14:paraId="38F568E4">
      <w:pPr>
        <w:pageBreakBefore w:val="0"/>
        <w:wordWrap/>
        <w:bidi w:val="0"/>
        <w:adjustRightInd/>
        <w:snapToGrid/>
        <w:ind w:firstLine="480"/>
        <w:rPr>
          <w:color w:val="auto"/>
        </w:rPr>
      </w:pPr>
      <w:r>
        <w:rPr>
          <w:color w:val="auto"/>
        </w:rPr>
        <w:t xml:space="preserve">（3）农、牧、渔业方面 </w:t>
      </w:r>
    </w:p>
    <w:p w14:paraId="0A04CCE7">
      <w:pPr>
        <w:pageBreakBefore w:val="0"/>
        <w:wordWrap/>
        <w:bidi w:val="0"/>
        <w:adjustRightInd/>
        <w:snapToGrid/>
        <w:ind w:firstLine="480"/>
        <w:rPr>
          <w:color w:val="auto"/>
        </w:rPr>
      </w:pPr>
      <w:r>
        <w:rPr>
          <w:color w:val="auto"/>
        </w:rPr>
        <w:t>水污染可能造成粮食作物、畜产品、水产品的产量下降，造成经济损失。</w:t>
      </w:r>
    </w:p>
    <w:p w14:paraId="43379C34">
      <w:pPr>
        <w:pageBreakBefore w:val="0"/>
        <w:wordWrap/>
        <w:bidi w:val="0"/>
        <w:adjustRightInd/>
        <w:snapToGrid/>
        <w:ind w:firstLine="480"/>
        <w:rPr>
          <w:color w:val="auto"/>
        </w:rPr>
      </w:pPr>
      <w:r>
        <w:rPr>
          <w:color w:val="auto"/>
        </w:rPr>
        <w:t xml:space="preserve">（4）人体健康方面 </w:t>
      </w:r>
    </w:p>
    <w:p w14:paraId="2467ABDC">
      <w:pPr>
        <w:pageBreakBefore w:val="0"/>
        <w:wordWrap/>
        <w:bidi w:val="0"/>
        <w:adjustRightInd/>
        <w:snapToGrid/>
        <w:ind w:firstLine="480"/>
        <w:rPr>
          <w:color w:val="auto"/>
        </w:rPr>
      </w:pPr>
      <w:r>
        <w:rPr>
          <w:color w:val="auto"/>
        </w:rPr>
        <w:t>水污染会造成人的发病率上升，医疗保健费用增加，劳动生产率下降等。</w:t>
      </w:r>
    </w:p>
    <w:p w14:paraId="7A713A50">
      <w:pPr>
        <w:pStyle w:val="4"/>
        <w:pageBreakBefore w:val="0"/>
        <w:wordWrap/>
        <w:bidi w:val="0"/>
        <w:adjustRightInd/>
        <w:snapToGrid/>
        <w:rPr>
          <w:rFonts w:ascii="Times New Roman" w:hAnsi="Times New Roman" w:eastAsia="宋体"/>
          <w:color w:val="auto"/>
        </w:rPr>
      </w:pPr>
      <w:bookmarkStart w:id="263" w:name="_Toc4141"/>
      <w:r>
        <w:rPr>
          <w:rFonts w:hint="eastAsia" w:ascii="Times New Roman" w:hAnsi="Times New Roman" w:eastAsia="宋体"/>
          <w:color w:val="auto"/>
        </w:rPr>
        <w:t xml:space="preserve"> </w:t>
      </w:r>
      <w:bookmarkStart w:id="264" w:name="_Toc1392"/>
      <w:r>
        <w:rPr>
          <w:rFonts w:ascii="Times New Roman" w:hAnsi="Times New Roman" w:eastAsia="宋体"/>
          <w:color w:val="auto"/>
        </w:rPr>
        <w:t>环境经济损益分析</w:t>
      </w:r>
      <w:bookmarkEnd w:id="262"/>
      <w:bookmarkEnd w:id="263"/>
      <w:bookmarkEnd w:id="264"/>
    </w:p>
    <w:p w14:paraId="3B7F84A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环保投资</w:t>
      </w:r>
    </w:p>
    <w:p w14:paraId="642A51C3">
      <w:pPr>
        <w:pageBreakBefore w:val="0"/>
        <w:wordWrap/>
        <w:bidi w:val="0"/>
        <w:adjustRightInd/>
        <w:snapToGrid/>
        <w:ind w:firstLine="480"/>
        <w:rPr>
          <w:color w:val="auto"/>
        </w:rPr>
      </w:pPr>
      <w:r>
        <w:rPr>
          <w:color w:val="auto"/>
        </w:rPr>
        <w:t>本项目总投资为</w:t>
      </w:r>
      <w:r>
        <w:rPr>
          <w:rFonts w:hint="eastAsia"/>
          <w:color w:val="auto"/>
          <w:lang w:eastAsia="zh-CN"/>
        </w:rPr>
        <w:t>39000</w:t>
      </w:r>
      <w:r>
        <w:rPr>
          <w:color w:val="auto"/>
        </w:rPr>
        <w:t>万元，工程的环保投资为</w:t>
      </w:r>
      <w:r>
        <w:rPr>
          <w:rFonts w:hint="eastAsia"/>
          <w:color w:val="auto"/>
          <w:u w:val="single"/>
          <w:lang w:eastAsia="zh-CN"/>
        </w:rPr>
        <w:t>500万元</w:t>
      </w:r>
      <w:r>
        <w:rPr>
          <w:color w:val="auto"/>
        </w:rPr>
        <w:t>，工程环保投资占项目总投资的</w:t>
      </w:r>
      <w:r>
        <w:rPr>
          <w:rFonts w:hint="eastAsia"/>
          <w:color w:val="auto"/>
          <w:u w:val="single"/>
          <w:lang w:eastAsia="zh-CN"/>
        </w:rPr>
        <w:t>1.28%</w:t>
      </w:r>
      <w:r>
        <w:rPr>
          <w:color w:val="auto"/>
        </w:rPr>
        <w:t>。该投资满足项目环保措施经费需求。</w:t>
      </w:r>
    </w:p>
    <w:p w14:paraId="027C853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项目建设带来的损失</w:t>
      </w:r>
    </w:p>
    <w:p w14:paraId="5046952E">
      <w:pPr>
        <w:pageBreakBefore w:val="0"/>
        <w:wordWrap/>
        <w:bidi w:val="0"/>
        <w:adjustRightInd/>
        <w:snapToGrid/>
        <w:ind w:firstLine="480"/>
        <w:rPr>
          <w:color w:val="auto"/>
        </w:rPr>
      </w:pPr>
      <w:r>
        <w:rPr>
          <w:color w:val="auto"/>
        </w:rPr>
        <w:t>营运期主要是废气、废水、固废及噪声等对环境造成影响，为消除这些影响，相应投入资金用于治理，另外，每年尚需投入一定费用作环保措施运行费用。</w:t>
      </w:r>
    </w:p>
    <w:p w14:paraId="732E56FC">
      <w:pPr>
        <w:pStyle w:val="4"/>
        <w:pageBreakBefore w:val="0"/>
        <w:wordWrap/>
        <w:bidi w:val="0"/>
        <w:adjustRightInd/>
        <w:snapToGrid/>
        <w:rPr>
          <w:rFonts w:ascii="Times New Roman" w:hAnsi="Times New Roman" w:eastAsia="宋体"/>
          <w:color w:val="auto"/>
        </w:rPr>
      </w:pPr>
      <w:bookmarkStart w:id="265" w:name="_Toc18753"/>
      <w:bookmarkStart w:id="266" w:name="_Toc505087381"/>
      <w:bookmarkStart w:id="267" w:name="_Toc374627951"/>
      <w:bookmarkStart w:id="268" w:name="_Toc152"/>
      <w:bookmarkStart w:id="269" w:name="_Toc14982"/>
      <w:r>
        <w:rPr>
          <w:rFonts w:hint="eastAsia" w:ascii="Times New Roman" w:hAnsi="Times New Roman" w:eastAsia="宋体"/>
          <w:color w:val="auto"/>
        </w:rPr>
        <w:t xml:space="preserve"> </w:t>
      </w:r>
      <w:bookmarkStart w:id="270" w:name="_Toc32199"/>
      <w:r>
        <w:rPr>
          <w:rFonts w:ascii="Times New Roman" w:hAnsi="Times New Roman" w:eastAsia="宋体"/>
          <w:color w:val="auto"/>
        </w:rPr>
        <w:t>环境经济损益分析结论</w:t>
      </w:r>
      <w:bookmarkEnd w:id="265"/>
      <w:bookmarkEnd w:id="266"/>
      <w:bookmarkEnd w:id="267"/>
      <w:bookmarkEnd w:id="268"/>
      <w:bookmarkEnd w:id="269"/>
      <w:bookmarkEnd w:id="270"/>
    </w:p>
    <w:p w14:paraId="67DA7F45">
      <w:pPr>
        <w:pageBreakBefore w:val="0"/>
        <w:widowControl/>
        <w:wordWrap/>
        <w:bidi w:val="0"/>
        <w:adjustRightInd/>
        <w:snapToGrid/>
        <w:ind w:firstLine="480"/>
        <w:jc w:val="left"/>
        <w:rPr>
          <w:color w:val="auto"/>
        </w:rPr>
      </w:pPr>
      <w:r>
        <w:rPr>
          <w:rFonts w:hint="eastAsia" w:ascii="宋体" w:hAnsi="宋体" w:cs="宋体"/>
          <w:color w:val="auto"/>
          <w:kern w:val="0"/>
          <w:lang w:bidi="ar"/>
        </w:rPr>
        <w:t>本项目的环保投资将创造出可观的经济效益，从社会经济角度看，本项目的建设是可行的。工程采取的环保措施能够取得很好的治理效果，能很好地保护周围环境，做到了以较少的环保投资取得较大的环境效益，其社会、环境、经济效益较为显著。</w:t>
      </w:r>
    </w:p>
    <w:p w14:paraId="48A93F4F">
      <w:pPr>
        <w:pageBreakBefore w:val="0"/>
        <w:wordWrap/>
        <w:bidi w:val="0"/>
        <w:adjustRightInd/>
        <w:snapToGrid/>
        <w:ind w:firstLine="480"/>
        <w:rPr>
          <w:color w:val="auto"/>
        </w:rPr>
        <w:sectPr>
          <w:footerReference r:id="rId26"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1801C5AD">
      <w:pPr>
        <w:pStyle w:val="3"/>
        <w:pageBreakBefore w:val="0"/>
        <w:wordWrap/>
        <w:bidi w:val="0"/>
        <w:adjustRightInd/>
        <w:snapToGrid/>
        <w:rPr>
          <w:rFonts w:eastAsia="宋体"/>
          <w:color w:val="auto"/>
        </w:rPr>
      </w:pPr>
      <w:bookmarkStart w:id="271" w:name="_Toc374627846"/>
      <w:bookmarkStart w:id="272" w:name="_Toc27831"/>
      <w:bookmarkStart w:id="273" w:name="_Toc25938"/>
      <w:bookmarkStart w:id="274" w:name="_Toc505087382"/>
      <w:bookmarkStart w:id="275" w:name="_Toc18073"/>
      <w:r>
        <w:rPr>
          <w:rFonts w:eastAsia="宋体"/>
          <w:color w:val="auto"/>
        </w:rPr>
        <w:t>环境管理与</w:t>
      </w:r>
      <w:bookmarkEnd w:id="271"/>
      <w:bookmarkEnd w:id="272"/>
      <w:r>
        <w:rPr>
          <w:rFonts w:eastAsia="宋体"/>
          <w:color w:val="auto"/>
        </w:rPr>
        <w:t>监测计划</w:t>
      </w:r>
      <w:bookmarkEnd w:id="273"/>
      <w:bookmarkEnd w:id="274"/>
      <w:bookmarkEnd w:id="275"/>
    </w:p>
    <w:p w14:paraId="2DCE3DEC">
      <w:pPr>
        <w:pStyle w:val="4"/>
        <w:pageBreakBefore w:val="0"/>
        <w:wordWrap/>
        <w:bidi w:val="0"/>
        <w:adjustRightInd/>
        <w:snapToGrid/>
        <w:rPr>
          <w:rFonts w:ascii="Times New Roman" w:hAnsi="Times New Roman" w:eastAsia="宋体"/>
          <w:color w:val="auto"/>
        </w:rPr>
      </w:pPr>
      <w:bookmarkStart w:id="276" w:name="_Toc18936"/>
      <w:r>
        <w:rPr>
          <w:rFonts w:hint="eastAsia" w:ascii="Times New Roman" w:hAnsi="Times New Roman" w:eastAsia="宋体"/>
          <w:color w:val="auto"/>
        </w:rPr>
        <w:t xml:space="preserve"> </w:t>
      </w:r>
      <w:bookmarkStart w:id="277" w:name="_Toc32685"/>
      <w:r>
        <w:rPr>
          <w:rFonts w:ascii="Times New Roman" w:hAnsi="Times New Roman" w:eastAsia="宋体"/>
          <w:color w:val="auto"/>
        </w:rPr>
        <w:t>环境管理的目的</w:t>
      </w:r>
      <w:bookmarkEnd w:id="276"/>
      <w:bookmarkEnd w:id="277"/>
    </w:p>
    <w:p w14:paraId="7C27EB90">
      <w:pPr>
        <w:pageBreakBefore w:val="0"/>
        <w:wordWrap/>
        <w:bidi w:val="0"/>
        <w:adjustRightInd/>
        <w:snapToGrid/>
        <w:ind w:firstLine="480"/>
        <w:rPr>
          <w:color w:val="auto"/>
          <w:szCs w:val="22"/>
        </w:rPr>
      </w:pPr>
      <w:r>
        <w:rPr>
          <w:color w:val="auto"/>
          <w:szCs w:val="22"/>
        </w:rPr>
        <w:t>环境管理的目的是对损坏环境质量的人为活动施加影响，以协调经济与环境的关系，既达到发展经济满足人类的需要，又不超出环境容量的限制。拟建工程对环境的影响主要来自施工期、运行期的各种作业活动及运行期的风险事故。无论是各种作业活动，还是事故事件，都将会给自然环境和人们的生产生活带来较大的影响，为最大限度地减轻施工作业及生产过程中对环境的影响，确保生产过程环境安全和高效生产，建立科学有效的环境管理体制，落实各项环保和安全措施显得尤为重要。通过建立环境管理体系，</w:t>
      </w:r>
      <w:r>
        <w:rPr>
          <w:rFonts w:hint="eastAsia"/>
          <w:color w:val="auto"/>
          <w:szCs w:val="22"/>
          <w:lang w:eastAsia="zh-CN"/>
        </w:rPr>
        <w:t>增强</w:t>
      </w:r>
      <w:r>
        <w:rPr>
          <w:color w:val="auto"/>
          <w:szCs w:val="22"/>
        </w:rPr>
        <w:t>员工环保意识、规范企业管理、推行清洁生产，实现污染预防，以实现环境效益、社会效益、经济效益的统一。</w:t>
      </w:r>
    </w:p>
    <w:p w14:paraId="3D6CC1D1">
      <w:pPr>
        <w:pStyle w:val="4"/>
        <w:pageBreakBefore w:val="0"/>
        <w:wordWrap/>
        <w:bidi w:val="0"/>
        <w:adjustRightInd/>
        <w:snapToGrid/>
        <w:rPr>
          <w:rFonts w:ascii="Times New Roman" w:hAnsi="Times New Roman" w:eastAsia="宋体"/>
          <w:color w:val="auto"/>
        </w:rPr>
      </w:pPr>
      <w:bookmarkStart w:id="278" w:name="_Toc11846"/>
      <w:r>
        <w:rPr>
          <w:rFonts w:hint="eastAsia" w:ascii="Times New Roman" w:hAnsi="Times New Roman" w:eastAsia="宋体"/>
          <w:color w:val="auto"/>
        </w:rPr>
        <w:t xml:space="preserve"> </w:t>
      </w:r>
      <w:bookmarkStart w:id="279" w:name="_Toc13716"/>
      <w:r>
        <w:rPr>
          <w:rFonts w:ascii="Times New Roman" w:hAnsi="Times New Roman" w:eastAsia="宋体"/>
          <w:color w:val="auto"/>
        </w:rPr>
        <w:t>环境管理机构及职责</w:t>
      </w:r>
      <w:bookmarkEnd w:id="278"/>
      <w:bookmarkEnd w:id="279"/>
    </w:p>
    <w:p w14:paraId="30B6E77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环境管理机构</w:t>
      </w:r>
    </w:p>
    <w:p w14:paraId="79D65FAE">
      <w:pPr>
        <w:pageBreakBefore w:val="0"/>
        <w:wordWrap/>
        <w:bidi w:val="0"/>
        <w:adjustRightInd/>
        <w:snapToGrid/>
        <w:ind w:firstLine="480"/>
        <w:rPr>
          <w:color w:val="auto"/>
          <w:szCs w:val="22"/>
        </w:rPr>
      </w:pPr>
      <w:r>
        <w:rPr>
          <w:color w:val="auto"/>
          <w:szCs w:val="22"/>
        </w:rPr>
        <w:t>环境管理机构分为企业外部环境管理机构和企业内部环境管理机构。企业外部环境管理机构指政府性环境管理机构，主要有四川省生态环境厅、</w:t>
      </w:r>
      <w:r>
        <w:rPr>
          <w:rFonts w:hint="eastAsia"/>
          <w:color w:val="auto"/>
          <w:szCs w:val="22"/>
          <w:lang w:eastAsia="zh-CN"/>
        </w:rPr>
        <w:t>巴中市</w:t>
      </w:r>
      <w:r>
        <w:rPr>
          <w:color w:val="auto"/>
          <w:szCs w:val="22"/>
        </w:rPr>
        <w:t>生态环境局、</w:t>
      </w:r>
      <w:r>
        <w:rPr>
          <w:rFonts w:hint="eastAsia"/>
          <w:color w:val="auto"/>
          <w:szCs w:val="22"/>
          <w:lang w:eastAsia="zh-CN"/>
        </w:rPr>
        <w:t>巴中巴州区</w:t>
      </w:r>
      <w:r>
        <w:rPr>
          <w:color w:val="auto"/>
          <w:szCs w:val="22"/>
        </w:rPr>
        <w:t>生态环境与城市管理局等；企业内部环境管理机构是指工程投资建设方所建立的环境保护专门机构。</w:t>
      </w:r>
    </w:p>
    <w:p w14:paraId="37444D98">
      <w:pPr>
        <w:pageBreakBefore w:val="0"/>
        <w:wordWrap/>
        <w:bidi w:val="0"/>
        <w:adjustRightInd/>
        <w:snapToGrid/>
        <w:ind w:firstLine="480"/>
        <w:rPr>
          <w:color w:val="auto"/>
          <w:szCs w:val="22"/>
        </w:rPr>
      </w:pPr>
      <w:r>
        <w:rPr>
          <w:color w:val="auto"/>
          <w:szCs w:val="22"/>
        </w:rPr>
        <w:t>企业内部环境管理机构作为企业管理体系中的一部分，应与之相协调统一。实行企业总经理领导下的</w:t>
      </w:r>
      <w:r>
        <w:rPr>
          <w:rFonts w:hint="eastAsia"/>
          <w:color w:val="auto"/>
          <w:szCs w:val="22"/>
          <w:lang w:eastAsia="zh-CN"/>
        </w:rPr>
        <w:t>“</w:t>
      </w:r>
      <w:r>
        <w:rPr>
          <w:color w:val="auto"/>
          <w:szCs w:val="22"/>
        </w:rPr>
        <w:t>一人主管，分工负责；职能部门，各负其责；落实基层，监督考核</w:t>
      </w:r>
      <w:r>
        <w:rPr>
          <w:rFonts w:hint="eastAsia"/>
          <w:color w:val="auto"/>
          <w:szCs w:val="22"/>
          <w:lang w:eastAsia="zh-CN"/>
        </w:rPr>
        <w:t>”</w:t>
      </w:r>
      <w:r>
        <w:rPr>
          <w:color w:val="auto"/>
          <w:szCs w:val="22"/>
        </w:rPr>
        <w:t>的原则，建立以企业领导为核心，安全环保部为基础的全员责任制的环境管理体系。使环境管理贯穿于企业管理的整个过程，并落实到企业的各个层次，分解到生产的各个环节，把企业管理与环境管理紧密地结合起来，不但要建立完善的企业管理体系和各种规章制度，也要建立完善的环境管理体系和各种规章制度，使企业的环境管理工作真正落到实处。</w:t>
      </w:r>
    </w:p>
    <w:p w14:paraId="44D21A0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管理机构职责</w:t>
      </w:r>
    </w:p>
    <w:p w14:paraId="45F3CB3D">
      <w:pPr>
        <w:pageBreakBefore w:val="0"/>
        <w:wordWrap/>
        <w:bidi w:val="0"/>
        <w:adjustRightInd/>
        <w:snapToGrid/>
        <w:ind w:firstLine="480"/>
        <w:rPr>
          <w:color w:val="auto"/>
          <w:szCs w:val="22"/>
        </w:rPr>
      </w:pPr>
      <w:r>
        <w:rPr>
          <w:color w:val="auto"/>
          <w:szCs w:val="22"/>
        </w:rPr>
        <w:t>①建立健全的环境保护工作规章制度，明确环保责任制及其奖惩办法；</w:t>
      </w:r>
    </w:p>
    <w:p w14:paraId="07B59D8A">
      <w:pPr>
        <w:pageBreakBefore w:val="0"/>
        <w:wordWrap/>
        <w:bidi w:val="0"/>
        <w:adjustRightInd/>
        <w:snapToGrid/>
        <w:ind w:firstLine="480"/>
        <w:rPr>
          <w:color w:val="auto"/>
          <w:szCs w:val="22"/>
        </w:rPr>
      </w:pPr>
      <w:r>
        <w:rPr>
          <w:color w:val="auto"/>
          <w:szCs w:val="22"/>
        </w:rPr>
        <w:t>②负责制定项目环境保护管理办法、环境保护规章制度、污染事故的</w:t>
      </w:r>
      <w:r>
        <w:rPr>
          <w:rFonts w:hint="eastAsia"/>
          <w:color w:val="auto"/>
          <w:szCs w:val="22"/>
          <w:lang w:eastAsia="zh-CN"/>
        </w:rPr>
        <w:t>防治</w:t>
      </w:r>
      <w:r>
        <w:rPr>
          <w:color w:val="auto"/>
          <w:szCs w:val="22"/>
        </w:rPr>
        <w:t>和应急措施以及生产安全条例，并监督检查这些制度和措施的执行情况；</w:t>
      </w:r>
    </w:p>
    <w:p w14:paraId="783DB3D0">
      <w:pPr>
        <w:pageBreakBefore w:val="0"/>
        <w:wordWrap/>
        <w:bidi w:val="0"/>
        <w:adjustRightInd/>
        <w:snapToGrid/>
        <w:ind w:firstLine="480"/>
        <w:rPr>
          <w:color w:val="auto"/>
          <w:szCs w:val="22"/>
        </w:rPr>
      </w:pPr>
      <w:r>
        <w:rPr>
          <w:color w:val="auto"/>
          <w:szCs w:val="22"/>
        </w:rPr>
        <w:t>③建立环保档案，包括环评报告、环保工程验收报告、污染源监测报告、环保设备及运行记录</w:t>
      </w:r>
      <w:r>
        <w:rPr>
          <w:rFonts w:hint="eastAsia"/>
          <w:color w:val="auto"/>
          <w:szCs w:val="22"/>
          <w:lang w:eastAsia="zh-CN"/>
        </w:rPr>
        <w:t>以及其他</w:t>
      </w:r>
      <w:r>
        <w:rPr>
          <w:color w:val="auto"/>
          <w:szCs w:val="22"/>
        </w:rPr>
        <w:t>环境统计资料；</w:t>
      </w:r>
    </w:p>
    <w:p w14:paraId="6756C278">
      <w:pPr>
        <w:pageBreakBefore w:val="0"/>
        <w:wordWrap/>
        <w:bidi w:val="0"/>
        <w:adjustRightInd/>
        <w:snapToGrid/>
        <w:ind w:firstLine="480"/>
        <w:rPr>
          <w:color w:val="auto"/>
          <w:szCs w:val="22"/>
        </w:rPr>
      </w:pPr>
      <w:r>
        <w:rPr>
          <w:color w:val="auto"/>
          <w:szCs w:val="22"/>
        </w:rPr>
        <w:t>④做好环境保护、安全生产宣传，以及相关技术培训等工作；</w:t>
      </w:r>
    </w:p>
    <w:p w14:paraId="4AF82087">
      <w:pPr>
        <w:pageBreakBefore w:val="0"/>
        <w:wordWrap/>
        <w:bidi w:val="0"/>
        <w:adjustRightInd/>
        <w:snapToGrid/>
        <w:ind w:firstLine="480"/>
        <w:rPr>
          <w:color w:val="auto"/>
          <w:szCs w:val="22"/>
        </w:rPr>
      </w:pPr>
      <w:r>
        <w:rPr>
          <w:color w:val="auto"/>
          <w:szCs w:val="22"/>
        </w:rPr>
        <w:t xml:space="preserve">⑤协同上级环境管理部门检查本企业的环境保护工作、污染治理设施的运行情况。定期对厂内污染情况进行分析总结，为环保设施的更新改造提供可靠依据； </w:t>
      </w:r>
    </w:p>
    <w:p w14:paraId="7FF7E5BE">
      <w:pPr>
        <w:pageBreakBefore w:val="0"/>
        <w:wordWrap/>
        <w:bidi w:val="0"/>
        <w:adjustRightInd/>
        <w:snapToGrid/>
        <w:ind w:firstLine="480"/>
        <w:rPr>
          <w:color w:val="auto"/>
          <w:szCs w:val="22"/>
        </w:rPr>
      </w:pPr>
      <w:r>
        <w:rPr>
          <w:color w:val="auto"/>
          <w:szCs w:val="22"/>
        </w:rPr>
        <w:t>⑥组织宣传教育，与本单位的有关部门一起大力普及公司员工的环境法规及环境科学知识，</w:t>
      </w:r>
      <w:r>
        <w:rPr>
          <w:rFonts w:hint="eastAsia"/>
          <w:color w:val="auto"/>
          <w:szCs w:val="22"/>
          <w:lang w:eastAsia="zh-CN"/>
        </w:rPr>
        <w:t>增强</w:t>
      </w:r>
      <w:r>
        <w:rPr>
          <w:color w:val="auto"/>
          <w:szCs w:val="22"/>
        </w:rPr>
        <w:t xml:space="preserve">职工的环境保护意识； </w:t>
      </w:r>
    </w:p>
    <w:p w14:paraId="4DA7983F">
      <w:pPr>
        <w:pageBreakBefore w:val="0"/>
        <w:wordWrap/>
        <w:bidi w:val="0"/>
        <w:adjustRightInd/>
        <w:snapToGrid/>
        <w:ind w:firstLine="480"/>
        <w:rPr>
          <w:color w:val="auto"/>
          <w:szCs w:val="22"/>
        </w:rPr>
      </w:pPr>
      <w:r>
        <w:rPr>
          <w:color w:val="auto"/>
          <w:szCs w:val="22"/>
        </w:rPr>
        <w:t>⑦建立全厂污染源、污染物治理、排放浓度及总量等数据库。编制企业污染源监测的月报表、年报表及环境管理质量报告。</w:t>
      </w:r>
    </w:p>
    <w:p w14:paraId="6413136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执行机构工作内容</w:t>
      </w:r>
    </w:p>
    <w:p w14:paraId="6FFEB7DA">
      <w:pPr>
        <w:pageBreakBefore w:val="0"/>
        <w:wordWrap/>
        <w:bidi w:val="0"/>
        <w:adjustRightInd/>
        <w:snapToGrid/>
        <w:ind w:firstLine="480"/>
        <w:rPr>
          <w:color w:val="auto"/>
          <w:szCs w:val="22"/>
        </w:rPr>
      </w:pPr>
      <w:r>
        <w:rPr>
          <w:color w:val="auto"/>
          <w:szCs w:val="22"/>
        </w:rPr>
        <w:t>接受各级生态环境局的工作指导、管理和环保机构的监督；执行环保法律、法规，落实环境影响评价、设计与环保工作计划中的每一项环保措施；保证环保设施的正常运转，设立环保管理机构和监督机构、人员，对项目排污进行自我监测，建立污染源档案并定期报告当地生态环境部门；承担污染源复查和抽查费用。</w:t>
      </w:r>
    </w:p>
    <w:p w14:paraId="5447B47C">
      <w:pPr>
        <w:pStyle w:val="4"/>
        <w:pageBreakBefore w:val="0"/>
        <w:wordWrap/>
        <w:bidi w:val="0"/>
        <w:adjustRightInd/>
        <w:snapToGrid/>
        <w:rPr>
          <w:rFonts w:ascii="Times New Roman" w:hAnsi="Times New Roman" w:eastAsia="宋体"/>
          <w:color w:val="auto"/>
        </w:rPr>
      </w:pPr>
      <w:bookmarkStart w:id="280" w:name="_Toc18064"/>
      <w:r>
        <w:rPr>
          <w:rFonts w:hint="eastAsia" w:ascii="Times New Roman" w:hAnsi="Times New Roman" w:eastAsia="宋体"/>
          <w:color w:val="auto"/>
        </w:rPr>
        <w:t xml:space="preserve"> </w:t>
      </w:r>
      <w:bookmarkStart w:id="281" w:name="_Toc23848"/>
      <w:r>
        <w:rPr>
          <w:rFonts w:ascii="Times New Roman" w:hAnsi="Times New Roman" w:eastAsia="宋体"/>
          <w:color w:val="auto"/>
        </w:rPr>
        <w:t>环境管理</w:t>
      </w:r>
      <w:bookmarkEnd w:id="280"/>
      <w:bookmarkEnd w:id="281"/>
    </w:p>
    <w:p w14:paraId="039BCD7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环境管理总体规划</w:t>
      </w:r>
    </w:p>
    <w:p w14:paraId="5639F95E">
      <w:pPr>
        <w:pageBreakBefore w:val="0"/>
        <w:wordWrap/>
        <w:bidi w:val="0"/>
        <w:adjustRightInd/>
        <w:snapToGrid/>
        <w:ind w:firstLine="480"/>
        <w:rPr>
          <w:color w:val="auto"/>
          <w:szCs w:val="22"/>
        </w:rPr>
      </w:pPr>
      <w:r>
        <w:rPr>
          <w:color w:val="auto"/>
          <w:szCs w:val="22"/>
        </w:rPr>
        <w:t>环境管理应该贯穿于建设项目从立项到运行的整个过程，并对建设项目的不同阶段制定相应的环保条例，规定不同阶段的环保内容，明确不同部门的工作职责，见</w:t>
      </w:r>
      <w:r>
        <w:rPr>
          <w:rFonts w:hint="eastAsia"/>
          <w:color w:val="auto"/>
          <w:szCs w:val="22"/>
          <w:lang w:val="en-US" w:eastAsia="zh-CN"/>
        </w:rPr>
        <w:t>下表</w:t>
      </w:r>
      <w:r>
        <w:rPr>
          <w:color w:val="auto"/>
          <w:szCs w:val="22"/>
        </w:rPr>
        <w:t>所示。</w:t>
      </w:r>
    </w:p>
    <w:p w14:paraId="475489A2">
      <w:pPr>
        <w:pStyle w:val="15"/>
        <w:numPr>
          <w:ilvl w:val="0"/>
          <w:numId w:val="39"/>
        </w:numPr>
        <w:bidi w:val="0"/>
        <w:ind w:left="0" w:leftChars="0" w:firstLine="0" w:firstLineChars="0"/>
        <w:rPr>
          <w:color w:val="auto"/>
        </w:rPr>
      </w:pPr>
      <w:r>
        <w:rPr>
          <w:color w:val="auto"/>
        </w:rPr>
        <w:t>建设项目环境管理总体规划</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2"/>
        <w:gridCol w:w="7194"/>
      </w:tblGrid>
      <w:tr w14:paraId="05441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979" w:type="pct"/>
            <w:vMerge w:val="restart"/>
            <w:tcBorders>
              <w:tl2br w:val="nil"/>
              <w:tr2bl w:val="nil"/>
            </w:tcBorders>
            <w:noWrap w:val="0"/>
            <w:vAlign w:val="center"/>
          </w:tcPr>
          <w:p w14:paraId="066B2B84">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建设、调试</w:t>
            </w:r>
            <w:r>
              <w:rPr>
                <w:color w:val="auto"/>
                <w:sz w:val="21"/>
                <w:szCs w:val="21"/>
              </w:rPr>
              <w:t>阶段</w:t>
            </w:r>
          </w:p>
        </w:tc>
        <w:tc>
          <w:tcPr>
            <w:tcW w:w="4020" w:type="pct"/>
            <w:tcBorders>
              <w:tl2br w:val="nil"/>
              <w:tr2bl w:val="nil"/>
            </w:tcBorders>
            <w:noWrap w:val="0"/>
            <w:vAlign w:val="center"/>
          </w:tcPr>
          <w:p w14:paraId="737CDE20">
            <w:pPr>
              <w:pageBreakBefore w:val="0"/>
              <w:wordWrap/>
              <w:bidi w:val="0"/>
              <w:adjustRightInd/>
              <w:snapToGrid/>
              <w:spacing w:line="240" w:lineRule="auto"/>
              <w:ind w:firstLine="0" w:firstLineChars="0"/>
              <w:jc w:val="center"/>
              <w:rPr>
                <w:color w:val="auto"/>
                <w:sz w:val="21"/>
                <w:szCs w:val="21"/>
              </w:rPr>
            </w:pPr>
            <w:r>
              <w:rPr>
                <w:color w:val="auto"/>
                <w:sz w:val="21"/>
                <w:szCs w:val="21"/>
              </w:rPr>
              <w:t>完善准备、最大限度</w:t>
            </w:r>
            <w:r>
              <w:rPr>
                <w:rFonts w:hint="eastAsia"/>
                <w:color w:val="auto"/>
                <w:sz w:val="21"/>
                <w:szCs w:val="21"/>
              </w:rPr>
              <w:t>减</w:t>
            </w:r>
            <w:r>
              <w:rPr>
                <w:color w:val="auto"/>
                <w:sz w:val="21"/>
                <w:szCs w:val="21"/>
              </w:rPr>
              <w:t>少事故发生</w:t>
            </w:r>
          </w:p>
        </w:tc>
      </w:tr>
      <w:tr w14:paraId="3EA87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continue"/>
            <w:tcBorders>
              <w:tl2br w:val="nil"/>
              <w:tr2bl w:val="nil"/>
            </w:tcBorders>
            <w:noWrap w:val="0"/>
            <w:vAlign w:val="center"/>
          </w:tcPr>
          <w:p w14:paraId="387F9EC3">
            <w:pPr>
              <w:pageBreakBefore w:val="0"/>
              <w:widowControl/>
              <w:wordWrap/>
              <w:bidi w:val="0"/>
              <w:adjustRightInd/>
              <w:snapToGrid/>
              <w:spacing w:line="240" w:lineRule="auto"/>
              <w:ind w:firstLine="0" w:firstLineChars="0"/>
              <w:jc w:val="left"/>
              <w:rPr>
                <w:color w:val="auto"/>
                <w:sz w:val="21"/>
                <w:szCs w:val="21"/>
              </w:rPr>
            </w:pPr>
          </w:p>
        </w:tc>
        <w:tc>
          <w:tcPr>
            <w:tcW w:w="4020" w:type="pct"/>
            <w:tcBorders>
              <w:tl2br w:val="nil"/>
              <w:tr2bl w:val="nil"/>
            </w:tcBorders>
            <w:noWrap w:val="0"/>
            <w:vAlign w:val="center"/>
          </w:tcPr>
          <w:p w14:paraId="30248B01">
            <w:pPr>
              <w:pageBreakBefore w:val="0"/>
              <w:wordWrap/>
              <w:bidi w:val="0"/>
              <w:adjustRightInd/>
              <w:snapToGrid/>
              <w:spacing w:line="240" w:lineRule="auto"/>
              <w:ind w:firstLine="0" w:firstLineChars="0"/>
              <w:jc w:val="center"/>
              <w:rPr>
                <w:color w:val="auto"/>
                <w:sz w:val="21"/>
                <w:szCs w:val="21"/>
              </w:rPr>
            </w:pPr>
            <w:r>
              <w:rPr>
                <w:color w:val="auto"/>
                <w:sz w:val="21"/>
                <w:szCs w:val="21"/>
              </w:rPr>
              <w:t>严格施工设计监理，保证工程质量；检查环保措施的执行；加强环保设备运行检查，力求达标；</w:t>
            </w:r>
            <w:r>
              <w:rPr>
                <w:rFonts w:hint="eastAsia"/>
                <w:color w:val="auto"/>
                <w:sz w:val="21"/>
                <w:szCs w:val="21"/>
              </w:rPr>
              <w:t>避免</w:t>
            </w:r>
            <w:r>
              <w:rPr>
                <w:color w:val="auto"/>
                <w:sz w:val="21"/>
                <w:szCs w:val="21"/>
              </w:rPr>
              <w:t>超标排污；</w:t>
            </w:r>
          </w:p>
        </w:tc>
      </w:tr>
      <w:tr w14:paraId="3AED2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restart"/>
            <w:tcBorders>
              <w:tl2br w:val="nil"/>
              <w:tr2bl w:val="nil"/>
            </w:tcBorders>
            <w:noWrap w:val="0"/>
            <w:vAlign w:val="center"/>
          </w:tcPr>
          <w:p w14:paraId="3BBBD1BC">
            <w:pPr>
              <w:pageBreakBefore w:val="0"/>
              <w:wordWrap/>
              <w:bidi w:val="0"/>
              <w:adjustRightInd/>
              <w:snapToGrid/>
              <w:spacing w:line="240" w:lineRule="auto"/>
              <w:ind w:firstLine="0" w:firstLineChars="0"/>
              <w:jc w:val="center"/>
              <w:rPr>
                <w:color w:val="auto"/>
                <w:sz w:val="21"/>
                <w:szCs w:val="21"/>
              </w:rPr>
            </w:pPr>
            <w:r>
              <w:rPr>
                <w:color w:val="auto"/>
                <w:sz w:val="21"/>
                <w:szCs w:val="21"/>
              </w:rPr>
              <w:t>信息反馈和群众监督</w:t>
            </w:r>
          </w:p>
        </w:tc>
        <w:tc>
          <w:tcPr>
            <w:tcW w:w="4020" w:type="pct"/>
            <w:tcBorders>
              <w:tl2br w:val="nil"/>
              <w:tr2bl w:val="nil"/>
            </w:tcBorders>
            <w:noWrap w:val="0"/>
            <w:vAlign w:val="center"/>
          </w:tcPr>
          <w:p w14:paraId="1A451C58">
            <w:pPr>
              <w:pageBreakBefore w:val="0"/>
              <w:wordWrap/>
              <w:bidi w:val="0"/>
              <w:adjustRightInd/>
              <w:snapToGrid/>
              <w:spacing w:line="240" w:lineRule="auto"/>
              <w:ind w:firstLine="0" w:firstLineChars="0"/>
              <w:jc w:val="center"/>
              <w:rPr>
                <w:color w:val="auto"/>
                <w:sz w:val="21"/>
                <w:szCs w:val="21"/>
              </w:rPr>
            </w:pPr>
            <w:r>
              <w:rPr>
                <w:color w:val="auto"/>
                <w:sz w:val="21"/>
                <w:szCs w:val="21"/>
              </w:rPr>
              <w:t>反馈监督数据，加强群众监督，改进污染治理工作</w:t>
            </w:r>
          </w:p>
        </w:tc>
      </w:tr>
      <w:tr w14:paraId="06FA5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continue"/>
            <w:tcBorders>
              <w:tl2br w:val="nil"/>
              <w:tr2bl w:val="nil"/>
            </w:tcBorders>
            <w:noWrap w:val="0"/>
            <w:vAlign w:val="center"/>
          </w:tcPr>
          <w:p w14:paraId="252AFD42">
            <w:pPr>
              <w:pageBreakBefore w:val="0"/>
              <w:widowControl/>
              <w:wordWrap/>
              <w:bidi w:val="0"/>
              <w:adjustRightInd/>
              <w:snapToGrid/>
              <w:spacing w:line="240" w:lineRule="auto"/>
              <w:ind w:firstLine="0" w:firstLineChars="0"/>
              <w:jc w:val="left"/>
              <w:rPr>
                <w:color w:val="auto"/>
                <w:sz w:val="21"/>
                <w:szCs w:val="21"/>
              </w:rPr>
            </w:pPr>
          </w:p>
        </w:tc>
        <w:tc>
          <w:tcPr>
            <w:tcW w:w="4020" w:type="pct"/>
            <w:tcBorders>
              <w:tl2br w:val="nil"/>
              <w:tr2bl w:val="nil"/>
            </w:tcBorders>
            <w:noWrap w:val="0"/>
            <w:vAlign w:val="center"/>
          </w:tcPr>
          <w:p w14:paraId="502958DE">
            <w:pPr>
              <w:pageBreakBefore w:val="0"/>
              <w:wordWrap/>
              <w:bidi w:val="0"/>
              <w:adjustRightInd/>
              <w:snapToGrid/>
              <w:spacing w:line="240" w:lineRule="auto"/>
              <w:ind w:firstLine="0" w:firstLineChars="0"/>
              <w:jc w:val="center"/>
              <w:rPr>
                <w:color w:val="auto"/>
                <w:sz w:val="21"/>
                <w:szCs w:val="21"/>
              </w:rPr>
            </w:pPr>
            <w:r>
              <w:rPr>
                <w:color w:val="auto"/>
                <w:sz w:val="21"/>
                <w:szCs w:val="21"/>
              </w:rPr>
              <w:t>建立奖惩制度确保环保设施正常运转；整理监测数据，技术部据此研究并改进环保治理措施；收集附近居民意见并</w:t>
            </w:r>
            <w:r>
              <w:rPr>
                <w:rFonts w:hint="eastAsia"/>
                <w:color w:val="auto"/>
                <w:sz w:val="21"/>
                <w:szCs w:val="21"/>
                <w:lang w:eastAsia="zh-CN"/>
              </w:rPr>
              <w:t>选举</w:t>
            </w:r>
            <w:r>
              <w:rPr>
                <w:color w:val="auto"/>
                <w:sz w:val="21"/>
                <w:szCs w:val="21"/>
              </w:rPr>
              <w:t>代表作为监督员</w:t>
            </w:r>
          </w:p>
        </w:tc>
      </w:tr>
    </w:tbl>
    <w:p w14:paraId="65451BE0">
      <w:pPr>
        <w:pStyle w:val="5"/>
        <w:pageBreakBefore w:val="0"/>
        <w:wordWrap/>
        <w:bidi w:val="0"/>
        <w:adjustRightInd/>
        <w:snapToGrid/>
        <w:spacing w:before="48" w:after="48"/>
        <w:rPr>
          <w:rFonts w:eastAsia="宋体"/>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5DA4A28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环境管理指标体系</w:t>
      </w:r>
    </w:p>
    <w:p w14:paraId="75F1BF65">
      <w:pPr>
        <w:pageBreakBefore w:val="0"/>
        <w:wordWrap/>
        <w:bidi w:val="0"/>
        <w:adjustRightInd/>
        <w:snapToGrid/>
        <w:ind w:firstLine="480"/>
        <w:rPr>
          <w:color w:val="auto"/>
          <w:szCs w:val="22"/>
        </w:rPr>
      </w:pPr>
      <w:r>
        <w:rPr>
          <w:color w:val="auto"/>
          <w:szCs w:val="22"/>
        </w:rPr>
        <w:t>为了提高企业环境管理水平，优化环境治理方案，要求建立企业环境管理指标体系，通过指标体系的完成情况，调整环保工作重点，做到全面落实，逐步提高。企业环境管理指标体系见</w:t>
      </w:r>
      <w:r>
        <w:rPr>
          <w:rFonts w:hint="eastAsia"/>
          <w:color w:val="auto"/>
          <w:szCs w:val="22"/>
          <w:lang w:val="en-US" w:eastAsia="zh-CN"/>
        </w:rPr>
        <w:t>下图</w:t>
      </w:r>
      <w:r>
        <w:rPr>
          <w:color w:val="auto"/>
          <w:szCs w:val="22"/>
        </w:rPr>
        <w:t>所示。</w:t>
      </w:r>
    </w:p>
    <w:p w14:paraId="59D3D783">
      <w:pPr>
        <w:pageBreakBefore w:val="0"/>
        <w:wordWrap/>
        <w:bidi w:val="0"/>
        <w:adjustRightInd/>
        <w:snapToGrid/>
        <w:jc w:val="left"/>
        <w:rPr>
          <w:color w:val="auto"/>
          <w:szCs w:val="22"/>
        </w:rPr>
      </w:pPr>
      <w:r>
        <w:rPr>
          <w:color w:val="auto"/>
          <w:sz w:val="21"/>
          <w:szCs w:val="22"/>
        </w:rPr>
        <mc:AlternateContent>
          <mc:Choice Requires="wpg">
            <w:drawing>
              <wp:anchor distT="0" distB="0" distL="114300" distR="114300" simplePos="0" relativeHeight="251663360" behindDoc="0" locked="0" layoutInCell="1" allowOverlap="1">
                <wp:simplePos x="0" y="0"/>
                <wp:positionH relativeFrom="column">
                  <wp:posOffset>33020</wp:posOffset>
                </wp:positionH>
                <wp:positionV relativeFrom="paragraph">
                  <wp:posOffset>76200</wp:posOffset>
                </wp:positionV>
                <wp:extent cx="5200015" cy="2579370"/>
                <wp:effectExtent l="0" t="0" r="0" b="0"/>
                <wp:wrapNone/>
                <wp:docPr id="50" name="组合 768"/>
                <wp:cNvGraphicFramePr/>
                <a:graphic xmlns:a="http://schemas.openxmlformats.org/drawingml/2006/main">
                  <a:graphicData uri="http://schemas.microsoft.com/office/word/2010/wordprocessingGroup">
                    <wpg:wgp>
                      <wpg:cNvGrpSpPr/>
                      <wpg:grpSpPr>
                        <a:xfrm>
                          <a:off x="0" y="0"/>
                          <a:ext cx="5200015" cy="2579370"/>
                          <a:chOff x="1753" y="11232"/>
                          <a:chExt cx="7992" cy="3832"/>
                        </a:xfrm>
                      </wpg:grpSpPr>
                      <wps:wsp>
                        <wps:cNvPr id="4" name="文本框 574"/>
                        <wps:cNvSpPr txBox="1"/>
                        <wps:spPr>
                          <a:xfrm>
                            <a:off x="4023" y="11232"/>
                            <a:ext cx="2971"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BBE64D">
                              <w:pPr>
                                <w:adjustRightInd/>
                                <w:spacing w:line="240" w:lineRule="atLeast"/>
                                <w:ind w:firstLine="0" w:firstLineChars="0"/>
                                <w:jc w:val="center"/>
                                <w:rPr>
                                  <w:sz w:val="21"/>
                                  <w:szCs w:val="22"/>
                                </w:rPr>
                              </w:pPr>
                              <w:r>
                                <w:rPr>
                                  <w:rFonts w:hint="eastAsia"/>
                                  <w:sz w:val="21"/>
                                  <w:szCs w:val="22"/>
                                </w:rPr>
                                <w:t>环境管理指标体系</w:t>
                              </w:r>
                            </w:p>
                          </w:txbxContent>
                        </wps:txbx>
                        <wps:bodyPr wrap="square" lIns="10800" tIns="10800" rIns="10800" bIns="10800" upright="1"/>
                      </wps:wsp>
                      <wps:wsp>
                        <wps:cNvPr id="5" name="文本框 580"/>
                        <wps:cNvSpPr txBox="1"/>
                        <wps:spPr>
                          <a:xfrm>
                            <a:off x="3515" y="11936"/>
                            <a:ext cx="1415"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6F604A">
                              <w:pPr>
                                <w:adjustRightInd/>
                                <w:spacing w:line="240" w:lineRule="atLeast"/>
                                <w:ind w:firstLine="0" w:firstLineChars="0"/>
                                <w:jc w:val="center"/>
                                <w:rPr>
                                  <w:sz w:val="21"/>
                                  <w:szCs w:val="22"/>
                                </w:rPr>
                              </w:pPr>
                              <w:r>
                                <w:rPr>
                                  <w:rFonts w:hint="eastAsia"/>
                                  <w:sz w:val="21"/>
                                  <w:szCs w:val="22"/>
                                </w:rPr>
                                <w:t>直接指标</w:t>
                              </w:r>
                            </w:p>
                          </w:txbxContent>
                        </wps:txbx>
                        <wps:bodyPr wrap="square" lIns="10800" tIns="10800" rIns="10800" bIns="10800" upright="1"/>
                      </wps:wsp>
                      <wps:wsp>
                        <wps:cNvPr id="6" name="文本框 579"/>
                        <wps:cNvSpPr txBox="1"/>
                        <wps:spPr>
                          <a:xfrm>
                            <a:off x="6320" y="11936"/>
                            <a:ext cx="1594"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3E1A6D0">
                              <w:pPr>
                                <w:adjustRightInd/>
                                <w:spacing w:line="240" w:lineRule="atLeast"/>
                                <w:ind w:firstLine="0" w:firstLineChars="0"/>
                                <w:jc w:val="center"/>
                                <w:rPr>
                                  <w:sz w:val="21"/>
                                  <w:szCs w:val="22"/>
                                </w:rPr>
                              </w:pPr>
                              <w:r>
                                <w:rPr>
                                  <w:rFonts w:hint="eastAsia"/>
                                  <w:sz w:val="21"/>
                                  <w:szCs w:val="22"/>
                                </w:rPr>
                                <w:t>间接指标</w:t>
                              </w:r>
                            </w:p>
                          </w:txbxContent>
                        </wps:txbx>
                        <wps:bodyPr wrap="square" lIns="10800" tIns="10800" rIns="10800" bIns="10800" upright="1"/>
                      </wps:wsp>
                      <wpg:grpSp>
                        <wpg:cNvPr id="13" name="组合 589"/>
                        <wpg:cNvGrpSpPr/>
                        <wpg:grpSpPr>
                          <a:xfrm>
                            <a:off x="1753" y="12761"/>
                            <a:ext cx="7882" cy="363"/>
                            <a:chOff x="0" y="0"/>
                            <a:chExt cx="8595" cy="393"/>
                          </a:xfrm>
                        </wpg:grpSpPr>
                        <wps:wsp>
                          <wps:cNvPr id="7" name="文本框 590"/>
                          <wps:cNvSpPr txBox="1"/>
                          <wps:spPr>
                            <a:xfrm>
                              <a:off x="0" y="0"/>
                              <a:ext cx="120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C90C00">
                                <w:pPr>
                                  <w:adjustRightInd/>
                                  <w:spacing w:line="180" w:lineRule="atLeast"/>
                                  <w:ind w:firstLine="0" w:firstLineChars="0"/>
                                  <w:rPr>
                                    <w:sz w:val="18"/>
                                    <w:szCs w:val="22"/>
                                  </w:rPr>
                                </w:pPr>
                                <w:r>
                                  <w:rPr>
                                    <w:rFonts w:hint="eastAsia"/>
                                    <w:sz w:val="18"/>
                                    <w:szCs w:val="22"/>
                                  </w:rPr>
                                  <w:t>监督管理</w:t>
                                </w:r>
                              </w:p>
                            </w:txbxContent>
                          </wps:txbx>
                          <wps:bodyPr wrap="square" lIns="91440" tIns="10800" rIns="91440" bIns="10800" upright="1"/>
                        </wps:wsp>
                        <wps:wsp>
                          <wps:cNvPr id="8" name="文本框 591"/>
                          <wps:cNvSpPr txBox="1"/>
                          <wps:spPr>
                            <a:xfrm>
                              <a:off x="1290" y="0"/>
                              <a:ext cx="162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005CADF">
                                <w:pPr>
                                  <w:adjustRightInd/>
                                  <w:spacing w:line="180" w:lineRule="atLeast"/>
                                  <w:ind w:firstLine="0" w:firstLineChars="0"/>
                                  <w:rPr>
                                    <w:sz w:val="18"/>
                                    <w:szCs w:val="22"/>
                                  </w:rPr>
                                </w:pPr>
                                <w:r>
                                  <w:rPr>
                                    <w:rFonts w:hint="eastAsia"/>
                                    <w:sz w:val="18"/>
                                    <w:szCs w:val="22"/>
                                  </w:rPr>
                                  <w:t>环境质量指标</w:t>
                                </w:r>
                              </w:p>
                            </w:txbxContent>
                          </wps:txbx>
                          <wps:bodyPr wrap="square" lIns="91440" tIns="10800" rIns="91440" bIns="10800" upright="1"/>
                        </wps:wsp>
                        <wps:wsp>
                          <wps:cNvPr id="9" name="文本框 592"/>
                          <wps:cNvSpPr txBox="1"/>
                          <wps:spPr>
                            <a:xfrm>
                              <a:off x="3030" y="0"/>
                              <a:ext cx="162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DF25B8">
                                <w:pPr>
                                  <w:adjustRightInd/>
                                  <w:spacing w:line="180" w:lineRule="atLeast"/>
                                  <w:ind w:firstLine="0" w:firstLineChars="0"/>
                                  <w:rPr>
                                    <w:sz w:val="18"/>
                                    <w:szCs w:val="22"/>
                                  </w:rPr>
                                </w:pPr>
                                <w:r>
                                  <w:rPr>
                                    <w:rFonts w:hint="eastAsia"/>
                                    <w:sz w:val="18"/>
                                    <w:szCs w:val="22"/>
                                  </w:rPr>
                                  <w:t>总量控制指标</w:t>
                                </w:r>
                              </w:p>
                            </w:txbxContent>
                          </wps:txbx>
                          <wps:bodyPr wrap="square" lIns="91440" tIns="10800" rIns="91440" bIns="10800" upright="1"/>
                        </wps:wsp>
                        <wps:wsp>
                          <wps:cNvPr id="10" name="文本框 593"/>
                          <wps:cNvSpPr txBox="1"/>
                          <wps:spPr>
                            <a:xfrm>
                              <a:off x="4890" y="0"/>
                              <a:ext cx="117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FFC9CF5">
                                <w:pPr>
                                  <w:adjustRightInd/>
                                  <w:spacing w:line="180" w:lineRule="atLeast"/>
                                  <w:ind w:firstLine="0" w:firstLineChars="0"/>
                                  <w:rPr>
                                    <w:sz w:val="18"/>
                                    <w:szCs w:val="22"/>
                                  </w:rPr>
                                </w:pPr>
                                <w:r>
                                  <w:rPr>
                                    <w:rFonts w:hint="eastAsia"/>
                                    <w:sz w:val="18"/>
                                    <w:szCs w:val="22"/>
                                  </w:rPr>
                                  <w:t>经济指标</w:t>
                                </w:r>
                              </w:p>
                            </w:txbxContent>
                          </wps:txbx>
                          <wps:bodyPr wrap="square" lIns="91440" tIns="10800" rIns="91440" bIns="10800" upright="1"/>
                        </wps:wsp>
                        <wps:wsp>
                          <wps:cNvPr id="11" name="文本框 594"/>
                          <wps:cNvSpPr txBox="1"/>
                          <wps:spPr>
                            <a:xfrm>
                              <a:off x="6150" y="0"/>
                              <a:ext cx="117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F9AB52C">
                                <w:pPr>
                                  <w:adjustRightInd/>
                                  <w:spacing w:line="240" w:lineRule="atLeast"/>
                                  <w:ind w:firstLine="0" w:firstLineChars="0"/>
                                  <w:rPr>
                                    <w:sz w:val="18"/>
                                    <w:szCs w:val="22"/>
                                  </w:rPr>
                                </w:pPr>
                                <w:r>
                                  <w:rPr>
                                    <w:rFonts w:hint="eastAsia"/>
                                    <w:sz w:val="18"/>
                                    <w:szCs w:val="22"/>
                                  </w:rPr>
                                  <w:t>社会指标</w:t>
                                </w:r>
                              </w:p>
                            </w:txbxContent>
                          </wps:txbx>
                          <wps:bodyPr wrap="square" lIns="91440" tIns="10800" rIns="91440" bIns="10800" upright="1"/>
                        </wps:wsp>
                        <wps:wsp>
                          <wps:cNvPr id="12" name="文本框 595"/>
                          <wps:cNvSpPr txBox="1"/>
                          <wps:spPr>
                            <a:xfrm>
                              <a:off x="7440" y="0"/>
                              <a:ext cx="1155"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727E30">
                                <w:pPr>
                                  <w:adjustRightInd/>
                                  <w:spacing w:line="240" w:lineRule="atLeast"/>
                                  <w:ind w:firstLine="0" w:firstLineChars="0"/>
                                  <w:rPr>
                                    <w:sz w:val="18"/>
                                    <w:szCs w:val="22"/>
                                  </w:rPr>
                                </w:pPr>
                                <w:r>
                                  <w:rPr>
                                    <w:rFonts w:hint="eastAsia"/>
                                    <w:sz w:val="18"/>
                                    <w:szCs w:val="22"/>
                                  </w:rPr>
                                  <w:t>生态指标</w:t>
                                </w:r>
                              </w:p>
                            </w:txbxContent>
                          </wps:txbx>
                          <wps:bodyPr wrap="square" lIns="91440" tIns="10800" rIns="91440" bIns="10800" upright="1"/>
                        </wps:wsp>
                      </wpg:grpSp>
                      <wps:wsp>
                        <wps:cNvPr id="14" name="文本框 618"/>
                        <wps:cNvSpPr txBox="1"/>
                        <wps:spPr>
                          <a:xfrm>
                            <a:off x="1767" y="13581"/>
                            <a:ext cx="486" cy="9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0D4C70">
                              <w:pPr>
                                <w:adjustRightInd/>
                                <w:spacing w:line="240" w:lineRule="atLeast"/>
                                <w:ind w:firstLine="0" w:firstLineChars="0"/>
                                <w:jc w:val="center"/>
                                <w:rPr>
                                  <w:sz w:val="18"/>
                                  <w:szCs w:val="22"/>
                                </w:rPr>
                              </w:pPr>
                              <w:r>
                                <w:rPr>
                                  <w:rFonts w:hint="eastAsia"/>
                                  <w:sz w:val="18"/>
                                  <w:szCs w:val="22"/>
                                </w:rPr>
                                <w:t>三同时指标</w:t>
                              </w:r>
                            </w:p>
                          </w:txbxContent>
                        </wps:txbx>
                        <wps:bodyPr wrap="square" lIns="10800" tIns="10800" rIns="10800" bIns="10800" upright="1"/>
                      </wps:wsp>
                      <wps:wsp>
                        <wps:cNvPr id="15" name="文本框 617"/>
                        <wps:cNvSpPr txBox="1"/>
                        <wps:spPr>
                          <a:xfrm>
                            <a:off x="2386" y="13581"/>
                            <a:ext cx="495" cy="9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9909486">
                              <w:pPr>
                                <w:adjustRightInd/>
                                <w:spacing w:line="240" w:lineRule="atLeast"/>
                                <w:ind w:firstLine="0" w:firstLineChars="0"/>
                                <w:jc w:val="center"/>
                                <w:rPr>
                                  <w:sz w:val="18"/>
                                  <w:szCs w:val="22"/>
                                </w:rPr>
                              </w:pPr>
                              <w:r>
                                <w:rPr>
                                  <w:rFonts w:hint="eastAsia"/>
                                  <w:sz w:val="18"/>
                                  <w:szCs w:val="22"/>
                                </w:rPr>
                                <w:t>法规情况指标</w:t>
                              </w:r>
                            </w:p>
                          </w:txbxContent>
                        </wps:txbx>
                        <wps:bodyPr wrap="square" lIns="10800" tIns="10800" rIns="10800" bIns="10800" upright="1"/>
                      </wps:wsp>
                      <wps:wsp>
                        <wps:cNvPr id="16" name="文本框 616"/>
                        <wps:cNvSpPr txBox="1"/>
                        <wps:spPr>
                          <a:xfrm>
                            <a:off x="3266" y="13573"/>
                            <a:ext cx="495" cy="9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57EA9C6">
                              <w:pPr>
                                <w:adjustRightInd/>
                                <w:spacing w:line="240" w:lineRule="atLeast"/>
                                <w:ind w:firstLine="0" w:firstLineChars="0"/>
                                <w:jc w:val="center"/>
                                <w:rPr>
                                  <w:sz w:val="18"/>
                                  <w:szCs w:val="22"/>
                                </w:rPr>
                              </w:pPr>
                              <w:r>
                                <w:rPr>
                                  <w:rFonts w:hint="eastAsia"/>
                                  <w:sz w:val="18"/>
                                  <w:szCs w:val="22"/>
                                </w:rPr>
                                <w:t>废气及环境空气指标</w:t>
                              </w:r>
                            </w:p>
                          </w:txbxContent>
                        </wps:txbx>
                        <wps:bodyPr wrap="square" lIns="10800" tIns="10800" rIns="10800" bIns="10800" upright="1"/>
                      </wps:wsp>
                      <wps:wsp>
                        <wps:cNvPr id="17" name="文本框 615"/>
                        <wps:cNvSpPr txBox="1"/>
                        <wps:spPr>
                          <a:xfrm>
                            <a:off x="4119" y="13587"/>
                            <a:ext cx="495" cy="9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2A5C4A">
                              <w:pPr>
                                <w:adjustRightInd/>
                                <w:spacing w:line="240" w:lineRule="atLeast"/>
                                <w:ind w:firstLine="0" w:firstLineChars="0"/>
                                <w:jc w:val="center"/>
                                <w:rPr>
                                  <w:sz w:val="18"/>
                                  <w:szCs w:val="22"/>
                                </w:rPr>
                              </w:pPr>
                              <w:r>
                                <w:rPr>
                                  <w:rFonts w:hint="eastAsia"/>
                                  <w:sz w:val="18"/>
                                  <w:szCs w:val="22"/>
                                </w:rPr>
                                <w:t>废水及水环境指标</w:t>
                              </w:r>
                            </w:p>
                          </w:txbxContent>
                        </wps:txbx>
                        <wps:bodyPr wrap="square" lIns="10800" tIns="10800" rIns="10800" bIns="10800" upright="1"/>
                      </wps:wsp>
                      <wps:wsp>
                        <wps:cNvPr id="18" name="文本框 614"/>
                        <wps:cNvSpPr txBox="1"/>
                        <wps:spPr>
                          <a:xfrm>
                            <a:off x="4766" y="13584"/>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D0F73DE">
                              <w:pPr>
                                <w:adjustRightInd/>
                                <w:spacing w:line="240" w:lineRule="atLeast"/>
                                <w:ind w:firstLine="0" w:firstLineChars="0"/>
                                <w:jc w:val="center"/>
                                <w:rPr>
                                  <w:sz w:val="18"/>
                                  <w:szCs w:val="22"/>
                                </w:rPr>
                              </w:pPr>
                              <w:r>
                                <w:rPr>
                                  <w:rFonts w:hint="eastAsia"/>
                                  <w:sz w:val="18"/>
                                  <w:szCs w:val="22"/>
                                </w:rPr>
                                <w:t>噪声指标</w:t>
                              </w:r>
                            </w:p>
                          </w:txbxContent>
                        </wps:txbx>
                        <wps:bodyPr wrap="square" lIns="10800" tIns="10800" rIns="10800" bIns="10800" upright="1"/>
                      </wps:wsp>
                      <wps:wsp>
                        <wps:cNvPr id="19" name="文本框 613"/>
                        <wps:cNvSpPr txBox="1"/>
                        <wps:spPr>
                          <a:xfrm>
                            <a:off x="5412" y="13584"/>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41F7B70">
                              <w:pPr>
                                <w:adjustRightInd/>
                                <w:spacing w:line="240" w:lineRule="atLeast"/>
                                <w:ind w:firstLine="0" w:firstLineChars="0"/>
                                <w:jc w:val="center"/>
                                <w:rPr>
                                  <w:sz w:val="18"/>
                                  <w:szCs w:val="22"/>
                                </w:rPr>
                              </w:pPr>
                              <w:r>
                                <w:rPr>
                                  <w:rFonts w:hint="eastAsia"/>
                                  <w:sz w:val="18"/>
                                  <w:szCs w:val="22"/>
                                </w:rPr>
                                <w:t>固废指标</w:t>
                              </w:r>
                            </w:p>
                          </w:txbxContent>
                        </wps:txbx>
                        <wps:bodyPr wrap="square" lIns="10800" tIns="10800" rIns="10800" bIns="10800" upright="1"/>
                      </wps:wsp>
                      <wps:wsp>
                        <wps:cNvPr id="20" name="文本框 612"/>
                        <wps:cNvSpPr txBox="1"/>
                        <wps:spPr>
                          <a:xfrm>
                            <a:off x="6251" y="13589"/>
                            <a:ext cx="495"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422AC46">
                              <w:pPr>
                                <w:adjustRightInd/>
                                <w:spacing w:line="240" w:lineRule="atLeast"/>
                                <w:ind w:firstLine="0" w:firstLineChars="0"/>
                                <w:jc w:val="center"/>
                                <w:rPr>
                                  <w:sz w:val="18"/>
                                  <w:szCs w:val="22"/>
                                </w:rPr>
                              </w:pPr>
                              <w:r>
                                <w:rPr>
                                  <w:rFonts w:hint="eastAsia"/>
                                  <w:sz w:val="18"/>
                                  <w:szCs w:val="22"/>
                                </w:rPr>
                                <w:t>产值指标</w:t>
                              </w:r>
                            </w:p>
                          </w:txbxContent>
                        </wps:txbx>
                        <wps:bodyPr wrap="square" lIns="10800" tIns="10800" rIns="10800" bIns="10800" upright="1"/>
                      </wps:wsp>
                      <wps:wsp>
                        <wps:cNvPr id="21" name="文本框 611"/>
                        <wps:cNvSpPr txBox="1"/>
                        <wps:spPr>
                          <a:xfrm>
                            <a:off x="6828" y="13589"/>
                            <a:ext cx="496"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D0834D">
                              <w:pPr>
                                <w:adjustRightInd/>
                                <w:spacing w:line="240" w:lineRule="atLeast"/>
                                <w:ind w:firstLine="0" w:firstLineChars="0"/>
                                <w:jc w:val="center"/>
                                <w:rPr>
                                  <w:sz w:val="18"/>
                                  <w:szCs w:val="22"/>
                                </w:rPr>
                              </w:pPr>
                              <w:r>
                                <w:rPr>
                                  <w:rFonts w:hint="eastAsia"/>
                                  <w:sz w:val="18"/>
                                  <w:szCs w:val="22"/>
                                </w:rPr>
                                <w:t>资源指标</w:t>
                              </w:r>
                            </w:p>
                          </w:txbxContent>
                        </wps:txbx>
                        <wps:bodyPr wrap="square" lIns="10800" tIns="10800" rIns="10800" bIns="10800" upright="1"/>
                      </wps:wsp>
                      <wps:wsp>
                        <wps:cNvPr id="22" name="文本框 610"/>
                        <wps:cNvSpPr txBox="1"/>
                        <wps:spPr>
                          <a:xfrm>
                            <a:off x="8630" y="13574"/>
                            <a:ext cx="496"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F27F0D">
                              <w:pPr>
                                <w:adjustRightInd/>
                                <w:spacing w:line="240" w:lineRule="atLeast"/>
                                <w:ind w:firstLine="0" w:firstLineChars="0"/>
                                <w:jc w:val="center"/>
                                <w:rPr>
                                  <w:sz w:val="18"/>
                                  <w:szCs w:val="22"/>
                                </w:rPr>
                              </w:pPr>
                              <w:r>
                                <w:rPr>
                                  <w:rFonts w:hint="eastAsia"/>
                                  <w:sz w:val="18"/>
                                  <w:szCs w:val="22"/>
                                </w:rPr>
                                <w:t>自然指标</w:t>
                              </w:r>
                            </w:p>
                          </w:txbxContent>
                        </wps:txbx>
                        <wps:bodyPr wrap="square" lIns="10800" tIns="10800" rIns="10800" bIns="10800" upright="1"/>
                      </wps:wsp>
                      <wps:wsp>
                        <wps:cNvPr id="23" name="文本框 609"/>
                        <wps:cNvSpPr txBox="1"/>
                        <wps:spPr>
                          <a:xfrm>
                            <a:off x="9250" y="13566"/>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BABA10">
                              <w:pPr>
                                <w:adjustRightInd/>
                                <w:spacing w:line="240" w:lineRule="atLeast"/>
                                <w:ind w:firstLine="0" w:firstLineChars="0"/>
                                <w:jc w:val="center"/>
                                <w:rPr>
                                  <w:sz w:val="18"/>
                                  <w:szCs w:val="22"/>
                                </w:rPr>
                              </w:pPr>
                              <w:r>
                                <w:rPr>
                                  <w:rFonts w:hint="eastAsia"/>
                                  <w:sz w:val="18"/>
                                  <w:szCs w:val="22"/>
                                </w:rPr>
                                <w:t>景观指标</w:t>
                              </w:r>
                            </w:p>
                          </w:txbxContent>
                        </wps:txbx>
                        <wps:bodyPr wrap="square" lIns="10800" tIns="10800" rIns="10800" bIns="10800" upright="1"/>
                      </wps:wsp>
                      <wps:wsp>
                        <wps:cNvPr id="24" name="直线 576"/>
                        <wps:cNvCnPr/>
                        <wps:spPr>
                          <a:xfrm>
                            <a:off x="4504" y="11618"/>
                            <a:ext cx="1" cy="288"/>
                          </a:xfrm>
                          <a:prstGeom prst="line">
                            <a:avLst/>
                          </a:prstGeom>
                          <a:ln w="9525" cap="flat" cmpd="sng">
                            <a:solidFill>
                              <a:srgbClr val="000000"/>
                            </a:solidFill>
                            <a:prstDash val="solid"/>
                            <a:headEnd type="none" w="med" len="med"/>
                            <a:tailEnd type="none" w="med" len="med"/>
                          </a:ln>
                        </wps:spPr>
                        <wps:bodyPr upright="1"/>
                      </wps:wsp>
                      <wps:wsp>
                        <wps:cNvPr id="25" name="直线 575"/>
                        <wps:cNvCnPr/>
                        <wps:spPr>
                          <a:xfrm>
                            <a:off x="6485" y="11618"/>
                            <a:ext cx="1" cy="288"/>
                          </a:xfrm>
                          <a:prstGeom prst="line">
                            <a:avLst/>
                          </a:prstGeom>
                          <a:ln w="9525" cap="flat" cmpd="sng">
                            <a:solidFill>
                              <a:srgbClr val="000000"/>
                            </a:solidFill>
                            <a:prstDash val="solid"/>
                            <a:headEnd type="none" w="med" len="med"/>
                            <a:tailEnd type="none" w="med" len="med"/>
                          </a:ln>
                        </wps:spPr>
                        <wps:bodyPr upright="1"/>
                      </wps:wsp>
                      <wps:wsp>
                        <wps:cNvPr id="26" name="直线 588"/>
                        <wps:cNvCnPr/>
                        <wps:spPr>
                          <a:xfrm>
                            <a:off x="2193" y="12514"/>
                            <a:ext cx="3136" cy="1"/>
                          </a:xfrm>
                          <a:prstGeom prst="line">
                            <a:avLst/>
                          </a:prstGeom>
                          <a:ln w="9525" cap="flat" cmpd="sng">
                            <a:solidFill>
                              <a:srgbClr val="000000"/>
                            </a:solidFill>
                            <a:prstDash val="solid"/>
                            <a:headEnd type="none" w="med" len="med"/>
                            <a:tailEnd type="none" w="med" len="med"/>
                          </a:ln>
                        </wps:spPr>
                        <wps:bodyPr upright="1"/>
                      </wps:wsp>
                      <wps:wsp>
                        <wps:cNvPr id="27" name="直线 578"/>
                        <wps:cNvCnPr/>
                        <wps:spPr>
                          <a:xfrm>
                            <a:off x="4009" y="12298"/>
                            <a:ext cx="1" cy="230"/>
                          </a:xfrm>
                          <a:prstGeom prst="line">
                            <a:avLst/>
                          </a:prstGeom>
                          <a:ln w="9525" cap="flat" cmpd="sng">
                            <a:solidFill>
                              <a:srgbClr val="000000"/>
                            </a:solidFill>
                            <a:prstDash val="solid"/>
                            <a:headEnd type="none" w="med" len="med"/>
                            <a:tailEnd type="none" w="med" len="med"/>
                          </a:ln>
                        </wps:spPr>
                        <wps:bodyPr upright="1"/>
                      </wps:wsp>
                      <wps:wsp>
                        <wps:cNvPr id="28" name="直线 587"/>
                        <wps:cNvCnPr/>
                        <wps:spPr>
                          <a:xfrm>
                            <a:off x="2193" y="12533"/>
                            <a:ext cx="1" cy="231"/>
                          </a:xfrm>
                          <a:prstGeom prst="line">
                            <a:avLst/>
                          </a:prstGeom>
                          <a:ln w="9525" cap="flat" cmpd="sng">
                            <a:solidFill>
                              <a:srgbClr val="000000"/>
                            </a:solidFill>
                            <a:prstDash val="solid"/>
                            <a:headEnd type="none" w="med" len="med"/>
                            <a:tailEnd type="none" w="med" len="med"/>
                          </a:ln>
                        </wps:spPr>
                        <wps:bodyPr upright="1"/>
                      </wps:wsp>
                      <wps:wsp>
                        <wps:cNvPr id="29" name="直线 586"/>
                        <wps:cNvCnPr/>
                        <wps:spPr>
                          <a:xfrm>
                            <a:off x="3665" y="12514"/>
                            <a:ext cx="1" cy="230"/>
                          </a:xfrm>
                          <a:prstGeom prst="line">
                            <a:avLst/>
                          </a:prstGeom>
                          <a:ln w="9525" cap="flat" cmpd="sng">
                            <a:solidFill>
                              <a:srgbClr val="000000"/>
                            </a:solidFill>
                            <a:prstDash val="solid"/>
                            <a:headEnd type="none" w="med" len="med"/>
                            <a:tailEnd type="none" w="med" len="med"/>
                          </a:ln>
                        </wps:spPr>
                        <wps:bodyPr upright="1"/>
                      </wps:wsp>
                      <wps:wsp>
                        <wps:cNvPr id="30" name="直线 585"/>
                        <wps:cNvCnPr/>
                        <wps:spPr>
                          <a:xfrm>
                            <a:off x="5329" y="12514"/>
                            <a:ext cx="1" cy="230"/>
                          </a:xfrm>
                          <a:prstGeom prst="line">
                            <a:avLst/>
                          </a:prstGeom>
                          <a:ln w="9525" cap="flat" cmpd="sng">
                            <a:solidFill>
                              <a:srgbClr val="000000"/>
                            </a:solidFill>
                            <a:prstDash val="solid"/>
                            <a:headEnd type="none" w="med" len="med"/>
                            <a:tailEnd type="none" w="med" len="med"/>
                          </a:ln>
                        </wps:spPr>
                        <wps:bodyPr upright="1"/>
                      </wps:wsp>
                      <wps:wsp>
                        <wps:cNvPr id="31" name="直线 584"/>
                        <wps:cNvCnPr/>
                        <wps:spPr>
                          <a:xfrm>
                            <a:off x="6650" y="12514"/>
                            <a:ext cx="2476" cy="1"/>
                          </a:xfrm>
                          <a:prstGeom prst="line">
                            <a:avLst/>
                          </a:prstGeom>
                          <a:ln w="9525" cap="flat" cmpd="sng">
                            <a:solidFill>
                              <a:srgbClr val="000000"/>
                            </a:solidFill>
                            <a:prstDash val="solid"/>
                            <a:headEnd type="none" w="med" len="med"/>
                            <a:tailEnd type="none" w="med" len="med"/>
                          </a:ln>
                        </wps:spPr>
                        <wps:bodyPr upright="1"/>
                      </wps:wsp>
                      <wps:wsp>
                        <wps:cNvPr id="32" name="直线 577"/>
                        <wps:cNvCnPr/>
                        <wps:spPr>
                          <a:xfrm>
                            <a:off x="7338" y="12309"/>
                            <a:ext cx="1" cy="229"/>
                          </a:xfrm>
                          <a:prstGeom prst="line">
                            <a:avLst/>
                          </a:prstGeom>
                          <a:ln w="9525" cap="flat" cmpd="sng">
                            <a:solidFill>
                              <a:srgbClr val="000000"/>
                            </a:solidFill>
                            <a:prstDash val="solid"/>
                            <a:headEnd type="none" w="med" len="med"/>
                            <a:tailEnd type="none" w="med" len="med"/>
                          </a:ln>
                        </wps:spPr>
                        <wps:bodyPr upright="1"/>
                      </wps:wsp>
                      <wps:wsp>
                        <wps:cNvPr id="33" name="直线 583"/>
                        <wps:cNvCnPr/>
                        <wps:spPr>
                          <a:xfrm>
                            <a:off x="6650" y="12514"/>
                            <a:ext cx="1" cy="230"/>
                          </a:xfrm>
                          <a:prstGeom prst="line">
                            <a:avLst/>
                          </a:prstGeom>
                          <a:ln w="9525" cap="flat" cmpd="sng">
                            <a:solidFill>
                              <a:srgbClr val="000000"/>
                            </a:solidFill>
                            <a:prstDash val="solid"/>
                            <a:headEnd type="none" w="med" len="med"/>
                            <a:tailEnd type="none" w="med" len="med"/>
                          </a:ln>
                        </wps:spPr>
                        <wps:bodyPr upright="1"/>
                      </wps:wsp>
                      <wps:wsp>
                        <wps:cNvPr id="34" name="直线 582"/>
                        <wps:cNvCnPr/>
                        <wps:spPr>
                          <a:xfrm>
                            <a:off x="7929" y="12514"/>
                            <a:ext cx="1" cy="230"/>
                          </a:xfrm>
                          <a:prstGeom prst="line">
                            <a:avLst/>
                          </a:prstGeom>
                          <a:ln w="9525" cap="flat" cmpd="sng">
                            <a:solidFill>
                              <a:srgbClr val="000000"/>
                            </a:solidFill>
                            <a:prstDash val="solid"/>
                            <a:headEnd type="none" w="med" len="med"/>
                            <a:tailEnd type="none" w="med" len="med"/>
                          </a:ln>
                        </wps:spPr>
                        <wps:bodyPr upright="1"/>
                      </wps:wsp>
                      <wps:wsp>
                        <wps:cNvPr id="35" name="直线 581"/>
                        <wps:cNvCnPr/>
                        <wps:spPr>
                          <a:xfrm>
                            <a:off x="9126" y="12514"/>
                            <a:ext cx="1" cy="230"/>
                          </a:xfrm>
                          <a:prstGeom prst="line">
                            <a:avLst/>
                          </a:prstGeom>
                          <a:ln w="9525" cap="flat" cmpd="sng">
                            <a:solidFill>
                              <a:srgbClr val="000000"/>
                            </a:solidFill>
                            <a:prstDash val="solid"/>
                            <a:headEnd type="none" w="med" len="med"/>
                            <a:tailEnd type="none" w="med" len="med"/>
                          </a:ln>
                        </wps:spPr>
                        <wps:bodyPr upright="1"/>
                      </wps:wsp>
                      <wps:wsp>
                        <wps:cNvPr id="36" name="直线 603"/>
                        <wps:cNvCnPr/>
                        <wps:spPr>
                          <a:xfrm>
                            <a:off x="3679" y="13134"/>
                            <a:ext cx="1" cy="230"/>
                          </a:xfrm>
                          <a:prstGeom prst="line">
                            <a:avLst/>
                          </a:prstGeom>
                          <a:ln w="9525" cap="flat" cmpd="sng">
                            <a:solidFill>
                              <a:srgbClr val="000000"/>
                            </a:solidFill>
                            <a:prstDash val="solid"/>
                            <a:headEnd type="none" w="med" len="med"/>
                            <a:tailEnd type="none" w="med" len="med"/>
                          </a:ln>
                        </wps:spPr>
                        <wps:bodyPr upright="1"/>
                      </wps:wsp>
                      <wps:wsp>
                        <wps:cNvPr id="37" name="直线 602"/>
                        <wps:cNvCnPr/>
                        <wps:spPr>
                          <a:xfrm>
                            <a:off x="5329" y="13134"/>
                            <a:ext cx="1" cy="230"/>
                          </a:xfrm>
                          <a:prstGeom prst="line">
                            <a:avLst/>
                          </a:prstGeom>
                          <a:ln w="9525" cap="flat" cmpd="sng">
                            <a:solidFill>
                              <a:srgbClr val="000000"/>
                            </a:solidFill>
                            <a:prstDash val="solid"/>
                            <a:headEnd type="none" w="med" len="med"/>
                            <a:tailEnd type="none" w="med" len="med"/>
                          </a:ln>
                        </wps:spPr>
                        <wps:bodyPr upright="1"/>
                      </wps:wsp>
                      <wps:wsp>
                        <wps:cNvPr id="38" name="直线 608"/>
                        <wps:cNvCnPr/>
                        <wps:spPr>
                          <a:xfrm>
                            <a:off x="3513" y="13349"/>
                            <a:ext cx="2146" cy="1"/>
                          </a:xfrm>
                          <a:prstGeom prst="line">
                            <a:avLst/>
                          </a:prstGeom>
                          <a:ln w="9525" cap="flat" cmpd="sng">
                            <a:solidFill>
                              <a:srgbClr val="000000"/>
                            </a:solidFill>
                            <a:prstDash val="solid"/>
                            <a:headEnd type="none" w="med" len="med"/>
                            <a:tailEnd type="none" w="med" len="med"/>
                          </a:ln>
                        </wps:spPr>
                        <wps:bodyPr upright="1"/>
                      </wps:wsp>
                      <wps:wsp>
                        <wps:cNvPr id="39" name="直线 607"/>
                        <wps:cNvCnPr/>
                        <wps:spPr>
                          <a:xfrm>
                            <a:off x="5659" y="13368"/>
                            <a:ext cx="1" cy="231"/>
                          </a:xfrm>
                          <a:prstGeom prst="line">
                            <a:avLst/>
                          </a:prstGeom>
                          <a:ln w="9525" cap="flat" cmpd="sng">
                            <a:solidFill>
                              <a:srgbClr val="000000"/>
                            </a:solidFill>
                            <a:prstDash val="solid"/>
                            <a:headEnd type="none" w="med" len="med"/>
                            <a:tailEnd type="none" w="med" len="med"/>
                          </a:ln>
                        </wps:spPr>
                        <wps:bodyPr upright="1"/>
                      </wps:wsp>
                      <wps:wsp>
                        <wps:cNvPr id="40" name="直线 606"/>
                        <wps:cNvCnPr/>
                        <wps:spPr>
                          <a:xfrm>
                            <a:off x="3513" y="13355"/>
                            <a:ext cx="1" cy="230"/>
                          </a:xfrm>
                          <a:prstGeom prst="line">
                            <a:avLst/>
                          </a:prstGeom>
                          <a:ln w="9525" cap="flat" cmpd="sng">
                            <a:solidFill>
                              <a:srgbClr val="000000"/>
                            </a:solidFill>
                            <a:prstDash val="solid"/>
                            <a:headEnd type="none" w="med" len="med"/>
                            <a:tailEnd type="none" w="med" len="med"/>
                          </a:ln>
                        </wps:spPr>
                        <wps:bodyPr upright="1"/>
                      </wps:wsp>
                      <wps:wsp>
                        <wps:cNvPr id="41" name="直线 605"/>
                        <wps:cNvCnPr/>
                        <wps:spPr>
                          <a:xfrm>
                            <a:off x="5000" y="13349"/>
                            <a:ext cx="1" cy="230"/>
                          </a:xfrm>
                          <a:prstGeom prst="line">
                            <a:avLst/>
                          </a:prstGeom>
                          <a:ln w="9525" cap="flat" cmpd="sng">
                            <a:solidFill>
                              <a:srgbClr val="000000"/>
                            </a:solidFill>
                            <a:prstDash val="solid"/>
                            <a:headEnd type="none" w="med" len="med"/>
                            <a:tailEnd type="none" w="med" len="med"/>
                          </a:ln>
                        </wps:spPr>
                        <wps:bodyPr upright="1"/>
                      </wps:wsp>
                      <wps:wsp>
                        <wps:cNvPr id="42" name="直线 604"/>
                        <wps:cNvCnPr/>
                        <wps:spPr>
                          <a:xfrm>
                            <a:off x="4366" y="13349"/>
                            <a:ext cx="1" cy="230"/>
                          </a:xfrm>
                          <a:prstGeom prst="line">
                            <a:avLst/>
                          </a:prstGeom>
                          <a:ln w="9525" cap="flat" cmpd="sng">
                            <a:solidFill>
                              <a:srgbClr val="000000"/>
                            </a:solidFill>
                            <a:prstDash val="solid"/>
                            <a:headEnd type="none" w="med" len="med"/>
                            <a:tailEnd type="none" w="med" len="med"/>
                          </a:ln>
                        </wps:spPr>
                        <wps:bodyPr upright="1"/>
                      </wps:wsp>
                      <wps:wsp>
                        <wps:cNvPr id="43" name="直线 601"/>
                        <wps:cNvCnPr/>
                        <wps:spPr>
                          <a:xfrm>
                            <a:off x="6485" y="13114"/>
                            <a:ext cx="1" cy="500"/>
                          </a:xfrm>
                          <a:prstGeom prst="line">
                            <a:avLst/>
                          </a:prstGeom>
                          <a:ln w="9525" cap="flat" cmpd="sng">
                            <a:solidFill>
                              <a:srgbClr val="000000"/>
                            </a:solidFill>
                            <a:prstDash val="solid"/>
                            <a:headEnd type="none" w="med" len="med"/>
                            <a:tailEnd type="none" w="med" len="med"/>
                          </a:ln>
                        </wps:spPr>
                        <wps:bodyPr upright="1"/>
                      </wps:wsp>
                      <wps:wsp>
                        <wps:cNvPr id="44" name="直线 600"/>
                        <wps:cNvCnPr/>
                        <wps:spPr>
                          <a:xfrm>
                            <a:off x="7076" y="13131"/>
                            <a:ext cx="1" cy="501"/>
                          </a:xfrm>
                          <a:prstGeom prst="line">
                            <a:avLst/>
                          </a:prstGeom>
                          <a:ln w="9525" cap="flat" cmpd="sng">
                            <a:solidFill>
                              <a:srgbClr val="000000"/>
                            </a:solidFill>
                            <a:prstDash val="solid"/>
                            <a:headEnd type="none" w="med" len="med"/>
                            <a:tailEnd type="none" w="med" len="med"/>
                          </a:ln>
                        </wps:spPr>
                        <wps:bodyPr upright="1"/>
                      </wps:wsp>
                      <wps:wsp>
                        <wps:cNvPr id="45" name="直线 599"/>
                        <wps:cNvCnPr/>
                        <wps:spPr>
                          <a:xfrm>
                            <a:off x="8878" y="13111"/>
                            <a:ext cx="1" cy="500"/>
                          </a:xfrm>
                          <a:prstGeom prst="line">
                            <a:avLst/>
                          </a:prstGeom>
                          <a:ln w="9525" cap="flat" cmpd="sng">
                            <a:solidFill>
                              <a:srgbClr val="000000"/>
                            </a:solidFill>
                            <a:prstDash val="solid"/>
                            <a:headEnd type="none" w="med" len="med"/>
                            <a:tailEnd type="none" w="med" len="med"/>
                          </a:ln>
                        </wps:spPr>
                        <wps:bodyPr upright="1"/>
                      </wps:wsp>
                      <wps:wsp>
                        <wps:cNvPr id="46" name="直线 598"/>
                        <wps:cNvCnPr/>
                        <wps:spPr>
                          <a:xfrm>
                            <a:off x="9483" y="13104"/>
                            <a:ext cx="1" cy="499"/>
                          </a:xfrm>
                          <a:prstGeom prst="line">
                            <a:avLst/>
                          </a:prstGeom>
                          <a:ln w="9525" cap="flat" cmpd="sng">
                            <a:solidFill>
                              <a:srgbClr val="000000"/>
                            </a:solidFill>
                            <a:prstDash val="solid"/>
                            <a:headEnd type="none" w="med" len="med"/>
                            <a:tailEnd type="none" w="med" len="med"/>
                          </a:ln>
                        </wps:spPr>
                        <wps:bodyPr upright="1"/>
                      </wps:wsp>
                      <wps:wsp>
                        <wps:cNvPr id="47" name="直线 597"/>
                        <wps:cNvCnPr/>
                        <wps:spPr>
                          <a:xfrm>
                            <a:off x="2634" y="13117"/>
                            <a:ext cx="1" cy="501"/>
                          </a:xfrm>
                          <a:prstGeom prst="line">
                            <a:avLst/>
                          </a:prstGeom>
                          <a:ln w="9525" cap="flat" cmpd="sng">
                            <a:solidFill>
                              <a:srgbClr val="000000"/>
                            </a:solidFill>
                            <a:prstDash val="solid"/>
                            <a:headEnd type="none" w="med" len="med"/>
                            <a:tailEnd type="none" w="med" len="med"/>
                          </a:ln>
                        </wps:spPr>
                        <wps:bodyPr upright="1"/>
                      </wps:wsp>
                      <wps:wsp>
                        <wps:cNvPr id="48" name="直线 596"/>
                        <wps:cNvCnPr/>
                        <wps:spPr>
                          <a:xfrm>
                            <a:off x="2001" y="13111"/>
                            <a:ext cx="1" cy="500"/>
                          </a:xfrm>
                          <a:prstGeom prst="line">
                            <a:avLst/>
                          </a:prstGeom>
                          <a:ln w="9525" cap="flat" cmpd="sng">
                            <a:solidFill>
                              <a:srgbClr val="000000"/>
                            </a:solidFill>
                            <a:prstDash val="solid"/>
                            <a:headEnd type="none" w="med" len="med"/>
                            <a:tailEnd type="none" w="med" len="med"/>
                          </a:ln>
                        </wps:spPr>
                        <wps:bodyPr upright="1"/>
                      </wps:wsp>
                      <wps:wsp>
                        <wps:cNvPr id="49" name="文本框 619"/>
                        <wps:cNvSpPr txBox="1"/>
                        <wps:spPr>
                          <a:xfrm>
                            <a:off x="3585" y="14633"/>
                            <a:ext cx="5060" cy="431"/>
                          </a:xfrm>
                          <a:prstGeom prst="rect">
                            <a:avLst/>
                          </a:prstGeom>
                          <a:solidFill>
                            <a:srgbClr val="FFFFFF"/>
                          </a:solidFill>
                          <a:ln>
                            <a:noFill/>
                          </a:ln>
                        </wps:spPr>
                        <wps:txbx>
                          <w:txbxContent>
                            <w:p w14:paraId="77B04D14">
                              <w:pPr>
                                <w:adjustRightInd/>
                                <w:ind w:firstLine="0" w:firstLineChars="0"/>
                                <w:jc w:val="center"/>
                                <w:rPr>
                                  <w:b/>
                                  <w:sz w:val="21"/>
                                  <w:szCs w:val="21"/>
                                </w:rPr>
                              </w:pPr>
                              <w:r>
                                <w:rPr>
                                  <w:b/>
                                  <w:sz w:val="21"/>
                                  <w:szCs w:val="21"/>
                                </w:rPr>
                                <w:t>图</w:t>
                              </w:r>
                              <w:r>
                                <w:rPr>
                                  <w:rFonts w:hint="eastAsia"/>
                                  <w:b/>
                                  <w:sz w:val="21"/>
                                  <w:szCs w:val="21"/>
                                  <w:lang w:val="en-US" w:eastAsia="zh-CN"/>
                                </w:rPr>
                                <w:t>8</w:t>
                              </w:r>
                              <w:r>
                                <w:rPr>
                                  <w:rFonts w:hint="eastAsia"/>
                                  <w:b/>
                                  <w:sz w:val="21"/>
                                  <w:szCs w:val="21"/>
                                </w:rPr>
                                <w:t>.3</w:t>
                              </w:r>
                              <w:r>
                                <w:rPr>
                                  <w:b/>
                                  <w:sz w:val="21"/>
                                  <w:szCs w:val="21"/>
                                </w:rPr>
                                <w:t>-</w:t>
                              </w:r>
                              <w:r>
                                <w:rPr>
                                  <w:rFonts w:hint="eastAsia"/>
                                  <w:b/>
                                  <w:sz w:val="21"/>
                                  <w:szCs w:val="21"/>
                                  <w:lang w:eastAsia="zh-CN"/>
                                </w:rPr>
                                <w:t>1</w:t>
                              </w:r>
                              <w:r>
                                <w:rPr>
                                  <w:b/>
                                  <w:sz w:val="21"/>
                                  <w:szCs w:val="21"/>
                                </w:rPr>
                                <w:t xml:space="preserve"> </w:t>
                              </w:r>
                              <w:r>
                                <w:rPr>
                                  <w:rFonts w:hint="eastAsia"/>
                                  <w:b/>
                                  <w:sz w:val="21"/>
                                  <w:szCs w:val="21"/>
                                </w:rPr>
                                <w:t>企业</w:t>
                              </w:r>
                              <w:r>
                                <w:rPr>
                                  <w:b/>
                                  <w:sz w:val="21"/>
                                  <w:szCs w:val="21"/>
                                </w:rPr>
                                <w:t>环境管理指标体系分类结构</w:t>
                              </w:r>
                            </w:p>
                          </w:txbxContent>
                        </wps:txbx>
                        <wps:bodyPr wrap="square" lIns="10800" tIns="10800" rIns="10800" bIns="10800" upright="1"/>
                      </wps:wsp>
                    </wpg:wgp>
                  </a:graphicData>
                </a:graphic>
              </wp:anchor>
            </w:drawing>
          </mc:Choice>
          <mc:Fallback>
            <w:pict>
              <v:group id="组合 768" o:spid="_x0000_s1026" o:spt="203" style="position:absolute;left:0pt;margin-left:2.6pt;margin-top:6pt;height:203.1pt;width:409.45pt;z-index:251663360;mso-width-relative:page;mso-height-relative:page;" coordorigin="1753,11232" coordsize="7992,3832" o:gfxdata="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&#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">
                <o:lock v:ext="edit" aspectratio="f"/>
                <v:shape id="文本框 574" o:spid="_x0000_s1026" o:spt="202" type="#_x0000_t202" style="position:absolute;left:4023;top:11232;height:364;width:2971;" fillcolor="#FFFFFF" filled="t" stroked="t" coordsize="21600,21600" o:gfxdata="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dgAj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3mm,0.3mm,0.3mm,0.3mm">
                    <w:txbxContent>
                      <w:p w14:paraId="67BBE64D">
                        <w:pPr>
                          <w:adjustRightInd/>
                          <w:spacing w:line="240" w:lineRule="atLeast"/>
                          <w:ind w:firstLine="0" w:firstLineChars="0"/>
                          <w:jc w:val="center"/>
                          <w:rPr>
                            <w:sz w:val="21"/>
                            <w:szCs w:val="22"/>
                          </w:rPr>
                        </w:pPr>
                        <w:r>
                          <w:rPr>
                            <w:rFonts w:hint="eastAsia"/>
                            <w:sz w:val="21"/>
                            <w:szCs w:val="22"/>
                          </w:rPr>
                          <w:t>环境管理指标体系</w:t>
                        </w:r>
                      </w:p>
                    </w:txbxContent>
                  </v:textbox>
                </v:shape>
                <v:shape id="文本框 580" o:spid="_x0000_s1026" o:spt="202" type="#_x0000_t202" style="position:absolute;left:3515;top:11936;height:364;width:1415;" fillcolor="#FFFFFF" filled="t" stroked="t" coordsize="21600,21600" o:gfxdata="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6pbi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3mm,0.3mm,0.3mm,0.3mm">
                    <w:txbxContent>
                      <w:p w14:paraId="1B6F604A">
                        <w:pPr>
                          <w:adjustRightInd/>
                          <w:spacing w:line="240" w:lineRule="atLeast"/>
                          <w:ind w:firstLine="0" w:firstLineChars="0"/>
                          <w:jc w:val="center"/>
                          <w:rPr>
                            <w:sz w:val="21"/>
                            <w:szCs w:val="22"/>
                          </w:rPr>
                        </w:pPr>
                        <w:r>
                          <w:rPr>
                            <w:rFonts w:hint="eastAsia"/>
                            <w:sz w:val="21"/>
                            <w:szCs w:val="22"/>
                          </w:rPr>
                          <w:t>直接指标</w:t>
                        </w:r>
                      </w:p>
                    </w:txbxContent>
                  </v:textbox>
                </v:shape>
                <v:shape id="文本框 579" o:spid="_x0000_s1026" o:spt="202" type="#_x0000_t202" style="position:absolute;left:6320;top:11936;height:364;width:1594;" fillcolor="#FFFFFF" filled="t" stroked="t" coordsize="21600,21600" o:gfxdata="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oO8+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3mm,0.3mm,0.3mm,0.3mm">
                    <w:txbxContent>
                      <w:p w14:paraId="03E1A6D0">
                        <w:pPr>
                          <w:adjustRightInd/>
                          <w:spacing w:line="240" w:lineRule="atLeast"/>
                          <w:ind w:firstLine="0" w:firstLineChars="0"/>
                          <w:jc w:val="center"/>
                          <w:rPr>
                            <w:sz w:val="21"/>
                            <w:szCs w:val="22"/>
                          </w:rPr>
                        </w:pPr>
                        <w:r>
                          <w:rPr>
                            <w:rFonts w:hint="eastAsia"/>
                            <w:sz w:val="21"/>
                            <w:szCs w:val="22"/>
                          </w:rPr>
                          <w:t>间接指标</w:t>
                        </w:r>
                      </w:p>
                    </w:txbxContent>
                  </v:textbox>
                </v:shape>
                <v:group id="组合 589" o:spid="_x0000_s1026" o:spt="203" style="position:absolute;left:1753;top:12761;height:363;width:7882;" coordsize="8595,393" o:gfxdata="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LcD2K7AAAA2wAAAA8AAAAAAAAAAQAgAAAAIgAAAGRycy9kb3ducmV2LnhtbFBL&#10;AQIUABQAAAAIAIdO4kAzLwWeOwAAADkAAAAVAAAAAAAAAAEAIAAAAAoBAABkcnMvZ3JvdXBzaGFw&#10;ZXhtbC54bWxQSwUGAAAAAAYABgBgAQAAxwMAAAAA&#10;">
                  <o:lock v:ext="edit" aspectratio="f"/>
                  <v:shape id="文本框 590" o:spid="_x0000_s1026" o:spt="202" type="#_x0000_t202" style="position:absolute;left:0;top:0;height:393;width:1200;" fillcolor="#FFFFFF" filled="t" stroked="t" coordsize="21600,21600" o:gfxdata="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z7qe/&#10;AAAA2g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54mm,0.3mm,2.54mm,0.3mm">
                      <w:txbxContent>
                        <w:p w14:paraId="2FC90C00">
                          <w:pPr>
                            <w:adjustRightInd/>
                            <w:spacing w:line="180" w:lineRule="atLeast"/>
                            <w:ind w:firstLine="0" w:firstLineChars="0"/>
                            <w:rPr>
                              <w:sz w:val="18"/>
                              <w:szCs w:val="22"/>
                            </w:rPr>
                          </w:pPr>
                          <w:r>
                            <w:rPr>
                              <w:rFonts w:hint="eastAsia"/>
                              <w:sz w:val="18"/>
                              <w:szCs w:val="22"/>
                            </w:rPr>
                            <w:t>监督管理</w:t>
                          </w:r>
                        </w:p>
                      </w:txbxContent>
                    </v:textbox>
                  </v:shape>
                  <v:shape id="文本框 591" o:spid="_x0000_s1026" o:spt="202" type="#_x0000_t202" style="position:absolute;left:1290;top:0;height:393;width:1620;" fillcolor="#FFFFFF" filled="t" stroked="t" coordsize="21600,21600" o:gfxdata="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7HrV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0.3mm,2.54mm,0.3mm">
                      <w:txbxContent>
                        <w:p w14:paraId="0005CADF">
                          <w:pPr>
                            <w:adjustRightInd/>
                            <w:spacing w:line="180" w:lineRule="atLeast"/>
                            <w:ind w:firstLine="0" w:firstLineChars="0"/>
                            <w:rPr>
                              <w:sz w:val="18"/>
                              <w:szCs w:val="22"/>
                            </w:rPr>
                          </w:pPr>
                          <w:r>
                            <w:rPr>
                              <w:rFonts w:hint="eastAsia"/>
                              <w:sz w:val="18"/>
                              <w:szCs w:val="22"/>
                            </w:rPr>
                            <w:t>环境质量指标</w:t>
                          </w:r>
                        </w:p>
                      </w:txbxContent>
                    </v:textbox>
                  </v:shape>
                  <v:shape id="文本框 592" o:spid="_x0000_s1026" o:spt="202" type="#_x0000_t202" style="position:absolute;left:3030;top:0;height:393;width:1620;" fillcolor="#FFFFFF" filled="t" stroked="t" coordsize="21600,21600" o:gfxdata="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oN9O&#10;wAAAANo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0.3mm,2.54mm,0.3mm">
                      <w:txbxContent>
                        <w:p w14:paraId="4FDF25B8">
                          <w:pPr>
                            <w:adjustRightInd/>
                            <w:spacing w:line="180" w:lineRule="atLeast"/>
                            <w:ind w:firstLine="0" w:firstLineChars="0"/>
                            <w:rPr>
                              <w:sz w:val="18"/>
                              <w:szCs w:val="22"/>
                            </w:rPr>
                          </w:pPr>
                          <w:r>
                            <w:rPr>
                              <w:rFonts w:hint="eastAsia"/>
                              <w:sz w:val="18"/>
                              <w:szCs w:val="22"/>
                            </w:rPr>
                            <w:t>总量控制指标</w:t>
                          </w:r>
                        </w:p>
                      </w:txbxContent>
                    </v:textbox>
                  </v:shape>
                  <v:shape id="文本框 593" o:spid="_x0000_s1026" o:spt="202" type="#_x0000_t202" style="position:absolute;left:4890;top:0;height:393;width:1170;" fillcolor="#FFFFFF" filled="t" stroked="t" coordsize="21600,21600" o:gfxdata="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031j&#10;wAAAANs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0.3mm,2.54mm,0.3mm">
                      <w:txbxContent>
                        <w:p w14:paraId="5FFC9CF5">
                          <w:pPr>
                            <w:adjustRightInd/>
                            <w:spacing w:line="180" w:lineRule="atLeast"/>
                            <w:ind w:firstLine="0" w:firstLineChars="0"/>
                            <w:rPr>
                              <w:sz w:val="18"/>
                              <w:szCs w:val="22"/>
                            </w:rPr>
                          </w:pPr>
                          <w:r>
                            <w:rPr>
                              <w:rFonts w:hint="eastAsia"/>
                              <w:sz w:val="18"/>
                              <w:szCs w:val="22"/>
                            </w:rPr>
                            <w:t>经济指标</w:t>
                          </w:r>
                        </w:p>
                      </w:txbxContent>
                    </v:textbox>
                  </v:shape>
                  <v:shape id="文本框 594" o:spid="_x0000_s1026" o:spt="202" type="#_x0000_t202" style="position:absolute;left:6150;top:0;height:393;width:1170;" fillcolor="#FFFFFF" filled="t" stroked="t" coordsize="21600,21600" o:gfxdata="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Y+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2.54mm,0.3mm,2.54mm,0.3mm">
                      <w:txbxContent>
                        <w:p w14:paraId="3F9AB52C">
                          <w:pPr>
                            <w:adjustRightInd/>
                            <w:spacing w:line="240" w:lineRule="atLeast"/>
                            <w:ind w:firstLine="0" w:firstLineChars="0"/>
                            <w:rPr>
                              <w:sz w:val="18"/>
                              <w:szCs w:val="22"/>
                            </w:rPr>
                          </w:pPr>
                          <w:r>
                            <w:rPr>
                              <w:rFonts w:hint="eastAsia"/>
                              <w:sz w:val="18"/>
                              <w:szCs w:val="22"/>
                            </w:rPr>
                            <w:t>社会指标</w:t>
                          </w:r>
                        </w:p>
                      </w:txbxContent>
                    </v:textbox>
                  </v:shape>
                  <v:shape id="文本框 595" o:spid="_x0000_s1026" o:spt="202" type="#_x0000_t202" style="position:absolute;left:7440;top:0;height:393;width:1155;" fillcolor="#FFFFFF" filled="t" stroked="t" coordsize="21600,21600" o:gfxdata="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TUa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0.3mm,2.54mm,0.3mm">
                      <w:txbxContent>
                        <w:p w14:paraId="4E727E30">
                          <w:pPr>
                            <w:adjustRightInd/>
                            <w:spacing w:line="240" w:lineRule="atLeast"/>
                            <w:ind w:firstLine="0" w:firstLineChars="0"/>
                            <w:rPr>
                              <w:sz w:val="18"/>
                              <w:szCs w:val="22"/>
                            </w:rPr>
                          </w:pPr>
                          <w:r>
                            <w:rPr>
                              <w:rFonts w:hint="eastAsia"/>
                              <w:sz w:val="18"/>
                              <w:szCs w:val="22"/>
                            </w:rPr>
                            <w:t>生态指标</w:t>
                          </w:r>
                        </w:p>
                      </w:txbxContent>
                    </v:textbox>
                  </v:shape>
                </v:group>
                <v:shape id="文本框 618" o:spid="_x0000_s1026" o:spt="202" type="#_x0000_t202" style="position:absolute;left:1767;top:13581;height:982;width:486;" fillcolor="#FFFFFF" filled="t" stroked="t" coordsize="21600,21600" o:gfxdata="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lOzm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3mm,0.3mm,0.3mm,0.3mm">
                    <w:txbxContent>
                      <w:p w14:paraId="070D4C70">
                        <w:pPr>
                          <w:adjustRightInd/>
                          <w:spacing w:line="240" w:lineRule="atLeast"/>
                          <w:ind w:firstLine="0" w:firstLineChars="0"/>
                          <w:jc w:val="center"/>
                          <w:rPr>
                            <w:sz w:val="18"/>
                            <w:szCs w:val="22"/>
                          </w:rPr>
                        </w:pPr>
                        <w:r>
                          <w:rPr>
                            <w:rFonts w:hint="eastAsia"/>
                            <w:sz w:val="18"/>
                            <w:szCs w:val="22"/>
                          </w:rPr>
                          <w:t>三同时指标</w:t>
                        </w:r>
                      </w:p>
                    </w:txbxContent>
                  </v:textbox>
                </v:shape>
                <v:shape id="文本框 617" o:spid="_x0000_s1026" o:spt="202" type="#_x0000_t202" style="position:absolute;left:2386;top:13581;height:982;width:495;" fillcolor="#FFFFFF" filled="t" stroked="t" coordsize="21600,21600" o:gfxdata="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emeo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59909486">
                        <w:pPr>
                          <w:adjustRightInd/>
                          <w:spacing w:line="240" w:lineRule="atLeast"/>
                          <w:ind w:firstLine="0" w:firstLineChars="0"/>
                          <w:jc w:val="center"/>
                          <w:rPr>
                            <w:sz w:val="18"/>
                            <w:szCs w:val="22"/>
                          </w:rPr>
                        </w:pPr>
                        <w:r>
                          <w:rPr>
                            <w:rFonts w:hint="eastAsia"/>
                            <w:sz w:val="18"/>
                            <w:szCs w:val="22"/>
                          </w:rPr>
                          <w:t>法规情况指标</w:t>
                        </w:r>
                      </w:p>
                    </w:txbxContent>
                  </v:textbox>
                </v:shape>
                <v:shape id="文本框 616" o:spid="_x0000_s1026" o:spt="202" type="#_x0000_t202" style="position:absolute;left:3266;top:13573;height:990;width:495;" fillcolor="#FFFFFF" filled="t" stroked="t" coordsize="21600,21600" o:gfxdata="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TsA1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757EA9C6">
                        <w:pPr>
                          <w:adjustRightInd/>
                          <w:spacing w:line="240" w:lineRule="atLeast"/>
                          <w:ind w:firstLine="0" w:firstLineChars="0"/>
                          <w:jc w:val="center"/>
                          <w:rPr>
                            <w:sz w:val="18"/>
                            <w:szCs w:val="22"/>
                          </w:rPr>
                        </w:pPr>
                        <w:r>
                          <w:rPr>
                            <w:rFonts w:hint="eastAsia"/>
                            <w:sz w:val="18"/>
                            <w:szCs w:val="22"/>
                          </w:rPr>
                          <w:t>废气及环境空气指标</w:t>
                        </w:r>
                      </w:p>
                    </w:txbxContent>
                  </v:textbox>
                </v:shape>
                <v:shape id="文本框 615" o:spid="_x0000_s1026" o:spt="202" type="#_x0000_t202" style="position:absolute;left:4119;top:13587;height:976;width:495;" fillcolor="#FFFFFF" filled="t" stroked="t" coordsize="21600,21600" o:gfxdata="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3pU6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3mm,0.3mm,0.3mm,0.3mm">
                    <w:txbxContent>
                      <w:p w14:paraId="622A5C4A">
                        <w:pPr>
                          <w:adjustRightInd/>
                          <w:spacing w:line="240" w:lineRule="atLeast"/>
                          <w:ind w:firstLine="0" w:firstLineChars="0"/>
                          <w:jc w:val="center"/>
                          <w:rPr>
                            <w:sz w:val="18"/>
                            <w:szCs w:val="22"/>
                          </w:rPr>
                        </w:pPr>
                        <w:r>
                          <w:rPr>
                            <w:rFonts w:hint="eastAsia"/>
                            <w:sz w:val="18"/>
                            <w:szCs w:val="22"/>
                          </w:rPr>
                          <w:t>废水及水环境指标</w:t>
                        </w:r>
                      </w:p>
                    </w:txbxContent>
                  </v:textbox>
                </v:shape>
                <v:shape id="文本框 614" o:spid="_x0000_s1026" o:spt="202" type="#_x0000_t202" style="position:absolute;left:4766;top:13584;height:975;width:495;" fillcolor="#FFFFFF" filled="t" stroked="t" coordsize="21600,21600" o:gfxdata="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xP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4D0F73DE">
                        <w:pPr>
                          <w:adjustRightInd/>
                          <w:spacing w:line="240" w:lineRule="atLeast"/>
                          <w:ind w:firstLine="0" w:firstLineChars="0"/>
                          <w:jc w:val="center"/>
                          <w:rPr>
                            <w:sz w:val="18"/>
                            <w:szCs w:val="22"/>
                          </w:rPr>
                        </w:pPr>
                        <w:r>
                          <w:rPr>
                            <w:rFonts w:hint="eastAsia"/>
                            <w:sz w:val="18"/>
                            <w:szCs w:val="22"/>
                          </w:rPr>
                          <w:t>噪声指标</w:t>
                        </w:r>
                      </w:p>
                    </w:txbxContent>
                  </v:textbox>
                </v:shape>
                <v:shape id="文本框 613" o:spid="_x0000_s1026" o:spt="202" type="#_x0000_t202" style="position:absolute;left:5412;top:13584;height:975;width:495;" fillcolor="#FFFFFF" filled="t" stroked="t" coordsize="21600,21600" o:gfxdata="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SUp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241F7B70">
                        <w:pPr>
                          <w:adjustRightInd/>
                          <w:spacing w:line="240" w:lineRule="atLeast"/>
                          <w:ind w:firstLine="0" w:firstLineChars="0"/>
                          <w:jc w:val="center"/>
                          <w:rPr>
                            <w:sz w:val="18"/>
                            <w:szCs w:val="22"/>
                          </w:rPr>
                        </w:pPr>
                        <w:r>
                          <w:rPr>
                            <w:rFonts w:hint="eastAsia"/>
                            <w:sz w:val="18"/>
                            <w:szCs w:val="22"/>
                          </w:rPr>
                          <w:t>固废指标</w:t>
                        </w:r>
                      </w:p>
                    </w:txbxContent>
                  </v:textbox>
                </v:shape>
                <v:shape id="文本框 612" o:spid="_x0000_s1026" o:spt="202" type="#_x0000_t202" style="position:absolute;left:6251;top:13589;height:974;width:495;" fillcolor="#FFFFFF" filled="t" stroked="t" coordsize="21600,21600" o:gfxdata="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3h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2422AC46">
                        <w:pPr>
                          <w:adjustRightInd/>
                          <w:spacing w:line="240" w:lineRule="atLeast"/>
                          <w:ind w:firstLine="0" w:firstLineChars="0"/>
                          <w:jc w:val="center"/>
                          <w:rPr>
                            <w:sz w:val="18"/>
                            <w:szCs w:val="22"/>
                          </w:rPr>
                        </w:pPr>
                        <w:r>
                          <w:rPr>
                            <w:rFonts w:hint="eastAsia"/>
                            <w:sz w:val="18"/>
                            <w:szCs w:val="22"/>
                          </w:rPr>
                          <w:t>产值指标</w:t>
                        </w:r>
                      </w:p>
                    </w:txbxContent>
                  </v:textbox>
                </v:shape>
                <v:shape id="文本框 611" o:spid="_x0000_s1026" o:spt="202" type="#_x0000_t202" style="position:absolute;left:6828;top:13589;height:974;width:496;" fillcolor="#FFFFFF" filled="t" stroked="t" coordsize="21600,21600" o:gfxdata="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L5SH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2ED0834D">
                        <w:pPr>
                          <w:adjustRightInd/>
                          <w:spacing w:line="240" w:lineRule="atLeast"/>
                          <w:ind w:firstLine="0" w:firstLineChars="0"/>
                          <w:jc w:val="center"/>
                          <w:rPr>
                            <w:sz w:val="18"/>
                            <w:szCs w:val="22"/>
                          </w:rPr>
                        </w:pPr>
                        <w:r>
                          <w:rPr>
                            <w:rFonts w:hint="eastAsia"/>
                            <w:sz w:val="18"/>
                            <w:szCs w:val="22"/>
                          </w:rPr>
                          <w:t>资源指标</w:t>
                        </w:r>
                      </w:p>
                    </w:txbxContent>
                  </v:textbox>
                </v:shape>
                <v:shape id="文本框 610" o:spid="_x0000_s1026" o:spt="202" type="#_x0000_t202" style="position:absolute;left:8630;top:13574;height:974;width:496;" fillcolor="#FFFFFF" filled="t" stroked="t" coordsize="21600,21600" o:gfxdata="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GzMa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76F27F0D">
                        <w:pPr>
                          <w:adjustRightInd/>
                          <w:spacing w:line="240" w:lineRule="atLeast"/>
                          <w:ind w:firstLine="0" w:firstLineChars="0"/>
                          <w:jc w:val="center"/>
                          <w:rPr>
                            <w:sz w:val="18"/>
                            <w:szCs w:val="22"/>
                          </w:rPr>
                        </w:pPr>
                        <w:r>
                          <w:rPr>
                            <w:rFonts w:hint="eastAsia"/>
                            <w:sz w:val="18"/>
                            <w:szCs w:val="22"/>
                          </w:rPr>
                          <w:t>自然指标</w:t>
                        </w:r>
                      </w:p>
                    </w:txbxContent>
                  </v:textbox>
                </v:shape>
                <v:shape id="文本框 609" o:spid="_x0000_s1026" o:spt="202" type="#_x0000_t202" style="position:absolute;left:9250;top:13566;height:975;width:495;" fillcolor="#FFFFFF" filled="t" stroked="t" coordsize="21600,21600" o:gfxdata="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IGnw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3mm,0.3mm,0.3mm,0.3mm">
                    <w:txbxContent>
                      <w:p w14:paraId="7BBABA10">
                        <w:pPr>
                          <w:adjustRightInd/>
                          <w:spacing w:line="240" w:lineRule="atLeast"/>
                          <w:ind w:firstLine="0" w:firstLineChars="0"/>
                          <w:jc w:val="center"/>
                          <w:rPr>
                            <w:sz w:val="18"/>
                            <w:szCs w:val="22"/>
                          </w:rPr>
                        </w:pPr>
                        <w:r>
                          <w:rPr>
                            <w:rFonts w:hint="eastAsia"/>
                            <w:sz w:val="18"/>
                            <w:szCs w:val="22"/>
                          </w:rPr>
                          <w:t>景观指标</w:t>
                        </w:r>
                      </w:p>
                    </w:txbxContent>
                  </v:textbox>
                </v:shape>
                <v:line id="直线 576" o:spid="_x0000_s1026" o:spt="20" style="position:absolute;left:4504;top:11618;height:288;width:1;" filled="f" stroked="t" coordsize="21600,21600" o:gfxdata="UEsDBAoAAAAAAIdO4kAAAAAAAAAAAAAAAAAEAAAAZHJzL1BLAwQUAAAACACHTuJAlmscFr0AAADb&#10;AAAADwAAAGRycy9kb3ducmV2LnhtbEWPzYvCMBTE7wv+D+EJexFN7C4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axwW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75" o:spid="_x0000_s1026" o:spt="20" style="position:absolute;left:6485;top:11618;height:288;width:1;" filled="f" stroked="t" coordsize="21600,21600" o:gfxdata="UEsDBAoAAAAAAIdO4kAAAAAAAAAAAAAAAAAEAAAAZHJzL1BLAwQUAAAACACHTuJA+Se5jb0AAADb&#10;AAAADwAAAGRycy9kb3ducmV2LnhtbEWPzYvCMBTE7wv+D+EJexFN7LI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J7m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8" o:spid="_x0000_s1026" o:spt="20" style="position:absolute;left:2193;top:12514;height:1;width:3136;" filled="f" stroked="t" coordsize="21600,21600" o:gfxdata="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1J/q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78" o:spid="_x0000_s1026" o:spt="20" style="position:absolute;left:4009;top:12298;height:230;width:1;" filled="f" stroked="t" coordsize="21600,21600" o:gfxdata="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uYJh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7" o:spid="_x0000_s1026" o:spt="20" style="position:absolute;left:2193;top:12533;height:231;width:1;" filled="f" stroked="t" coordsize="21600,21600" o:gfxdata="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JhYT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586" o:spid="_x0000_s1026" o:spt="20" style="position:absolute;left:3665;top:12514;height:230;width:1;" filled="f" stroked="t" coordsize="21600,21600" o:gfxdata="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arO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5" o:spid="_x0000_s1026" o:spt="20" style="position:absolute;left:5329;top:12514;height:230;width:1;" filled="f" stroked="t" coordsize="21600,21600" o:gfxdata="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yJjMi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线 584" o:spid="_x0000_s1026" o:spt="20" style="position:absolute;left:6650;top:12514;height:1;width:2476;" filled="f" stroked="t" coordsize="21600,21600" o:gfxdata="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8UpU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77" o:spid="_x0000_s1026" o:spt="20" style="position:absolute;left:7338;top:12309;height:229;width:1;" filled="f" stroked="t" coordsize="21600,21600" o:gfxdata="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Xty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83" o:spid="_x0000_s1026" o:spt="20" style="position:absolute;left:6650;top:12514;height:230;width:1;" filled="f" stroked="t" coordsize="21600,21600" o:gfxdata="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bEr+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82" o:spid="_x0000_s1026" o:spt="20" style="position:absolute;left:7929;top:12514;height:230;width:1;" filled="f" stroked="t" coordsize="21600,21600" o:gfxdata="UEsDBAoAAAAAAIdO4kAAAAAAAAAAAAAAAAAEAAAAZHJzL1BLAwQUAAAACACHTuJAE7KKy74AAADb&#10;AAAADwAAAGRycy9kb3ducmV2LnhtbEWPQWvCQBSE74L/YXlCL2J2TaS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7KKy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81" o:spid="_x0000_s1026" o:spt="20" style="position:absolute;left:9126;top:12514;height:230;width:1;" filled="f" stroked="t" coordsize="21600,21600" o:gfxdata="UEsDBAoAAAAAAIdO4kAAAAAAAAAAAAAAAAAEAAAAZHJzL1BLAwQUAAAACACHTuJAfP4vUL4AAADb&#10;AAAADwAAAGRycy9kb3ducmV2LnhtbEWPQWvCQBSE74L/YXlCL2J2TbC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4vU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3" o:spid="_x0000_s1026" o:spt="20" style="position:absolute;left:3679;top:13134;height:230;width:1;" filled="f" stroked="t" coordsize="21600,21600" o:gfxdata="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LLE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2" o:spid="_x0000_s1026" o:spt="20" style="position:absolute;left:5329;top:13134;height:230;width:1;" filled="f" stroked="t" coordsize="21600,21600" o:gfxdata="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AUv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8" o:spid="_x0000_s1026" o:spt="20" style="position:absolute;left:3513;top:13349;height:1;width:2146;" filled="f" stroked="t" coordsize="21600,21600" o:gfxdata="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M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线 607" o:spid="_x0000_s1026" o:spt="20" style="position:absolute;left:5659;top:13368;height:231;width:1;" filled="f" stroked="t" coordsize="21600,21600" o:gfxdata="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lV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6" o:spid="_x0000_s1026" o:spt="20" style="position:absolute;left:3513;top:13355;height:230;width:1;" filled="f" stroked="t" coordsize="21600,21600" o:gfxdata="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j/+1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605" o:spid="_x0000_s1026" o:spt="20" style="position:absolute;left:5000;top:13349;height:230;width:1;" filled="f" stroked="t" coordsize="21600,21600" o:gfxdata="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w1ou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4" o:spid="_x0000_s1026" o:spt="20" style="position:absolute;left:4366;top:13349;height:230;width:1;" filled="f" stroked="t" coordsize="21600,21600" o:gfxdata="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EcR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1" o:spid="_x0000_s1026" o:spt="20" style="position:absolute;left:6485;top:13114;height:500;width:1;" filled="f" stroked="t" coordsize="21600,21600" o:gfxdata="UEsDBAoAAAAAAIdO4kAAAAAAAAAAAAAAAAAEAAAAZHJzL1BLAwQUAAAACACHTuJAxF1hwr4AAADb&#10;AAAADwAAAGRycy9kb3ducmV2LnhtbEWPQWvCQBSE74L/YXlCL2J2TaS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1hw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0" o:spid="_x0000_s1026" o:spt="20" style="position:absolute;left:7076;top:13131;height:501;width:1;" filled="f" stroked="t" coordsize="21600,21600" o:gfxdata="UEsDBAoAAAAAAIdO4kAAAAAAAAAAAAAAAAAEAAAAZHJzL1BLAwQUAAAACACHTuJAS7T5tr4AAADb&#10;AAAADwAAAGRycy9kb3ducmV2LnhtbEWPQWvCQBSE74L/YXlCL2J2jaG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T5t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99" o:spid="_x0000_s1026" o:spt="20" style="position:absolute;left:8878;top:13111;height:500;width:1;" filled="f" stroked="t" coordsize="21600,21600" o:gfxdata="UEsDBAoAAAAAAIdO4kAAAAAAAAAAAAAAAAAEAAAAZHJzL1BLAwQUAAAACACHTuJAJPhcLb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q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4XC2/&#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598" o:spid="_x0000_s1026" o:spt="20" style="position:absolute;left:9483;top:13104;height:499;width:1;" filled="f" stroked="t" coordsize="21600,21600" o:gfxdata="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qwlq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97" o:spid="_x0000_s1026" o:spt="20" style="position:absolute;left:2634;top:13117;height:501;width:1;" filled="f" stroked="t" coordsize="21600,21600" o:gfxdata="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mZ8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596" o:spid="_x0000_s1026" o:spt="20" style="position:absolute;left:2001;top:13111;height:500;width:1;" filled="f" stroked="t" coordsize="21600,21600" o:gfxdata="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fOz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文本框 619" o:spid="_x0000_s1026" o:spt="202" type="#_x0000_t202" style="position:absolute;left:3585;top:14633;height:431;width:5060;" fillcolor="#FFFFFF" filled="t" stroked="f" coordsize="21600,21600" o:gfxdata="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Gg5a8AAAA&#10;2wAAAA8AAAAAAAAAAQAgAAAAIgAAAGRycy9kb3ducmV2LnhtbFBLAQIUABQAAAAIAIdO4kAzLwWe&#10;OwAAADkAAAAQAAAAAAAAAAEAIAAAAAsBAABkcnMvc2hhcGV4bWwueG1sUEsFBgAAAAAGAAYAWwEA&#10;ALUDAAAAAA==&#10;">
                  <v:fill on="t" focussize="0,0"/>
                  <v:stroke on="f"/>
                  <v:imagedata o:title=""/>
                  <o:lock v:ext="edit" aspectratio="f"/>
                  <v:textbox inset="0.3mm,0.3mm,0.3mm,0.3mm">
                    <w:txbxContent>
                      <w:p w14:paraId="77B04D14">
                        <w:pPr>
                          <w:adjustRightInd/>
                          <w:ind w:firstLine="0" w:firstLineChars="0"/>
                          <w:jc w:val="center"/>
                          <w:rPr>
                            <w:b/>
                            <w:sz w:val="21"/>
                            <w:szCs w:val="21"/>
                          </w:rPr>
                        </w:pPr>
                        <w:r>
                          <w:rPr>
                            <w:b/>
                            <w:sz w:val="21"/>
                            <w:szCs w:val="21"/>
                          </w:rPr>
                          <w:t>图</w:t>
                        </w:r>
                        <w:r>
                          <w:rPr>
                            <w:rFonts w:hint="eastAsia"/>
                            <w:b/>
                            <w:sz w:val="21"/>
                            <w:szCs w:val="21"/>
                            <w:lang w:val="en-US" w:eastAsia="zh-CN"/>
                          </w:rPr>
                          <w:t>8</w:t>
                        </w:r>
                        <w:r>
                          <w:rPr>
                            <w:rFonts w:hint="eastAsia"/>
                            <w:b/>
                            <w:sz w:val="21"/>
                            <w:szCs w:val="21"/>
                          </w:rPr>
                          <w:t>.3</w:t>
                        </w:r>
                        <w:r>
                          <w:rPr>
                            <w:b/>
                            <w:sz w:val="21"/>
                            <w:szCs w:val="21"/>
                          </w:rPr>
                          <w:t>-</w:t>
                        </w:r>
                        <w:r>
                          <w:rPr>
                            <w:rFonts w:hint="eastAsia"/>
                            <w:b/>
                            <w:sz w:val="21"/>
                            <w:szCs w:val="21"/>
                            <w:lang w:eastAsia="zh-CN"/>
                          </w:rPr>
                          <w:t>1</w:t>
                        </w:r>
                        <w:r>
                          <w:rPr>
                            <w:b/>
                            <w:sz w:val="21"/>
                            <w:szCs w:val="21"/>
                          </w:rPr>
                          <w:t xml:space="preserve"> </w:t>
                        </w:r>
                        <w:r>
                          <w:rPr>
                            <w:rFonts w:hint="eastAsia"/>
                            <w:b/>
                            <w:sz w:val="21"/>
                            <w:szCs w:val="21"/>
                          </w:rPr>
                          <w:t>企业</w:t>
                        </w:r>
                        <w:r>
                          <w:rPr>
                            <w:b/>
                            <w:sz w:val="21"/>
                            <w:szCs w:val="21"/>
                          </w:rPr>
                          <w:t>环境管理指标体系分类结构</w:t>
                        </w:r>
                      </w:p>
                    </w:txbxContent>
                  </v:textbox>
                </v:shape>
              </v:group>
            </w:pict>
          </mc:Fallback>
        </mc:AlternateContent>
      </w:r>
    </w:p>
    <w:p w14:paraId="397AF149">
      <w:pPr>
        <w:pageBreakBefore w:val="0"/>
        <w:wordWrap/>
        <w:bidi w:val="0"/>
        <w:adjustRightInd/>
        <w:snapToGrid/>
        <w:jc w:val="left"/>
        <w:rPr>
          <w:color w:val="auto"/>
          <w:sz w:val="21"/>
          <w:szCs w:val="22"/>
        </w:rPr>
      </w:pPr>
    </w:p>
    <w:p w14:paraId="60C298C7">
      <w:pPr>
        <w:pageBreakBefore w:val="0"/>
        <w:wordWrap/>
        <w:bidi w:val="0"/>
        <w:adjustRightInd/>
        <w:snapToGrid/>
        <w:jc w:val="left"/>
        <w:rPr>
          <w:color w:val="auto"/>
          <w:sz w:val="21"/>
          <w:szCs w:val="22"/>
        </w:rPr>
      </w:pPr>
    </w:p>
    <w:p w14:paraId="11429CC4">
      <w:pPr>
        <w:pageBreakBefore w:val="0"/>
        <w:wordWrap/>
        <w:bidi w:val="0"/>
        <w:adjustRightInd/>
        <w:snapToGrid/>
        <w:jc w:val="left"/>
        <w:rPr>
          <w:color w:val="auto"/>
          <w:sz w:val="21"/>
          <w:szCs w:val="22"/>
        </w:rPr>
      </w:pPr>
    </w:p>
    <w:p w14:paraId="56855CA4">
      <w:pPr>
        <w:pageBreakBefore w:val="0"/>
        <w:wordWrap/>
        <w:bidi w:val="0"/>
        <w:adjustRightInd/>
        <w:snapToGrid/>
        <w:jc w:val="left"/>
        <w:rPr>
          <w:color w:val="auto"/>
          <w:sz w:val="21"/>
          <w:szCs w:val="22"/>
        </w:rPr>
      </w:pPr>
    </w:p>
    <w:p w14:paraId="6117C334">
      <w:pPr>
        <w:pageBreakBefore w:val="0"/>
        <w:wordWrap/>
        <w:bidi w:val="0"/>
        <w:adjustRightInd/>
        <w:snapToGrid/>
        <w:jc w:val="left"/>
        <w:rPr>
          <w:color w:val="auto"/>
          <w:sz w:val="21"/>
          <w:szCs w:val="22"/>
        </w:rPr>
      </w:pPr>
    </w:p>
    <w:p w14:paraId="0E7181DD">
      <w:pPr>
        <w:pageBreakBefore w:val="0"/>
        <w:wordWrap/>
        <w:bidi w:val="0"/>
        <w:adjustRightInd/>
        <w:snapToGrid/>
        <w:jc w:val="left"/>
        <w:rPr>
          <w:color w:val="auto"/>
          <w:sz w:val="21"/>
          <w:szCs w:val="22"/>
        </w:rPr>
      </w:pPr>
    </w:p>
    <w:p w14:paraId="60CC0F15">
      <w:pPr>
        <w:pageBreakBefore w:val="0"/>
        <w:wordWrap/>
        <w:bidi w:val="0"/>
        <w:adjustRightInd/>
        <w:snapToGrid/>
        <w:ind w:firstLine="0" w:firstLineChars="0"/>
        <w:jc w:val="left"/>
        <w:rPr>
          <w:color w:val="auto"/>
          <w:sz w:val="21"/>
          <w:szCs w:val="22"/>
        </w:rPr>
      </w:pPr>
    </w:p>
    <w:p w14:paraId="4EE7A1FC">
      <w:pPr>
        <w:pageBreakBefore w:val="0"/>
        <w:wordWrap/>
        <w:bidi w:val="0"/>
        <w:adjustRightInd/>
        <w:snapToGrid/>
        <w:ind w:firstLine="0" w:firstLineChars="0"/>
        <w:jc w:val="left"/>
        <w:rPr>
          <w:color w:val="auto"/>
          <w:sz w:val="21"/>
          <w:szCs w:val="22"/>
        </w:rPr>
      </w:pPr>
    </w:p>
    <w:p w14:paraId="623A29AA">
      <w:pPr>
        <w:pageBreakBefore w:val="0"/>
        <w:wordWrap/>
        <w:bidi w:val="0"/>
        <w:adjustRightInd/>
        <w:snapToGrid/>
        <w:ind w:firstLine="480"/>
        <w:rPr>
          <w:color w:val="auto"/>
        </w:rPr>
      </w:pPr>
    </w:p>
    <w:p w14:paraId="25C645C7">
      <w:pPr>
        <w:pageBreakBefore w:val="0"/>
        <w:wordWrap/>
        <w:bidi w:val="0"/>
        <w:adjustRightInd/>
        <w:snapToGrid/>
        <w:ind w:firstLine="480"/>
        <w:rPr>
          <w:color w:val="auto"/>
        </w:rPr>
      </w:pPr>
    </w:p>
    <w:p w14:paraId="6E11EB44">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环境管理计划</w:t>
      </w:r>
    </w:p>
    <w:p w14:paraId="407C6DCF">
      <w:pPr>
        <w:bidi w:val="0"/>
        <w:rPr>
          <w:b/>
          <w:bCs/>
          <w:color w:val="auto"/>
        </w:rPr>
      </w:pPr>
      <w:r>
        <w:rPr>
          <w:b/>
          <w:bCs/>
          <w:color w:val="auto"/>
        </w:rPr>
        <w:t>1、建设前期环境管理计划</w:t>
      </w:r>
    </w:p>
    <w:p w14:paraId="7A2104F0">
      <w:pPr>
        <w:bidi w:val="0"/>
        <w:rPr>
          <w:rFonts w:hint="eastAsia"/>
          <w:color w:val="auto"/>
        </w:rPr>
      </w:pPr>
      <w:r>
        <w:rPr>
          <w:rFonts w:hint="eastAsia"/>
          <w:color w:val="auto"/>
        </w:rPr>
        <w:t>根据国家生态环境部和四川省生态环境厅的有关规定，本项目建设前期各个阶段环境保护工作采取如下方式：</w:t>
      </w:r>
    </w:p>
    <w:p w14:paraId="7FC2F296">
      <w:pPr>
        <w:bidi w:val="0"/>
        <w:rPr>
          <w:rFonts w:hint="eastAsia"/>
          <w:color w:val="auto"/>
        </w:rPr>
      </w:pPr>
      <w:r>
        <w:rPr>
          <w:rFonts w:hint="eastAsia"/>
          <w:color w:val="auto"/>
        </w:rPr>
        <w:t>1）设计单位在成立项目设计组时，环境保护专业人员作为组成成员之一，参与项目各阶段环境保护工作和设计工作。</w:t>
      </w:r>
    </w:p>
    <w:p w14:paraId="2CEC57DE">
      <w:pPr>
        <w:bidi w:val="0"/>
        <w:rPr>
          <w:rFonts w:hint="eastAsia"/>
          <w:color w:val="auto"/>
        </w:rPr>
      </w:pPr>
      <w:r>
        <w:rPr>
          <w:rFonts w:hint="eastAsia"/>
          <w:color w:val="auto"/>
        </w:rPr>
        <w:t>2）可行性研究阶段，结合当地环境特征和地方环境部门的意见、要求，设专门章节进行环境影响简要分析。</w:t>
      </w:r>
    </w:p>
    <w:p w14:paraId="716D931B">
      <w:pPr>
        <w:bidi w:val="0"/>
        <w:rPr>
          <w:rFonts w:hint="eastAsia"/>
          <w:color w:val="auto"/>
        </w:rPr>
      </w:pPr>
      <w:r>
        <w:rPr>
          <w:rFonts w:hint="eastAsia"/>
          <w:color w:val="auto"/>
        </w:rPr>
        <w:t>3）建设单位委托相关的单位编制环境影响评价报告书。</w:t>
      </w:r>
    </w:p>
    <w:p w14:paraId="72C9A1AF">
      <w:pPr>
        <w:bidi w:val="0"/>
        <w:rPr>
          <w:rFonts w:hint="eastAsia"/>
          <w:color w:val="auto"/>
        </w:rPr>
      </w:pPr>
      <w:r>
        <w:rPr>
          <w:rFonts w:hint="eastAsia"/>
          <w:color w:val="auto"/>
        </w:rPr>
        <w:t>4）初步设计和施工图设计阶段，编制环境保护篇章，依据环境影响报告书及其审查意见，落实各项环境保护措施设计，作为指导工程建设、执行“三同时”制度和环境管理的依据。</w:t>
      </w:r>
    </w:p>
    <w:p w14:paraId="781D8581">
      <w:pPr>
        <w:bidi w:val="0"/>
        <w:rPr>
          <w:color w:val="auto"/>
        </w:rPr>
      </w:pPr>
      <w:r>
        <w:rPr>
          <w:rFonts w:hint="eastAsia"/>
          <w:color w:val="auto"/>
        </w:rPr>
        <w:t>为保护项目所在区域的生态环境，在工程初步设计阶段，应针对土石方工程造成的裸露面做好水土保持工程设计。</w:t>
      </w:r>
    </w:p>
    <w:p w14:paraId="1F39793F">
      <w:pPr>
        <w:bidi w:val="0"/>
        <w:rPr>
          <w:b/>
          <w:bCs/>
          <w:color w:val="auto"/>
        </w:rPr>
      </w:pPr>
      <w:r>
        <w:rPr>
          <w:b/>
          <w:bCs/>
          <w:color w:val="auto"/>
        </w:rPr>
        <w:t>2、施工期环境管理</w:t>
      </w:r>
    </w:p>
    <w:p w14:paraId="67A95A57">
      <w:pPr>
        <w:bidi w:val="0"/>
        <w:rPr>
          <w:color w:val="auto"/>
        </w:rPr>
      </w:pPr>
      <w:r>
        <w:rPr>
          <w:color w:val="auto"/>
        </w:rPr>
        <w:t>①建设单位与施工单位签定工程承包合同时，应包括有关工程施工期间环境保护条款，包括工程施工中生态环境保护（水土保持）、施工期间环境污染控制、污染物排放管理、施工人员环保教育及相关奖惩条款。</w:t>
      </w:r>
    </w:p>
    <w:p w14:paraId="5F837B88">
      <w:pPr>
        <w:bidi w:val="0"/>
        <w:rPr>
          <w:color w:val="auto"/>
        </w:rPr>
      </w:pPr>
      <w:r>
        <w:rPr>
          <w:color w:val="auto"/>
        </w:rPr>
        <w:t>②施工单位应</w:t>
      </w:r>
      <w:r>
        <w:rPr>
          <w:rFonts w:hint="eastAsia"/>
          <w:color w:val="auto"/>
          <w:lang w:eastAsia="zh-CN"/>
        </w:rPr>
        <w:t>增强</w:t>
      </w:r>
      <w:r>
        <w:rPr>
          <w:color w:val="auto"/>
        </w:rPr>
        <w:t>环保意识，加强驻地和施工现场的环境管理，合理安排施工计划，切实做到组织计划严谨，文明施工；环保措施逐条落实到位，环保工程与主体工程同时施工、同时运行，环保工程费用专款专用，不偷工减料、延误工期。</w:t>
      </w:r>
    </w:p>
    <w:p w14:paraId="71EC6D81">
      <w:pPr>
        <w:bidi w:val="0"/>
        <w:rPr>
          <w:color w:val="auto"/>
        </w:rPr>
      </w:pPr>
      <w:r>
        <w:rPr>
          <w:color w:val="auto"/>
        </w:rPr>
        <w:t>③施工单位应特别注意工程施工中的水土保持，尽可能保护好土壤、植被、弃土弃渣须运至设计中指定的地点弃置，严禁随意堆置、侵占河道，防止对地表水环境产生影响。</w:t>
      </w:r>
    </w:p>
    <w:p w14:paraId="6D79F8CD">
      <w:pPr>
        <w:bidi w:val="0"/>
        <w:rPr>
          <w:color w:val="auto"/>
        </w:rPr>
      </w:pPr>
      <w:r>
        <w:rPr>
          <w:color w:val="auto"/>
        </w:rPr>
        <w:t>④各施工现场、施工单位驻地</w:t>
      </w:r>
      <w:r>
        <w:rPr>
          <w:rFonts w:hint="eastAsia"/>
          <w:color w:val="auto"/>
          <w:lang w:eastAsia="zh-CN"/>
        </w:rPr>
        <w:t>及其他</w:t>
      </w:r>
      <w:r>
        <w:rPr>
          <w:color w:val="auto"/>
        </w:rPr>
        <w:t>施工临时设施，应加强环境管理，施工污水避免无组织散排，尽可能集中排放指定地点；扬尘大的工地应采取降尘措施，工程施工完毕后施工单位及时清理和恢复施工现场，妥善处理生活垃圾与施工弃渣，减少扬尘；施工现场应执行《建筑施工场界环境噪声排放标准》（GB12523-2011）中的有关规定和要求。</w:t>
      </w:r>
    </w:p>
    <w:p w14:paraId="4FC6432B">
      <w:pPr>
        <w:bidi w:val="0"/>
        <w:rPr>
          <w:color w:val="auto"/>
        </w:rPr>
      </w:pPr>
      <w:r>
        <w:rPr>
          <w:color w:val="auto"/>
        </w:rPr>
        <w:t>⑤认真落实各项补偿措施，做好工程各项环保设施的施工监理与验收，保证环保工程质量，真正做到环保工程</w:t>
      </w:r>
      <w:r>
        <w:rPr>
          <w:rFonts w:hint="eastAsia"/>
          <w:color w:val="auto"/>
          <w:lang w:eastAsia="zh-CN"/>
        </w:rPr>
        <w:t>“</w:t>
      </w:r>
      <w:r>
        <w:rPr>
          <w:color w:val="auto"/>
        </w:rPr>
        <w:t>三同时</w:t>
      </w:r>
      <w:r>
        <w:rPr>
          <w:rFonts w:hint="eastAsia"/>
          <w:color w:val="auto"/>
          <w:lang w:eastAsia="zh-CN"/>
        </w:rPr>
        <w:t>”</w:t>
      </w:r>
      <w:r>
        <w:rPr>
          <w:color w:val="auto"/>
        </w:rPr>
        <w:t>。</w:t>
      </w:r>
    </w:p>
    <w:p w14:paraId="41D9454F">
      <w:pPr>
        <w:pStyle w:val="15"/>
        <w:numPr>
          <w:ilvl w:val="0"/>
          <w:numId w:val="39"/>
        </w:numPr>
        <w:bidi w:val="0"/>
        <w:ind w:left="0" w:leftChars="0" w:firstLine="0" w:firstLineChars="0"/>
        <w:rPr>
          <w:color w:val="auto"/>
        </w:rPr>
      </w:pPr>
      <w:r>
        <w:rPr>
          <w:color w:val="auto"/>
        </w:rPr>
        <w:t>施工期环境监理内容</w:t>
      </w:r>
    </w:p>
    <w:tbl>
      <w:tblPr>
        <w:tblStyle w:val="703"/>
        <w:tblW w:w="853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85"/>
        <w:gridCol w:w="1130"/>
        <w:gridCol w:w="4568"/>
        <w:gridCol w:w="946"/>
        <w:gridCol w:w="1202"/>
      </w:tblGrid>
      <w:tr w14:paraId="3673D6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685" w:type="dxa"/>
            <w:tcBorders>
              <w:tl2br w:val="nil"/>
              <w:tr2bl w:val="nil"/>
            </w:tcBorders>
            <w:vAlign w:val="center"/>
          </w:tcPr>
          <w:p w14:paraId="2F23E247">
            <w:pPr>
              <w:pStyle w:val="12"/>
              <w:bidi w:val="0"/>
              <w:spacing w:line="240" w:lineRule="auto"/>
              <w:rPr>
                <w:b/>
                <w:bCs/>
                <w:color w:val="auto"/>
              </w:rPr>
            </w:pPr>
            <w:r>
              <w:rPr>
                <w:b/>
                <w:bCs/>
                <w:color w:val="auto"/>
              </w:rPr>
              <w:t>序号</w:t>
            </w:r>
          </w:p>
        </w:tc>
        <w:tc>
          <w:tcPr>
            <w:tcW w:w="1130" w:type="dxa"/>
            <w:tcBorders>
              <w:tl2br w:val="nil"/>
              <w:tr2bl w:val="nil"/>
            </w:tcBorders>
            <w:vAlign w:val="center"/>
          </w:tcPr>
          <w:p w14:paraId="5AE9F1A5">
            <w:pPr>
              <w:pStyle w:val="12"/>
              <w:bidi w:val="0"/>
              <w:spacing w:line="240" w:lineRule="auto"/>
              <w:rPr>
                <w:b/>
                <w:bCs/>
                <w:color w:val="auto"/>
              </w:rPr>
            </w:pPr>
            <w:r>
              <w:rPr>
                <w:b/>
                <w:bCs/>
                <w:color w:val="auto"/>
              </w:rPr>
              <w:t>监理项目</w:t>
            </w:r>
          </w:p>
        </w:tc>
        <w:tc>
          <w:tcPr>
            <w:tcW w:w="4568" w:type="dxa"/>
            <w:tcBorders>
              <w:tl2br w:val="nil"/>
              <w:tr2bl w:val="nil"/>
            </w:tcBorders>
            <w:vAlign w:val="center"/>
          </w:tcPr>
          <w:p w14:paraId="7BF9036B">
            <w:pPr>
              <w:pStyle w:val="12"/>
              <w:bidi w:val="0"/>
              <w:spacing w:line="240" w:lineRule="auto"/>
              <w:rPr>
                <w:b/>
                <w:bCs/>
                <w:color w:val="auto"/>
              </w:rPr>
            </w:pPr>
            <w:r>
              <w:rPr>
                <w:b/>
                <w:bCs/>
                <w:color w:val="auto"/>
              </w:rPr>
              <w:t>技术要求</w:t>
            </w:r>
          </w:p>
        </w:tc>
        <w:tc>
          <w:tcPr>
            <w:tcW w:w="946" w:type="dxa"/>
            <w:tcBorders>
              <w:tl2br w:val="nil"/>
              <w:tr2bl w:val="nil"/>
            </w:tcBorders>
            <w:vAlign w:val="center"/>
          </w:tcPr>
          <w:p w14:paraId="4983D585">
            <w:pPr>
              <w:pStyle w:val="12"/>
              <w:bidi w:val="0"/>
              <w:spacing w:line="240" w:lineRule="auto"/>
              <w:rPr>
                <w:b/>
                <w:bCs/>
                <w:color w:val="auto"/>
              </w:rPr>
            </w:pPr>
            <w:r>
              <w:rPr>
                <w:b/>
                <w:bCs/>
                <w:color w:val="auto"/>
              </w:rPr>
              <w:t>实施机构</w:t>
            </w:r>
          </w:p>
        </w:tc>
        <w:tc>
          <w:tcPr>
            <w:tcW w:w="1202" w:type="dxa"/>
            <w:tcBorders>
              <w:tl2br w:val="nil"/>
              <w:tr2bl w:val="nil"/>
            </w:tcBorders>
            <w:vAlign w:val="center"/>
          </w:tcPr>
          <w:p w14:paraId="3303A8DE">
            <w:pPr>
              <w:pStyle w:val="12"/>
              <w:bidi w:val="0"/>
              <w:spacing w:line="240" w:lineRule="auto"/>
              <w:rPr>
                <w:b/>
                <w:bCs/>
                <w:color w:val="auto"/>
              </w:rPr>
            </w:pPr>
            <w:r>
              <w:rPr>
                <w:b/>
                <w:bCs/>
                <w:color w:val="auto"/>
              </w:rPr>
              <w:t>监控机构</w:t>
            </w:r>
          </w:p>
        </w:tc>
      </w:tr>
      <w:tr w14:paraId="6B1768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0D898EAD">
            <w:pPr>
              <w:pStyle w:val="12"/>
              <w:bidi w:val="0"/>
              <w:spacing w:line="240" w:lineRule="auto"/>
              <w:rPr>
                <w:color w:val="auto"/>
              </w:rPr>
            </w:pPr>
            <w:r>
              <w:rPr>
                <w:color w:val="auto"/>
              </w:rPr>
              <w:t>1</w:t>
            </w:r>
          </w:p>
        </w:tc>
        <w:tc>
          <w:tcPr>
            <w:tcW w:w="1130" w:type="dxa"/>
            <w:tcBorders>
              <w:tl2br w:val="nil"/>
              <w:tr2bl w:val="nil"/>
            </w:tcBorders>
            <w:vAlign w:val="center"/>
          </w:tcPr>
          <w:p w14:paraId="2BD45134">
            <w:pPr>
              <w:pStyle w:val="12"/>
              <w:bidi w:val="0"/>
              <w:spacing w:line="240" w:lineRule="auto"/>
              <w:rPr>
                <w:color w:val="auto"/>
              </w:rPr>
            </w:pPr>
            <w:r>
              <w:rPr>
                <w:color w:val="auto"/>
              </w:rPr>
              <w:t>生态保护</w:t>
            </w:r>
          </w:p>
          <w:p w14:paraId="11E7F5D5">
            <w:pPr>
              <w:pStyle w:val="12"/>
              <w:bidi w:val="0"/>
              <w:spacing w:line="240" w:lineRule="auto"/>
              <w:rPr>
                <w:color w:val="auto"/>
              </w:rPr>
            </w:pPr>
            <w:r>
              <w:rPr>
                <w:color w:val="auto"/>
              </w:rPr>
              <w:t>与防止水</w:t>
            </w:r>
          </w:p>
          <w:p w14:paraId="707028E0">
            <w:pPr>
              <w:pStyle w:val="12"/>
              <w:bidi w:val="0"/>
              <w:spacing w:line="240" w:lineRule="auto"/>
              <w:rPr>
                <w:color w:val="auto"/>
              </w:rPr>
            </w:pPr>
            <w:r>
              <w:rPr>
                <w:color w:val="auto"/>
              </w:rPr>
              <w:t>土流失</w:t>
            </w:r>
          </w:p>
        </w:tc>
        <w:tc>
          <w:tcPr>
            <w:tcW w:w="4568" w:type="dxa"/>
            <w:tcBorders>
              <w:tl2br w:val="nil"/>
              <w:tr2bl w:val="nil"/>
            </w:tcBorders>
            <w:vAlign w:val="center"/>
          </w:tcPr>
          <w:p w14:paraId="60724906">
            <w:pPr>
              <w:pStyle w:val="12"/>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对施工期临时占地，应将原有土地表层堆在一旁，待施工完毕，将这些熟土再推平，恢复到土地表层，以利于还耕或绿化</w:t>
            </w:r>
          </w:p>
          <w:p w14:paraId="30CF0B5D">
            <w:pPr>
              <w:pStyle w:val="12"/>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施工营地应尽量选择设置在非耕地上，以减少耕地损失</w:t>
            </w:r>
          </w:p>
          <w:p w14:paraId="6BECD957">
            <w:pPr>
              <w:pStyle w:val="12"/>
              <w:bidi w:val="0"/>
              <w:spacing w:line="240" w:lineRule="auto"/>
              <w:jc w:val="left"/>
              <w:rPr>
                <w:color w:val="auto"/>
              </w:rPr>
            </w:pPr>
            <w:r>
              <w:rPr>
                <w:rFonts w:hint="eastAsia"/>
                <w:color w:val="auto"/>
                <w:lang w:eastAsia="zh-CN"/>
              </w:rPr>
              <w:t>（</w:t>
            </w:r>
            <w:r>
              <w:rPr>
                <w:color w:val="auto"/>
              </w:rPr>
              <w:t>3</w:t>
            </w:r>
            <w:r>
              <w:rPr>
                <w:rFonts w:hint="eastAsia"/>
                <w:color w:val="auto"/>
                <w:lang w:eastAsia="zh-CN"/>
              </w:rPr>
              <w:t>）</w:t>
            </w:r>
            <w:r>
              <w:rPr>
                <w:color w:val="auto"/>
              </w:rPr>
              <w:t>在场区平整过程中做到边取土边平整，有计划取土，及时平整</w:t>
            </w:r>
          </w:p>
          <w:p w14:paraId="72F66DFA">
            <w:pPr>
              <w:pStyle w:val="12"/>
              <w:bidi w:val="0"/>
              <w:spacing w:line="240" w:lineRule="auto"/>
              <w:jc w:val="left"/>
              <w:rPr>
                <w:color w:val="auto"/>
              </w:rPr>
            </w:pPr>
            <w:r>
              <w:rPr>
                <w:rFonts w:hint="eastAsia"/>
                <w:color w:val="auto"/>
                <w:lang w:eastAsia="zh-CN"/>
              </w:rPr>
              <w:t>（</w:t>
            </w:r>
            <w:r>
              <w:rPr>
                <w:color w:val="auto"/>
              </w:rPr>
              <w:t>4</w:t>
            </w:r>
            <w:r>
              <w:rPr>
                <w:rFonts w:hint="eastAsia"/>
                <w:color w:val="auto"/>
                <w:lang w:eastAsia="zh-CN"/>
              </w:rPr>
              <w:t>）</w:t>
            </w:r>
            <w:r>
              <w:rPr>
                <w:color w:val="auto"/>
              </w:rPr>
              <w:t>在主体工程完成后及时对厂区进行绿化</w:t>
            </w:r>
          </w:p>
          <w:p w14:paraId="44B84E52">
            <w:pPr>
              <w:pStyle w:val="12"/>
              <w:bidi w:val="0"/>
              <w:spacing w:line="240" w:lineRule="auto"/>
              <w:jc w:val="left"/>
              <w:rPr>
                <w:color w:val="auto"/>
              </w:rPr>
            </w:pPr>
            <w:r>
              <w:rPr>
                <w:rFonts w:hint="eastAsia"/>
                <w:color w:val="auto"/>
                <w:lang w:eastAsia="zh-CN"/>
              </w:rPr>
              <w:t>（</w:t>
            </w:r>
            <w:r>
              <w:rPr>
                <w:color w:val="auto"/>
              </w:rPr>
              <w:t>5</w:t>
            </w:r>
            <w:r>
              <w:rPr>
                <w:rFonts w:hint="eastAsia"/>
                <w:color w:val="auto"/>
                <w:lang w:eastAsia="zh-CN"/>
              </w:rPr>
              <w:t>）</w:t>
            </w:r>
            <w:r>
              <w:rPr>
                <w:color w:val="auto"/>
              </w:rPr>
              <w:t>教育施工人员爱护附近农田，保护施工场地周围的生态环境</w:t>
            </w:r>
          </w:p>
        </w:tc>
        <w:tc>
          <w:tcPr>
            <w:tcW w:w="946" w:type="dxa"/>
            <w:tcBorders>
              <w:tl2br w:val="nil"/>
              <w:tr2bl w:val="nil"/>
            </w:tcBorders>
            <w:vAlign w:val="center"/>
          </w:tcPr>
          <w:p w14:paraId="11ECB573">
            <w:pPr>
              <w:pStyle w:val="12"/>
              <w:bidi w:val="0"/>
              <w:spacing w:line="240" w:lineRule="auto"/>
              <w:rPr>
                <w:color w:val="auto"/>
              </w:rPr>
            </w:pPr>
            <w:r>
              <w:rPr>
                <w:color w:val="auto"/>
              </w:rPr>
              <w:t>施工方</w:t>
            </w:r>
          </w:p>
        </w:tc>
        <w:tc>
          <w:tcPr>
            <w:tcW w:w="1202" w:type="dxa"/>
            <w:tcBorders>
              <w:tl2br w:val="nil"/>
              <w:tr2bl w:val="nil"/>
            </w:tcBorders>
            <w:vAlign w:val="center"/>
          </w:tcPr>
          <w:p w14:paraId="5F5CF2EF">
            <w:pPr>
              <w:pStyle w:val="12"/>
              <w:bidi w:val="0"/>
              <w:spacing w:line="240" w:lineRule="auto"/>
              <w:rPr>
                <w:color w:val="auto"/>
              </w:rPr>
            </w:pPr>
            <w:r>
              <w:rPr>
                <w:rFonts w:hint="eastAsia"/>
                <w:color w:val="auto"/>
                <w:lang w:val="en-US" w:eastAsia="zh-CN"/>
              </w:rPr>
              <w:t>巴中市生态</w:t>
            </w:r>
            <w:r>
              <w:rPr>
                <w:color w:val="auto"/>
              </w:rPr>
              <w:t>环境局</w:t>
            </w:r>
          </w:p>
        </w:tc>
      </w:tr>
      <w:tr w14:paraId="72607C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5102FE20">
            <w:pPr>
              <w:pStyle w:val="12"/>
              <w:bidi w:val="0"/>
              <w:spacing w:line="240" w:lineRule="auto"/>
              <w:rPr>
                <w:color w:val="auto"/>
              </w:rPr>
            </w:pPr>
            <w:r>
              <w:rPr>
                <w:color w:val="auto"/>
              </w:rPr>
              <w:t>2</w:t>
            </w:r>
          </w:p>
        </w:tc>
        <w:tc>
          <w:tcPr>
            <w:tcW w:w="1130" w:type="dxa"/>
            <w:tcBorders>
              <w:tl2br w:val="nil"/>
              <w:tr2bl w:val="nil"/>
            </w:tcBorders>
            <w:vAlign w:val="center"/>
          </w:tcPr>
          <w:p w14:paraId="3EADA516">
            <w:pPr>
              <w:pStyle w:val="12"/>
              <w:bidi w:val="0"/>
              <w:spacing w:line="240" w:lineRule="auto"/>
              <w:rPr>
                <w:color w:val="auto"/>
              </w:rPr>
            </w:pPr>
            <w:r>
              <w:rPr>
                <w:color w:val="auto"/>
              </w:rPr>
              <w:t>施工噪声</w:t>
            </w:r>
          </w:p>
        </w:tc>
        <w:tc>
          <w:tcPr>
            <w:tcW w:w="4568" w:type="dxa"/>
            <w:tcBorders>
              <w:tl2br w:val="nil"/>
              <w:tr2bl w:val="nil"/>
            </w:tcBorders>
            <w:vAlign w:val="center"/>
          </w:tcPr>
          <w:p w14:paraId="1B465679">
            <w:pPr>
              <w:pStyle w:val="12"/>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尽量</w:t>
            </w:r>
            <w:r>
              <w:rPr>
                <w:rFonts w:hint="eastAsia"/>
                <w:color w:val="auto"/>
                <w:lang w:eastAsia="zh-CN"/>
              </w:rPr>
              <w:t>采用</w:t>
            </w:r>
            <w:r>
              <w:rPr>
                <w:color w:val="auto"/>
              </w:rPr>
              <w:t>低噪声机械</w:t>
            </w:r>
          </w:p>
          <w:p w14:paraId="0DBB027C">
            <w:pPr>
              <w:pStyle w:val="12"/>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强噪声机械夜间严禁施工</w:t>
            </w:r>
          </w:p>
        </w:tc>
        <w:tc>
          <w:tcPr>
            <w:tcW w:w="946" w:type="dxa"/>
            <w:tcBorders>
              <w:tl2br w:val="nil"/>
              <w:tr2bl w:val="nil"/>
            </w:tcBorders>
            <w:vAlign w:val="center"/>
          </w:tcPr>
          <w:p w14:paraId="306F95DF">
            <w:pPr>
              <w:pStyle w:val="12"/>
              <w:bidi w:val="0"/>
              <w:spacing w:line="240" w:lineRule="auto"/>
              <w:rPr>
                <w:color w:val="auto"/>
              </w:rPr>
            </w:pPr>
            <w:r>
              <w:rPr>
                <w:color w:val="auto"/>
              </w:rPr>
              <w:t>同上</w:t>
            </w:r>
          </w:p>
        </w:tc>
        <w:tc>
          <w:tcPr>
            <w:tcW w:w="1202" w:type="dxa"/>
            <w:tcBorders>
              <w:tl2br w:val="nil"/>
              <w:tr2bl w:val="nil"/>
            </w:tcBorders>
            <w:vAlign w:val="center"/>
          </w:tcPr>
          <w:p w14:paraId="37D7079C">
            <w:pPr>
              <w:pStyle w:val="12"/>
              <w:bidi w:val="0"/>
              <w:spacing w:line="240" w:lineRule="auto"/>
              <w:rPr>
                <w:color w:val="auto"/>
              </w:rPr>
            </w:pPr>
            <w:r>
              <w:rPr>
                <w:color w:val="auto"/>
              </w:rPr>
              <w:t>同上</w:t>
            </w:r>
          </w:p>
        </w:tc>
      </w:tr>
      <w:tr w14:paraId="49D318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3983E9BA">
            <w:pPr>
              <w:pStyle w:val="12"/>
              <w:bidi w:val="0"/>
              <w:spacing w:line="240" w:lineRule="auto"/>
              <w:rPr>
                <w:color w:val="auto"/>
              </w:rPr>
            </w:pPr>
            <w:r>
              <w:rPr>
                <w:color w:val="auto"/>
              </w:rPr>
              <w:t>3</w:t>
            </w:r>
          </w:p>
        </w:tc>
        <w:tc>
          <w:tcPr>
            <w:tcW w:w="1130" w:type="dxa"/>
            <w:tcBorders>
              <w:tl2br w:val="nil"/>
              <w:tr2bl w:val="nil"/>
            </w:tcBorders>
            <w:vAlign w:val="center"/>
          </w:tcPr>
          <w:p w14:paraId="70961C23">
            <w:pPr>
              <w:pStyle w:val="12"/>
              <w:bidi w:val="0"/>
              <w:spacing w:line="240" w:lineRule="auto"/>
              <w:rPr>
                <w:color w:val="auto"/>
              </w:rPr>
            </w:pPr>
            <w:r>
              <w:rPr>
                <w:color w:val="auto"/>
              </w:rPr>
              <w:t>环境空气污染</w:t>
            </w:r>
          </w:p>
        </w:tc>
        <w:tc>
          <w:tcPr>
            <w:tcW w:w="4568" w:type="dxa"/>
            <w:tcBorders>
              <w:tl2br w:val="nil"/>
              <w:tr2bl w:val="nil"/>
            </w:tcBorders>
            <w:vAlign w:val="center"/>
          </w:tcPr>
          <w:p w14:paraId="78A84C2D">
            <w:pPr>
              <w:pStyle w:val="12"/>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施工的贮料场周边200m范围内不得有集中的居住区、学校等</w:t>
            </w:r>
          </w:p>
          <w:p w14:paraId="43AAA847">
            <w:pPr>
              <w:pStyle w:val="12"/>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施工作业场地应采取定时洒水降尘措施</w:t>
            </w:r>
          </w:p>
          <w:p w14:paraId="797F4D74">
            <w:pPr>
              <w:pStyle w:val="12"/>
              <w:bidi w:val="0"/>
              <w:spacing w:line="240" w:lineRule="auto"/>
              <w:jc w:val="left"/>
              <w:rPr>
                <w:color w:val="auto"/>
              </w:rPr>
            </w:pPr>
            <w:r>
              <w:rPr>
                <w:rFonts w:hint="eastAsia"/>
                <w:color w:val="auto"/>
                <w:lang w:eastAsia="zh-CN"/>
              </w:rPr>
              <w:t>（</w:t>
            </w:r>
            <w:r>
              <w:rPr>
                <w:color w:val="auto"/>
              </w:rPr>
              <w:t>3</w:t>
            </w:r>
            <w:r>
              <w:rPr>
                <w:rFonts w:hint="eastAsia"/>
                <w:color w:val="auto"/>
                <w:lang w:eastAsia="zh-CN"/>
              </w:rPr>
              <w:t>）</w:t>
            </w:r>
            <w:r>
              <w:rPr>
                <w:color w:val="auto"/>
              </w:rPr>
              <w:t>料场和贮料场采用遮盖或洒水以防止扬尘污染，运送建筑材料的卡车加盖</w:t>
            </w:r>
            <w:r>
              <w:rPr>
                <w:rFonts w:hint="eastAsia"/>
                <w:color w:val="auto"/>
                <w:lang w:eastAsia="zh-CN"/>
              </w:rPr>
              <w:t>篷布</w:t>
            </w:r>
            <w:r>
              <w:rPr>
                <w:color w:val="auto"/>
              </w:rPr>
              <w:t>，以减少抛洒</w:t>
            </w:r>
          </w:p>
        </w:tc>
        <w:tc>
          <w:tcPr>
            <w:tcW w:w="946" w:type="dxa"/>
            <w:tcBorders>
              <w:tl2br w:val="nil"/>
              <w:tr2bl w:val="nil"/>
            </w:tcBorders>
            <w:vAlign w:val="center"/>
          </w:tcPr>
          <w:p w14:paraId="7B934041">
            <w:pPr>
              <w:pStyle w:val="12"/>
              <w:bidi w:val="0"/>
              <w:spacing w:line="240" w:lineRule="auto"/>
              <w:rPr>
                <w:color w:val="auto"/>
              </w:rPr>
            </w:pPr>
            <w:r>
              <w:rPr>
                <w:color w:val="auto"/>
              </w:rPr>
              <w:t>同上</w:t>
            </w:r>
          </w:p>
        </w:tc>
        <w:tc>
          <w:tcPr>
            <w:tcW w:w="1202" w:type="dxa"/>
            <w:tcBorders>
              <w:tl2br w:val="nil"/>
              <w:tr2bl w:val="nil"/>
            </w:tcBorders>
            <w:vAlign w:val="center"/>
          </w:tcPr>
          <w:p w14:paraId="3E64D83E">
            <w:pPr>
              <w:pStyle w:val="12"/>
              <w:bidi w:val="0"/>
              <w:spacing w:line="240" w:lineRule="auto"/>
              <w:rPr>
                <w:color w:val="auto"/>
              </w:rPr>
            </w:pPr>
            <w:r>
              <w:rPr>
                <w:color w:val="auto"/>
              </w:rPr>
              <w:t>同上</w:t>
            </w:r>
          </w:p>
        </w:tc>
      </w:tr>
      <w:tr w14:paraId="4F1DE6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78FE8BA0">
            <w:pPr>
              <w:pStyle w:val="12"/>
              <w:bidi w:val="0"/>
              <w:spacing w:line="240" w:lineRule="auto"/>
              <w:rPr>
                <w:color w:val="auto"/>
              </w:rPr>
            </w:pPr>
            <w:r>
              <w:rPr>
                <w:color w:val="auto"/>
              </w:rPr>
              <w:t>4</w:t>
            </w:r>
          </w:p>
        </w:tc>
        <w:tc>
          <w:tcPr>
            <w:tcW w:w="1130" w:type="dxa"/>
            <w:tcBorders>
              <w:tl2br w:val="nil"/>
              <w:tr2bl w:val="nil"/>
            </w:tcBorders>
            <w:vAlign w:val="center"/>
          </w:tcPr>
          <w:p w14:paraId="1BA6C3E2">
            <w:pPr>
              <w:pStyle w:val="12"/>
              <w:bidi w:val="0"/>
              <w:spacing w:line="240" w:lineRule="auto"/>
              <w:rPr>
                <w:color w:val="auto"/>
              </w:rPr>
            </w:pPr>
            <w:r>
              <w:rPr>
                <w:color w:val="auto"/>
              </w:rPr>
              <w:t>地表水污染</w:t>
            </w:r>
          </w:p>
        </w:tc>
        <w:tc>
          <w:tcPr>
            <w:tcW w:w="4568" w:type="dxa"/>
            <w:tcBorders>
              <w:tl2br w:val="nil"/>
              <w:tr2bl w:val="nil"/>
            </w:tcBorders>
            <w:vAlign w:val="center"/>
          </w:tcPr>
          <w:p w14:paraId="17B916AC">
            <w:pPr>
              <w:pStyle w:val="12"/>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施工营地及施工管理区需设置隔油池及生活垃圾集中堆放场地，</w:t>
            </w:r>
            <w:r>
              <w:rPr>
                <w:rFonts w:hint="eastAsia"/>
                <w:color w:val="auto"/>
                <w:lang w:eastAsia="zh-CN"/>
              </w:rPr>
              <w:t>以便</w:t>
            </w:r>
            <w:r>
              <w:rPr>
                <w:color w:val="auto"/>
              </w:rPr>
              <w:t>生活污水、生活垃圾集中处理</w:t>
            </w:r>
          </w:p>
          <w:p w14:paraId="2C211371">
            <w:pPr>
              <w:pStyle w:val="12"/>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加强施工人员环境意识教育，严禁将废油、施工垃圾抛入地表水体</w:t>
            </w:r>
          </w:p>
        </w:tc>
        <w:tc>
          <w:tcPr>
            <w:tcW w:w="946" w:type="dxa"/>
            <w:tcBorders>
              <w:tl2br w:val="nil"/>
              <w:tr2bl w:val="nil"/>
            </w:tcBorders>
            <w:vAlign w:val="center"/>
          </w:tcPr>
          <w:p w14:paraId="12D0E2A5">
            <w:pPr>
              <w:pStyle w:val="12"/>
              <w:bidi w:val="0"/>
              <w:spacing w:line="240" w:lineRule="auto"/>
              <w:rPr>
                <w:color w:val="auto"/>
              </w:rPr>
            </w:pPr>
            <w:r>
              <w:rPr>
                <w:color w:val="auto"/>
              </w:rPr>
              <w:t>同上</w:t>
            </w:r>
          </w:p>
        </w:tc>
        <w:tc>
          <w:tcPr>
            <w:tcW w:w="1202" w:type="dxa"/>
            <w:tcBorders>
              <w:tl2br w:val="nil"/>
              <w:tr2bl w:val="nil"/>
            </w:tcBorders>
            <w:vAlign w:val="center"/>
          </w:tcPr>
          <w:p w14:paraId="2D1EC47B">
            <w:pPr>
              <w:pStyle w:val="12"/>
              <w:bidi w:val="0"/>
              <w:spacing w:line="240" w:lineRule="auto"/>
              <w:rPr>
                <w:color w:val="auto"/>
              </w:rPr>
            </w:pPr>
            <w:r>
              <w:rPr>
                <w:color w:val="auto"/>
              </w:rPr>
              <w:t>同上</w:t>
            </w:r>
          </w:p>
        </w:tc>
      </w:tr>
    </w:tbl>
    <w:p w14:paraId="341E9FE9">
      <w:pPr>
        <w:bidi w:val="0"/>
        <w:rPr>
          <w:b/>
          <w:bCs/>
          <w:color w:val="auto"/>
        </w:rPr>
      </w:pPr>
      <w:r>
        <w:rPr>
          <w:b/>
          <w:bCs/>
          <w:color w:val="auto"/>
        </w:rPr>
        <w:t>3、营运期环境管理</w:t>
      </w:r>
    </w:p>
    <w:p w14:paraId="2CB103C8">
      <w:pPr>
        <w:bidi w:val="0"/>
        <w:rPr>
          <w:color w:val="auto"/>
        </w:rPr>
      </w:pPr>
      <w:r>
        <w:rPr>
          <w:color w:val="auto"/>
        </w:rPr>
        <w:t>（1）管理机构</w:t>
      </w:r>
    </w:p>
    <w:p w14:paraId="3792BB94">
      <w:pPr>
        <w:bidi w:val="0"/>
        <w:rPr>
          <w:color w:val="auto"/>
        </w:rPr>
      </w:pPr>
      <w:r>
        <w:rPr>
          <w:color w:val="auto"/>
        </w:rPr>
        <w:t>由企业设置的环保部负责项目运行期的环境管理工作，与当地生态环境部门及其授权监测部门保持密切联系，直接监管企业污染物的排放情况，并对其实施总量控制；对超标排放及污染事故、纠纷进行处理。</w:t>
      </w:r>
    </w:p>
    <w:p w14:paraId="53574D72">
      <w:pPr>
        <w:bidi w:val="0"/>
        <w:rPr>
          <w:color w:val="auto"/>
        </w:rPr>
      </w:pPr>
      <w:r>
        <w:rPr>
          <w:color w:val="auto"/>
        </w:rPr>
        <w:t>（2）运行期环境职责</w:t>
      </w:r>
    </w:p>
    <w:p w14:paraId="249BBEB8">
      <w:pPr>
        <w:bidi w:val="0"/>
        <w:rPr>
          <w:color w:val="auto"/>
        </w:rPr>
      </w:pPr>
      <w:r>
        <w:rPr>
          <w:color w:val="auto"/>
        </w:rPr>
        <w:t>由分管环保的专人负责环保指标的落实，将环保指标逐级分解到班组和个人，负责环保设备的运转和维护，确保其正常运转和达标排放，充分发挥其作用；配合地方环保监测部门进行日常环境监测，记录并及时上报污染源及环保措施运行动态。</w:t>
      </w:r>
    </w:p>
    <w:p w14:paraId="53C9E619">
      <w:pPr>
        <w:pStyle w:val="4"/>
        <w:pageBreakBefore w:val="0"/>
        <w:wordWrap/>
        <w:bidi w:val="0"/>
        <w:adjustRightInd/>
        <w:snapToGrid/>
        <w:rPr>
          <w:rFonts w:ascii="Times New Roman" w:hAnsi="Times New Roman" w:eastAsia="宋体"/>
          <w:color w:val="auto"/>
        </w:rPr>
      </w:pPr>
      <w:bookmarkStart w:id="282" w:name="_Toc15558"/>
      <w:r>
        <w:rPr>
          <w:rFonts w:hint="eastAsia" w:ascii="Times New Roman" w:hAnsi="Times New Roman" w:eastAsia="宋体"/>
          <w:color w:val="auto"/>
        </w:rPr>
        <w:t xml:space="preserve"> </w:t>
      </w:r>
      <w:bookmarkStart w:id="283" w:name="_Toc16900"/>
      <w:r>
        <w:rPr>
          <w:rFonts w:ascii="Times New Roman" w:hAnsi="Times New Roman" w:eastAsia="宋体"/>
          <w:color w:val="auto"/>
        </w:rPr>
        <w:t>污染物排放清单</w:t>
      </w:r>
      <w:bookmarkEnd w:id="282"/>
      <w:bookmarkEnd w:id="283"/>
    </w:p>
    <w:p w14:paraId="627E6657">
      <w:pPr>
        <w:pageBreakBefore w:val="0"/>
        <w:wordWrap/>
        <w:bidi w:val="0"/>
        <w:adjustRightInd/>
        <w:snapToGrid/>
        <w:ind w:firstLine="480"/>
        <w:rPr>
          <w:color w:val="auto"/>
          <w:szCs w:val="22"/>
        </w:rPr>
      </w:pPr>
      <w:r>
        <w:rPr>
          <w:color w:val="auto"/>
          <w:szCs w:val="22"/>
        </w:rPr>
        <w:t>根据项目工程分析及拟采取的环境保护措施，在项目建成后，主要的污染物排放包括废水、废气、噪声等，其污染物排放清单见下表。</w:t>
      </w:r>
    </w:p>
    <w:p w14:paraId="4627E16C">
      <w:pPr>
        <w:pageBreakBefore w:val="0"/>
        <w:wordWrap/>
        <w:bidi w:val="0"/>
        <w:adjustRightInd/>
        <w:snapToGrid/>
        <w:ind w:firstLine="480"/>
        <w:rPr>
          <w:color w:val="auto"/>
        </w:rPr>
        <w:sectPr>
          <w:headerReference r:id="rId27" w:type="default"/>
          <w:footerReference r:id="rId28"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49392E48">
      <w:pPr>
        <w:pStyle w:val="15"/>
        <w:numPr>
          <w:ilvl w:val="0"/>
          <w:numId w:val="40"/>
        </w:numPr>
        <w:bidi w:val="0"/>
        <w:ind w:left="0" w:leftChars="0" w:firstLine="0" w:firstLineChars="0"/>
        <w:rPr>
          <w:color w:val="auto"/>
        </w:rPr>
      </w:pPr>
      <w:r>
        <w:rPr>
          <w:color w:val="auto"/>
        </w:rPr>
        <w:t>项目污染物排放清单表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082"/>
        <w:gridCol w:w="1622"/>
        <w:gridCol w:w="2082"/>
        <w:gridCol w:w="2508"/>
        <w:gridCol w:w="1393"/>
        <w:gridCol w:w="1650"/>
        <w:gridCol w:w="1859"/>
        <w:gridCol w:w="1308"/>
      </w:tblGrid>
      <w:tr w14:paraId="0728F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tcBorders>
              <w:tl2br w:val="nil"/>
              <w:tr2bl w:val="nil"/>
            </w:tcBorders>
            <w:noWrap w:val="0"/>
            <w:vAlign w:val="center"/>
          </w:tcPr>
          <w:p w14:paraId="07A9510D">
            <w:pPr>
              <w:pageBreakBefore w:val="0"/>
              <w:wordWrap/>
              <w:bidi w:val="0"/>
              <w:adjustRightInd/>
              <w:snapToGrid/>
              <w:spacing w:line="240" w:lineRule="auto"/>
              <w:ind w:firstLine="0" w:firstLineChars="0"/>
              <w:jc w:val="center"/>
              <w:rPr>
                <w:b/>
                <w:bCs/>
                <w:color w:val="auto"/>
                <w:kern w:val="0"/>
                <w:sz w:val="21"/>
                <w:szCs w:val="21"/>
              </w:rPr>
            </w:pPr>
            <w:r>
              <w:rPr>
                <w:b/>
                <w:bCs/>
                <w:color w:val="auto"/>
                <w:sz w:val="21"/>
                <w:szCs w:val="21"/>
              </w:rPr>
              <w:t>工程组成</w:t>
            </w:r>
          </w:p>
        </w:tc>
        <w:tc>
          <w:tcPr>
            <w:tcW w:w="381" w:type="pct"/>
            <w:tcBorders>
              <w:tl2br w:val="nil"/>
              <w:tr2bl w:val="nil"/>
            </w:tcBorders>
            <w:noWrap w:val="0"/>
            <w:vAlign w:val="center"/>
          </w:tcPr>
          <w:p w14:paraId="6D7D5DC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污染物排放种类</w:t>
            </w:r>
          </w:p>
        </w:tc>
        <w:tc>
          <w:tcPr>
            <w:tcW w:w="1306" w:type="pct"/>
            <w:gridSpan w:val="2"/>
            <w:tcBorders>
              <w:tl2br w:val="nil"/>
              <w:tr2bl w:val="nil"/>
            </w:tcBorders>
            <w:noWrap w:val="0"/>
            <w:vAlign w:val="center"/>
          </w:tcPr>
          <w:p w14:paraId="65D1978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采取的环保措施</w:t>
            </w:r>
          </w:p>
        </w:tc>
        <w:tc>
          <w:tcPr>
            <w:tcW w:w="884" w:type="pct"/>
            <w:tcBorders>
              <w:tl2br w:val="nil"/>
              <w:tr2bl w:val="nil"/>
            </w:tcBorders>
            <w:noWrap w:val="0"/>
            <w:vAlign w:val="center"/>
          </w:tcPr>
          <w:p w14:paraId="0E78462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排放浓度/排放量</w:t>
            </w:r>
          </w:p>
        </w:tc>
        <w:tc>
          <w:tcPr>
            <w:tcW w:w="491" w:type="pct"/>
            <w:tcBorders>
              <w:tl2br w:val="nil"/>
              <w:tr2bl w:val="nil"/>
            </w:tcBorders>
            <w:noWrap w:val="0"/>
            <w:vAlign w:val="center"/>
          </w:tcPr>
          <w:p w14:paraId="0D48A81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总量指标</w:t>
            </w:r>
          </w:p>
        </w:tc>
        <w:tc>
          <w:tcPr>
            <w:tcW w:w="582" w:type="pct"/>
            <w:tcBorders>
              <w:tl2br w:val="nil"/>
              <w:tr2bl w:val="nil"/>
            </w:tcBorders>
            <w:noWrap w:val="0"/>
            <w:vAlign w:val="center"/>
          </w:tcPr>
          <w:p w14:paraId="58D21E7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排污口设置</w:t>
            </w:r>
          </w:p>
        </w:tc>
        <w:tc>
          <w:tcPr>
            <w:tcW w:w="655" w:type="pct"/>
            <w:tcBorders>
              <w:tl2br w:val="nil"/>
              <w:tr2bl w:val="nil"/>
            </w:tcBorders>
            <w:noWrap w:val="0"/>
            <w:vAlign w:val="center"/>
          </w:tcPr>
          <w:p w14:paraId="4D81A8E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执行的环境标准</w:t>
            </w:r>
          </w:p>
        </w:tc>
        <w:tc>
          <w:tcPr>
            <w:tcW w:w="461" w:type="pct"/>
            <w:tcBorders>
              <w:tl2br w:val="nil"/>
              <w:tr2bl w:val="nil"/>
            </w:tcBorders>
            <w:noWrap w:val="0"/>
            <w:vAlign w:val="center"/>
          </w:tcPr>
          <w:p w14:paraId="7E6DCB5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风险防范及环境监测</w:t>
            </w:r>
          </w:p>
        </w:tc>
      </w:tr>
      <w:tr w14:paraId="25EDA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restart"/>
            <w:tcBorders>
              <w:tl2br w:val="nil"/>
              <w:tr2bl w:val="nil"/>
            </w:tcBorders>
            <w:noWrap w:val="0"/>
            <w:vAlign w:val="center"/>
          </w:tcPr>
          <w:p w14:paraId="68CB63B0">
            <w:pPr>
              <w:pageBreakBefore w:val="0"/>
              <w:wordWrap/>
              <w:bidi w:val="0"/>
              <w:adjustRightInd/>
              <w:snapToGrid/>
              <w:spacing w:line="240" w:lineRule="auto"/>
              <w:ind w:firstLine="0" w:firstLineChars="0"/>
              <w:jc w:val="center"/>
              <w:rPr>
                <w:color w:val="auto"/>
                <w:sz w:val="21"/>
                <w:szCs w:val="21"/>
              </w:rPr>
            </w:pPr>
            <w:r>
              <w:rPr>
                <w:color w:val="auto"/>
                <w:sz w:val="21"/>
                <w:szCs w:val="21"/>
              </w:rPr>
              <w:t>污水处理厂</w:t>
            </w:r>
          </w:p>
        </w:tc>
        <w:tc>
          <w:tcPr>
            <w:tcW w:w="381" w:type="pct"/>
            <w:vMerge w:val="restart"/>
            <w:tcBorders>
              <w:tl2br w:val="nil"/>
              <w:tr2bl w:val="nil"/>
            </w:tcBorders>
            <w:noWrap w:val="0"/>
            <w:vAlign w:val="center"/>
          </w:tcPr>
          <w:p w14:paraId="3B794CA9">
            <w:pPr>
              <w:pageBreakBefore w:val="0"/>
              <w:wordWrap/>
              <w:bidi w:val="0"/>
              <w:adjustRightInd/>
              <w:snapToGrid/>
              <w:spacing w:line="240" w:lineRule="auto"/>
              <w:ind w:firstLine="0" w:firstLineChars="0"/>
              <w:jc w:val="center"/>
              <w:rPr>
                <w:color w:val="auto"/>
                <w:sz w:val="21"/>
                <w:szCs w:val="21"/>
              </w:rPr>
            </w:pPr>
            <w:r>
              <w:rPr>
                <w:color w:val="auto"/>
                <w:sz w:val="21"/>
                <w:szCs w:val="21"/>
              </w:rPr>
              <w:t>废气</w:t>
            </w:r>
          </w:p>
        </w:tc>
        <w:tc>
          <w:tcPr>
            <w:tcW w:w="1306" w:type="pct"/>
            <w:gridSpan w:val="2"/>
            <w:tcBorders>
              <w:tl2br w:val="nil"/>
              <w:tr2bl w:val="nil"/>
            </w:tcBorders>
            <w:noWrap w:val="0"/>
            <w:vAlign w:val="center"/>
          </w:tcPr>
          <w:p w14:paraId="6240385E">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污水处理单元</w:t>
            </w:r>
            <w:r>
              <w:rPr>
                <w:rFonts w:hint="eastAsia"/>
                <w:color w:val="auto"/>
                <w:sz w:val="21"/>
                <w:szCs w:val="21"/>
              </w:rPr>
              <w:t>：密闭收集+生物滤池除臭</w:t>
            </w:r>
          </w:p>
        </w:tc>
        <w:tc>
          <w:tcPr>
            <w:tcW w:w="884" w:type="pct"/>
            <w:tcBorders>
              <w:tl2br w:val="nil"/>
              <w:tr2bl w:val="nil"/>
            </w:tcBorders>
            <w:noWrap w:val="0"/>
            <w:vAlign w:val="center"/>
          </w:tcPr>
          <w:p w14:paraId="00C09183">
            <w:pPr>
              <w:pStyle w:val="12"/>
              <w:bidi w:val="0"/>
              <w:rPr>
                <w:color w:val="auto"/>
              </w:rPr>
            </w:pPr>
            <w:r>
              <w:rPr>
                <w:color w:val="auto"/>
              </w:rPr>
              <w:t>NH</w:t>
            </w:r>
            <w:r>
              <w:rPr>
                <w:color w:val="auto"/>
                <w:vertAlign w:val="subscript"/>
              </w:rPr>
              <w:t>3</w:t>
            </w:r>
            <w:r>
              <w:rPr>
                <w:rFonts w:hint="eastAsia"/>
                <w:color w:val="auto"/>
                <w:lang w:eastAsia="zh-CN"/>
              </w:rPr>
              <w:t>：</w:t>
            </w:r>
            <w:r>
              <w:rPr>
                <w:color w:val="auto"/>
              </w:rPr>
              <w:t>0.</w:t>
            </w:r>
            <w:r>
              <w:rPr>
                <w:rFonts w:hint="eastAsia"/>
                <w:color w:val="auto"/>
                <w:lang w:val="en-US" w:eastAsia="zh-CN"/>
              </w:rPr>
              <w:t>0428</w:t>
            </w:r>
            <w:r>
              <w:rPr>
                <w:color w:val="auto"/>
              </w:rPr>
              <w:t>kg/h、</w:t>
            </w:r>
          </w:p>
          <w:p w14:paraId="4F20441C">
            <w:pPr>
              <w:pStyle w:val="12"/>
              <w:bidi w:val="0"/>
              <w:ind w:left="0" w:leftChars="0" w:firstLine="0" w:firstLineChars="0"/>
              <w:rPr>
                <w:color w:val="auto"/>
                <w:sz w:val="21"/>
                <w:szCs w:val="21"/>
              </w:rPr>
            </w:pPr>
            <w:r>
              <w:rPr>
                <w:color w:val="auto"/>
              </w:rPr>
              <w:t>H</w:t>
            </w:r>
            <w:r>
              <w:rPr>
                <w:color w:val="auto"/>
                <w:vertAlign w:val="subscript"/>
              </w:rPr>
              <w:t>2</w:t>
            </w:r>
            <w:r>
              <w:rPr>
                <w:color w:val="auto"/>
              </w:rPr>
              <w:t>S：0.000</w:t>
            </w:r>
            <w:r>
              <w:rPr>
                <w:rFonts w:hint="eastAsia"/>
                <w:color w:val="auto"/>
                <w:lang w:val="en-US" w:eastAsia="zh-CN"/>
              </w:rPr>
              <w:t>63</w:t>
            </w:r>
            <w:r>
              <w:rPr>
                <w:color w:val="auto"/>
              </w:rPr>
              <w:t>kg/h</w:t>
            </w:r>
          </w:p>
        </w:tc>
        <w:tc>
          <w:tcPr>
            <w:tcW w:w="491" w:type="pct"/>
            <w:vMerge w:val="restart"/>
            <w:tcBorders>
              <w:tl2br w:val="nil"/>
              <w:tr2bl w:val="nil"/>
            </w:tcBorders>
            <w:noWrap w:val="0"/>
            <w:vAlign w:val="center"/>
          </w:tcPr>
          <w:p w14:paraId="073A715A">
            <w:pPr>
              <w:pageBreakBefore w:val="0"/>
              <w:wordWrap/>
              <w:bidi w:val="0"/>
              <w:adjustRightInd/>
              <w:snapToGrid/>
              <w:spacing w:line="240" w:lineRule="auto"/>
              <w:ind w:firstLine="0" w:firstLineChars="0"/>
              <w:jc w:val="center"/>
              <w:rPr>
                <w:color w:val="auto"/>
                <w:sz w:val="21"/>
                <w:szCs w:val="21"/>
              </w:rPr>
            </w:pPr>
            <w:r>
              <w:rPr>
                <w:color w:val="auto"/>
                <w:sz w:val="21"/>
                <w:szCs w:val="21"/>
              </w:rPr>
              <w:t>项目废水总量控制指标为：</w:t>
            </w:r>
          </w:p>
          <w:p w14:paraId="6F0540C8">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CODCr：54.75t/a、氨氮：</w:t>
            </w:r>
            <w:r>
              <w:rPr>
                <w:rFonts w:hint="eastAsia"/>
                <w:color w:val="auto"/>
                <w:sz w:val="21"/>
                <w:szCs w:val="21"/>
                <w:lang w:eastAsia="zh-CN"/>
              </w:rPr>
              <w:t>5.475</w:t>
            </w:r>
            <w:r>
              <w:rPr>
                <w:rFonts w:hint="eastAsia"/>
                <w:color w:val="auto"/>
                <w:sz w:val="21"/>
                <w:szCs w:val="21"/>
              </w:rPr>
              <w:t>t/a、TP：0.5475t/a。</w:t>
            </w:r>
          </w:p>
        </w:tc>
        <w:tc>
          <w:tcPr>
            <w:tcW w:w="582" w:type="pct"/>
            <w:tcBorders>
              <w:tl2br w:val="nil"/>
              <w:tr2bl w:val="nil"/>
            </w:tcBorders>
            <w:noWrap w:val="0"/>
            <w:vAlign w:val="center"/>
          </w:tcPr>
          <w:p w14:paraId="0BAA3A38">
            <w:pPr>
              <w:pageBreakBefore w:val="0"/>
              <w:wordWrap/>
              <w:bidi w:val="0"/>
              <w:adjustRightInd/>
              <w:snapToGrid/>
              <w:spacing w:line="240" w:lineRule="auto"/>
              <w:ind w:firstLine="0" w:firstLineChars="0"/>
              <w:jc w:val="center"/>
              <w:rPr>
                <w:color w:val="auto"/>
                <w:sz w:val="21"/>
                <w:szCs w:val="21"/>
              </w:rPr>
            </w:pPr>
            <w:r>
              <w:rPr>
                <w:color w:val="auto"/>
                <w:sz w:val="21"/>
                <w:szCs w:val="21"/>
              </w:rPr>
              <w:t>1根</w:t>
            </w:r>
            <w:r>
              <w:rPr>
                <w:rFonts w:hint="eastAsia"/>
                <w:color w:val="auto"/>
                <w:sz w:val="21"/>
                <w:szCs w:val="21"/>
              </w:rPr>
              <w:t>15m</w:t>
            </w:r>
            <w:r>
              <w:rPr>
                <w:color w:val="auto"/>
                <w:sz w:val="21"/>
                <w:szCs w:val="21"/>
              </w:rPr>
              <w:t>排气筒</w:t>
            </w:r>
          </w:p>
        </w:tc>
        <w:tc>
          <w:tcPr>
            <w:tcW w:w="655" w:type="pct"/>
            <w:vMerge w:val="restart"/>
            <w:tcBorders>
              <w:tl2br w:val="nil"/>
              <w:tr2bl w:val="nil"/>
            </w:tcBorders>
            <w:noWrap w:val="0"/>
            <w:vAlign w:val="center"/>
          </w:tcPr>
          <w:p w14:paraId="12703724">
            <w:pPr>
              <w:pageBreakBefore w:val="0"/>
              <w:wordWrap/>
              <w:bidi w:val="0"/>
              <w:adjustRightInd/>
              <w:snapToGrid/>
              <w:spacing w:line="240" w:lineRule="auto"/>
              <w:jc w:val="center"/>
              <w:rPr>
                <w:rFonts w:hint="eastAsia" w:eastAsia="宋体"/>
                <w:snapToGrid w:val="0"/>
                <w:color w:val="auto"/>
                <w:kern w:val="0"/>
                <w:sz w:val="21"/>
                <w:szCs w:val="21"/>
                <w:lang w:eastAsia="zh-CN"/>
              </w:rPr>
            </w:pPr>
            <w:r>
              <w:rPr>
                <w:rFonts w:hint="eastAsia"/>
                <w:color w:val="auto"/>
                <w:sz w:val="21"/>
                <w:szCs w:val="21"/>
              </w:rPr>
              <w:t>废气执行</w:t>
            </w:r>
            <w:r>
              <w:rPr>
                <w:snapToGrid w:val="0"/>
                <w:color w:val="auto"/>
                <w:kern w:val="0"/>
                <w:sz w:val="21"/>
                <w:szCs w:val="21"/>
              </w:rPr>
              <w:t>《恶臭污染物排放标准》（GB14554-93）二级标准</w:t>
            </w:r>
            <w:r>
              <w:rPr>
                <w:rFonts w:hint="eastAsia"/>
                <w:snapToGrid w:val="0"/>
                <w:color w:val="auto"/>
                <w:kern w:val="0"/>
                <w:sz w:val="21"/>
                <w:szCs w:val="21"/>
                <w:lang w:eastAsia="zh-CN"/>
              </w:rPr>
              <w:t>；</w:t>
            </w:r>
          </w:p>
          <w:p w14:paraId="27A399B2">
            <w:pPr>
              <w:pageBreakBefore w:val="0"/>
              <w:wordWrap/>
              <w:bidi w:val="0"/>
              <w:adjustRightInd/>
              <w:snapToGrid/>
              <w:spacing w:line="240" w:lineRule="auto"/>
              <w:ind w:firstLine="0" w:firstLineChars="0"/>
              <w:jc w:val="center"/>
              <w:rPr>
                <w:color w:val="auto"/>
                <w:sz w:val="21"/>
                <w:szCs w:val="21"/>
              </w:rPr>
            </w:pPr>
            <w:r>
              <w:rPr>
                <w:color w:val="auto"/>
                <w:sz w:val="21"/>
                <w:szCs w:val="21"/>
              </w:rPr>
              <w:t>噪声执行《工业企业厂界环境噪声排放标准》（GB12348-2008）中</w:t>
            </w:r>
            <w:r>
              <w:rPr>
                <w:rFonts w:hint="eastAsia"/>
                <w:color w:val="auto"/>
                <w:sz w:val="21"/>
                <w:szCs w:val="21"/>
                <w:lang w:val="en-US" w:eastAsia="zh-CN"/>
              </w:rPr>
              <w:t>2</w:t>
            </w:r>
            <w:r>
              <w:rPr>
                <w:color w:val="auto"/>
                <w:sz w:val="21"/>
                <w:szCs w:val="21"/>
              </w:rPr>
              <w:t>类标准；</w:t>
            </w:r>
          </w:p>
          <w:p w14:paraId="1A201AB7">
            <w:pPr>
              <w:pageBreakBefore w:val="0"/>
              <w:wordWrap/>
              <w:bidi w:val="0"/>
              <w:adjustRightInd/>
              <w:snapToGrid/>
              <w:spacing w:line="240" w:lineRule="auto"/>
              <w:ind w:firstLine="0" w:firstLineChars="0"/>
              <w:jc w:val="center"/>
              <w:rPr>
                <w:color w:val="auto"/>
                <w:sz w:val="21"/>
                <w:szCs w:val="21"/>
              </w:rPr>
            </w:pPr>
            <w:r>
              <w:rPr>
                <w:color w:val="auto"/>
                <w:sz w:val="21"/>
                <w:szCs w:val="21"/>
              </w:rPr>
              <w:t>废水执行</w:t>
            </w:r>
            <w:r>
              <w:rPr>
                <w:rFonts w:hint="eastAsia"/>
                <w:color w:val="auto"/>
                <w:sz w:val="21"/>
                <w:szCs w:val="21"/>
              </w:rPr>
              <w:t>《城镇污水处理厂污染物排放标准》（GB18918-2002）一级A标准</w:t>
            </w:r>
          </w:p>
        </w:tc>
        <w:tc>
          <w:tcPr>
            <w:tcW w:w="461" w:type="pct"/>
            <w:vMerge w:val="restart"/>
            <w:tcBorders>
              <w:tl2br w:val="nil"/>
              <w:tr2bl w:val="nil"/>
            </w:tcBorders>
            <w:noWrap w:val="0"/>
            <w:vAlign w:val="center"/>
          </w:tcPr>
          <w:p w14:paraId="62313F40">
            <w:pPr>
              <w:pageBreakBefore w:val="0"/>
              <w:wordWrap/>
              <w:bidi w:val="0"/>
              <w:adjustRightInd/>
              <w:snapToGrid/>
              <w:spacing w:line="240" w:lineRule="auto"/>
              <w:ind w:firstLine="0" w:firstLineChars="0"/>
              <w:jc w:val="center"/>
              <w:rPr>
                <w:color w:val="auto"/>
                <w:sz w:val="21"/>
                <w:szCs w:val="21"/>
              </w:rPr>
            </w:pPr>
            <w:r>
              <w:rPr>
                <w:color w:val="auto"/>
                <w:sz w:val="21"/>
                <w:szCs w:val="21"/>
              </w:rPr>
              <w:t>设置事故应急池等设施；制定环境风险管理措施和应急预案等。按本报告监测计划中的要求设置污染物排放口，执行监测计划。</w:t>
            </w:r>
          </w:p>
        </w:tc>
      </w:tr>
      <w:tr w14:paraId="7B2E6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26EF7129">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368195D8">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5B20581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食堂</w:t>
            </w:r>
            <w:r>
              <w:rPr>
                <w:rFonts w:hint="eastAsia"/>
                <w:color w:val="auto"/>
                <w:sz w:val="21"/>
                <w:szCs w:val="21"/>
              </w:rPr>
              <w:t>：</w:t>
            </w:r>
            <w:r>
              <w:rPr>
                <w:rFonts w:hint="eastAsia"/>
                <w:color w:val="auto"/>
                <w:sz w:val="21"/>
                <w:szCs w:val="21"/>
                <w:lang w:val="en-US" w:eastAsia="zh-CN"/>
              </w:rPr>
              <w:t>油烟净化器</w:t>
            </w:r>
          </w:p>
        </w:tc>
        <w:tc>
          <w:tcPr>
            <w:tcW w:w="884" w:type="pct"/>
            <w:tcBorders>
              <w:tl2br w:val="nil"/>
              <w:tr2bl w:val="nil"/>
            </w:tcBorders>
            <w:noWrap w:val="0"/>
            <w:vAlign w:val="center"/>
          </w:tcPr>
          <w:p w14:paraId="1EA9FAF9">
            <w:pPr>
              <w:pStyle w:val="12"/>
              <w:bidi w:val="0"/>
              <w:ind w:left="0" w:leftChars="0" w:firstLine="0" w:firstLineChars="0"/>
              <w:rPr>
                <w:bCs/>
                <w:color w:val="auto"/>
                <w:sz w:val="21"/>
                <w:szCs w:val="21"/>
              </w:rPr>
            </w:pPr>
            <w:r>
              <w:rPr>
                <w:rFonts w:hint="eastAsia"/>
                <w:color w:val="auto"/>
                <w:lang w:val="en-US" w:eastAsia="zh-CN"/>
              </w:rPr>
              <w:t>0.0009</w:t>
            </w:r>
            <w:r>
              <w:rPr>
                <w:color w:val="auto"/>
              </w:rPr>
              <w:t>kg/h</w:t>
            </w:r>
          </w:p>
        </w:tc>
        <w:tc>
          <w:tcPr>
            <w:tcW w:w="491" w:type="pct"/>
            <w:vMerge w:val="continue"/>
            <w:tcBorders>
              <w:tl2br w:val="nil"/>
              <w:tr2bl w:val="nil"/>
            </w:tcBorders>
            <w:noWrap w:val="0"/>
            <w:vAlign w:val="center"/>
          </w:tcPr>
          <w:p w14:paraId="629B254C">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1ABC70C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顶楼烟道</w:t>
            </w:r>
          </w:p>
        </w:tc>
        <w:tc>
          <w:tcPr>
            <w:tcW w:w="655" w:type="pct"/>
            <w:vMerge w:val="continue"/>
            <w:tcBorders>
              <w:tl2br w:val="nil"/>
              <w:tr2bl w:val="nil"/>
            </w:tcBorders>
            <w:noWrap w:val="0"/>
            <w:vAlign w:val="center"/>
          </w:tcPr>
          <w:p w14:paraId="267389E8">
            <w:pPr>
              <w:pageBreakBefore w:val="0"/>
              <w:wordWrap/>
              <w:bidi w:val="0"/>
              <w:adjustRightInd/>
              <w:snapToGrid/>
              <w:spacing w:line="240" w:lineRule="auto"/>
              <w:ind w:firstLine="0" w:firstLineChars="0"/>
              <w:rPr>
                <w:color w:val="auto"/>
                <w:sz w:val="21"/>
                <w:szCs w:val="21"/>
              </w:rPr>
            </w:pPr>
          </w:p>
        </w:tc>
        <w:tc>
          <w:tcPr>
            <w:tcW w:w="461" w:type="pct"/>
            <w:vMerge w:val="continue"/>
            <w:tcBorders>
              <w:tl2br w:val="nil"/>
              <w:tr2bl w:val="nil"/>
            </w:tcBorders>
            <w:noWrap w:val="0"/>
            <w:vAlign w:val="center"/>
          </w:tcPr>
          <w:p w14:paraId="5A1DAF6B">
            <w:pPr>
              <w:pageBreakBefore w:val="0"/>
              <w:wordWrap/>
              <w:bidi w:val="0"/>
              <w:adjustRightInd/>
              <w:snapToGrid/>
              <w:spacing w:line="240" w:lineRule="auto"/>
              <w:ind w:firstLine="0" w:firstLineChars="0"/>
              <w:jc w:val="center"/>
              <w:rPr>
                <w:color w:val="auto"/>
                <w:sz w:val="21"/>
                <w:szCs w:val="21"/>
              </w:rPr>
            </w:pPr>
          </w:p>
        </w:tc>
      </w:tr>
      <w:tr w14:paraId="1BECD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5AEC90FC">
            <w:pPr>
              <w:pageBreakBefore w:val="0"/>
              <w:wordWrap/>
              <w:bidi w:val="0"/>
              <w:adjustRightInd/>
              <w:snapToGrid/>
              <w:spacing w:line="240" w:lineRule="auto"/>
              <w:ind w:firstLine="0" w:firstLineChars="0"/>
              <w:jc w:val="center"/>
              <w:rPr>
                <w:color w:val="auto"/>
                <w:sz w:val="21"/>
                <w:szCs w:val="21"/>
              </w:rPr>
            </w:pPr>
          </w:p>
        </w:tc>
        <w:tc>
          <w:tcPr>
            <w:tcW w:w="381" w:type="pct"/>
            <w:vMerge w:val="restart"/>
            <w:tcBorders>
              <w:tl2br w:val="nil"/>
              <w:tr2bl w:val="nil"/>
            </w:tcBorders>
            <w:noWrap w:val="0"/>
            <w:vAlign w:val="center"/>
          </w:tcPr>
          <w:p w14:paraId="4F0E1C2C">
            <w:pPr>
              <w:pageBreakBefore w:val="0"/>
              <w:wordWrap/>
              <w:bidi w:val="0"/>
              <w:adjustRightInd/>
              <w:snapToGrid/>
              <w:spacing w:line="240" w:lineRule="auto"/>
              <w:ind w:firstLine="0" w:firstLineChars="0"/>
              <w:jc w:val="center"/>
              <w:rPr>
                <w:color w:val="auto"/>
                <w:sz w:val="21"/>
                <w:szCs w:val="21"/>
              </w:rPr>
            </w:pPr>
            <w:r>
              <w:rPr>
                <w:color w:val="auto"/>
                <w:sz w:val="21"/>
                <w:szCs w:val="21"/>
              </w:rPr>
              <w:t>固废</w:t>
            </w:r>
          </w:p>
        </w:tc>
        <w:tc>
          <w:tcPr>
            <w:tcW w:w="1306" w:type="pct"/>
            <w:gridSpan w:val="2"/>
            <w:tcBorders>
              <w:tl2br w:val="nil"/>
              <w:tr2bl w:val="nil"/>
            </w:tcBorders>
            <w:noWrap w:val="0"/>
            <w:vAlign w:val="center"/>
          </w:tcPr>
          <w:p w14:paraId="4CF25AB4">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污泥根据鉴定结果，确定最终处置方式。</w:t>
            </w:r>
          </w:p>
          <w:p w14:paraId="2391E961">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若属危废→危废处置单位；若不属危废→其他第三方专业机构处置。</w:t>
            </w:r>
          </w:p>
        </w:tc>
        <w:tc>
          <w:tcPr>
            <w:tcW w:w="884" w:type="pct"/>
            <w:tcBorders>
              <w:tl2br w:val="nil"/>
              <w:tr2bl w:val="nil"/>
            </w:tcBorders>
            <w:noWrap w:val="0"/>
            <w:vAlign w:val="center"/>
          </w:tcPr>
          <w:p w14:paraId="72E4ACF8">
            <w:pPr>
              <w:pageBreakBefore w:val="0"/>
              <w:tabs>
                <w:tab w:val="left" w:pos="4200"/>
              </w:tabs>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582.54</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6B01A41D">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37D82C0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556F5758">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601EACB9">
            <w:pPr>
              <w:pageBreakBefore w:val="0"/>
              <w:wordWrap/>
              <w:bidi w:val="0"/>
              <w:adjustRightInd/>
              <w:snapToGrid/>
              <w:spacing w:line="240" w:lineRule="auto"/>
              <w:ind w:firstLine="0" w:firstLineChars="0"/>
              <w:jc w:val="center"/>
              <w:rPr>
                <w:color w:val="auto"/>
                <w:sz w:val="21"/>
                <w:szCs w:val="21"/>
              </w:rPr>
            </w:pPr>
          </w:p>
        </w:tc>
      </w:tr>
      <w:tr w14:paraId="73A46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65D547A3">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1EEDD618">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2EC0F1CF">
            <w:pPr>
              <w:pStyle w:val="495"/>
              <w:pageBreakBefore w:val="0"/>
              <w:wordWrap/>
              <w:bidi w:val="0"/>
              <w:adjustRightInd/>
              <w:snapToGrid/>
              <w:ind w:firstLine="0" w:firstLineChars="0"/>
              <w:jc w:val="center"/>
              <w:rPr>
                <w:rFonts w:hint="default" w:eastAsia="宋体"/>
                <w:color w:val="auto"/>
                <w:sz w:val="21"/>
                <w:szCs w:val="21"/>
                <w:lang w:val="en-US" w:eastAsia="zh-CN"/>
              </w:rPr>
            </w:pPr>
            <w:r>
              <w:rPr>
                <w:color w:val="auto"/>
                <w:sz w:val="21"/>
                <w:szCs w:val="21"/>
              </w:rPr>
              <w:t>生活垃圾</w:t>
            </w:r>
            <w:r>
              <w:rPr>
                <w:rFonts w:hint="eastAsia"/>
                <w:color w:val="auto"/>
                <w:sz w:val="21"/>
                <w:szCs w:val="21"/>
                <w:lang w:eastAsia="zh-CN"/>
              </w:rPr>
              <w:t>：</w:t>
            </w:r>
            <w:r>
              <w:rPr>
                <w:rFonts w:hint="eastAsia"/>
                <w:color w:val="auto"/>
                <w:sz w:val="21"/>
                <w:szCs w:val="21"/>
                <w:lang w:val="en-US" w:eastAsia="zh-CN"/>
              </w:rPr>
              <w:t>市政环卫部门清运</w:t>
            </w:r>
          </w:p>
        </w:tc>
        <w:tc>
          <w:tcPr>
            <w:tcW w:w="884" w:type="pct"/>
            <w:tcBorders>
              <w:tl2br w:val="nil"/>
              <w:tr2bl w:val="nil"/>
            </w:tcBorders>
            <w:noWrap w:val="0"/>
            <w:vAlign w:val="center"/>
          </w:tcPr>
          <w:p w14:paraId="775BB20E">
            <w:pPr>
              <w:pStyle w:val="495"/>
              <w:pageBreakBefore w:val="0"/>
              <w:wordWrap/>
              <w:bidi w:val="0"/>
              <w:adjustRightInd/>
              <w:snapToGrid/>
              <w:ind w:firstLine="0" w:firstLineChars="0"/>
              <w:jc w:val="center"/>
              <w:rPr>
                <w:color w:val="auto"/>
                <w:sz w:val="21"/>
                <w:szCs w:val="21"/>
              </w:rPr>
            </w:pPr>
            <w:r>
              <w:rPr>
                <w:rFonts w:hint="eastAsia" w:cs="Times New Roman"/>
                <w:color w:val="auto"/>
                <w:kern w:val="2"/>
                <w:sz w:val="21"/>
                <w:szCs w:val="21"/>
                <w:lang w:val="en-US" w:eastAsia="zh-CN" w:bidi="ar-SA"/>
              </w:rPr>
              <w:t>3.285t/a</w:t>
            </w:r>
          </w:p>
        </w:tc>
        <w:tc>
          <w:tcPr>
            <w:tcW w:w="491" w:type="pct"/>
            <w:vMerge w:val="continue"/>
            <w:tcBorders>
              <w:tl2br w:val="nil"/>
              <w:tr2bl w:val="nil"/>
            </w:tcBorders>
            <w:noWrap w:val="0"/>
            <w:vAlign w:val="center"/>
          </w:tcPr>
          <w:p w14:paraId="7BF5E988">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6988A91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2075155D">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2D41C2B8">
            <w:pPr>
              <w:pageBreakBefore w:val="0"/>
              <w:wordWrap/>
              <w:bidi w:val="0"/>
              <w:adjustRightInd/>
              <w:snapToGrid/>
              <w:spacing w:line="240" w:lineRule="auto"/>
              <w:ind w:firstLine="0" w:firstLineChars="0"/>
              <w:jc w:val="center"/>
              <w:rPr>
                <w:color w:val="auto"/>
                <w:sz w:val="21"/>
                <w:szCs w:val="21"/>
              </w:rPr>
            </w:pPr>
          </w:p>
        </w:tc>
      </w:tr>
      <w:tr w14:paraId="73F05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11F11001">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1E7A270E">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1387AB93">
            <w:pPr>
              <w:pStyle w:val="495"/>
              <w:pageBreakBefore w:val="0"/>
              <w:wordWrap/>
              <w:bidi w:val="0"/>
              <w:adjustRightInd/>
              <w:snapToGrid/>
              <w:ind w:firstLine="0" w:firstLineChars="0"/>
              <w:jc w:val="center"/>
              <w:rPr>
                <w:rFonts w:hint="default"/>
                <w:color w:val="auto"/>
                <w:sz w:val="21"/>
                <w:szCs w:val="21"/>
                <w:lang w:val="en-US"/>
              </w:rPr>
            </w:pPr>
            <w:r>
              <w:rPr>
                <w:rFonts w:hint="eastAsia"/>
                <w:color w:val="auto"/>
                <w:sz w:val="21"/>
                <w:szCs w:val="21"/>
                <w:lang w:val="en-US" w:eastAsia="zh-CN"/>
              </w:rPr>
              <w:t>食堂餐厨垃圾：有资质单位处置</w:t>
            </w:r>
          </w:p>
        </w:tc>
        <w:tc>
          <w:tcPr>
            <w:tcW w:w="884" w:type="pct"/>
            <w:tcBorders>
              <w:tl2br w:val="nil"/>
              <w:tr2bl w:val="nil"/>
            </w:tcBorders>
            <w:noWrap w:val="0"/>
            <w:vAlign w:val="center"/>
          </w:tcPr>
          <w:p w14:paraId="436F6A06">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1.314</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789F0E1A">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0A957DF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3AB1CD0C">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1683CB16">
            <w:pPr>
              <w:pageBreakBefore w:val="0"/>
              <w:wordWrap/>
              <w:bidi w:val="0"/>
              <w:adjustRightInd/>
              <w:snapToGrid/>
              <w:spacing w:line="240" w:lineRule="auto"/>
              <w:ind w:firstLine="0" w:firstLineChars="0"/>
              <w:jc w:val="center"/>
              <w:rPr>
                <w:color w:val="auto"/>
                <w:sz w:val="21"/>
                <w:szCs w:val="21"/>
              </w:rPr>
            </w:pPr>
          </w:p>
        </w:tc>
      </w:tr>
      <w:tr w14:paraId="6923B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75629F7F">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78A19CE4">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238A64F6">
            <w:pPr>
              <w:pStyle w:val="495"/>
              <w:pageBreakBefore w:val="0"/>
              <w:wordWrap/>
              <w:bidi w:val="0"/>
              <w:adjustRightInd/>
              <w:snapToGrid/>
              <w:ind w:firstLine="0" w:firstLineChars="0"/>
              <w:jc w:val="center"/>
              <w:rPr>
                <w:rFonts w:hint="default"/>
                <w:color w:val="auto"/>
                <w:sz w:val="21"/>
                <w:szCs w:val="21"/>
                <w:lang w:val="en-US"/>
              </w:rPr>
            </w:pPr>
            <w:r>
              <w:rPr>
                <w:rFonts w:hint="eastAsia"/>
                <w:color w:val="auto"/>
                <w:sz w:val="21"/>
                <w:szCs w:val="21"/>
                <w:lang w:val="en-US" w:eastAsia="zh-CN"/>
              </w:rPr>
              <w:t>废包装材料：外售废品回收站</w:t>
            </w:r>
          </w:p>
        </w:tc>
        <w:tc>
          <w:tcPr>
            <w:tcW w:w="884" w:type="pct"/>
            <w:tcBorders>
              <w:tl2br w:val="nil"/>
              <w:tr2bl w:val="nil"/>
            </w:tcBorders>
            <w:noWrap w:val="0"/>
            <w:vAlign w:val="center"/>
          </w:tcPr>
          <w:p w14:paraId="3F7EF645">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51B6116F">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0FD3BF7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352D34A8">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328240E7">
            <w:pPr>
              <w:pageBreakBefore w:val="0"/>
              <w:wordWrap/>
              <w:bidi w:val="0"/>
              <w:adjustRightInd/>
              <w:snapToGrid/>
              <w:spacing w:line="240" w:lineRule="auto"/>
              <w:ind w:firstLine="0" w:firstLineChars="0"/>
              <w:jc w:val="center"/>
              <w:rPr>
                <w:color w:val="auto"/>
                <w:sz w:val="21"/>
                <w:szCs w:val="21"/>
              </w:rPr>
            </w:pPr>
          </w:p>
        </w:tc>
      </w:tr>
      <w:tr w14:paraId="0C395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480B8A52">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1D462A78">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786D0A94">
            <w:pPr>
              <w:pStyle w:val="495"/>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栅渣：市政环卫部门清运</w:t>
            </w:r>
          </w:p>
        </w:tc>
        <w:tc>
          <w:tcPr>
            <w:tcW w:w="884" w:type="pct"/>
            <w:tcBorders>
              <w:tl2br w:val="nil"/>
              <w:tr2bl w:val="nil"/>
            </w:tcBorders>
            <w:noWrap w:val="0"/>
            <w:vAlign w:val="center"/>
          </w:tcPr>
          <w:p w14:paraId="0E02855F">
            <w:pPr>
              <w:pStyle w:val="495"/>
              <w:pageBreakBefore w:val="0"/>
              <w:wordWrap/>
              <w:bidi w:val="0"/>
              <w:adjustRightInd/>
              <w:snapToGrid/>
              <w:ind w:firstLine="0" w:firstLineChars="0"/>
              <w:jc w:val="center"/>
              <w:rPr>
                <w:color w:val="auto"/>
                <w:sz w:val="21"/>
                <w:szCs w:val="21"/>
              </w:rPr>
            </w:pPr>
            <w:r>
              <w:rPr>
                <w:rFonts w:hint="eastAsia" w:cs="Times New Roman"/>
                <w:color w:val="auto"/>
                <w:kern w:val="2"/>
                <w:sz w:val="21"/>
                <w:szCs w:val="21"/>
                <w:lang w:val="en-US" w:eastAsia="zh-CN" w:bidi="ar-SA"/>
              </w:rPr>
              <w:t>31.536t/a</w:t>
            </w:r>
          </w:p>
        </w:tc>
        <w:tc>
          <w:tcPr>
            <w:tcW w:w="491" w:type="pct"/>
            <w:vMerge w:val="continue"/>
            <w:tcBorders>
              <w:tl2br w:val="nil"/>
              <w:tr2bl w:val="nil"/>
            </w:tcBorders>
            <w:noWrap w:val="0"/>
            <w:vAlign w:val="center"/>
          </w:tcPr>
          <w:p w14:paraId="69CBF6B8">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70D91F9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74A63B94">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28F8A7CA">
            <w:pPr>
              <w:pageBreakBefore w:val="0"/>
              <w:wordWrap/>
              <w:bidi w:val="0"/>
              <w:adjustRightInd/>
              <w:snapToGrid/>
              <w:spacing w:line="240" w:lineRule="auto"/>
              <w:ind w:firstLine="0" w:firstLineChars="0"/>
              <w:jc w:val="center"/>
              <w:rPr>
                <w:color w:val="auto"/>
                <w:sz w:val="21"/>
                <w:szCs w:val="21"/>
              </w:rPr>
            </w:pPr>
          </w:p>
        </w:tc>
      </w:tr>
      <w:tr w14:paraId="0461E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146CB895">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4362529E">
            <w:pPr>
              <w:pageBreakBefore w:val="0"/>
              <w:wordWrap/>
              <w:bidi w:val="0"/>
              <w:adjustRightInd/>
              <w:snapToGrid/>
              <w:spacing w:line="240" w:lineRule="auto"/>
              <w:ind w:firstLine="0" w:firstLineChars="0"/>
              <w:jc w:val="center"/>
              <w:rPr>
                <w:color w:val="auto"/>
                <w:sz w:val="21"/>
                <w:szCs w:val="21"/>
              </w:rPr>
            </w:pPr>
          </w:p>
        </w:tc>
        <w:tc>
          <w:tcPr>
            <w:tcW w:w="1306" w:type="pct"/>
            <w:gridSpan w:val="2"/>
            <w:tcBorders>
              <w:tl2br w:val="nil"/>
              <w:tr2bl w:val="nil"/>
            </w:tcBorders>
            <w:noWrap w:val="0"/>
            <w:vAlign w:val="center"/>
          </w:tcPr>
          <w:p w14:paraId="664D129E">
            <w:pPr>
              <w:pStyle w:val="495"/>
              <w:pageBreakBefore w:val="0"/>
              <w:wordWrap/>
              <w:bidi w:val="0"/>
              <w:adjustRightInd/>
              <w:snapToGrid/>
              <w:ind w:firstLine="0" w:firstLineChars="0"/>
              <w:jc w:val="center"/>
              <w:rPr>
                <w:rFonts w:hint="default" w:eastAsia="宋体"/>
                <w:color w:val="auto"/>
                <w:sz w:val="21"/>
                <w:szCs w:val="21"/>
                <w:lang w:val="en-US" w:eastAsia="zh-CN"/>
              </w:rPr>
            </w:pPr>
            <w:r>
              <w:rPr>
                <w:color w:val="auto"/>
                <w:sz w:val="21"/>
                <w:szCs w:val="21"/>
              </w:rPr>
              <w:t>生物除臭系统废弃填料</w:t>
            </w:r>
            <w:r>
              <w:rPr>
                <w:rFonts w:hint="eastAsia"/>
                <w:color w:val="auto"/>
                <w:sz w:val="21"/>
                <w:szCs w:val="21"/>
                <w:lang w:eastAsia="zh-CN"/>
              </w:rPr>
              <w:t>：</w:t>
            </w:r>
            <w:r>
              <w:rPr>
                <w:rFonts w:hint="eastAsia"/>
                <w:color w:val="auto"/>
                <w:sz w:val="21"/>
                <w:szCs w:val="21"/>
                <w:lang w:val="en-US" w:eastAsia="zh-CN"/>
              </w:rPr>
              <w:t>厂家定期回收</w:t>
            </w:r>
          </w:p>
        </w:tc>
        <w:tc>
          <w:tcPr>
            <w:tcW w:w="884" w:type="pct"/>
            <w:tcBorders>
              <w:tl2br w:val="nil"/>
              <w:tr2bl w:val="nil"/>
            </w:tcBorders>
            <w:noWrap w:val="0"/>
            <w:vAlign w:val="center"/>
          </w:tcPr>
          <w:p w14:paraId="1FCB3D7D">
            <w:pPr>
              <w:pStyle w:val="495"/>
              <w:pageBreakBefore w:val="0"/>
              <w:wordWrap/>
              <w:bidi w:val="0"/>
              <w:adjustRightInd/>
              <w:snapToGrid/>
              <w:ind w:firstLine="0" w:firstLineChars="0"/>
              <w:jc w:val="center"/>
              <w:rPr>
                <w:color w:val="auto"/>
                <w:sz w:val="21"/>
                <w:szCs w:val="21"/>
              </w:rPr>
            </w:pPr>
            <w:r>
              <w:rPr>
                <w:color w:val="auto"/>
                <w:sz w:val="21"/>
                <w:szCs w:val="21"/>
              </w:rPr>
              <w:t>4.6</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7BEBE360">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2C36626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7C1F0840">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27C1B071">
            <w:pPr>
              <w:pageBreakBefore w:val="0"/>
              <w:wordWrap/>
              <w:bidi w:val="0"/>
              <w:adjustRightInd/>
              <w:snapToGrid/>
              <w:spacing w:line="240" w:lineRule="auto"/>
              <w:ind w:firstLine="0" w:firstLineChars="0"/>
              <w:jc w:val="center"/>
              <w:rPr>
                <w:color w:val="auto"/>
                <w:sz w:val="21"/>
                <w:szCs w:val="21"/>
              </w:rPr>
            </w:pPr>
          </w:p>
        </w:tc>
      </w:tr>
      <w:tr w14:paraId="37402D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55254F29">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6BE10116">
            <w:pPr>
              <w:pageBreakBefore w:val="0"/>
              <w:wordWrap/>
              <w:bidi w:val="0"/>
              <w:adjustRightInd/>
              <w:snapToGrid/>
              <w:spacing w:line="240" w:lineRule="auto"/>
              <w:ind w:firstLine="0" w:firstLineChars="0"/>
              <w:jc w:val="center"/>
              <w:rPr>
                <w:color w:val="auto"/>
                <w:sz w:val="21"/>
                <w:szCs w:val="21"/>
              </w:rPr>
            </w:pPr>
          </w:p>
        </w:tc>
        <w:tc>
          <w:tcPr>
            <w:tcW w:w="572" w:type="pct"/>
            <w:tcBorders>
              <w:tl2br w:val="nil"/>
              <w:tr2bl w:val="nil"/>
            </w:tcBorders>
            <w:noWrap w:val="0"/>
            <w:vAlign w:val="center"/>
          </w:tcPr>
          <w:p w14:paraId="49391C51">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w:t>
            </w:r>
          </w:p>
        </w:tc>
        <w:tc>
          <w:tcPr>
            <w:tcW w:w="734" w:type="pct"/>
            <w:vMerge w:val="restart"/>
            <w:tcBorders>
              <w:tl2br w:val="nil"/>
              <w:tr2bl w:val="nil"/>
            </w:tcBorders>
            <w:noWrap w:val="0"/>
            <w:vAlign w:val="center"/>
          </w:tcPr>
          <w:p w14:paraId="2D57499D">
            <w:pPr>
              <w:pStyle w:val="495"/>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884" w:type="pct"/>
            <w:tcBorders>
              <w:tl2br w:val="nil"/>
              <w:tr2bl w:val="nil"/>
            </w:tcBorders>
            <w:noWrap w:val="0"/>
            <w:vAlign w:val="center"/>
          </w:tcPr>
          <w:p w14:paraId="7731A5EC">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2CD72F54">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0E124CC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3FED5ECF">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645ABCFA">
            <w:pPr>
              <w:pageBreakBefore w:val="0"/>
              <w:wordWrap/>
              <w:bidi w:val="0"/>
              <w:adjustRightInd/>
              <w:snapToGrid/>
              <w:spacing w:line="240" w:lineRule="auto"/>
              <w:ind w:firstLine="0" w:firstLineChars="0"/>
              <w:jc w:val="center"/>
              <w:rPr>
                <w:color w:val="auto"/>
                <w:sz w:val="21"/>
                <w:szCs w:val="21"/>
              </w:rPr>
            </w:pPr>
          </w:p>
        </w:tc>
      </w:tr>
      <w:tr w14:paraId="41022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0AB893F7">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220DD258">
            <w:pPr>
              <w:pageBreakBefore w:val="0"/>
              <w:wordWrap/>
              <w:bidi w:val="0"/>
              <w:adjustRightInd/>
              <w:snapToGrid/>
              <w:spacing w:line="240" w:lineRule="auto"/>
              <w:ind w:firstLine="0" w:firstLineChars="0"/>
              <w:jc w:val="center"/>
              <w:rPr>
                <w:color w:val="auto"/>
                <w:sz w:val="21"/>
                <w:szCs w:val="21"/>
              </w:rPr>
            </w:pPr>
          </w:p>
        </w:tc>
        <w:tc>
          <w:tcPr>
            <w:tcW w:w="572" w:type="pct"/>
            <w:tcBorders>
              <w:tl2br w:val="nil"/>
              <w:tr2bl w:val="nil"/>
            </w:tcBorders>
            <w:noWrap w:val="0"/>
            <w:vAlign w:val="center"/>
          </w:tcPr>
          <w:p w14:paraId="580E0763">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废机油桶</w:t>
            </w:r>
          </w:p>
        </w:tc>
        <w:tc>
          <w:tcPr>
            <w:tcW w:w="734" w:type="pct"/>
            <w:vMerge w:val="continue"/>
            <w:tcBorders>
              <w:tl2br w:val="nil"/>
              <w:tr2bl w:val="nil"/>
            </w:tcBorders>
            <w:noWrap w:val="0"/>
            <w:vAlign w:val="center"/>
          </w:tcPr>
          <w:p w14:paraId="36EAC2F1">
            <w:pPr>
              <w:pStyle w:val="495"/>
              <w:pageBreakBefore w:val="0"/>
              <w:wordWrap/>
              <w:bidi w:val="0"/>
              <w:adjustRightInd/>
              <w:snapToGrid/>
              <w:ind w:firstLine="0" w:firstLineChars="0"/>
              <w:jc w:val="center"/>
              <w:rPr>
                <w:rFonts w:hint="eastAsia"/>
                <w:color w:val="auto"/>
                <w:sz w:val="21"/>
                <w:szCs w:val="21"/>
                <w:lang w:val="en-US" w:eastAsia="zh-CN"/>
              </w:rPr>
            </w:pPr>
          </w:p>
        </w:tc>
        <w:tc>
          <w:tcPr>
            <w:tcW w:w="884" w:type="pct"/>
            <w:tcBorders>
              <w:tl2br w:val="nil"/>
              <w:tr2bl w:val="nil"/>
            </w:tcBorders>
            <w:noWrap w:val="0"/>
            <w:vAlign w:val="center"/>
          </w:tcPr>
          <w:p w14:paraId="5E3A01DD">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680CB02F">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48FA546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55AAF86E">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42934B87">
            <w:pPr>
              <w:pageBreakBefore w:val="0"/>
              <w:wordWrap/>
              <w:bidi w:val="0"/>
              <w:adjustRightInd/>
              <w:snapToGrid/>
              <w:spacing w:line="240" w:lineRule="auto"/>
              <w:ind w:firstLine="0" w:firstLineChars="0"/>
              <w:jc w:val="center"/>
              <w:rPr>
                <w:color w:val="auto"/>
                <w:sz w:val="21"/>
                <w:szCs w:val="21"/>
              </w:rPr>
            </w:pPr>
          </w:p>
        </w:tc>
      </w:tr>
      <w:tr w14:paraId="57E02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564777ED">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5E170D9C">
            <w:pPr>
              <w:pageBreakBefore w:val="0"/>
              <w:wordWrap/>
              <w:bidi w:val="0"/>
              <w:adjustRightInd/>
              <w:snapToGrid/>
              <w:spacing w:line="240" w:lineRule="auto"/>
              <w:ind w:firstLine="0" w:firstLineChars="0"/>
              <w:jc w:val="center"/>
              <w:rPr>
                <w:color w:val="auto"/>
                <w:sz w:val="21"/>
                <w:szCs w:val="21"/>
              </w:rPr>
            </w:pPr>
          </w:p>
        </w:tc>
        <w:tc>
          <w:tcPr>
            <w:tcW w:w="572" w:type="pct"/>
            <w:tcBorders>
              <w:tl2br w:val="nil"/>
              <w:tr2bl w:val="nil"/>
            </w:tcBorders>
            <w:noWrap w:val="0"/>
            <w:vAlign w:val="center"/>
          </w:tcPr>
          <w:p w14:paraId="254F0331">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含油棉纱手套</w:t>
            </w:r>
          </w:p>
        </w:tc>
        <w:tc>
          <w:tcPr>
            <w:tcW w:w="734" w:type="pct"/>
            <w:vMerge w:val="continue"/>
            <w:tcBorders>
              <w:tl2br w:val="nil"/>
              <w:tr2bl w:val="nil"/>
            </w:tcBorders>
            <w:noWrap w:val="0"/>
            <w:vAlign w:val="center"/>
          </w:tcPr>
          <w:p w14:paraId="47461275">
            <w:pPr>
              <w:pStyle w:val="495"/>
              <w:pageBreakBefore w:val="0"/>
              <w:wordWrap/>
              <w:bidi w:val="0"/>
              <w:adjustRightInd/>
              <w:snapToGrid/>
              <w:ind w:firstLine="0" w:firstLineChars="0"/>
              <w:jc w:val="center"/>
              <w:rPr>
                <w:rFonts w:hint="eastAsia"/>
                <w:color w:val="auto"/>
                <w:sz w:val="21"/>
                <w:szCs w:val="21"/>
                <w:lang w:val="en-US" w:eastAsia="zh-CN"/>
              </w:rPr>
            </w:pPr>
          </w:p>
        </w:tc>
        <w:tc>
          <w:tcPr>
            <w:tcW w:w="884" w:type="pct"/>
            <w:tcBorders>
              <w:tl2br w:val="nil"/>
              <w:tr2bl w:val="nil"/>
            </w:tcBorders>
            <w:noWrap w:val="0"/>
            <w:vAlign w:val="center"/>
          </w:tcPr>
          <w:p w14:paraId="14985A49">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491" w:type="pct"/>
            <w:vMerge w:val="continue"/>
            <w:tcBorders>
              <w:tl2br w:val="nil"/>
              <w:tr2bl w:val="nil"/>
            </w:tcBorders>
            <w:noWrap w:val="0"/>
            <w:vAlign w:val="center"/>
          </w:tcPr>
          <w:p w14:paraId="59F82727">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6B2FD78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014C2D34">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063A6B3E">
            <w:pPr>
              <w:pageBreakBefore w:val="0"/>
              <w:wordWrap/>
              <w:bidi w:val="0"/>
              <w:adjustRightInd/>
              <w:snapToGrid/>
              <w:spacing w:line="240" w:lineRule="auto"/>
              <w:ind w:firstLine="0" w:firstLineChars="0"/>
              <w:jc w:val="center"/>
              <w:rPr>
                <w:color w:val="auto"/>
                <w:sz w:val="21"/>
                <w:szCs w:val="21"/>
              </w:rPr>
            </w:pPr>
          </w:p>
        </w:tc>
      </w:tr>
      <w:tr w14:paraId="2D782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70B43CCE">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5767C065">
            <w:pPr>
              <w:pageBreakBefore w:val="0"/>
              <w:wordWrap/>
              <w:bidi w:val="0"/>
              <w:adjustRightInd/>
              <w:snapToGrid/>
              <w:spacing w:line="240" w:lineRule="auto"/>
              <w:ind w:firstLine="0" w:firstLineChars="0"/>
              <w:jc w:val="center"/>
              <w:rPr>
                <w:color w:val="auto"/>
                <w:sz w:val="21"/>
                <w:szCs w:val="21"/>
              </w:rPr>
            </w:pPr>
          </w:p>
        </w:tc>
        <w:tc>
          <w:tcPr>
            <w:tcW w:w="572" w:type="pct"/>
            <w:tcBorders>
              <w:tl2br w:val="nil"/>
              <w:tr2bl w:val="nil"/>
            </w:tcBorders>
            <w:noWrap w:val="0"/>
            <w:vAlign w:val="center"/>
          </w:tcPr>
          <w:p w14:paraId="562BDA08">
            <w:pPr>
              <w:pStyle w:val="495"/>
              <w:pageBreakBefore w:val="0"/>
              <w:wordWrap/>
              <w:bidi w:val="0"/>
              <w:adjustRightInd/>
              <w:snapToGrid/>
              <w:ind w:firstLine="0" w:firstLineChars="0"/>
              <w:jc w:val="center"/>
              <w:rPr>
                <w:color w:val="auto"/>
                <w:sz w:val="21"/>
                <w:szCs w:val="21"/>
              </w:rPr>
            </w:pPr>
            <w:r>
              <w:rPr>
                <w:color w:val="auto"/>
                <w:sz w:val="21"/>
                <w:szCs w:val="21"/>
              </w:rPr>
              <w:t>化验废液</w:t>
            </w:r>
          </w:p>
        </w:tc>
        <w:tc>
          <w:tcPr>
            <w:tcW w:w="734" w:type="pct"/>
            <w:vMerge w:val="continue"/>
            <w:tcBorders>
              <w:tl2br w:val="nil"/>
              <w:tr2bl w:val="nil"/>
            </w:tcBorders>
            <w:noWrap w:val="0"/>
            <w:vAlign w:val="center"/>
          </w:tcPr>
          <w:p w14:paraId="5A0A6472">
            <w:pPr>
              <w:pStyle w:val="495"/>
              <w:pageBreakBefore w:val="0"/>
              <w:wordWrap/>
              <w:bidi w:val="0"/>
              <w:adjustRightInd/>
              <w:snapToGrid/>
              <w:ind w:firstLine="0" w:firstLineChars="0"/>
              <w:jc w:val="center"/>
              <w:rPr>
                <w:color w:val="auto"/>
                <w:sz w:val="21"/>
                <w:szCs w:val="21"/>
              </w:rPr>
            </w:pPr>
          </w:p>
        </w:tc>
        <w:tc>
          <w:tcPr>
            <w:tcW w:w="884" w:type="pct"/>
            <w:tcBorders>
              <w:tl2br w:val="nil"/>
              <w:tr2bl w:val="nil"/>
            </w:tcBorders>
            <w:noWrap w:val="0"/>
            <w:vAlign w:val="center"/>
          </w:tcPr>
          <w:p w14:paraId="6C015626">
            <w:pPr>
              <w:pStyle w:val="495"/>
              <w:pageBreakBefore w:val="0"/>
              <w:wordWrap/>
              <w:bidi w:val="0"/>
              <w:adjustRightInd/>
              <w:snapToGrid/>
              <w:ind w:firstLine="0" w:firstLineChars="0"/>
              <w:jc w:val="center"/>
              <w:rPr>
                <w:color w:val="auto"/>
                <w:sz w:val="21"/>
                <w:szCs w:val="21"/>
              </w:rPr>
            </w:pPr>
            <w:r>
              <w:rPr>
                <w:color w:val="auto"/>
                <w:sz w:val="21"/>
                <w:szCs w:val="21"/>
              </w:rPr>
              <w:t>0.</w:t>
            </w:r>
            <w:r>
              <w:rPr>
                <w:rFonts w:hint="eastAsia"/>
                <w:color w:val="auto"/>
                <w:sz w:val="21"/>
                <w:szCs w:val="21"/>
                <w:lang w:val="en-US" w:eastAsia="zh-CN"/>
              </w:rPr>
              <w:t>1t/a</w:t>
            </w:r>
          </w:p>
        </w:tc>
        <w:tc>
          <w:tcPr>
            <w:tcW w:w="491" w:type="pct"/>
            <w:vMerge w:val="continue"/>
            <w:tcBorders>
              <w:tl2br w:val="nil"/>
              <w:tr2bl w:val="nil"/>
            </w:tcBorders>
            <w:noWrap w:val="0"/>
            <w:vAlign w:val="center"/>
          </w:tcPr>
          <w:p w14:paraId="5E7E83F3">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016ED2B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36240FE2">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69C44305">
            <w:pPr>
              <w:pageBreakBefore w:val="0"/>
              <w:wordWrap/>
              <w:bidi w:val="0"/>
              <w:adjustRightInd/>
              <w:snapToGrid/>
              <w:spacing w:line="240" w:lineRule="auto"/>
              <w:ind w:firstLine="0" w:firstLineChars="0"/>
              <w:jc w:val="center"/>
              <w:rPr>
                <w:color w:val="auto"/>
                <w:sz w:val="21"/>
                <w:szCs w:val="21"/>
              </w:rPr>
            </w:pPr>
          </w:p>
        </w:tc>
      </w:tr>
      <w:tr w14:paraId="56FBB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382F9C92">
            <w:pPr>
              <w:pageBreakBefore w:val="0"/>
              <w:wordWrap/>
              <w:bidi w:val="0"/>
              <w:adjustRightInd/>
              <w:snapToGrid/>
              <w:spacing w:line="240" w:lineRule="auto"/>
              <w:ind w:firstLine="0" w:firstLineChars="0"/>
              <w:jc w:val="center"/>
              <w:rPr>
                <w:color w:val="auto"/>
                <w:sz w:val="21"/>
                <w:szCs w:val="21"/>
              </w:rPr>
            </w:pPr>
          </w:p>
        </w:tc>
        <w:tc>
          <w:tcPr>
            <w:tcW w:w="381" w:type="pct"/>
            <w:vMerge w:val="continue"/>
            <w:tcBorders>
              <w:tl2br w:val="nil"/>
              <w:tr2bl w:val="nil"/>
            </w:tcBorders>
            <w:noWrap w:val="0"/>
            <w:vAlign w:val="center"/>
          </w:tcPr>
          <w:p w14:paraId="2B251B11">
            <w:pPr>
              <w:pageBreakBefore w:val="0"/>
              <w:wordWrap/>
              <w:bidi w:val="0"/>
              <w:adjustRightInd/>
              <w:snapToGrid/>
              <w:spacing w:line="240" w:lineRule="auto"/>
              <w:ind w:firstLine="0" w:firstLineChars="0"/>
              <w:jc w:val="center"/>
              <w:rPr>
                <w:color w:val="auto"/>
                <w:sz w:val="21"/>
                <w:szCs w:val="21"/>
              </w:rPr>
            </w:pPr>
          </w:p>
        </w:tc>
        <w:tc>
          <w:tcPr>
            <w:tcW w:w="572" w:type="pct"/>
            <w:tcBorders>
              <w:tl2br w:val="nil"/>
              <w:tr2bl w:val="nil"/>
            </w:tcBorders>
            <w:noWrap w:val="0"/>
            <w:vAlign w:val="center"/>
          </w:tcPr>
          <w:p w14:paraId="7C7393B8">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废化学试剂瓶</w:t>
            </w:r>
          </w:p>
        </w:tc>
        <w:tc>
          <w:tcPr>
            <w:tcW w:w="734" w:type="pct"/>
            <w:vMerge w:val="continue"/>
            <w:tcBorders>
              <w:tl2br w:val="nil"/>
              <w:tr2bl w:val="nil"/>
            </w:tcBorders>
            <w:noWrap w:val="0"/>
            <w:vAlign w:val="center"/>
          </w:tcPr>
          <w:p w14:paraId="682A46B7">
            <w:pPr>
              <w:pStyle w:val="495"/>
              <w:pageBreakBefore w:val="0"/>
              <w:wordWrap/>
              <w:bidi w:val="0"/>
              <w:adjustRightInd/>
              <w:snapToGrid/>
              <w:ind w:firstLine="0" w:firstLineChars="0"/>
              <w:jc w:val="center"/>
              <w:rPr>
                <w:rFonts w:hint="eastAsia"/>
                <w:color w:val="auto"/>
                <w:sz w:val="21"/>
                <w:szCs w:val="21"/>
                <w:lang w:val="en-US" w:eastAsia="zh-CN"/>
              </w:rPr>
            </w:pPr>
          </w:p>
        </w:tc>
        <w:tc>
          <w:tcPr>
            <w:tcW w:w="884" w:type="pct"/>
            <w:tcBorders>
              <w:tl2br w:val="nil"/>
              <w:tr2bl w:val="nil"/>
            </w:tcBorders>
            <w:noWrap w:val="0"/>
            <w:vAlign w:val="center"/>
          </w:tcPr>
          <w:p w14:paraId="29AA792E">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0.5t/a</w:t>
            </w:r>
          </w:p>
        </w:tc>
        <w:tc>
          <w:tcPr>
            <w:tcW w:w="491" w:type="pct"/>
            <w:vMerge w:val="continue"/>
            <w:tcBorders>
              <w:tl2br w:val="nil"/>
              <w:tr2bl w:val="nil"/>
            </w:tcBorders>
            <w:noWrap w:val="0"/>
            <w:vAlign w:val="center"/>
          </w:tcPr>
          <w:p w14:paraId="3BD0A92F">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7AB5544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5012D0C2">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07DA3622">
            <w:pPr>
              <w:pageBreakBefore w:val="0"/>
              <w:wordWrap/>
              <w:bidi w:val="0"/>
              <w:adjustRightInd/>
              <w:snapToGrid/>
              <w:spacing w:line="240" w:lineRule="auto"/>
              <w:ind w:firstLine="0" w:firstLineChars="0"/>
              <w:jc w:val="center"/>
              <w:rPr>
                <w:color w:val="auto"/>
                <w:sz w:val="21"/>
                <w:szCs w:val="21"/>
              </w:rPr>
            </w:pPr>
          </w:p>
        </w:tc>
      </w:tr>
      <w:tr w14:paraId="4F9D8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1C0C2262">
            <w:pPr>
              <w:pageBreakBefore w:val="0"/>
              <w:wordWrap/>
              <w:bidi w:val="0"/>
              <w:adjustRightInd/>
              <w:snapToGrid/>
              <w:spacing w:line="240" w:lineRule="auto"/>
              <w:ind w:firstLine="0" w:firstLineChars="0"/>
              <w:jc w:val="center"/>
              <w:rPr>
                <w:color w:val="auto"/>
                <w:sz w:val="21"/>
                <w:szCs w:val="21"/>
              </w:rPr>
            </w:pPr>
          </w:p>
        </w:tc>
        <w:tc>
          <w:tcPr>
            <w:tcW w:w="381" w:type="pct"/>
            <w:tcBorders>
              <w:tl2br w:val="nil"/>
              <w:tr2bl w:val="nil"/>
            </w:tcBorders>
            <w:noWrap w:val="0"/>
            <w:vAlign w:val="center"/>
          </w:tcPr>
          <w:p w14:paraId="120FAF5E">
            <w:pPr>
              <w:pageBreakBefore w:val="0"/>
              <w:wordWrap/>
              <w:bidi w:val="0"/>
              <w:adjustRightInd/>
              <w:snapToGrid/>
              <w:spacing w:line="240" w:lineRule="auto"/>
              <w:ind w:firstLine="0" w:firstLineChars="0"/>
              <w:jc w:val="center"/>
              <w:rPr>
                <w:color w:val="auto"/>
                <w:sz w:val="21"/>
                <w:szCs w:val="21"/>
              </w:rPr>
            </w:pPr>
            <w:r>
              <w:rPr>
                <w:color w:val="auto"/>
                <w:sz w:val="21"/>
                <w:szCs w:val="21"/>
              </w:rPr>
              <w:t>噪声</w:t>
            </w:r>
          </w:p>
        </w:tc>
        <w:tc>
          <w:tcPr>
            <w:tcW w:w="1306" w:type="pct"/>
            <w:gridSpan w:val="2"/>
            <w:tcBorders>
              <w:tl2br w:val="nil"/>
              <w:tr2bl w:val="nil"/>
            </w:tcBorders>
            <w:noWrap w:val="0"/>
            <w:vAlign w:val="center"/>
          </w:tcPr>
          <w:p w14:paraId="6DDF9503">
            <w:pPr>
              <w:pageBreakBefore w:val="0"/>
              <w:wordWrap/>
              <w:bidi w:val="0"/>
              <w:adjustRightInd/>
              <w:snapToGrid/>
              <w:spacing w:line="240" w:lineRule="auto"/>
              <w:ind w:firstLine="0" w:firstLineChars="0"/>
              <w:jc w:val="center"/>
              <w:rPr>
                <w:color w:val="auto"/>
                <w:sz w:val="21"/>
                <w:szCs w:val="21"/>
              </w:rPr>
            </w:pPr>
            <w:r>
              <w:rPr>
                <w:color w:val="auto"/>
                <w:sz w:val="21"/>
                <w:szCs w:val="21"/>
              </w:rPr>
              <w:t>消声、隔声、减振</w:t>
            </w:r>
          </w:p>
        </w:tc>
        <w:tc>
          <w:tcPr>
            <w:tcW w:w="884" w:type="pct"/>
            <w:tcBorders>
              <w:tl2br w:val="nil"/>
              <w:tr2bl w:val="nil"/>
            </w:tcBorders>
            <w:noWrap w:val="0"/>
            <w:vAlign w:val="center"/>
          </w:tcPr>
          <w:p w14:paraId="455FFD22">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eastAsia="zh-CN"/>
              </w:rPr>
            </w:pPr>
            <w:r>
              <w:rPr>
                <w:color w:val="auto"/>
                <w:kern w:val="0"/>
                <w:position w:val="-2"/>
                <w:sz w:val="21"/>
                <w:szCs w:val="21"/>
              </w:rPr>
              <w:t>＜65</w:t>
            </w:r>
            <w:r>
              <w:rPr>
                <w:color w:val="auto"/>
                <w:sz w:val="21"/>
                <w:szCs w:val="21"/>
              </w:rPr>
              <w:t>dB</w:t>
            </w:r>
            <w:r>
              <w:rPr>
                <w:rFonts w:hint="eastAsia"/>
                <w:color w:val="auto"/>
                <w:sz w:val="21"/>
                <w:szCs w:val="21"/>
                <w:lang w:eastAsia="zh-CN"/>
              </w:rPr>
              <w:t>（</w:t>
            </w:r>
            <w:r>
              <w:rPr>
                <w:color w:val="auto"/>
                <w:sz w:val="21"/>
                <w:szCs w:val="21"/>
              </w:rPr>
              <w:t>A</w:t>
            </w:r>
            <w:r>
              <w:rPr>
                <w:rFonts w:hint="eastAsia"/>
                <w:color w:val="auto"/>
                <w:sz w:val="21"/>
                <w:szCs w:val="21"/>
                <w:lang w:eastAsia="zh-CN"/>
              </w:rPr>
              <w:t>）</w:t>
            </w:r>
          </w:p>
        </w:tc>
        <w:tc>
          <w:tcPr>
            <w:tcW w:w="491" w:type="pct"/>
            <w:vMerge w:val="continue"/>
            <w:tcBorders>
              <w:tl2br w:val="nil"/>
              <w:tr2bl w:val="nil"/>
            </w:tcBorders>
            <w:noWrap w:val="0"/>
            <w:vAlign w:val="center"/>
          </w:tcPr>
          <w:p w14:paraId="1BE2982C">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6215B94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55" w:type="pct"/>
            <w:vMerge w:val="continue"/>
            <w:tcBorders>
              <w:tl2br w:val="nil"/>
              <w:tr2bl w:val="nil"/>
            </w:tcBorders>
            <w:noWrap w:val="0"/>
            <w:vAlign w:val="center"/>
          </w:tcPr>
          <w:p w14:paraId="599794E4">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272C73D4">
            <w:pPr>
              <w:pageBreakBefore w:val="0"/>
              <w:wordWrap/>
              <w:bidi w:val="0"/>
              <w:adjustRightInd/>
              <w:snapToGrid/>
              <w:spacing w:line="240" w:lineRule="auto"/>
              <w:ind w:firstLine="0" w:firstLineChars="0"/>
              <w:jc w:val="center"/>
              <w:rPr>
                <w:color w:val="auto"/>
                <w:sz w:val="21"/>
                <w:szCs w:val="21"/>
              </w:rPr>
            </w:pPr>
          </w:p>
        </w:tc>
      </w:tr>
      <w:tr w14:paraId="0628FE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vMerge w:val="continue"/>
            <w:tcBorders>
              <w:tl2br w:val="nil"/>
              <w:tr2bl w:val="nil"/>
            </w:tcBorders>
            <w:noWrap w:val="0"/>
            <w:vAlign w:val="center"/>
          </w:tcPr>
          <w:p w14:paraId="4D586CEC">
            <w:pPr>
              <w:pageBreakBefore w:val="0"/>
              <w:wordWrap/>
              <w:bidi w:val="0"/>
              <w:adjustRightInd/>
              <w:snapToGrid/>
              <w:spacing w:line="240" w:lineRule="auto"/>
              <w:ind w:firstLine="0" w:firstLineChars="0"/>
              <w:jc w:val="center"/>
              <w:rPr>
                <w:color w:val="auto"/>
                <w:sz w:val="21"/>
                <w:szCs w:val="21"/>
              </w:rPr>
            </w:pPr>
          </w:p>
        </w:tc>
        <w:tc>
          <w:tcPr>
            <w:tcW w:w="381" w:type="pct"/>
            <w:tcBorders>
              <w:tl2br w:val="nil"/>
              <w:tr2bl w:val="nil"/>
            </w:tcBorders>
            <w:noWrap w:val="0"/>
            <w:vAlign w:val="center"/>
          </w:tcPr>
          <w:p w14:paraId="6587E8BB">
            <w:pPr>
              <w:pageBreakBefore w:val="0"/>
              <w:wordWrap/>
              <w:bidi w:val="0"/>
              <w:adjustRightInd/>
              <w:snapToGrid/>
              <w:spacing w:line="240" w:lineRule="auto"/>
              <w:ind w:firstLine="0" w:firstLineChars="0"/>
              <w:jc w:val="center"/>
              <w:rPr>
                <w:color w:val="auto"/>
                <w:sz w:val="21"/>
                <w:szCs w:val="21"/>
              </w:rPr>
            </w:pPr>
            <w:r>
              <w:rPr>
                <w:color w:val="auto"/>
                <w:sz w:val="21"/>
                <w:szCs w:val="21"/>
              </w:rPr>
              <w:t>废水</w:t>
            </w:r>
          </w:p>
        </w:tc>
        <w:tc>
          <w:tcPr>
            <w:tcW w:w="1306" w:type="pct"/>
            <w:gridSpan w:val="2"/>
            <w:tcBorders>
              <w:tl2br w:val="nil"/>
              <w:tr2bl w:val="nil"/>
            </w:tcBorders>
            <w:noWrap w:val="0"/>
            <w:vAlign w:val="center"/>
          </w:tcPr>
          <w:p w14:paraId="266F9E1F">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超细格栅+调节池+高级氧化预处理（预留）+水解酸化池+生化池+二沉池+磁混凝沉淀池+深床反硝化+高级氧化深度处理+紫外线消毒</w:t>
            </w:r>
          </w:p>
        </w:tc>
        <w:tc>
          <w:tcPr>
            <w:tcW w:w="884" w:type="pct"/>
            <w:tcBorders>
              <w:tl2br w:val="nil"/>
              <w:tr2bl w:val="nil"/>
            </w:tcBorders>
            <w:noWrap w:val="0"/>
            <w:vAlign w:val="center"/>
          </w:tcPr>
          <w:p w14:paraId="055859A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水量：3000</w:t>
            </w:r>
            <w:r>
              <w:rPr>
                <w:rFonts w:hint="eastAsia"/>
                <w:color w:val="auto"/>
                <w:sz w:val="21"/>
                <w:szCs w:val="21"/>
                <w:lang w:eastAsia="zh-CN"/>
              </w:rPr>
              <w:t>m³</w:t>
            </w:r>
            <w:r>
              <w:rPr>
                <w:color w:val="auto"/>
                <w:sz w:val="21"/>
                <w:szCs w:val="21"/>
              </w:rPr>
              <w:t>/d</w:t>
            </w:r>
          </w:p>
          <w:p w14:paraId="27256D0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COD</w:t>
            </w:r>
            <w:r>
              <w:rPr>
                <w:rFonts w:hint="eastAsia"/>
                <w:color w:val="auto"/>
                <w:sz w:val="21"/>
                <w:szCs w:val="21"/>
                <w:lang w:eastAsia="zh-CN"/>
              </w:rPr>
              <w:t>：</w:t>
            </w:r>
            <w:r>
              <w:rPr>
                <w:rFonts w:hint="eastAsia"/>
                <w:color w:val="auto"/>
                <w:sz w:val="21"/>
                <w:szCs w:val="21"/>
                <w:lang w:val="en-US" w:eastAsia="zh-CN"/>
              </w:rPr>
              <w:t>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3669D3A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vertAlign w:val="baseline"/>
                <w:lang w:eastAsia="zh-CN"/>
              </w:rPr>
              <w:t>：</w:t>
            </w:r>
            <w:r>
              <w:rPr>
                <w:rFonts w:hint="eastAsia"/>
                <w:color w:val="auto"/>
                <w:sz w:val="21"/>
                <w:szCs w:val="21"/>
                <w:vertAlign w:val="baseline"/>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349F700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SS</w:t>
            </w:r>
            <w:r>
              <w:rPr>
                <w:rFonts w:hint="eastAsia"/>
                <w:color w:val="auto"/>
                <w:sz w:val="21"/>
                <w:szCs w:val="21"/>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5527702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val="en-US" w:eastAsia="zh-CN"/>
              </w:rPr>
              <w:t>：5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559FF0C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TP</w:t>
            </w:r>
            <w:r>
              <w:rPr>
                <w:rFonts w:hint="eastAsia"/>
                <w:color w:val="auto"/>
                <w:sz w:val="21"/>
                <w:szCs w:val="21"/>
                <w:lang w:val="en-US" w:eastAsia="zh-CN"/>
              </w:rPr>
              <w:t>：0.5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0.5475</w:t>
            </w:r>
            <w:r>
              <w:rPr>
                <w:color w:val="auto"/>
                <w:sz w:val="21"/>
                <w:szCs w:val="21"/>
              </w:rPr>
              <w:t>t/a</w:t>
            </w:r>
            <w:r>
              <w:rPr>
                <w:rFonts w:hint="eastAsia"/>
                <w:color w:val="auto"/>
                <w:sz w:val="21"/>
                <w:szCs w:val="21"/>
                <w:lang w:eastAsia="zh-CN"/>
              </w:rPr>
              <w:t>；</w:t>
            </w:r>
          </w:p>
          <w:p w14:paraId="0C96E9DE">
            <w:pPr>
              <w:pageBreakBefore w:val="0"/>
              <w:wordWrap/>
              <w:bidi w:val="0"/>
              <w:adjustRightInd/>
              <w:snapToGrid/>
              <w:spacing w:line="240" w:lineRule="auto"/>
              <w:ind w:firstLine="0" w:firstLineChars="0"/>
              <w:jc w:val="center"/>
              <w:rPr>
                <w:color w:val="auto"/>
                <w:sz w:val="21"/>
                <w:szCs w:val="22"/>
              </w:rPr>
            </w:pPr>
            <w:r>
              <w:rPr>
                <w:rFonts w:hint="eastAsia" w:eastAsia="宋体"/>
                <w:color w:val="auto"/>
                <w:sz w:val="21"/>
                <w:szCs w:val="21"/>
                <w:lang w:eastAsia="zh-CN"/>
              </w:rPr>
              <w:t>TN</w:t>
            </w:r>
            <w:r>
              <w:rPr>
                <w:rFonts w:hint="eastAsia"/>
                <w:color w:val="auto"/>
                <w:sz w:val="21"/>
                <w:szCs w:val="21"/>
                <w:lang w:eastAsia="zh-CN"/>
              </w:rPr>
              <w:t>：</w:t>
            </w:r>
            <w:r>
              <w:rPr>
                <w:rFonts w:hint="eastAsia"/>
                <w:color w:val="auto"/>
                <w:sz w:val="21"/>
                <w:szCs w:val="21"/>
                <w:lang w:val="en-US" w:eastAsia="zh-CN"/>
              </w:rPr>
              <w:t>15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16.425</w:t>
            </w:r>
            <w:r>
              <w:rPr>
                <w:color w:val="auto"/>
                <w:sz w:val="21"/>
                <w:szCs w:val="21"/>
              </w:rPr>
              <w:t>t/a</w:t>
            </w:r>
          </w:p>
        </w:tc>
        <w:tc>
          <w:tcPr>
            <w:tcW w:w="491" w:type="pct"/>
            <w:vMerge w:val="continue"/>
            <w:tcBorders>
              <w:tl2br w:val="nil"/>
              <w:tr2bl w:val="nil"/>
            </w:tcBorders>
            <w:noWrap w:val="0"/>
            <w:vAlign w:val="center"/>
          </w:tcPr>
          <w:p w14:paraId="0F04D405">
            <w:pPr>
              <w:pageBreakBefore w:val="0"/>
              <w:wordWrap/>
              <w:bidi w:val="0"/>
              <w:adjustRightInd/>
              <w:snapToGrid/>
              <w:spacing w:line="240" w:lineRule="auto"/>
              <w:ind w:firstLine="0" w:firstLineChars="0"/>
              <w:jc w:val="center"/>
              <w:rPr>
                <w:color w:val="auto"/>
                <w:sz w:val="21"/>
                <w:szCs w:val="21"/>
              </w:rPr>
            </w:pPr>
          </w:p>
        </w:tc>
        <w:tc>
          <w:tcPr>
            <w:tcW w:w="582" w:type="pct"/>
            <w:tcBorders>
              <w:tl2br w:val="nil"/>
              <w:tr2bl w:val="nil"/>
            </w:tcBorders>
            <w:noWrap w:val="0"/>
            <w:vAlign w:val="center"/>
          </w:tcPr>
          <w:p w14:paraId="59F5FB9F">
            <w:pPr>
              <w:pageBreakBefore w:val="0"/>
              <w:wordWrap/>
              <w:bidi w:val="0"/>
              <w:adjustRightInd/>
              <w:snapToGrid/>
              <w:spacing w:line="240" w:lineRule="auto"/>
              <w:ind w:firstLine="0" w:firstLineChars="0"/>
              <w:jc w:val="center"/>
              <w:rPr>
                <w:color w:val="auto"/>
                <w:sz w:val="21"/>
                <w:szCs w:val="21"/>
              </w:rPr>
            </w:pPr>
            <w:r>
              <w:rPr>
                <w:color w:val="auto"/>
                <w:sz w:val="21"/>
                <w:szCs w:val="21"/>
              </w:rPr>
              <w:t>污水排放口</w:t>
            </w:r>
          </w:p>
        </w:tc>
        <w:tc>
          <w:tcPr>
            <w:tcW w:w="655" w:type="pct"/>
            <w:vMerge w:val="continue"/>
            <w:tcBorders>
              <w:tl2br w:val="nil"/>
              <w:tr2bl w:val="nil"/>
            </w:tcBorders>
            <w:noWrap w:val="0"/>
            <w:vAlign w:val="center"/>
          </w:tcPr>
          <w:p w14:paraId="196FEE3E">
            <w:pPr>
              <w:pageBreakBefore w:val="0"/>
              <w:wordWrap/>
              <w:bidi w:val="0"/>
              <w:adjustRightInd/>
              <w:snapToGrid/>
              <w:spacing w:line="240" w:lineRule="auto"/>
              <w:ind w:firstLine="0" w:firstLineChars="0"/>
              <w:jc w:val="center"/>
              <w:rPr>
                <w:color w:val="auto"/>
                <w:sz w:val="21"/>
                <w:szCs w:val="21"/>
              </w:rPr>
            </w:pPr>
          </w:p>
        </w:tc>
        <w:tc>
          <w:tcPr>
            <w:tcW w:w="461" w:type="pct"/>
            <w:vMerge w:val="continue"/>
            <w:tcBorders>
              <w:tl2br w:val="nil"/>
              <w:tr2bl w:val="nil"/>
            </w:tcBorders>
            <w:noWrap w:val="0"/>
            <w:vAlign w:val="center"/>
          </w:tcPr>
          <w:p w14:paraId="50809059">
            <w:pPr>
              <w:pageBreakBefore w:val="0"/>
              <w:wordWrap/>
              <w:bidi w:val="0"/>
              <w:adjustRightInd/>
              <w:snapToGrid/>
              <w:spacing w:line="240" w:lineRule="auto"/>
              <w:ind w:firstLine="0" w:firstLineChars="0"/>
              <w:jc w:val="center"/>
              <w:rPr>
                <w:color w:val="auto"/>
                <w:sz w:val="21"/>
                <w:szCs w:val="21"/>
              </w:rPr>
            </w:pPr>
          </w:p>
        </w:tc>
      </w:tr>
      <w:tr w14:paraId="1F287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tcBorders>
              <w:tl2br w:val="nil"/>
              <w:tr2bl w:val="nil"/>
            </w:tcBorders>
            <w:noWrap w:val="0"/>
            <w:vAlign w:val="center"/>
          </w:tcPr>
          <w:p w14:paraId="518CD35E">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事故应急池</w:t>
            </w:r>
          </w:p>
        </w:tc>
        <w:tc>
          <w:tcPr>
            <w:tcW w:w="381" w:type="pct"/>
            <w:tcBorders>
              <w:tl2br w:val="nil"/>
              <w:tr2bl w:val="nil"/>
            </w:tcBorders>
            <w:noWrap w:val="0"/>
            <w:vAlign w:val="center"/>
          </w:tcPr>
          <w:p w14:paraId="6F6361A5">
            <w:pPr>
              <w:pageBreakBefore w:val="0"/>
              <w:wordWrap/>
              <w:bidi w:val="0"/>
              <w:adjustRightInd/>
              <w:snapToGrid/>
              <w:spacing w:line="240" w:lineRule="auto"/>
              <w:ind w:firstLine="0" w:firstLineChars="0"/>
              <w:jc w:val="center"/>
              <w:rPr>
                <w:color w:val="auto"/>
                <w:sz w:val="21"/>
                <w:szCs w:val="21"/>
              </w:rPr>
            </w:pPr>
            <w:r>
              <w:rPr>
                <w:color w:val="auto"/>
                <w:sz w:val="21"/>
                <w:szCs w:val="21"/>
              </w:rPr>
              <w:t>废水</w:t>
            </w:r>
          </w:p>
        </w:tc>
        <w:tc>
          <w:tcPr>
            <w:tcW w:w="1306" w:type="pct"/>
            <w:gridSpan w:val="2"/>
            <w:tcBorders>
              <w:tl2br w:val="nil"/>
              <w:tr2bl w:val="nil"/>
            </w:tcBorders>
            <w:noWrap w:val="0"/>
            <w:vAlign w:val="center"/>
          </w:tcPr>
          <w:p w14:paraId="6B571641">
            <w:pPr>
              <w:pageBreakBefore w:val="0"/>
              <w:wordWrap/>
              <w:bidi w:val="0"/>
              <w:adjustRightInd/>
              <w:snapToGrid/>
              <w:spacing w:line="240" w:lineRule="auto"/>
              <w:ind w:firstLine="0" w:firstLineChars="0"/>
              <w:jc w:val="center"/>
              <w:rPr>
                <w:color w:val="auto"/>
                <w:sz w:val="21"/>
                <w:szCs w:val="21"/>
              </w:rPr>
            </w:pPr>
            <w:r>
              <w:rPr>
                <w:color w:val="auto"/>
                <w:sz w:val="21"/>
                <w:szCs w:val="21"/>
              </w:rPr>
              <w:t>事故废水暂存于事故池（容积</w:t>
            </w:r>
            <w:r>
              <w:rPr>
                <w:rFonts w:hint="eastAsia"/>
                <w:color w:val="auto"/>
                <w:sz w:val="21"/>
                <w:szCs w:val="21"/>
                <w:lang w:val="en-US" w:eastAsia="zh-CN"/>
              </w:rPr>
              <w:t>3000</w:t>
            </w:r>
            <w:r>
              <w:rPr>
                <w:rFonts w:hint="eastAsia"/>
                <w:color w:val="auto"/>
                <w:sz w:val="21"/>
                <w:szCs w:val="21"/>
                <w:lang w:eastAsia="zh-CN"/>
              </w:rPr>
              <w:t>m³</w:t>
            </w:r>
            <w:r>
              <w:rPr>
                <w:color w:val="auto"/>
                <w:sz w:val="21"/>
                <w:szCs w:val="21"/>
              </w:rPr>
              <w:t>），待设备检修后，排入污水处理</w:t>
            </w:r>
            <w:r>
              <w:rPr>
                <w:rFonts w:hint="eastAsia"/>
                <w:color w:val="auto"/>
                <w:sz w:val="21"/>
                <w:szCs w:val="21"/>
              </w:rPr>
              <w:t>厂</w:t>
            </w:r>
            <w:r>
              <w:rPr>
                <w:color w:val="auto"/>
                <w:sz w:val="21"/>
                <w:szCs w:val="21"/>
              </w:rPr>
              <w:t>处理</w:t>
            </w:r>
          </w:p>
        </w:tc>
        <w:tc>
          <w:tcPr>
            <w:tcW w:w="884" w:type="pct"/>
            <w:tcBorders>
              <w:tl2br w:val="nil"/>
              <w:tr2bl w:val="nil"/>
            </w:tcBorders>
            <w:noWrap w:val="0"/>
            <w:vAlign w:val="center"/>
          </w:tcPr>
          <w:p w14:paraId="4B8F4A1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不外排</w:t>
            </w:r>
          </w:p>
        </w:tc>
        <w:tc>
          <w:tcPr>
            <w:tcW w:w="491" w:type="pct"/>
            <w:tcBorders>
              <w:tl2br w:val="nil"/>
              <w:tr2bl w:val="nil"/>
            </w:tcBorders>
            <w:noWrap w:val="0"/>
            <w:vAlign w:val="center"/>
          </w:tcPr>
          <w:p w14:paraId="303608EC">
            <w:pPr>
              <w:pageBreakBefore w:val="0"/>
              <w:widowControl/>
              <w:wordWrap/>
              <w:bidi w:val="0"/>
              <w:adjustRightInd/>
              <w:snapToGrid/>
              <w:spacing w:line="240" w:lineRule="auto"/>
              <w:ind w:firstLine="0" w:firstLineChars="0"/>
              <w:jc w:val="left"/>
              <w:rPr>
                <w:color w:val="auto"/>
                <w:sz w:val="21"/>
                <w:szCs w:val="21"/>
              </w:rPr>
            </w:pPr>
            <w:r>
              <w:rPr>
                <w:color w:val="auto"/>
                <w:sz w:val="21"/>
                <w:szCs w:val="21"/>
              </w:rPr>
              <w:t>/</w:t>
            </w:r>
          </w:p>
        </w:tc>
        <w:tc>
          <w:tcPr>
            <w:tcW w:w="582" w:type="pct"/>
            <w:tcBorders>
              <w:tl2br w:val="nil"/>
              <w:tr2bl w:val="nil"/>
            </w:tcBorders>
            <w:noWrap w:val="0"/>
            <w:vAlign w:val="center"/>
          </w:tcPr>
          <w:p w14:paraId="03B15362">
            <w:pPr>
              <w:pageBreakBefore w:val="0"/>
              <w:wordWrap/>
              <w:bidi w:val="0"/>
              <w:adjustRightInd/>
              <w:snapToGrid/>
              <w:spacing w:line="240" w:lineRule="auto"/>
              <w:ind w:firstLine="0" w:firstLineChars="0"/>
              <w:jc w:val="center"/>
              <w:rPr>
                <w:bCs/>
                <w:color w:val="auto"/>
                <w:kern w:val="0"/>
                <w:sz w:val="21"/>
                <w:szCs w:val="21"/>
              </w:rPr>
            </w:pPr>
            <w:r>
              <w:rPr>
                <w:bCs/>
                <w:color w:val="auto"/>
                <w:kern w:val="0"/>
                <w:sz w:val="21"/>
                <w:szCs w:val="21"/>
              </w:rPr>
              <w:t>不外排</w:t>
            </w:r>
          </w:p>
        </w:tc>
        <w:tc>
          <w:tcPr>
            <w:tcW w:w="655" w:type="pct"/>
            <w:tcBorders>
              <w:tl2br w:val="nil"/>
              <w:tr2bl w:val="nil"/>
            </w:tcBorders>
            <w:noWrap w:val="0"/>
            <w:vAlign w:val="center"/>
          </w:tcPr>
          <w:p w14:paraId="6B8C1C72">
            <w:pPr>
              <w:pageBreakBefore w:val="0"/>
              <w:widowControl/>
              <w:wordWrap/>
              <w:bidi w:val="0"/>
              <w:adjustRightInd/>
              <w:snapToGrid/>
              <w:spacing w:line="240" w:lineRule="auto"/>
              <w:ind w:firstLine="0" w:firstLineChars="0"/>
              <w:jc w:val="left"/>
              <w:rPr>
                <w:b/>
                <w:bCs/>
                <w:color w:val="auto"/>
                <w:kern w:val="0"/>
                <w:sz w:val="21"/>
                <w:szCs w:val="21"/>
              </w:rPr>
            </w:pPr>
            <w:r>
              <w:rPr>
                <w:b/>
                <w:bCs/>
                <w:color w:val="auto"/>
                <w:kern w:val="0"/>
                <w:sz w:val="21"/>
                <w:szCs w:val="21"/>
              </w:rPr>
              <w:t>/</w:t>
            </w:r>
          </w:p>
        </w:tc>
        <w:tc>
          <w:tcPr>
            <w:tcW w:w="461" w:type="pct"/>
            <w:tcBorders>
              <w:tl2br w:val="nil"/>
              <w:tr2bl w:val="nil"/>
            </w:tcBorders>
            <w:noWrap w:val="0"/>
            <w:vAlign w:val="center"/>
          </w:tcPr>
          <w:p w14:paraId="5C961805">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不外排及泄漏</w:t>
            </w:r>
          </w:p>
        </w:tc>
      </w:tr>
    </w:tbl>
    <w:p w14:paraId="498E8808">
      <w:pPr>
        <w:pageBreakBefore w:val="0"/>
        <w:wordWrap/>
        <w:bidi w:val="0"/>
        <w:adjustRightInd/>
        <w:snapToGrid/>
        <w:rPr>
          <w:color w:val="auto"/>
        </w:rPr>
      </w:pPr>
      <w:r>
        <w:rPr>
          <w:color w:val="auto"/>
          <w:sz w:val="21"/>
          <w:szCs w:val="21"/>
        </w:rPr>
        <w:t>注：项目污染物排放情况及拟采取的环境保护措施，执行的环境标准，排放口的设置情况等应向公众公布。</w:t>
      </w:r>
    </w:p>
    <w:p w14:paraId="0FFDAE44">
      <w:pPr>
        <w:pageBreakBefore w:val="0"/>
        <w:wordWrap/>
        <w:bidi w:val="0"/>
        <w:adjustRightInd/>
        <w:snapToGrid/>
        <w:ind w:firstLine="480"/>
        <w:rPr>
          <w:color w:val="auto"/>
        </w:rPr>
        <w:sectPr>
          <w:footerReference r:id="rId29"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0514F36B">
      <w:pPr>
        <w:pStyle w:val="4"/>
        <w:pageBreakBefore w:val="0"/>
        <w:wordWrap/>
        <w:bidi w:val="0"/>
        <w:adjustRightInd/>
        <w:snapToGrid/>
        <w:rPr>
          <w:rFonts w:ascii="Times New Roman" w:hAnsi="Times New Roman" w:eastAsia="宋体"/>
          <w:color w:val="auto"/>
        </w:rPr>
      </w:pPr>
      <w:bookmarkStart w:id="284" w:name="_Toc12502"/>
      <w:bookmarkStart w:id="285" w:name="_Toc374627853"/>
      <w:bookmarkStart w:id="286" w:name="_Toc6457"/>
      <w:bookmarkStart w:id="287" w:name="_Toc174977184"/>
      <w:r>
        <w:rPr>
          <w:rFonts w:hint="eastAsia" w:ascii="Times New Roman" w:hAnsi="Times New Roman" w:eastAsia="宋体"/>
          <w:color w:val="auto"/>
        </w:rPr>
        <w:t xml:space="preserve"> </w:t>
      </w:r>
      <w:bookmarkStart w:id="288" w:name="_Toc6737"/>
      <w:r>
        <w:rPr>
          <w:rFonts w:ascii="Times New Roman" w:hAnsi="Times New Roman" w:eastAsia="宋体"/>
          <w:color w:val="auto"/>
        </w:rPr>
        <w:t>环境监测计划</w:t>
      </w:r>
      <w:bookmarkEnd w:id="284"/>
      <w:bookmarkEnd w:id="288"/>
    </w:p>
    <w:p w14:paraId="0904B990">
      <w:pPr>
        <w:pageBreakBefore w:val="0"/>
        <w:wordWrap/>
        <w:bidi w:val="0"/>
        <w:adjustRightInd/>
        <w:snapToGrid/>
        <w:ind w:firstLine="480"/>
        <w:rPr>
          <w:color w:val="auto"/>
        </w:rPr>
      </w:pPr>
      <w:r>
        <w:rPr>
          <w:color w:val="auto"/>
        </w:rPr>
        <w:t>环境监测是项目环境保护管理的</w:t>
      </w:r>
      <w:r>
        <w:rPr>
          <w:rFonts w:hint="eastAsia"/>
          <w:color w:val="auto"/>
          <w:lang w:eastAsia="zh-CN"/>
        </w:rPr>
        <w:t>“</w:t>
      </w:r>
      <w:r>
        <w:rPr>
          <w:color w:val="auto"/>
        </w:rPr>
        <w:t>眼睛</w:t>
      </w:r>
      <w:r>
        <w:rPr>
          <w:rFonts w:hint="eastAsia"/>
          <w:color w:val="auto"/>
          <w:lang w:eastAsia="zh-CN"/>
        </w:rPr>
        <w:t>”</w:t>
      </w:r>
      <w:r>
        <w:rPr>
          <w:color w:val="auto"/>
        </w:rPr>
        <w:t>，是基本的手段和信息基础，环境监测的特点是以样本的监测结果来推断总体环境质量，因此，必须把握好各个技术环节，包括确定环境监测的项目和范围，采样的位置和数量，采样的时间和方法，样品的分析和数据处理等及其质量保证工作。保证监测数据具有完整的质量特征，准确性、精密性、完整性、代表性和可比性。</w:t>
      </w:r>
    </w:p>
    <w:p w14:paraId="31D07707">
      <w:pPr>
        <w:pageBreakBefore w:val="0"/>
        <w:wordWrap/>
        <w:bidi w:val="0"/>
        <w:adjustRightInd/>
        <w:snapToGrid/>
        <w:ind w:firstLine="480"/>
        <w:rPr>
          <w:color w:val="auto"/>
          <w:szCs w:val="22"/>
        </w:rPr>
      </w:pPr>
      <w:r>
        <w:rPr>
          <w:color w:val="auto"/>
          <w:szCs w:val="22"/>
        </w:rPr>
        <w:t>建立健全技术资料档案管理制度，并逐步建立健全下列技术资料档案及系统图表：</w:t>
      </w:r>
    </w:p>
    <w:p w14:paraId="31FD5562">
      <w:pPr>
        <w:pageBreakBefore w:val="0"/>
        <w:wordWrap/>
        <w:bidi w:val="0"/>
        <w:adjustRightInd/>
        <w:snapToGrid/>
        <w:ind w:firstLine="480"/>
        <w:rPr>
          <w:color w:val="auto"/>
          <w:szCs w:val="22"/>
        </w:rPr>
      </w:pPr>
      <w:r>
        <w:rPr>
          <w:color w:val="auto"/>
          <w:szCs w:val="22"/>
        </w:rPr>
        <w:t>1、地表水、地下水的水文资料；</w:t>
      </w:r>
    </w:p>
    <w:p w14:paraId="7AAB145B">
      <w:pPr>
        <w:pageBreakBefore w:val="0"/>
        <w:wordWrap/>
        <w:bidi w:val="0"/>
        <w:adjustRightInd/>
        <w:snapToGrid/>
        <w:ind w:firstLine="480"/>
        <w:rPr>
          <w:color w:val="auto"/>
          <w:szCs w:val="22"/>
        </w:rPr>
      </w:pPr>
      <w:r>
        <w:rPr>
          <w:color w:val="auto"/>
          <w:szCs w:val="22"/>
        </w:rPr>
        <w:t>2、当地气象资料；</w:t>
      </w:r>
    </w:p>
    <w:p w14:paraId="381A5AAE">
      <w:pPr>
        <w:pageBreakBefore w:val="0"/>
        <w:wordWrap/>
        <w:bidi w:val="0"/>
        <w:adjustRightInd/>
        <w:snapToGrid/>
        <w:ind w:firstLine="480"/>
        <w:rPr>
          <w:color w:val="auto"/>
          <w:szCs w:val="22"/>
        </w:rPr>
      </w:pPr>
      <w:r>
        <w:rPr>
          <w:color w:val="auto"/>
          <w:szCs w:val="22"/>
        </w:rPr>
        <w:t>3、污染防治设施及技术改进资料；</w:t>
      </w:r>
    </w:p>
    <w:p w14:paraId="1159DB1B">
      <w:pPr>
        <w:pageBreakBefore w:val="0"/>
        <w:wordWrap/>
        <w:bidi w:val="0"/>
        <w:adjustRightInd/>
        <w:snapToGrid/>
        <w:ind w:firstLine="480"/>
        <w:rPr>
          <w:color w:val="auto"/>
          <w:szCs w:val="22"/>
        </w:rPr>
      </w:pPr>
      <w:r>
        <w:rPr>
          <w:color w:val="auto"/>
          <w:szCs w:val="22"/>
        </w:rPr>
        <w:t>4、污染源调查等技术档案、环境监测及评价资料，污染指标考核资料；</w:t>
      </w:r>
    </w:p>
    <w:p w14:paraId="4F2FD5D0">
      <w:pPr>
        <w:pageBreakBefore w:val="0"/>
        <w:wordWrap/>
        <w:bidi w:val="0"/>
        <w:adjustRightInd/>
        <w:snapToGrid/>
        <w:ind w:firstLine="480"/>
        <w:rPr>
          <w:color w:val="auto"/>
          <w:szCs w:val="22"/>
        </w:rPr>
      </w:pPr>
      <w:r>
        <w:rPr>
          <w:color w:val="auto"/>
          <w:szCs w:val="22"/>
        </w:rPr>
        <w:t>5、监测仪器使用说明书及校验证书；</w:t>
      </w:r>
    </w:p>
    <w:p w14:paraId="0EEFB96B">
      <w:pPr>
        <w:pageBreakBefore w:val="0"/>
        <w:wordWrap/>
        <w:bidi w:val="0"/>
        <w:adjustRightInd/>
        <w:snapToGrid/>
        <w:ind w:firstLine="480"/>
        <w:rPr>
          <w:color w:val="auto"/>
          <w:szCs w:val="22"/>
        </w:rPr>
      </w:pPr>
      <w:r>
        <w:rPr>
          <w:color w:val="auto"/>
          <w:szCs w:val="22"/>
        </w:rPr>
        <w:t>6、污染事故的</w:t>
      </w:r>
      <w:r>
        <w:rPr>
          <w:rFonts w:hint="eastAsia"/>
          <w:color w:val="auto"/>
          <w:szCs w:val="22"/>
          <w:lang w:eastAsia="zh-CN"/>
        </w:rPr>
        <w:t>纪实</w:t>
      </w:r>
      <w:r>
        <w:rPr>
          <w:color w:val="auto"/>
          <w:szCs w:val="22"/>
        </w:rPr>
        <w:t>材料；</w:t>
      </w:r>
    </w:p>
    <w:p w14:paraId="75E6B5AF">
      <w:pPr>
        <w:pageBreakBefore w:val="0"/>
        <w:wordWrap/>
        <w:bidi w:val="0"/>
        <w:adjustRightInd/>
        <w:snapToGrid/>
        <w:ind w:firstLine="480"/>
        <w:rPr>
          <w:color w:val="auto"/>
          <w:szCs w:val="22"/>
        </w:rPr>
      </w:pPr>
      <w:r>
        <w:rPr>
          <w:color w:val="auto"/>
          <w:szCs w:val="22"/>
        </w:rPr>
        <w:t>7、</w:t>
      </w:r>
      <w:r>
        <w:rPr>
          <w:rFonts w:hint="eastAsia"/>
          <w:color w:val="auto"/>
          <w:szCs w:val="22"/>
          <w:lang w:eastAsia="zh-CN"/>
        </w:rPr>
        <w:t>“</w:t>
      </w:r>
      <w:r>
        <w:rPr>
          <w:color w:val="auto"/>
          <w:szCs w:val="22"/>
        </w:rPr>
        <w:t>三废</w:t>
      </w:r>
      <w:r>
        <w:rPr>
          <w:rFonts w:hint="eastAsia"/>
          <w:color w:val="auto"/>
          <w:szCs w:val="22"/>
          <w:lang w:eastAsia="zh-CN"/>
        </w:rPr>
        <w:t>”</w:t>
      </w:r>
      <w:r>
        <w:rPr>
          <w:color w:val="auto"/>
          <w:szCs w:val="22"/>
        </w:rPr>
        <w:t>排放系统图；</w:t>
      </w:r>
    </w:p>
    <w:p w14:paraId="72F1D9C4">
      <w:pPr>
        <w:pageBreakBefore w:val="0"/>
        <w:wordWrap/>
        <w:bidi w:val="0"/>
        <w:adjustRightInd/>
        <w:snapToGrid/>
        <w:ind w:firstLine="480"/>
        <w:rPr>
          <w:color w:val="auto"/>
          <w:szCs w:val="22"/>
        </w:rPr>
      </w:pPr>
      <w:r>
        <w:rPr>
          <w:color w:val="auto"/>
          <w:szCs w:val="22"/>
        </w:rPr>
        <w:t>8、</w:t>
      </w:r>
      <w:r>
        <w:rPr>
          <w:rFonts w:hint="eastAsia"/>
          <w:color w:val="auto"/>
          <w:szCs w:val="22"/>
          <w:lang w:eastAsia="zh-CN"/>
        </w:rPr>
        <w:t>“</w:t>
      </w:r>
      <w:r>
        <w:rPr>
          <w:color w:val="auto"/>
          <w:szCs w:val="22"/>
        </w:rPr>
        <w:t>三废</w:t>
      </w:r>
      <w:r>
        <w:rPr>
          <w:rFonts w:hint="eastAsia"/>
          <w:color w:val="auto"/>
          <w:szCs w:val="22"/>
          <w:lang w:eastAsia="zh-CN"/>
        </w:rPr>
        <w:t>”</w:t>
      </w:r>
      <w:r>
        <w:rPr>
          <w:color w:val="auto"/>
          <w:szCs w:val="22"/>
        </w:rPr>
        <w:t>排放采样监测点以及噪声监测点布置图；</w:t>
      </w:r>
    </w:p>
    <w:p w14:paraId="61CA4A0E">
      <w:pPr>
        <w:pageBreakBefore w:val="0"/>
        <w:wordWrap/>
        <w:bidi w:val="0"/>
        <w:adjustRightInd/>
        <w:snapToGrid/>
        <w:ind w:firstLine="480"/>
        <w:rPr>
          <w:color w:val="auto"/>
          <w:szCs w:val="22"/>
        </w:rPr>
      </w:pPr>
      <w:r>
        <w:rPr>
          <w:color w:val="auto"/>
          <w:szCs w:val="22"/>
        </w:rPr>
        <w:t>9、污染物排放动态图表。</w:t>
      </w:r>
    </w:p>
    <w:p w14:paraId="40C78CF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监测建立技术资料档案保管制度</w:t>
      </w:r>
    </w:p>
    <w:p w14:paraId="1AAF0C0A">
      <w:pPr>
        <w:pageBreakBefore w:val="0"/>
        <w:wordWrap/>
        <w:bidi w:val="0"/>
        <w:adjustRightInd/>
        <w:snapToGrid/>
        <w:ind w:firstLine="480"/>
        <w:rPr>
          <w:color w:val="auto"/>
          <w:szCs w:val="22"/>
        </w:rPr>
      </w:pPr>
      <w:r>
        <w:rPr>
          <w:color w:val="auto"/>
          <w:szCs w:val="22"/>
        </w:rPr>
        <w:t>为保证监测数据具有完整的质量特征，在制定监测计划时应遵循以下原则：</w:t>
      </w:r>
    </w:p>
    <w:p w14:paraId="682CAA68">
      <w:pPr>
        <w:pageBreakBefore w:val="0"/>
        <w:wordWrap/>
        <w:bidi w:val="0"/>
        <w:adjustRightInd/>
        <w:snapToGrid/>
        <w:ind w:firstLine="480"/>
        <w:rPr>
          <w:color w:val="auto"/>
          <w:szCs w:val="22"/>
        </w:rPr>
      </w:pPr>
      <w:r>
        <w:rPr>
          <w:color w:val="auto"/>
          <w:szCs w:val="22"/>
        </w:rPr>
        <w:t>1、实用性和经济性，在确定监测技术路线和技术装备时，要做费用―效益分析，尽量做到符合实际需要；</w:t>
      </w:r>
    </w:p>
    <w:p w14:paraId="29264CC1">
      <w:pPr>
        <w:pageBreakBefore w:val="0"/>
        <w:wordWrap/>
        <w:bidi w:val="0"/>
        <w:adjustRightInd/>
        <w:snapToGrid/>
        <w:ind w:firstLine="480"/>
        <w:rPr>
          <w:color w:val="auto"/>
          <w:szCs w:val="22"/>
        </w:rPr>
      </w:pPr>
      <w:r>
        <w:rPr>
          <w:color w:val="auto"/>
          <w:szCs w:val="22"/>
        </w:rPr>
        <w:t>2、遵循优先污染物优先监测的原则；</w:t>
      </w:r>
    </w:p>
    <w:p w14:paraId="3A575C75">
      <w:pPr>
        <w:pageBreakBefore w:val="0"/>
        <w:wordWrap/>
        <w:bidi w:val="0"/>
        <w:adjustRightInd/>
        <w:snapToGrid/>
        <w:ind w:firstLine="480"/>
        <w:rPr>
          <w:color w:val="auto"/>
          <w:szCs w:val="22"/>
        </w:rPr>
      </w:pPr>
      <w:r>
        <w:rPr>
          <w:color w:val="auto"/>
          <w:szCs w:val="22"/>
        </w:rPr>
        <w:t>3、全面规划、合理布局，环境问题的复杂性决定了环境监测的多样性，要对监测布点、采样、分析测试及数据处理做出合理安排。</w:t>
      </w:r>
    </w:p>
    <w:p w14:paraId="348A0E5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排污口规范化设置</w:t>
      </w:r>
    </w:p>
    <w:p w14:paraId="1E74DA33">
      <w:pPr>
        <w:pageBreakBefore w:val="0"/>
        <w:wordWrap/>
        <w:bidi w:val="0"/>
        <w:adjustRightInd/>
        <w:snapToGrid/>
        <w:ind w:firstLine="480"/>
        <w:jc w:val="left"/>
        <w:rPr>
          <w:color w:val="auto"/>
          <w:szCs w:val="22"/>
        </w:rPr>
      </w:pPr>
      <w:r>
        <w:rPr>
          <w:color w:val="auto"/>
          <w:szCs w:val="22"/>
        </w:rPr>
        <w:t>排污口是企业排放污染物进入环境的通道，强化排污口的管理是实施污染物总量控制的基础工作之一，也是区域环境管理逐步实现污染物排放科学化、定量化的重要手段。</w:t>
      </w:r>
    </w:p>
    <w:p w14:paraId="7CE48E94">
      <w:pPr>
        <w:pageBreakBefore w:val="0"/>
        <w:wordWrap/>
        <w:bidi w:val="0"/>
        <w:adjustRightInd/>
        <w:snapToGrid/>
        <w:ind w:firstLine="480"/>
        <w:jc w:val="left"/>
        <w:rPr>
          <w:color w:val="auto"/>
          <w:szCs w:val="22"/>
        </w:rPr>
      </w:pPr>
      <w:r>
        <w:rPr>
          <w:color w:val="auto"/>
          <w:szCs w:val="22"/>
        </w:rPr>
        <w:t>1、排污口规范化管理的基本原则</w:t>
      </w:r>
    </w:p>
    <w:p w14:paraId="010E4E7D">
      <w:pPr>
        <w:pageBreakBefore w:val="0"/>
        <w:wordWrap/>
        <w:bidi w:val="0"/>
        <w:adjustRightInd/>
        <w:snapToGrid/>
        <w:ind w:firstLine="480"/>
        <w:rPr>
          <w:color w:val="auto"/>
          <w:szCs w:val="22"/>
        </w:rPr>
      </w:pPr>
      <w:r>
        <w:rPr>
          <w:color w:val="auto"/>
          <w:szCs w:val="22"/>
        </w:rPr>
        <w:t>①向环境排放污染物的排污口必须规范化。</w:t>
      </w:r>
    </w:p>
    <w:p w14:paraId="365ADB1A">
      <w:pPr>
        <w:pageBreakBefore w:val="0"/>
        <w:wordWrap/>
        <w:bidi w:val="0"/>
        <w:adjustRightInd/>
        <w:snapToGrid/>
        <w:ind w:firstLine="480"/>
        <w:rPr>
          <w:color w:val="auto"/>
          <w:szCs w:val="22"/>
        </w:rPr>
      </w:pPr>
      <w:r>
        <w:rPr>
          <w:color w:val="auto"/>
          <w:szCs w:val="22"/>
        </w:rPr>
        <w:t>②考虑排放的污染物中COD、NH</w:t>
      </w:r>
      <w:r>
        <w:rPr>
          <w:color w:val="auto"/>
          <w:szCs w:val="22"/>
          <w:vertAlign w:val="subscript"/>
        </w:rPr>
        <w:t>3</w:t>
      </w:r>
      <w:r>
        <w:rPr>
          <w:color w:val="auto"/>
          <w:szCs w:val="22"/>
        </w:rPr>
        <w:t>-N、总</w:t>
      </w:r>
      <w:r>
        <w:rPr>
          <w:color w:val="auto"/>
          <w:sz w:val="24"/>
          <w:szCs w:val="24"/>
        </w:rPr>
        <w:t>磷、</w:t>
      </w:r>
      <w:r>
        <w:rPr>
          <w:rFonts w:hint="eastAsia"/>
          <w:color w:val="auto"/>
          <w:sz w:val="24"/>
          <w:szCs w:val="24"/>
          <w:lang w:val="en-US" w:eastAsia="zh-CN"/>
        </w:rPr>
        <w:t>石油类、甲醛</w:t>
      </w:r>
      <w:r>
        <w:rPr>
          <w:color w:val="auto"/>
          <w:szCs w:val="22"/>
        </w:rPr>
        <w:t>作为排放口管理重点。</w:t>
      </w:r>
    </w:p>
    <w:p w14:paraId="1743D933">
      <w:pPr>
        <w:pageBreakBefore w:val="0"/>
        <w:wordWrap/>
        <w:bidi w:val="0"/>
        <w:adjustRightInd/>
        <w:snapToGrid/>
        <w:ind w:firstLine="480"/>
        <w:jc w:val="left"/>
        <w:rPr>
          <w:color w:val="auto"/>
          <w:szCs w:val="22"/>
        </w:rPr>
      </w:pPr>
      <w:r>
        <w:rPr>
          <w:color w:val="auto"/>
          <w:szCs w:val="22"/>
        </w:rPr>
        <w:t>③排污口应便于采样与计量监测，便于日常现场监督检查。</w:t>
      </w:r>
    </w:p>
    <w:p w14:paraId="2A7BCD01">
      <w:pPr>
        <w:pageBreakBefore w:val="0"/>
        <w:wordWrap/>
        <w:bidi w:val="0"/>
        <w:adjustRightInd/>
        <w:snapToGrid/>
        <w:ind w:firstLine="480"/>
        <w:jc w:val="left"/>
        <w:rPr>
          <w:color w:val="auto"/>
          <w:szCs w:val="22"/>
        </w:rPr>
      </w:pPr>
      <w:r>
        <w:rPr>
          <w:color w:val="auto"/>
          <w:szCs w:val="22"/>
        </w:rPr>
        <w:t>2、排污口的技术要求</w:t>
      </w:r>
    </w:p>
    <w:p w14:paraId="1FD0CF59">
      <w:pPr>
        <w:pageBreakBefore w:val="0"/>
        <w:wordWrap/>
        <w:bidi w:val="0"/>
        <w:adjustRightInd/>
        <w:snapToGrid/>
        <w:ind w:firstLine="480"/>
        <w:rPr>
          <w:color w:val="auto"/>
          <w:szCs w:val="22"/>
        </w:rPr>
      </w:pPr>
      <w:r>
        <w:rPr>
          <w:color w:val="auto"/>
          <w:szCs w:val="22"/>
        </w:rPr>
        <w:t>①排污口的位置必须合理确定，按环监[1996]470号文件要求进行规范化管理。</w:t>
      </w:r>
    </w:p>
    <w:p w14:paraId="58DA3B7D">
      <w:pPr>
        <w:pageBreakBefore w:val="0"/>
        <w:wordWrap/>
        <w:bidi w:val="0"/>
        <w:adjustRightInd/>
        <w:snapToGrid/>
        <w:ind w:firstLine="480"/>
        <w:rPr>
          <w:color w:val="auto"/>
          <w:szCs w:val="22"/>
        </w:rPr>
      </w:pPr>
      <w:r>
        <w:rPr>
          <w:color w:val="auto"/>
          <w:szCs w:val="22"/>
        </w:rPr>
        <w:t>②排放污染物的采样点设置应按《污染源监测技术规范》要求，设置：在污水处理厂总排口等处。</w:t>
      </w:r>
    </w:p>
    <w:p w14:paraId="6188337D">
      <w:pPr>
        <w:pageBreakBefore w:val="0"/>
        <w:wordWrap/>
        <w:bidi w:val="0"/>
        <w:adjustRightInd/>
        <w:snapToGrid/>
        <w:ind w:firstLine="480"/>
        <w:rPr>
          <w:color w:val="auto"/>
          <w:szCs w:val="22"/>
        </w:rPr>
      </w:pPr>
      <w:r>
        <w:rPr>
          <w:color w:val="auto"/>
          <w:szCs w:val="22"/>
        </w:rPr>
        <w:t>③设置规范的污水测量流量流速的测流段。</w:t>
      </w:r>
    </w:p>
    <w:p w14:paraId="722FDBC1">
      <w:pPr>
        <w:pageBreakBefore w:val="0"/>
        <w:wordWrap/>
        <w:bidi w:val="0"/>
        <w:adjustRightInd/>
        <w:snapToGrid/>
        <w:ind w:firstLine="480"/>
        <w:jc w:val="left"/>
        <w:rPr>
          <w:color w:val="auto"/>
          <w:szCs w:val="22"/>
        </w:rPr>
      </w:pPr>
      <w:r>
        <w:rPr>
          <w:color w:val="auto"/>
          <w:szCs w:val="22"/>
        </w:rPr>
        <w:t>3、排污口立标管理</w:t>
      </w:r>
    </w:p>
    <w:p w14:paraId="054C0F2E">
      <w:pPr>
        <w:pageBreakBefore w:val="0"/>
        <w:wordWrap/>
        <w:bidi w:val="0"/>
        <w:adjustRightInd/>
        <w:snapToGrid/>
        <w:ind w:firstLine="480"/>
        <w:rPr>
          <w:color w:val="auto"/>
          <w:szCs w:val="22"/>
        </w:rPr>
      </w:pPr>
      <w:r>
        <w:rPr>
          <w:color w:val="auto"/>
          <w:szCs w:val="22"/>
        </w:rPr>
        <w:t>①企业污染物排放口的标志，应按国家《环境保护图形标志排放口》（15562.1-1995）及《环境保护图形标志  固体废物贮存（处置）场》（15562.2-1995）的规定，设置国家环保总局统一制作的环境保护图形标志牌。</w:t>
      </w:r>
    </w:p>
    <w:p w14:paraId="579AFC51">
      <w:pPr>
        <w:pageBreakBefore w:val="0"/>
        <w:wordWrap/>
        <w:bidi w:val="0"/>
        <w:adjustRightInd/>
        <w:snapToGrid/>
        <w:ind w:firstLine="480"/>
        <w:rPr>
          <w:color w:val="auto"/>
          <w:szCs w:val="22"/>
        </w:rPr>
      </w:pPr>
      <w:r>
        <w:rPr>
          <w:color w:val="auto"/>
          <w:szCs w:val="22"/>
        </w:rPr>
        <w:t>②污染物排放口的环保图形标志牌应设置在靠近采样点的醒目处，标志牌设置高度为其上缘距地面2m。</w:t>
      </w:r>
    </w:p>
    <w:p w14:paraId="295ADAF9">
      <w:pPr>
        <w:pageBreakBefore w:val="0"/>
        <w:wordWrap/>
        <w:bidi w:val="0"/>
        <w:adjustRightInd/>
        <w:snapToGrid/>
        <w:ind w:firstLine="480"/>
        <w:jc w:val="left"/>
        <w:rPr>
          <w:color w:val="auto"/>
          <w:szCs w:val="22"/>
        </w:rPr>
      </w:pPr>
      <w:r>
        <w:rPr>
          <w:color w:val="auto"/>
          <w:szCs w:val="22"/>
        </w:rPr>
        <w:t>4、排污口建档管理</w:t>
      </w:r>
    </w:p>
    <w:p w14:paraId="71CC4878">
      <w:pPr>
        <w:pageBreakBefore w:val="0"/>
        <w:wordWrap/>
        <w:bidi w:val="0"/>
        <w:adjustRightInd/>
        <w:snapToGrid/>
        <w:ind w:firstLine="480"/>
        <w:rPr>
          <w:color w:val="auto"/>
          <w:szCs w:val="22"/>
        </w:rPr>
      </w:pPr>
      <w:r>
        <w:rPr>
          <w:color w:val="auto"/>
          <w:szCs w:val="22"/>
        </w:rPr>
        <w:t>①要求使用国家环保部统一印刷的《中华人民共和国规范化排污口标志登记证》，并按要求填写有关内容。</w:t>
      </w:r>
    </w:p>
    <w:p w14:paraId="344A9872">
      <w:pPr>
        <w:pageBreakBefore w:val="0"/>
        <w:wordWrap/>
        <w:bidi w:val="0"/>
        <w:adjustRightInd/>
        <w:snapToGrid/>
        <w:ind w:firstLine="480"/>
        <w:rPr>
          <w:color w:val="auto"/>
          <w:szCs w:val="22"/>
        </w:rPr>
      </w:pPr>
      <w:r>
        <w:rPr>
          <w:color w:val="auto"/>
          <w:szCs w:val="22"/>
        </w:rPr>
        <w:t>②根据排污口管理档案内容要求，项目建成后，应将主要污染物种类、数量、浓度、排放去向、达标情况及设施运行情况记录于档案。</w:t>
      </w:r>
    </w:p>
    <w:p w14:paraId="637ED5F9">
      <w:pPr>
        <w:pageBreakBefore w:val="0"/>
        <w:wordWrap/>
        <w:bidi w:val="0"/>
        <w:adjustRightInd/>
        <w:snapToGrid/>
        <w:ind w:firstLine="480"/>
        <w:jc w:val="left"/>
        <w:rPr>
          <w:color w:val="auto"/>
          <w:szCs w:val="22"/>
        </w:rPr>
      </w:pPr>
      <w:r>
        <w:rPr>
          <w:color w:val="auto"/>
          <w:szCs w:val="22"/>
        </w:rPr>
        <w:t>5、环境保护图形标志</w:t>
      </w:r>
    </w:p>
    <w:p w14:paraId="6C498642">
      <w:pPr>
        <w:pStyle w:val="19"/>
        <w:pageBreakBefore w:val="0"/>
        <w:wordWrap/>
        <w:bidi w:val="0"/>
        <w:adjustRightInd/>
        <w:snapToGrid/>
        <w:rPr>
          <w:color w:val="auto"/>
          <w:szCs w:val="22"/>
        </w:rPr>
      </w:pPr>
      <w:r>
        <w:rPr>
          <w:color w:val="auto"/>
          <w:szCs w:val="22"/>
        </w:rPr>
        <w:t>在企业的废水排放口、废气排放源、固体废物贮存处置场应设置环境保护图形标志，图形符号分为提示图形和警告图形符号两种，分别按《环境保护图形标志—排放口（源）》（GB15562.1-1995）和《环境保护图形标志—固体废物贮存（处置）场》（GB15562.2-1995）执行，环境保护图形符号见下表。</w:t>
      </w:r>
    </w:p>
    <w:p w14:paraId="6D2FFAFC">
      <w:pPr>
        <w:pageBreakBefore w:val="0"/>
        <w:wordWrap/>
        <w:bidi w:val="0"/>
        <w:adjustRightInd/>
        <w:snapToGrid/>
        <w:ind w:firstLine="480"/>
        <w:rPr>
          <w:color w:val="auto"/>
          <w:szCs w:val="22"/>
        </w:rPr>
      </w:pPr>
    </w:p>
    <w:p w14:paraId="4F40B87E">
      <w:pPr>
        <w:pStyle w:val="19"/>
        <w:pageBreakBefore w:val="0"/>
        <w:wordWrap/>
        <w:bidi w:val="0"/>
        <w:adjustRightInd/>
        <w:snapToGrid/>
        <w:rPr>
          <w:color w:val="auto"/>
          <w:szCs w:val="22"/>
        </w:rPr>
      </w:pPr>
    </w:p>
    <w:p w14:paraId="3433203C">
      <w:pPr>
        <w:pageBreakBefore w:val="0"/>
        <w:wordWrap/>
        <w:bidi w:val="0"/>
        <w:adjustRightInd/>
        <w:snapToGrid/>
        <w:ind w:firstLine="480"/>
        <w:rPr>
          <w:color w:val="auto"/>
          <w:szCs w:val="22"/>
        </w:rPr>
      </w:pPr>
    </w:p>
    <w:p w14:paraId="394117BB">
      <w:pPr>
        <w:pStyle w:val="19"/>
        <w:pageBreakBefore w:val="0"/>
        <w:wordWrap/>
        <w:bidi w:val="0"/>
        <w:adjustRightInd/>
        <w:snapToGrid/>
        <w:rPr>
          <w:color w:val="auto"/>
          <w:szCs w:val="22"/>
        </w:rPr>
      </w:pPr>
    </w:p>
    <w:p w14:paraId="47ED8464">
      <w:pPr>
        <w:pageBreakBefore w:val="0"/>
        <w:wordWrap/>
        <w:bidi w:val="0"/>
        <w:adjustRightInd/>
        <w:snapToGrid/>
        <w:ind w:firstLine="480"/>
        <w:rPr>
          <w:color w:val="auto"/>
        </w:rPr>
      </w:pPr>
    </w:p>
    <w:p w14:paraId="673DB712">
      <w:pPr>
        <w:pStyle w:val="15"/>
        <w:numPr>
          <w:ilvl w:val="0"/>
          <w:numId w:val="41"/>
        </w:numPr>
        <w:bidi w:val="0"/>
        <w:ind w:left="0" w:leftChars="0" w:firstLine="0" w:firstLineChars="0"/>
        <w:rPr>
          <w:color w:val="auto"/>
        </w:rPr>
      </w:pPr>
      <w:r>
        <w:rPr>
          <w:color w:val="auto"/>
        </w:rPr>
        <w:t>环境监测项目及监测频率</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041"/>
        <w:gridCol w:w="2528"/>
        <w:gridCol w:w="2882"/>
        <w:gridCol w:w="1637"/>
      </w:tblGrid>
      <w:tr w14:paraId="4053F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0DD9B69A">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序号</w:t>
            </w:r>
          </w:p>
        </w:tc>
        <w:tc>
          <w:tcPr>
            <w:tcW w:w="582" w:type="pct"/>
            <w:tcBorders>
              <w:tl2br w:val="nil"/>
              <w:tr2bl w:val="nil"/>
            </w:tcBorders>
            <w:noWrap w:val="0"/>
            <w:vAlign w:val="center"/>
          </w:tcPr>
          <w:p w14:paraId="467CE5D2">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名称</w:t>
            </w:r>
          </w:p>
        </w:tc>
        <w:tc>
          <w:tcPr>
            <w:tcW w:w="1413" w:type="pct"/>
            <w:tcBorders>
              <w:tl2br w:val="nil"/>
              <w:tr2bl w:val="nil"/>
            </w:tcBorders>
            <w:noWrap w:val="0"/>
            <w:vAlign w:val="center"/>
          </w:tcPr>
          <w:p w14:paraId="0735E2C6">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提示符号</w:t>
            </w:r>
          </w:p>
        </w:tc>
        <w:tc>
          <w:tcPr>
            <w:tcW w:w="1611" w:type="pct"/>
            <w:tcBorders>
              <w:tl2br w:val="nil"/>
              <w:tr2bl w:val="nil"/>
            </w:tcBorders>
            <w:noWrap w:val="0"/>
            <w:vAlign w:val="center"/>
          </w:tcPr>
          <w:p w14:paraId="418308BE">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警示符号</w:t>
            </w:r>
          </w:p>
        </w:tc>
        <w:tc>
          <w:tcPr>
            <w:tcW w:w="915" w:type="pct"/>
            <w:tcBorders>
              <w:tl2br w:val="nil"/>
              <w:tr2bl w:val="nil"/>
            </w:tcBorders>
            <w:noWrap w:val="0"/>
            <w:vAlign w:val="center"/>
          </w:tcPr>
          <w:p w14:paraId="7B7CDA94">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功能</w:t>
            </w:r>
          </w:p>
        </w:tc>
      </w:tr>
      <w:tr w14:paraId="2EE80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643D6257">
            <w:pPr>
              <w:pageBreakBefore w:val="0"/>
              <w:wordWrap/>
              <w:bidi w:val="0"/>
              <w:adjustRightInd/>
              <w:snapToGrid/>
              <w:spacing w:line="240" w:lineRule="auto"/>
              <w:ind w:firstLine="0" w:firstLineChars="0"/>
              <w:jc w:val="center"/>
              <w:rPr>
                <w:color w:val="auto"/>
                <w:sz w:val="21"/>
                <w:szCs w:val="21"/>
              </w:rPr>
            </w:pPr>
            <w:r>
              <w:rPr>
                <w:color w:val="auto"/>
                <w:sz w:val="21"/>
                <w:szCs w:val="22"/>
              </w:rPr>
              <w:t>1</w:t>
            </w:r>
          </w:p>
        </w:tc>
        <w:tc>
          <w:tcPr>
            <w:tcW w:w="582" w:type="pct"/>
            <w:tcBorders>
              <w:tl2br w:val="nil"/>
              <w:tr2bl w:val="nil"/>
            </w:tcBorders>
            <w:noWrap w:val="0"/>
            <w:vAlign w:val="center"/>
          </w:tcPr>
          <w:p w14:paraId="58411AED">
            <w:pPr>
              <w:pageBreakBefore w:val="0"/>
              <w:wordWrap/>
              <w:bidi w:val="0"/>
              <w:adjustRightInd/>
              <w:snapToGrid/>
              <w:spacing w:line="240" w:lineRule="auto"/>
              <w:ind w:firstLine="0" w:firstLineChars="0"/>
              <w:jc w:val="center"/>
              <w:rPr>
                <w:color w:val="auto"/>
                <w:sz w:val="21"/>
                <w:szCs w:val="21"/>
              </w:rPr>
            </w:pPr>
            <w:r>
              <w:rPr>
                <w:color w:val="auto"/>
                <w:sz w:val="21"/>
                <w:szCs w:val="22"/>
              </w:rPr>
              <w:t>废水排放口</w:t>
            </w:r>
          </w:p>
        </w:tc>
        <w:tc>
          <w:tcPr>
            <w:tcW w:w="1413" w:type="pct"/>
            <w:tcBorders>
              <w:tl2br w:val="nil"/>
              <w:tr2bl w:val="nil"/>
            </w:tcBorders>
            <w:noWrap w:val="0"/>
            <w:vAlign w:val="center"/>
          </w:tcPr>
          <w:p w14:paraId="24A4D309">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38275" cy="1323975"/>
                  <wp:effectExtent l="0" t="0" r="0" b="0"/>
                  <wp:docPr id="138"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79"/>
                          <pic:cNvPicPr>
                            <a:picLocks noChangeAspect="1"/>
                          </pic:cNvPicPr>
                        </pic:nvPicPr>
                        <pic:blipFill>
                          <a:blip r:embed="rId113"/>
                          <a:stretch>
                            <a:fillRect/>
                          </a:stretch>
                        </pic:blipFill>
                        <pic:spPr>
                          <a:xfrm>
                            <a:off x="0" y="0"/>
                            <a:ext cx="1438275" cy="1323975"/>
                          </a:xfrm>
                          <a:prstGeom prst="rect">
                            <a:avLst/>
                          </a:prstGeom>
                          <a:noFill/>
                          <a:ln>
                            <a:noFill/>
                          </a:ln>
                        </pic:spPr>
                      </pic:pic>
                    </a:graphicData>
                  </a:graphic>
                </wp:inline>
              </w:drawing>
            </w:r>
          </w:p>
        </w:tc>
        <w:tc>
          <w:tcPr>
            <w:tcW w:w="1611" w:type="pct"/>
            <w:tcBorders>
              <w:tl2br w:val="nil"/>
              <w:tr2bl w:val="nil"/>
            </w:tcBorders>
            <w:noWrap w:val="0"/>
            <w:vAlign w:val="center"/>
          </w:tcPr>
          <w:p w14:paraId="4F0CF0E2">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533525" cy="1419225"/>
                  <wp:effectExtent l="0" t="0" r="0" b="0"/>
                  <wp:docPr id="139"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80"/>
                          <pic:cNvPicPr>
                            <a:picLocks noChangeAspect="1"/>
                          </pic:cNvPicPr>
                        </pic:nvPicPr>
                        <pic:blipFill>
                          <a:blip r:embed="rId114"/>
                          <a:stretch>
                            <a:fillRect/>
                          </a:stretch>
                        </pic:blipFill>
                        <pic:spPr>
                          <a:xfrm>
                            <a:off x="0" y="0"/>
                            <a:ext cx="1533525" cy="1419225"/>
                          </a:xfrm>
                          <a:prstGeom prst="rect">
                            <a:avLst/>
                          </a:prstGeom>
                          <a:noFill/>
                          <a:ln>
                            <a:noFill/>
                          </a:ln>
                        </pic:spPr>
                      </pic:pic>
                    </a:graphicData>
                  </a:graphic>
                </wp:inline>
              </w:drawing>
            </w:r>
          </w:p>
        </w:tc>
        <w:tc>
          <w:tcPr>
            <w:tcW w:w="915" w:type="pct"/>
            <w:tcBorders>
              <w:tl2br w:val="nil"/>
              <w:tr2bl w:val="nil"/>
            </w:tcBorders>
            <w:noWrap w:val="0"/>
            <w:vAlign w:val="center"/>
          </w:tcPr>
          <w:p w14:paraId="49A94268">
            <w:pPr>
              <w:pageBreakBefore w:val="0"/>
              <w:wordWrap/>
              <w:bidi w:val="0"/>
              <w:adjustRightInd/>
              <w:snapToGrid/>
              <w:spacing w:line="240" w:lineRule="auto"/>
              <w:ind w:firstLine="0" w:firstLineChars="0"/>
              <w:jc w:val="center"/>
              <w:rPr>
                <w:color w:val="auto"/>
                <w:sz w:val="21"/>
                <w:szCs w:val="21"/>
              </w:rPr>
            </w:pPr>
            <w:r>
              <w:rPr>
                <w:color w:val="auto"/>
                <w:sz w:val="21"/>
                <w:szCs w:val="22"/>
              </w:rPr>
              <w:t>表示废水向水体排放</w:t>
            </w:r>
          </w:p>
        </w:tc>
      </w:tr>
      <w:tr w14:paraId="4420A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1AF07444">
            <w:pPr>
              <w:pageBreakBefore w:val="0"/>
              <w:wordWrap/>
              <w:bidi w:val="0"/>
              <w:adjustRightInd/>
              <w:snapToGrid/>
              <w:spacing w:line="240" w:lineRule="auto"/>
              <w:ind w:firstLine="0" w:firstLineChars="0"/>
              <w:jc w:val="center"/>
              <w:rPr>
                <w:color w:val="auto"/>
                <w:sz w:val="21"/>
                <w:szCs w:val="21"/>
              </w:rPr>
            </w:pPr>
            <w:r>
              <w:rPr>
                <w:color w:val="auto"/>
                <w:sz w:val="21"/>
                <w:szCs w:val="22"/>
              </w:rPr>
              <w:t>2</w:t>
            </w:r>
          </w:p>
        </w:tc>
        <w:tc>
          <w:tcPr>
            <w:tcW w:w="582" w:type="pct"/>
            <w:tcBorders>
              <w:tl2br w:val="nil"/>
              <w:tr2bl w:val="nil"/>
            </w:tcBorders>
            <w:noWrap w:val="0"/>
            <w:vAlign w:val="center"/>
          </w:tcPr>
          <w:p w14:paraId="5800D160">
            <w:pPr>
              <w:pageBreakBefore w:val="0"/>
              <w:wordWrap/>
              <w:bidi w:val="0"/>
              <w:adjustRightInd/>
              <w:snapToGrid/>
              <w:spacing w:line="240" w:lineRule="auto"/>
              <w:ind w:firstLine="0" w:firstLineChars="0"/>
              <w:jc w:val="center"/>
              <w:rPr>
                <w:color w:val="auto"/>
                <w:sz w:val="21"/>
                <w:szCs w:val="21"/>
              </w:rPr>
            </w:pPr>
            <w:r>
              <w:rPr>
                <w:color w:val="auto"/>
                <w:sz w:val="21"/>
                <w:szCs w:val="22"/>
              </w:rPr>
              <w:t>废气排放口</w:t>
            </w:r>
          </w:p>
        </w:tc>
        <w:tc>
          <w:tcPr>
            <w:tcW w:w="1413" w:type="pct"/>
            <w:tcBorders>
              <w:tl2br w:val="nil"/>
              <w:tr2bl w:val="nil"/>
            </w:tcBorders>
            <w:noWrap w:val="0"/>
            <w:vAlign w:val="center"/>
          </w:tcPr>
          <w:p w14:paraId="70EDFED0">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47800" cy="1343025"/>
                  <wp:effectExtent l="0" t="0" r="0" b="0"/>
                  <wp:docPr id="140"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1"/>
                          <pic:cNvPicPr>
                            <a:picLocks noChangeAspect="1"/>
                          </pic:cNvPicPr>
                        </pic:nvPicPr>
                        <pic:blipFill>
                          <a:blip r:embed="rId115"/>
                          <a:stretch>
                            <a:fillRect/>
                          </a:stretch>
                        </pic:blipFill>
                        <pic:spPr>
                          <a:xfrm>
                            <a:off x="0" y="0"/>
                            <a:ext cx="1447800" cy="1343025"/>
                          </a:xfrm>
                          <a:prstGeom prst="rect">
                            <a:avLst/>
                          </a:prstGeom>
                          <a:noFill/>
                          <a:ln>
                            <a:noFill/>
                          </a:ln>
                        </pic:spPr>
                      </pic:pic>
                    </a:graphicData>
                  </a:graphic>
                </wp:inline>
              </w:drawing>
            </w:r>
          </w:p>
        </w:tc>
        <w:tc>
          <w:tcPr>
            <w:tcW w:w="1611" w:type="pct"/>
            <w:tcBorders>
              <w:tl2br w:val="nil"/>
              <w:tr2bl w:val="nil"/>
            </w:tcBorders>
            <w:noWrap w:val="0"/>
            <w:vAlign w:val="center"/>
          </w:tcPr>
          <w:p w14:paraId="39C35585">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95425" cy="1457325"/>
                  <wp:effectExtent l="0" t="0" r="0" b="0"/>
                  <wp:docPr id="141"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82"/>
                          <pic:cNvPicPr>
                            <a:picLocks noChangeAspect="1"/>
                          </pic:cNvPicPr>
                        </pic:nvPicPr>
                        <pic:blipFill>
                          <a:blip r:embed="rId116"/>
                          <a:stretch>
                            <a:fillRect/>
                          </a:stretch>
                        </pic:blipFill>
                        <pic:spPr>
                          <a:xfrm>
                            <a:off x="0" y="0"/>
                            <a:ext cx="1495425" cy="1457325"/>
                          </a:xfrm>
                          <a:prstGeom prst="rect">
                            <a:avLst/>
                          </a:prstGeom>
                          <a:noFill/>
                          <a:ln>
                            <a:noFill/>
                          </a:ln>
                        </pic:spPr>
                      </pic:pic>
                    </a:graphicData>
                  </a:graphic>
                </wp:inline>
              </w:drawing>
            </w:r>
          </w:p>
        </w:tc>
        <w:tc>
          <w:tcPr>
            <w:tcW w:w="915" w:type="pct"/>
            <w:tcBorders>
              <w:tl2br w:val="nil"/>
              <w:tr2bl w:val="nil"/>
            </w:tcBorders>
            <w:noWrap w:val="0"/>
            <w:vAlign w:val="center"/>
          </w:tcPr>
          <w:p w14:paraId="3EB8DD3F">
            <w:pPr>
              <w:pageBreakBefore w:val="0"/>
              <w:wordWrap/>
              <w:bidi w:val="0"/>
              <w:adjustRightInd/>
              <w:snapToGrid/>
              <w:spacing w:line="240" w:lineRule="auto"/>
              <w:ind w:firstLine="0" w:firstLineChars="0"/>
              <w:jc w:val="center"/>
              <w:rPr>
                <w:color w:val="auto"/>
                <w:sz w:val="21"/>
                <w:szCs w:val="21"/>
              </w:rPr>
            </w:pPr>
            <w:r>
              <w:rPr>
                <w:color w:val="auto"/>
                <w:sz w:val="21"/>
                <w:szCs w:val="22"/>
              </w:rPr>
              <w:t>表示废气向大气环境排放</w:t>
            </w:r>
          </w:p>
        </w:tc>
      </w:tr>
      <w:tr w14:paraId="39CB8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7A72B43C">
            <w:pPr>
              <w:pageBreakBefore w:val="0"/>
              <w:wordWrap/>
              <w:bidi w:val="0"/>
              <w:adjustRightInd/>
              <w:snapToGrid/>
              <w:spacing w:line="240" w:lineRule="auto"/>
              <w:ind w:firstLine="0" w:firstLineChars="0"/>
              <w:jc w:val="center"/>
              <w:rPr>
                <w:color w:val="auto"/>
                <w:sz w:val="21"/>
                <w:szCs w:val="21"/>
              </w:rPr>
            </w:pPr>
            <w:r>
              <w:rPr>
                <w:color w:val="auto"/>
                <w:sz w:val="21"/>
                <w:szCs w:val="22"/>
              </w:rPr>
              <w:t>3</w:t>
            </w:r>
          </w:p>
        </w:tc>
        <w:tc>
          <w:tcPr>
            <w:tcW w:w="582" w:type="pct"/>
            <w:tcBorders>
              <w:tl2br w:val="nil"/>
              <w:tr2bl w:val="nil"/>
            </w:tcBorders>
            <w:noWrap w:val="0"/>
            <w:vAlign w:val="center"/>
          </w:tcPr>
          <w:p w14:paraId="63A640A1">
            <w:pPr>
              <w:pageBreakBefore w:val="0"/>
              <w:wordWrap/>
              <w:bidi w:val="0"/>
              <w:adjustRightInd/>
              <w:snapToGrid/>
              <w:spacing w:line="240" w:lineRule="auto"/>
              <w:ind w:firstLine="0" w:firstLineChars="0"/>
              <w:jc w:val="center"/>
              <w:rPr>
                <w:color w:val="auto"/>
                <w:sz w:val="21"/>
                <w:szCs w:val="21"/>
              </w:rPr>
            </w:pPr>
            <w:r>
              <w:rPr>
                <w:color w:val="auto"/>
                <w:sz w:val="21"/>
                <w:szCs w:val="22"/>
              </w:rPr>
              <w:t>噪声排放源</w:t>
            </w:r>
          </w:p>
        </w:tc>
        <w:tc>
          <w:tcPr>
            <w:tcW w:w="1413" w:type="pct"/>
            <w:tcBorders>
              <w:tl2br w:val="nil"/>
              <w:tr2bl w:val="nil"/>
            </w:tcBorders>
            <w:noWrap w:val="0"/>
            <w:vAlign w:val="center"/>
          </w:tcPr>
          <w:p w14:paraId="1924BB2E">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47800" cy="1333500"/>
                  <wp:effectExtent l="0" t="0" r="0" b="0"/>
                  <wp:docPr id="14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3"/>
                          <pic:cNvPicPr>
                            <a:picLocks noChangeAspect="1"/>
                          </pic:cNvPicPr>
                        </pic:nvPicPr>
                        <pic:blipFill>
                          <a:blip r:embed="rId117"/>
                          <a:stretch>
                            <a:fillRect/>
                          </a:stretch>
                        </pic:blipFill>
                        <pic:spPr>
                          <a:xfrm>
                            <a:off x="0" y="0"/>
                            <a:ext cx="1447800" cy="1333500"/>
                          </a:xfrm>
                          <a:prstGeom prst="rect">
                            <a:avLst/>
                          </a:prstGeom>
                          <a:noFill/>
                          <a:ln>
                            <a:noFill/>
                          </a:ln>
                        </pic:spPr>
                      </pic:pic>
                    </a:graphicData>
                  </a:graphic>
                </wp:inline>
              </w:drawing>
            </w:r>
          </w:p>
        </w:tc>
        <w:tc>
          <w:tcPr>
            <w:tcW w:w="1611" w:type="pct"/>
            <w:tcBorders>
              <w:tl2br w:val="nil"/>
              <w:tr2bl w:val="nil"/>
            </w:tcBorders>
            <w:noWrap w:val="0"/>
            <w:vAlign w:val="center"/>
          </w:tcPr>
          <w:p w14:paraId="7FC6D264">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09700" cy="1333500"/>
                  <wp:effectExtent l="0" t="0" r="0" b="0"/>
                  <wp:docPr id="143"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84"/>
                          <pic:cNvPicPr>
                            <a:picLocks noChangeAspect="1"/>
                          </pic:cNvPicPr>
                        </pic:nvPicPr>
                        <pic:blipFill>
                          <a:blip r:embed="rId118"/>
                          <a:stretch>
                            <a:fillRect/>
                          </a:stretch>
                        </pic:blipFill>
                        <pic:spPr>
                          <a:xfrm>
                            <a:off x="0" y="0"/>
                            <a:ext cx="1409700" cy="1333500"/>
                          </a:xfrm>
                          <a:prstGeom prst="rect">
                            <a:avLst/>
                          </a:prstGeom>
                          <a:noFill/>
                          <a:ln>
                            <a:noFill/>
                          </a:ln>
                        </pic:spPr>
                      </pic:pic>
                    </a:graphicData>
                  </a:graphic>
                </wp:inline>
              </w:drawing>
            </w:r>
          </w:p>
        </w:tc>
        <w:tc>
          <w:tcPr>
            <w:tcW w:w="915" w:type="pct"/>
            <w:tcBorders>
              <w:tl2br w:val="nil"/>
              <w:tr2bl w:val="nil"/>
            </w:tcBorders>
            <w:noWrap w:val="0"/>
            <w:vAlign w:val="center"/>
          </w:tcPr>
          <w:p w14:paraId="67469B1C">
            <w:pPr>
              <w:pageBreakBefore w:val="0"/>
              <w:wordWrap/>
              <w:bidi w:val="0"/>
              <w:adjustRightInd/>
              <w:snapToGrid/>
              <w:spacing w:line="240" w:lineRule="auto"/>
              <w:ind w:firstLine="0" w:firstLineChars="0"/>
              <w:jc w:val="center"/>
              <w:rPr>
                <w:color w:val="auto"/>
                <w:sz w:val="21"/>
                <w:szCs w:val="21"/>
              </w:rPr>
            </w:pPr>
            <w:r>
              <w:rPr>
                <w:color w:val="auto"/>
                <w:sz w:val="21"/>
                <w:szCs w:val="22"/>
              </w:rPr>
              <w:t>表示噪声向外环境排放</w:t>
            </w:r>
          </w:p>
        </w:tc>
      </w:tr>
      <w:tr w14:paraId="44420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07CF867A">
            <w:pPr>
              <w:pageBreakBefore w:val="0"/>
              <w:wordWrap/>
              <w:bidi w:val="0"/>
              <w:adjustRightInd/>
              <w:snapToGrid/>
              <w:spacing w:line="240" w:lineRule="auto"/>
              <w:ind w:firstLine="0" w:firstLineChars="0"/>
              <w:jc w:val="center"/>
              <w:rPr>
                <w:color w:val="auto"/>
                <w:sz w:val="21"/>
                <w:szCs w:val="21"/>
              </w:rPr>
            </w:pPr>
            <w:r>
              <w:rPr>
                <w:color w:val="auto"/>
                <w:sz w:val="21"/>
                <w:szCs w:val="22"/>
              </w:rPr>
              <w:t>4</w:t>
            </w:r>
          </w:p>
        </w:tc>
        <w:tc>
          <w:tcPr>
            <w:tcW w:w="582" w:type="pct"/>
            <w:tcBorders>
              <w:tl2br w:val="nil"/>
              <w:tr2bl w:val="nil"/>
            </w:tcBorders>
            <w:noWrap w:val="0"/>
            <w:vAlign w:val="center"/>
          </w:tcPr>
          <w:p w14:paraId="023C03FF">
            <w:pPr>
              <w:pageBreakBefore w:val="0"/>
              <w:wordWrap/>
              <w:bidi w:val="0"/>
              <w:adjustRightInd/>
              <w:snapToGrid/>
              <w:spacing w:line="240" w:lineRule="auto"/>
              <w:ind w:firstLine="0" w:firstLineChars="0"/>
              <w:jc w:val="center"/>
              <w:rPr>
                <w:color w:val="auto"/>
                <w:sz w:val="21"/>
                <w:szCs w:val="21"/>
              </w:rPr>
            </w:pPr>
            <w:r>
              <w:rPr>
                <w:color w:val="auto"/>
                <w:sz w:val="21"/>
                <w:szCs w:val="22"/>
              </w:rPr>
              <w:t>一般固体废物</w:t>
            </w:r>
          </w:p>
        </w:tc>
        <w:tc>
          <w:tcPr>
            <w:tcW w:w="1413" w:type="pct"/>
            <w:tcBorders>
              <w:tl2br w:val="nil"/>
              <w:tr2bl w:val="nil"/>
            </w:tcBorders>
            <w:noWrap w:val="0"/>
            <w:vAlign w:val="center"/>
          </w:tcPr>
          <w:p w14:paraId="693C9263">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47800" cy="1343025"/>
                  <wp:effectExtent l="0" t="0" r="0" b="0"/>
                  <wp:docPr id="144"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85"/>
                          <pic:cNvPicPr>
                            <a:picLocks noChangeAspect="1"/>
                          </pic:cNvPicPr>
                        </pic:nvPicPr>
                        <pic:blipFill>
                          <a:blip r:embed="rId119"/>
                          <a:stretch>
                            <a:fillRect/>
                          </a:stretch>
                        </pic:blipFill>
                        <pic:spPr>
                          <a:xfrm>
                            <a:off x="0" y="0"/>
                            <a:ext cx="1447800" cy="1343025"/>
                          </a:xfrm>
                          <a:prstGeom prst="rect">
                            <a:avLst/>
                          </a:prstGeom>
                          <a:noFill/>
                          <a:ln>
                            <a:noFill/>
                          </a:ln>
                        </pic:spPr>
                      </pic:pic>
                    </a:graphicData>
                  </a:graphic>
                </wp:inline>
              </w:drawing>
            </w:r>
          </w:p>
        </w:tc>
        <w:tc>
          <w:tcPr>
            <w:tcW w:w="1611" w:type="pct"/>
            <w:tcBorders>
              <w:tl2br w:val="nil"/>
              <w:tr2bl w:val="nil"/>
            </w:tcBorders>
            <w:noWrap w:val="0"/>
            <w:vAlign w:val="center"/>
          </w:tcPr>
          <w:p w14:paraId="36EC1FCE">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476375" cy="1285875"/>
                  <wp:effectExtent l="0" t="0" r="0" b="0"/>
                  <wp:docPr id="145"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86"/>
                          <pic:cNvPicPr>
                            <a:picLocks noChangeAspect="1"/>
                          </pic:cNvPicPr>
                        </pic:nvPicPr>
                        <pic:blipFill>
                          <a:blip r:embed="rId120"/>
                          <a:stretch>
                            <a:fillRect/>
                          </a:stretch>
                        </pic:blipFill>
                        <pic:spPr>
                          <a:xfrm>
                            <a:off x="0" y="0"/>
                            <a:ext cx="1476375" cy="1285875"/>
                          </a:xfrm>
                          <a:prstGeom prst="rect">
                            <a:avLst/>
                          </a:prstGeom>
                          <a:noFill/>
                          <a:ln>
                            <a:noFill/>
                          </a:ln>
                        </pic:spPr>
                      </pic:pic>
                    </a:graphicData>
                  </a:graphic>
                </wp:inline>
              </w:drawing>
            </w:r>
          </w:p>
        </w:tc>
        <w:tc>
          <w:tcPr>
            <w:tcW w:w="915" w:type="pct"/>
            <w:tcBorders>
              <w:tl2br w:val="nil"/>
              <w:tr2bl w:val="nil"/>
            </w:tcBorders>
            <w:noWrap w:val="0"/>
            <w:vAlign w:val="center"/>
          </w:tcPr>
          <w:p w14:paraId="5A87F5D6">
            <w:pPr>
              <w:pageBreakBefore w:val="0"/>
              <w:wordWrap/>
              <w:bidi w:val="0"/>
              <w:adjustRightInd/>
              <w:snapToGrid/>
              <w:spacing w:line="240" w:lineRule="auto"/>
              <w:ind w:firstLine="0" w:firstLineChars="0"/>
              <w:jc w:val="center"/>
              <w:rPr>
                <w:color w:val="auto"/>
                <w:sz w:val="21"/>
                <w:szCs w:val="21"/>
              </w:rPr>
            </w:pPr>
            <w:r>
              <w:rPr>
                <w:color w:val="auto"/>
                <w:sz w:val="21"/>
                <w:szCs w:val="22"/>
              </w:rPr>
              <w:t>表示一般固体废物贮存、处置场</w:t>
            </w:r>
          </w:p>
        </w:tc>
      </w:tr>
      <w:tr w14:paraId="09A07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14:paraId="66DBCB51">
            <w:pPr>
              <w:pageBreakBefore w:val="0"/>
              <w:wordWrap/>
              <w:bidi w:val="0"/>
              <w:adjustRightInd/>
              <w:snapToGrid/>
              <w:spacing w:line="240" w:lineRule="auto"/>
              <w:ind w:firstLine="0" w:firstLineChars="0"/>
              <w:jc w:val="center"/>
              <w:rPr>
                <w:color w:val="auto"/>
                <w:sz w:val="21"/>
                <w:szCs w:val="21"/>
              </w:rPr>
            </w:pPr>
            <w:r>
              <w:rPr>
                <w:color w:val="auto"/>
                <w:sz w:val="21"/>
                <w:szCs w:val="22"/>
              </w:rPr>
              <w:t>5</w:t>
            </w:r>
          </w:p>
        </w:tc>
        <w:tc>
          <w:tcPr>
            <w:tcW w:w="582" w:type="pct"/>
            <w:tcBorders>
              <w:tl2br w:val="nil"/>
              <w:tr2bl w:val="nil"/>
            </w:tcBorders>
            <w:noWrap w:val="0"/>
            <w:vAlign w:val="center"/>
          </w:tcPr>
          <w:p w14:paraId="386653EF">
            <w:pPr>
              <w:pageBreakBefore w:val="0"/>
              <w:wordWrap/>
              <w:bidi w:val="0"/>
              <w:adjustRightInd/>
              <w:snapToGrid/>
              <w:spacing w:line="240" w:lineRule="auto"/>
              <w:ind w:firstLine="0" w:firstLineChars="0"/>
              <w:jc w:val="center"/>
              <w:rPr>
                <w:color w:val="auto"/>
                <w:sz w:val="21"/>
                <w:szCs w:val="21"/>
              </w:rPr>
            </w:pPr>
            <w:r>
              <w:rPr>
                <w:color w:val="auto"/>
                <w:sz w:val="21"/>
                <w:szCs w:val="22"/>
              </w:rPr>
              <w:t>危险废物</w:t>
            </w:r>
          </w:p>
        </w:tc>
        <w:tc>
          <w:tcPr>
            <w:tcW w:w="1413" w:type="pct"/>
            <w:tcBorders>
              <w:tl2br w:val="nil"/>
              <w:tr2bl w:val="nil"/>
            </w:tcBorders>
            <w:noWrap w:val="0"/>
            <w:vAlign w:val="center"/>
          </w:tcPr>
          <w:p w14:paraId="1FC2E11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11" w:type="pct"/>
            <w:tcBorders>
              <w:tl2br w:val="nil"/>
              <w:tr2bl w:val="nil"/>
            </w:tcBorders>
            <w:noWrap w:val="0"/>
            <w:vAlign w:val="center"/>
          </w:tcPr>
          <w:p w14:paraId="0FBF303E">
            <w:pPr>
              <w:pageBreakBefore w:val="0"/>
              <w:wordWrap/>
              <w:bidi w:val="0"/>
              <w:adjustRightInd/>
              <w:snapToGrid/>
              <w:spacing w:line="240" w:lineRule="auto"/>
              <w:ind w:firstLine="0" w:firstLineChars="0"/>
              <w:jc w:val="center"/>
              <w:rPr>
                <w:color w:val="auto"/>
                <w:sz w:val="21"/>
                <w:szCs w:val="21"/>
              </w:rPr>
            </w:pPr>
            <w:r>
              <w:rPr>
                <w:color w:val="auto"/>
                <w:sz w:val="21"/>
                <w:szCs w:val="22"/>
              </w:rPr>
              <w:drawing>
                <wp:inline distT="0" distB="0" distL="114300" distR="114300">
                  <wp:extent cx="1537335" cy="1353185"/>
                  <wp:effectExtent l="0" t="0" r="0" b="0"/>
                  <wp:docPr id="146" name="图片 187" descr="A_1危废警示标志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7" descr="A_1危废警示标志_1"/>
                          <pic:cNvPicPr>
                            <a:picLocks noChangeAspect="1"/>
                          </pic:cNvPicPr>
                        </pic:nvPicPr>
                        <pic:blipFill>
                          <a:blip r:embed="rId121"/>
                          <a:stretch>
                            <a:fillRect/>
                          </a:stretch>
                        </pic:blipFill>
                        <pic:spPr>
                          <a:xfrm>
                            <a:off x="0" y="0"/>
                            <a:ext cx="1537335" cy="1353185"/>
                          </a:xfrm>
                          <a:prstGeom prst="rect">
                            <a:avLst/>
                          </a:prstGeom>
                          <a:noFill/>
                          <a:ln>
                            <a:noFill/>
                          </a:ln>
                        </pic:spPr>
                      </pic:pic>
                    </a:graphicData>
                  </a:graphic>
                </wp:inline>
              </w:drawing>
            </w:r>
          </w:p>
        </w:tc>
        <w:tc>
          <w:tcPr>
            <w:tcW w:w="915" w:type="pct"/>
            <w:tcBorders>
              <w:tl2br w:val="nil"/>
              <w:tr2bl w:val="nil"/>
            </w:tcBorders>
            <w:noWrap w:val="0"/>
            <w:vAlign w:val="center"/>
          </w:tcPr>
          <w:p w14:paraId="21F1D7E5">
            <w:pPr>
              <w:pageBreakBefore w:val="0"/>
              <w:wordWrap/>
              <w:bidi w:val="0"/>
              <w:adjustRightInd/>
              <w:snapToGrid/>
              <w:spacing w:line="240" w:lineRule="auto"/>
              <w:ind w:firstLine="0" w:firstLineChars="0"/>
              <w:jc w:val="center"/>
              <w:rPr>
                <w:color w:val="auto"/>
                <w:sz w:val="21"/>
                <w:szCs w:val="21"/>
              </w:rPr>
            </w:pPr>
            <w:r>
              <w:rPr>
                <w:color w:val="auto"/>
                <w:sz w:val="21"/>
                <w:szCs w:val="22"/>
              </w:rPr>
              <w:t>表示危险废物贮存、处置场</w:t>
            </w:r>
          </w:p>
        </w:tc>
      </w:tr>
    </w:tbl>
    <w:p w14:paraId="3294557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环境监测计划</w:t>
      </w:r>
    </w:p>
    <w:p w14:paraId="244F90E5">
      <w:pPr>
        <w:bidi w:val="0"/>
        <w:rPr>
          <w:b/>
          <w:bCs/>
          <w:color w:val="auto"/>
        </w:rPr>
      </w:pPr>
      <w:r>
        <w:rPr>
          <w:b/>
          <w:bCs/>
          <w:color w:val="auto"/>
        </w:rPr>
        <w:t>（一）施工期环境监测计划</w:t>
      </w:r>
    </w:p>
    <w:p w14:paraId="093BF944">
      <w:pPr>
        <w:bidi w:val="0"/>
        <w:rPr>
          <w:color w:val="auto"/>
        </w:rPr>
      </w:pPr>
      <w:r>
        <w:rPr>
          <w:color w:val="auto"/>
        </w:rPr>
        <w:t>（1）建设单位与施工单位签定工程承包合同时，应包括有关工程施工期间环境保护条款，包括工程施工中生态环境保护（水土保持）、施工期间环境污染控制、污染物排放管理、施工人员环保教育及相关奖惩条款。</w:t>
      </w:r>
    </w:p>
    <w:p w14:paraId="42C2A796">
      <w:pPr>
        <w:bidi w:val="0"/>
        <w:rPr>
          <w:color w:val="auto"/>
        </w:rPr>
      </w:pPr>
      <w:r>
        <w:rPr>
          <w:color w:val="auto"/>
        </w:rPr>
        <w:t>（2）施工单位应</w:t>
      </w:r>
      <w:r>
        <w:rPr>
          <w:rFonts w:hint="eastAsia"/>
          <w:color w:val="auto"/>
          <w:lang w:eastAsia="zh-CN"/>
        </w:rPr>
        <w:t>增强</w:t>
      </w:r>
      <w:r>
        <w:rPr>
          <w:color w:val="auto"/>
        </w:rPr>
        <w:t>环保意识，加强驻地和施工现场的环境管理，合理安排施工计划，切实做到组织计划严谨，文明施工；环保措施逐条落实到位，环保工程与主体工程同时施工、同时运行，环保工程费用专款专用，不偷工减料、延误工期。</w:t>
      </w:r>
    </w:p>
    <w:p w14:paraId="13E1EB6F">
      <w:pPr>
        <w:bidi w:val="0"/>
        <w:rPr>
          <w:color w:val="auto"/>
        </w:rPr>
      </w:pPr>
      <w:r>
        <w:rPr>
          <w:color w:val="auto"/>
        </w:rPr>
        <w:t>（3）施工单位应特别注意工程施工中的水土保持，尽可能保护好土壤、植被、弃土弃渣须运至设计中指定的地点弃置，严禁随意堆置、侵占河道，防止对地表水环境产生影响。</w:t>
      </w:r>
    </w:p>
    <w:p w14:paraId="164BFC96">
      <w:pPr>
        <w:bidi w:val="0"/>
        <w:rPr>
          <w:color w:val="auto"/>
        </w:rPr>
      </w:pPr>
      <w:r>
        <w:rPr>
          <w:color w:val="auto"/>
        </w:rPr>
        <w:t>（4）各施工现场、施工单位驻地</w:t>
      </w:r>
      <w:r>
        <w:rPr>
          <w:rFonts w:hint="eastAsia"/>
          <w:color w:val="auto"/>
          <w:lang w:eastAsia="zh-CN"/>
        </w:rPr>
        <w:t>及其他</w:t>
      </w:r>
      <w:r>
        <w:rPr>
          <w:color w:val="auto"/>
        </w:rPr>
        <w:t>施工临时设施，应加强环境管理，施工污水避免无组织散排，尽可能集中排放指定地点；扬尘大的工地应采取降尘措施，工程施工完毕后施工单位及时清理和恢复施工现场，妥善处理生活垃圾与施工弃渣，减少扬尘；施工现场应执行《建筑施工场界环境噪声排放标准》（GB12523-2011）中的有关规定和要求。</w:t>
      </w:r>
    </w:p>
    <w:p w14:paraId="6E0E5FF6">
      <w:pPr>
        <w:bidi w:val="0"/>
        <w:rPr>
          <w:color w:val="auto"/>
        </w:rPr>
      </w:pPr>
      <w:r>
        <w:rPr>
          <w:color w:val="auto"/>
        </w:rPr>
        <w:t>（5）认真落实各项补偿措施，做好工程各项环保设施的施工监理与验收，保证环保工程质量，真正做到环保工程</w:t>
      </w:r>
      <w:r>
        <w:rPr>
          <w:rFonts w:hint="eastAsia"/>
          <w:color w:val="auto"/>
          <w:lang w:eastAsia="zh-CN"/>
        </w:rPr>
        <w:t>“</w:t>
      </w:r>
      <w:r>
        <w:rPr>
          <w:color w:val="auto"/>
        </w:rPr>
        <w:t>三同时</w:t>
      </w:r>
      <w:r>
        <w:rPr>
          <w:rFonts w:hint="eastAsia"/>
          <w:color w:val="auto"/>
          <w:lang w:eastAsia="zh-CN"/>
        </w:rPr>
        <w:t>”</w:t>
      </w:r>
      <w:r>
        <w:rPr>
          <w:color w:val="auto"/>
        </w:rPr>
        <w:t>。</w:t>
      </w:r>
    </w:p>
    <w:p w14:paraId="46EE2092">
      <w:pPr>
        <w:bidi w:val="0"/>
        <w:rPr>
          <w:b/>
          <w:bCs/>
          <w:color w:val="auto"/>
        </w:rPr>
      </w:pPr>
      <w:r>
        <w:rPr>
          <w:b/>
          <w:bCs/>
          <w:color w:val="auto"/>
        </w:rPr>
        <w:t>（二）运行期环境监测计划</w:t>
      </w:r>
    </w:p>
    <w:p w14:paraId="2494607E">
      <w:pPr>
        <w:bidi w:val="0"/>
        <w:rPr>
          <w:color w:val="auto"/>
        </w:rPr>
      </w:pPr>
      <w:r>
        <w:rPr>
          <w:color w:val="auto"/>
        </w:rPr>
        <w:t>项目污染源监督性监测工作由当地环保部门监测站进行。同时，根据《排污单位自行监测技术指南 水处理》（HJ1083-2020）中相关要求，并结合项目实际情况，监测建议内容为：</w:t>
      </w:r>
    </w:p>
    <w:p w14:paraId="2DC9A3CC">
      <w:pPr>
        <w:bidi w:val="0"/>
        <w:rPr>
          <w:color w:val="auto"/>
        </w:rPr>
      </w:pPr>
      <w:r>
        <w:rPr>
          <w:color w:val="auto"/>
        </w:rPr>
        <w:t>1、项目进出水水质监测</w:t>
      </w:r>
    </w:p>
    <w:p w14:paraId="274EDA3E">
      <w:pPr>
        <w:bidi w:val="0"/>
        <w:rPr>
          <w:color w:val="auto"/>
        </w:rPr>
      </w:pPr>
      <w:r>
        <w:rPr>
          <w:color w:val="auto"/>
        </w:rPr>
        <w:t>污水处理厂的废水监测为对污水进水、出水水质的日常监测。</w:t>
      </w:r>
    </w:p>
    <w:p w14:paraId="4E29E99B">
      <w:pPr>
        <w:bidi w:val="0"/>
        <w:rPr>
          <w:color w:val="auto"/>
        </w:rPr>
      </w:pPr>
      <w:r>
        <w:rPr>
          <w:color w:val="auto"/>
        </w:rPr>
        <w:t>①进水监测指标及最低监测频次</w:t>
      </w:r>
    </w:p>
    <w:p w14:paraId="7EDCAF68">
      <w:pPr>
        <w:pStyle w:val="15"/>
        <w:numPr>
          <w:ilvl w:val="0"/>
          <w:numId w:val="41"/>
        </w:numPr>
        <w:bidi w:val="0"/>
        <w:ind w:left="0" w:leftChars="0" w:firstLine="0" w:firstLineChars="0"/>
        <w:rPr>
          <w:color w:val="auto"/>
        </w:rPr>
      </w:pPr>
      <w:r>
        <w:rPr>
          <w:color w:val="auto"/>
        </w:rPr>
        <w:t>工业废水集中处理厂进水监测指标及最低监测频次</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3"/>
        <w:gridCol w:w="4353"/>
        <w:gridCol w:w="2188"/>
      </w:tblGrid>
      <w:tr w14:paraId="2FACF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tcBorders>
              <w:tl2br w:val="nil"/>
              <w:tr2bl w:val="nil"/>
            </w:tcBorders>
            <w:noWrap w:val="0"/>
            <w:vAlign w:val="center"/>
          </w:tcPr>
          <w:p w14:paraId="58A8E999">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2433" w:type="pct"/>
            <w:tcBorders>
              <w:tl2br w:val="nil"/>
              <w:tr2bl w:val="nil"/>
            </w:tcBorders>
            <w:noWrap w:val="0"/>
            <w:vAlign w:val="center"/>
          </w:tcPr>
          <w:p w14:paraId="1F54023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223" w:type="pct"/>
            <w:tcBorders>
              <w:tl2br w:val="nil"/>
              <w:tr2bl w:val="nil"/>
            </w:tcBorders>
            <w:noWrap w:val="0"/>
            <w:vAlign w:val="center"/>
          </w:tcPr>
          <w:p w14:paraId="7AD896C1">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088E6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vMerge w:val="restart"/>
            <w:tcBorders>
              <w:tl2br w:val="nil"/>
              <w:tr2bl w:val="nil"/>
            </w:tcBorders>
            <w:noWrap w:val="0"/>
            <w:vAlign w:val="center"/>
          </w:tcPr>
          <w:p w14:paraId="1DDEFEDC">
            <w:pPr>
              <w:pageBreakBefore w:val="0"/>
              <w:wordWrap/>
              <w:bidi w:val="0"/>
              <w:adjustRightInd/>
              <w:snapToGrid/>
              <w:spacing w:line="240" w:lineRule="auto"/>
              <w:ind w:firstLine="0" w:firstLineChars="0"/>
              <w:jc w:val="center"/>
              <w:rPr>
                <w:color w:val="auto"/>
                <w:sz w:val="21"/>
                <w:szCs w:val="22"/>
              </w:rPr>
            </w:pPr>
            <w:r>
              <w:rPr>
                <w:color w:val="auto"/>
                <w:sz w:val="21"/>
                <w:szCs w:val="22"/>
              </w:rPr>
              <w:t>进水总管</w:t>
            </w:r>
          </w:p>
        </w:tc>
        <w:tc>
          <w:tcPr>
            <w:tcW w:w="2433" w:type="pct"/>
            <w:tcBorders>
              <w:tl2br w:val="nil"/>
              <w:tr2bl w:val="nil"/>
            </w:tcBorders>
            <w:noWrap w:val="0"/>
            <w:vAlign w:val="center"/>
          </w:tcPr>
          <w:p w14:paraId="5749C5DB">
            <w:pPr>
              <w:pageBreakBefore w:val="0"/>
              <w:wordWrap/>
              <w:bidi w:val="0"/>
              <w:adjustRightInd/>
              <w:snapToGrid/>
              <w:spacing w:line="240" w:lineRule="auto"/>
              <w:ind w:firstLine="0" w:firstLineChars="0"/>
              <w:jc w:val="center"/>
              <w:rPr>
                <w:color w:val="auto"/>
                <w:sz w:val="21"/>
                <w:szCs w:val="22"/>
              </w:rPr>
            </w:pPr>
            <w:r>
              <w:rPr>
                <w:color w:val="auto"/>
                <w:sz w:val="21"/>
                <w:szCs w:val="22"/>
              </w:rPr>
              <w:t>流量、化学需氧量、氨氮</w:t>
            </w:r>
          </w:p>
        </w:tc>
        <w:tc>
          <w:tcPr>
            <w:tcW w:w="1223" w:type="pct"/>
            <w:tcBorders>
              <w:tl2br w:val="nil"/>
              <w:tr2bl w:val="nil"/>
            </w:tcBorders>
            <w:noWrap w:val="0"/>
            <w:vAlign w:val="center"/>
          </w:tcPr>
          <w:p w14:paraId="79680B19">
            <w:pPr>
              <w:pageBreakBefore w:val="0"/>
              <w:wordWrap/>
              <w:bidi w:val="0"/>
              <w:adjustRightInd/>
              <w:snapToGrid/>
              <w:spacing w:line="240" w:lineRule="auto"/>
              <w:ind w:firstLine="0" w:firstLineChars="0"/>
              <w:jc w:val="center"/>
              <w:rPr>
                <w:color w:val="auto"/>
                <w:sz w:val="21"/>
                <w:szCs w:val="22"/>
              </w:rPr>
            </w:pPr>
            <w:r>
              <w:rPr>
                <w:color w:val="auto"/>
                <w:sz w:val="21"/>
                <w:szCs w:val="22"/>
              </w:rPr>
              <w:t>自动监测</w:t>
            </w:r>
          </w:p>
        </w:tc>
      </w:tr>
      <w:tr w14:paraId="201C8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vMerge w:val="continue"/>
            <w:tcBorders>
              <w:tl2br w:val="nil"/>
              <w:tr2bl w:val="nil"/>
            </w:tcBorders>
            <w:noWrap w:val="0"/>
            <w:vAlign w:val="center"/>
          </w:tcPr>
          <w:p w14:paraId="63F13721">
            <w:pPr>
              <w:pageBreakBefore w:val="0"/>
              <w:wordWrap/>
              <w:bidi w:val="0"/>
              <w:adjustRightInd/>
              <w:snapToGrid/>
              <w:spacing w:line="240" w:lineRule="auto"/>
              <w:ind w:firstLine="0" w:firstLineChars="0"/>
              <w:jc w:val="center"/>
              <w:rPr>
                <w:color w:val="auto"/>
                <w:sz w:val="21"/>
                <w:szCs w:val="22"/>
              </w:rPr>
            </w:pPr>
          </w:p>
        </w:tc>
        <w:tc>
          <w:tcPr>
            <w:tcW w:w="2433" w:type="pct"/>
            <w:tcBorders>
              <w:tl2br w:val="nil"/>
              <w:tr2bl w:val="nil"/>
            </w:tcBorders>
            <w:noWrap w:val="0"/>
            <w:vAlign w:val="center"/>
          </w:tcPr>
          <w:p w14:paraId="15654467">
            <w:pPr>
              <w:pageBreakBefore w:val="0"/>
              <w:wordWrap/>
              <w:bidi w:val="0"/>
              <w:adjustRightInd/>
              <w:snapToGrid/>
              <w:spacing w:line="240" w:lineRule="auto"/>
              <w:ind w:firstLine="0" w:firstLineChars="0"/>
              <w:jc w:val="center"/>
              <w:rPr>
                <w:rFonts w:hint="default" w:eastAsia="宋体"/>
                <w:color w:val="auto"/>
                <w:sz w:val="21"/>
                <w:szCs w:val="22"/>
                <w:lang w:val="en-US" w:eastAsia="zh-CN"/>
              </w:rPr>
            </w:pPr>
            <w:r>
              <w:rPr>
                <w:color w:val="auto"/>
                <w:sz w:val="21"/>
                <w:szCs w:val="22"/>
              </w:rPr>
              <w:t>总磷、总氮</w:t>
            </w:r>
          </w:p>
        </w:tc>
        <w:tc>
          <w:tcPr>
            <w:tcW w:w="1223" w:type="pct"/>
            <w:tcBorders>
              <w:tl2br w:val="nil"/>
              <w:tr2bl w:val="nil"/>
            </w:tcBorders>
            <w:noWrap w:val="0"/>
            <w:vAlign w:val="center"/>
          </w:tcPr>
          <w:p w14:paraId="38DE6705">
            <w:pPr>
              <w:pageBreakBefore w:val="0"/>
              <w:wordWrap/>
              <w:bidi w:val="0"/>
              <w:adjustRightInd/>
              <w:snapToGrid/>
              <w:spacing w:line="240" w:lineRule="auto"/>
              <w:ind w:firstLine="0" w:firstLineChars="0"/>
              <w:jc w:val="center"/>
              <w:rPr>
                <w:color w:val="auto"/>
                <w:sz w:val="21"/>
                <w:szCs w:val="22"/>
              </w:rPr>
            </w:pPr>
            <w:r>
              <w:rPr>
                <w:color w:val="auto"/>
                <w:sz w:val="21"/>
                <w:szCs w:val="22"/>
              </w:rPr>
              <w:t>日</w:t>
            </w:r>
          </w:p>
        </w:tc>
      </w:tr>
    </w:tbl>
    <w:p w14:paraId="258D0F6A">
      <w:pPr>
        <w:pStyle w:val="31"/>
        <w:pageBreakBefore w:val="0"/>
        <w:wordWrap/>
        <w:bidi w:val="0"/>
        <w:adjustRightInd/>
        <w:snapToGrid/>
        <w:spacing w:before="120" w:beforeLines="50" w:line="360" w:lineRule="auto"/>
        <w:ind w:left="0" w:leftChars="0" w:firstLine="480"/>
        <w:rPr>
          <w:color w:val="auto"/>
          <w:kern w:val="2"/>
          <w:sz w:val="24"/>
          <w:szCs w:val="22"/>
        </w:rPr>
      </w:pPr>
      <w:r>
        <w:rPr>
          <w:color w:val="auto"/>
          <w:kern w:val="2"/>
          <w:sz w:val="24"/>
          <w:szCs w:val="22"/>
        </w:rPr>
        <w:t>②出水监测指标及最低监测频次</w:t>
      </w:r>
    </w:p>
    <w:p w14:paraId="7124A895">
      <w:pPr>
        <w:pStyle w:val="15"/>
        <w:numPr>
          <w:ilvl w:val="0"/>
          <w:numId w:val="41"/>
        </w:numPr>
        <w:bidi w:val="0"/>
        <w:ind w:left="0" w:leftChars="0" w:firstLine="0" w:firstLineChars="0"/>
        <w:rPr>
          <w:color w:val="auto"/>
        </w:rPr>
      </w:pPr>
      <w:r>
        <w:rPr>
          <w:color w:val="auto"/>
        </w:rPr>
        <w:t>工业废水集中处理厂废水排放监测指标及最低监测频次</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6"/>
        <w:gridCol w:w="3301"/>
        <w:gridCol w:w="2865"/>
      </w:tblGrid>
      <w:tr w14:paraId="208D5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1DC0CD77">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845" w:type="pct"/>
            <w:tcBorders>
              <w:tl2br w:val="nil"/>
              <w:tr2bl w:val="nil"/>
            </w:tcBorders>
            <w:noWrap w:val="0"/>
            <w:vAlign w:val="center"/>
          </w:tcPr>
          <w:p w14:paraId="5461F0C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1" w:type="pct"/>
            <w:tcBorders>
              <w:tl2br w:val="nil"/>
              <w:tr2bl w:val="nil"/>
            </w:tcBorders>
            <w:noWrap w:val="0"/>
            <w:vAlign w:val="center"/>
          </w:tcPr>
          <w:p w14:paraId="2C4DF43C">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368BA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restart"/>
            <w:tcBorders>
              <w:tl2br w:val="nil"/>
              <w:tr2bl w:val="nil"/>
            </w:tcBorders>
            <w:noWrap w:val="0"/>
            <w:vAlign w:val="center"/>
          </w:tcPr>
          <w:p w14:paraId="2531A940">
            <w:pPr>
              <w:pageBreakBefore w:val="0"/>
              <w:wordWrap/>
              <w:bidi w:val="0"/>
              <w:adjustRightInd/>
              <w:snapToGrid/>
              <w:spacing w:line="240" w:lineRule="auto"/>
              <w:ind w:firstLine="0" w:firstLineChars="0"/>
              <w:jc w:val="center"/>
              <w:rPr>
                <w:color w:val="auto"/>
                <w:sz w:val="21"/>
                <w:szCs w:val="22"/>
              </w:rPr>
            </w:pPr>
            <w:r>
              <w:rPr>
                <w:color w:val="auto"/>
                <w:sz w:val="21"/>
                <w:szCs w:val="22"/>
              </w:rPr>
              <w:t>废水总排放口</w:t>
            </w:r>
          </w:p>
        </w:tc>
        <w:tc>
          <w:tcPr>
            <w:tcW w:w="1845" w:type="pct"/>
            <w:tcBorders>
              <w:tl2br w:val="nil"/>
              <w:tr2bl w:val="nil"/>
            </w:tcBorders>
            <w:noWrap w:val="0"/>
            <w:vAlign w:val="center"/>
          </w:tcPr>
          <w:p w14:paraId="157A4813">
            <w:pPr>
              <w:pageBreakBefore w:val="0"/>
              <w:wordWrap/>
              <w:bidi w:val="0"/>
              <w:adjustRightInd/>
              <w:snapToGrid/>
              <w:spacing w:line="240" w:lineRule="auto"/>
              <w:ind w:firstLine="0" w:firstLineChars="0"/>
              <w:jc w:val="center"/>
              <w:rPr>
                <w:rFonts w:hint="eastAsia" w:eastAsia="宋体"/>
                <w:color w:val="auto"/>
                <w:sz w:val="21"/>
                <w:szCs w:val="22"/>
                <w:lang w:eastAsia="zh-CN"/>
              </w:rPr>
            </w:pPr>
            <w:r>
              <w:rPr>
                <w:color w:val="auto"/>
                <w:sz w:val="21"/>
                <w:szCs w:val="22"/>
              </w:rPr>
              <w:t>流量、pH、水温、化学需氧量、氨氮、总磷、总氮</w:t>
            </w:r>
          </w:p>
        </w:tc>
        <w:tc>
          <w:tcPr>
            <w:tcW w:w="1601" w:type="pct"/>
            <w:tcBorders>
              <w:tl2br w:val="nil"/>
              <w:tr2bl w:val="nil"/>
            </w:tcBorders>
            <w:noWrap w:val="0"/>
            <w:vAlign w:val="center"/>
          </w:tcPr>
          <w:p w14:paraId="5A84AFBA">
            <w:pPr>
              <w:pageBreakBefore w:val="0"/>
              <w:wordWrap/>
              <w:bidi w:val="0"/>
              <w:adjustRightInd/>
              <w:snapToGrid/>
              <w:spacing w:line="240" w:lineRule="auto"/>
              <w:ind w:firstLine="0" w:firstLineChars="0"/>
              <w:jc w:val="center"/>
              <w:rPr>
                <w:color w:val="auto"/>
                <w:sz w:val="21"/>
                <w:szCs w:val="22"/>
              </w:rPr>
            </w:pPr>
            <w:r>
              <w:rPr>
                <w:color w:val="auto"/>
                <w:sz w:val="21"/>
                <w:szCs w:val="22"/>
              </w:rPr>
              <w:t>自动监测</w:t>
            </w:r>
          </w:p>
        </w:tc>
      </w:tr>
      <w:tr w14:paraId="19693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006E2256">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266444E3">
            <w:pPr>
              <w:pageBreakBefore w:val="0"/>
              <w:wordWrap/>
              <w:bidi w:val="0"/>
              <w:adjustRightInd/>
              <w:snapToGrid/>
              <w:spacing w:line="240" w:lineRule="auto"/>
              <w:ind w:firstLine="0" w:firstLineChars="0"/>
              <w:jc w:val="center"/>
              <w:rPr>
                <w:rFonts w:hint="eastAsia" w:eastAsia="宋体"/>
                <w:color w:val="auto"/>
                <w:sz w:val="21"/>
                <w:szCs w:val="22"/>
                <w:lang w:eastAsia="zh-CN"/>
              </w:rPr>
            </w:pPr>
            <w:r>
              <w:rPr>
                <w:color w:val="auto"/>
                <w:sz w:val="21"/>
                <w:szCs w:val="22"/>
              </w:rPr>
              <w:t>悬浮物、色度</w:t>
            </w:r>
          </w:p>
        </w:tc>
        <w:tc>
          <w:tcPr>
            <w:tcW w:w="1601" w:type="pct"/>
            <w:tcBorders>
              <w:tl2br w:val="nil"/>
              <w:tr2bl w:val="nil"/>
            </w:tcBorders>
            <w:noWrap w:val="0"/>
            <w:vAlign w:val="center"/>
          </w:tcPr>
          <w:p w14:paraId="299A1F5C">
            <w:pPr>
              <w:pageBreakBefore w:val="0"/>
              <w:wordWrap/>
              <w:bidi w:val="0"/>
              <w:adjustRightInd/>
              <w:snapToGrid/>
              <w:spacing w:line="240" w:lineRule="auto"/>
              <w:ind w:firstLine="0" w:firstLineChars="0"/>
              <w:jc w:val="center"/>
              <w:rPr>
                <w:color w:val="auto"/>
                <w:sz w:val="21"/>
                <w:szCs w:val="22"/>
              </w:rPr>
            </w:pPr>
            <w:r>
              <w:rPr>
                <w:color w:val="auto"/>
                <w:sz w:val="21"/>
                <w:szCs w:val="22"/>
              </w:rPr>
              <w:t>日</w:t>
            </w:r>
          </w:p>
        </w:tc>
      </w:tr>
      <w:tr w14:paraId="124B3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241B56ED">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29896546">
            <w:pPr>
              <w:pageBreakBefore w:val="0"/>
              <w:wordWrap/>
              <w:bidi w:val="0"/>
              <w:adjustRightInd/>
              <w:snapToGrid/>
              <w:spacing w:line="240" w:lineRule="auto"/>
              <w:ind w:firstLine="0" w:firstLineChars="0"/>
              <w:jc w:val="center"/>
              <w:rPr>
                <w:color w:val="auto"/>
                <w:sz w:val="21"/>
                <w:szCs w:val="22"/>
              </w:rPr>
            </w:pPr>
            <w:r>
              <w:rPr>
                <w:color w:val="auto"/>
                <w:sz w:val="21"/>
                <w:szCs w:val="22"/>
              </w:rPr>
              <w:t>五日生化需氧量、石油类</w:t>
            </w:r>
          </w:p>
        </w:tc>
        <w:tc>
          <w:tcPr>
            <w:tcW w:w="1601" w:type="pct"/>
            <w:tcBorders>
              <w:tl2br w:val="nil"/>
              <w:tr2bl w:val="nil"/>
            </w:tcBorders>
            <w:noWrap w:val="0"/>
            <w:vAlign w:val="center"/>
          </w:tcPr>
          <w:p w14:paraId="1646CED0">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r w14:paraId="14FEB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313D46CC">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35A70832">
            <w:pPr>
              <w:pageBreakBefore w:val="0"/>
              <w:wordWrap/>
              <w:bidi w:val="0"/>
              <w:adjustRightInd/>
              <w:snapToGrid/>
              <w:spacing w:line="240" w:lineRule="auto"/>
              <w:ind w:firstLine="0" w:firstLineChars="0"/>
              <w:jc w:val="center"/>
              <w:rPr>
                <w:color w:val="auto"/>
                <w:sz w:val="21"/>
                <w:szCs w:val="22"/>
              </w:rPr>
            </w:pPr>
            <w:r>
              <w:rPr>
                <w:color w:val="auto"/>
                <w:sz w:val="21"/>
                <w:szCs w:val="22"/>
              </w:rPr>
              <w:t>总镉、总铬、总汞、总铅、总砷、六价铬</w:t>
            </w:r>
          </w:p>
        </w:tc>
        <w:tc>
          <w:tcPr>
            <w:tcW w:w="1601" w:type="pct"/>
            <w:tcBorders>
              <w:tl2br w:val="nil"/>
              <w:tr2bl w:val="nil"/>
            </w:tcBorders>
            <w:noWrap w:val="0"/>
            <w:vAlign w:val="center"/>
          </w:tcPr>
          <w:p w14:paraId="2AC774D8">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r w14:paraId="71610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5442817A">
            <w:pPr>
              <w:pageBreakBefore w:val="0"/>
              <w:wordWrap/>
              <w:bidi w:val="0"/>
              <w:adjustRightInd/>
              <w:snapToGrid/>
              <w:spacing w:line="240" w:lineRule="auto"/>
              <w:ind w:firstLine="0" w:firstLineChars="0"/>
              <w:jc w:val="center"/>
              <w:rPr>
                <w:color w:val="auto"/>
                <w:sz w:val="21"/>
                <w:szCs w:val="22"/>
              </w:rPr>
            </w:pPr>
            <w:r>
              <w:rPr>
                <w:color w:val="auto"/>
                <w:sz w:val="21"/>
                <w:szCs w:val="22"/>
              </w:rPr>
              <w:t>雨水排放口</w:t>
            </w:r>
          </w:p>
        </w:tc>
        <w:tc>
          <w:tcPr>
            <w:tcW w:w="1845" w:type="pct"/>
            <w:tcBorders>
              <w:tl2br w:val="nil"/>
              <w:tr2bl w:val="nil"/>
            </w:tcBorders>
            <w:noWrap w:val="0"/>
            <w:vAlign w:val="center"/>
          </w:tcPr>
          <w:p w14:paraId="03C862A8">
            <w:pPr>
              <w:pageBreakBefore w:val="0"/>
              <w:wordWrap/>
              <w:bidi w:val="0"/>
              <w:adjustRightInd/>
              <w:snapToGrid/>
              <w:spacing w:line="240" w:lineRule="auto"/>
              <w:ind w:firstLine="0" w:firstLineChars="0"/>
              <w:jc w:val="center"/>
              <w:rPr>
                <w:color w:val="auto"/>
                <w:sz w:val="21"/>
                <w:szCs w:val="22"/>
              </w:rPr>
            </w:pPr>
            <w:r>
              <w:rPr>
                <w:color w:val="auto"/>
                <w:sz w:val="21"/>
                <w:szCs w:val="22"/>
              </w:rPr>
              <w:t>pH、化学需氧量、氨氮、悬浮物</w:t>
            </w:r>
          </w:p>
        </w:tc>
        <w:tc>
          <w:tcPr>
            <w:tcW w:w="1601" w:type="pct"/>
            <w:tcBorders>
              <w:tl2br w:val="nil"/>
              <w:tr2bl w:val="nil"/>
            </w:tcBorders>
            <w:noWrap w:val="0"/>
            <w:vAlign w:val="center"/>
          </w:tcPr>
          <w:p w14:paraId="3415D653">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bl>
    <w:p w14:paraId="08A80B3C">
      <w:pPr>
        <w:pageBreakBefore w:val="0"/>
        <w:wordWrap/>
        <w:bidi w:val="0"/>
        <w:adjustRightInd/>
        <w:snapToGrid/>
        <w:spacing w:before="120" w:beforeLines="50"/>
        <w:ind w:firstLine="480"/>
        <w:rPr>
          <w:color w:val="auto"/>
          <w:szCs w:val="22"/>
        </w:rPr>
      </w:pPr>
      <w:r>
        <w:rPr>
          <w:color w:val="auto"/>
          <w:szCs w:val="22"/>
        </w:rPr>
        <w:t>事故性废水污染物监测：对于废水事故性排放，应根据需要制定监测方案，及时监测。在污染事故监测时，对受影响的水域必须增加监测断面和监测项目，加密监测采样次数，做好连续监测工作，直至事故性排放消除，恢复正常排放的水质状况为止。</w:t>
      </w:r>
    </w:p>
    <w:p w14:paraId="1EBA2196">
      <w:pPr>
        <w:bidi w:val="0"/>
        <w:rPr>
          <w:color w:val="auto"/>
        </w:rPr>
      </w:pPr>
      <w:r>
        <w:rPr>
          <w:color w:val="auto"/>
        </w:rPr>
        <w:t>2、废气排放监测</w:t>
      </w:r>
    </w:p>
    <w:p w14:paraId="13FACD5E">
      <w:pPr>
        <w:bidi w:val="0"/>
        <w:rPr>
          <w:color w:val="auto"/>
        </w:rPr>
      </w:pPr>
      <w:r>
        <w:rPr>
          <w:color w:val="auto"/>
        </w:rPr>
        <w:t>①有组织废气排放监测</w:t>
      </w:r>
    </w:p>
    <w:p w14:paraId="59395149">
      <w:pPr>
        <w:pStyle w:val="15"/>
        <w:numPr>
          <w:ilvl w:val="0"/>
          <w:numId w:val="41"/>
        </w:numPr>
        <w:bidi w:val="0"/>
        <w:ind w:left="0" w:leftChars="0" w:firstLine="0" w:firstLineChars="0"/>
        <w:rPr>
          <w:color w:val="auto"/>
        </w:rPr>
      </w:pPr>
      <w:r>
        <w:rPr>
          <w:color w:val="auto"/>
        </w:rPr>
        <w:t>有组织废气排放监测指标及最低监测频次</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5"/>
        <w:gridCol w:w="3299"/>
        <w:gridCol w:w="2867"/>
      </w:tblGrid>
      <w:tr w14:paraId="13E47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6BA3D501">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845" w:type="pct"/>
            <w:tcBorders>
              <w:tl2br w:val="nil"/>
              <w:tr2bl w:val="nil"/>
            </w:tcBorders>
            <w:noWrap w:val="0"/>
            <w:vAlign w:val="center"/>
          </w:tcPr>
          <w:p w14:paraId="20119E3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1" w:type="pct"/>
            <w:tcBorders>
              <w:tl2br w:val="nil"/>
              <w:tr2bl w:val="nil"/>
            </w:tcBorders>
            <w:noWrap w:val="0"/>
            <w:vAlign w:val="center"/>
          </w:tcPr>
          <w:p w14:paraId="0D50B852">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6C56B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7CFD6C7B">
            <w:pPr>
              <w:pageBreakBefore w:val="0"/>
              <w:wordWrap/>
              <w:bidi w:val="0"/>
              <w:adjustRightInd/>
              <w:snapToGrid/>
              <w:spacing w:line="240" w:lineRule="auto"/>
              <w:ind w:firstLine="0" w:firstLineChars="0"/>
              <w:jc w:val="center"/>
              <w:rPr>
                <w:color w:val="auto"/>
                <w:sz w:val="21"/>
                <w:szCs w:val="22"/>
              </w:rPr>
            </w:pPr>
            <w:r>
              <w:rPr>
                <w:color w:val="auto"/>
                <w:sz w:val="21"/>
                <w:szCs w:val="22"/>
              </w:rPr>
              <w:t>除臭装置排气筒</w:t>
            </w:r>
          </w:p>
        </w:tc>
        <w:tc>
          <w:tcPr>
            <w:tcW w:w="1845" w:type="pct"/>
            <w:tcBorders>
              <w:tl2br w:val="nil"/>
              <w:tr2bl w:val="nil"/>
            </w:tcBorders>
            <w:noWrap w:val="0"/>
            <w:vAlign w:val="center"/>
          </w:tcPr>
          <w:p w14:paraId="02D1FDDD">
            <w:pPr>
              <w:pageBreakBefore w:val="0"/>
              <w:wordWrap/>
              <w:bidi w:val="0"/>
              <w:adjustRightInd/>
              <w:snapToGrid/>
              <w:spacing w:line="240" w:lineRule="auto"/>
              <w:ind w:firstLine="0" w:firstLineChars="0"/>
              <w:jc w:val="center"/>
              <w:rPr>
                <w:color w:val="auto"/>
                <w:sz w:val="21"/>
                <w:szCs w:val="22"/>
              </w:rPr>
            </w:pPr>
            <w:r>
              <w:rPr>
                <w:color w:val="auto"/>
                <w:sz w:val="21"/>
                <w:szCs w:val="22"/>
              </w:rPr>
              <w:t>臭气浓度、硫化氢、氨</w:t>
            </w:r>
          </w:p>
        </w:tc>
        <w:tc>
          <w:tcPr>
            <w:tcW w:w="1601" w:type="pct"/>
            <w:tcBorders>
              <w:tl2br w:val="nil"/>
              <w:tr2bl w:val="nil"/>
            </w:tcBorders>
            <w:noWrap w:val="0"/>
            <w:vAlign w:val="center"/>
          </w:tcPr>
          <w:p w14:paraId="2356D771">
            <w:pPr>
              <w:pageBreakBefore w:val="0"/>
              <w:wordWrap/>
              <w:bidi w:val="0"/>
              <w:adjustRightInd/>
              <w:snapToGrid/>
              <w:spacing w:line="240" w:lineRule="auto"/>
              <w:ind w:firstLine="0" w:firstLineChars="0"/>
              <w:jc w:val="center"/>
              <w:rPr>
                <w:color w:val="auto"/>
                <w:sz w:val="21"/>
                <w:szCs w:val="22"/>
              </w:rPr>
            </w:pPr>
            <w:r>
              <w:rPr>
                <w:color w:val="auto"/>
                <w:sz w:val="21"/>
                <w:szCs w:val="22"/>
              </w:rPr>
              <w:t>半年</w:t>
            </w:r>
          </w:p>
        </w:tc>
      </w:tr>
      <w:tr w14:paraId="68A9E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0FDCD746">
            <w:pPr>
              <w:pageBreakBefore w:val="0"/>
              <w:wordWrap/>
              <w:bidi w:val="0"/>
              <w:adjustRightInd/>
              <w:snapToGrid/>
              <w:spacing w:line="240" w:lineRule="auto"/>
              <w:ind w:firstLine="0" w:firstLineChars="0"/>
              <w:jc w:val="center"/>
              <w:rPr>
                <w:color w:val="auto"/>
                <w:sz w:val="21"/>
                <w:szCs w:val="22"/>
              </w:rPr>
            </w:pPr>
            <w:r>
              <w:rPr>
                <w:color w:val="auto"/>
                <w:sz w:val="21"/>
                <w:szCs w:val="22"/>
              </w:rPr>
              <w:t>备注：废气烟气参数和污染物浓度应同步监测。</w:t>
            </w:r>
          </w:p>
        </w:tc>
      </w:tr>
    </w:tbl>
    <w:p w14:paraId="3761261E">
      <w:pPr>
        <w:pStyle w:val="31"/>
        <w:pageBreakBefore w:val="0"/>
        <w:wordWrap/>
        <w:bidi w:val="0"/>
        <w:adjustRightInd/>
        <w:snapToGrid/>
        <w:spacing w:before="120" w:beforeLines="50" w:after="0" w:line="360" w:lineRule="auto"/>
        <w:ind w:left="0" w:leftChars="0" w:firstLine="480"/>
        <w:rPr>
          <w:color w:val="auto"/>
          <w:sz w:val="24"/>
          <w:szCs w:val="22"/>
        </w:rPr>
      </w:pPr>
      <w:r>
        <w:rPr>
          <w:color w:val="auto"/>
          <w:sz w:val="24"/>
          <w:szCs w:val="22"/>
        </w:rPr>
        <w:t>②无组织废气排放监测</w:t>
      </w:r>
    </w:p>
    <w:p w14:paraId="7CD816B3">
      <w:pPr>
        <w:pStyle w:val="15"/>
        <w:numPr>
          <w:ilvl w:val="0"/>
          <w:numId w:val="41"/>
        </w:numPr>
        <w:bidi w:val="0"/>
        <w:ind w:left="0" w:leftChars="0" w:firstLine="0" w:firstLineChars="0"/>
        <w:rPr>
          <w:color w:val="auto"/>
        </w:rPr>
      </w:pPr>
      <w:r>
        <w:rPr>
          <w:color w:val="auto"/>
        </w:rPr>
        <w:t>无组织废气排放监测点位、监测指标及最低监测频次</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08"/>
        <w:gridCol w:w="2663"/>
        <w:gridCol w:w="2870"/>
      </w:tblGrid>
      <w:tr w14:paraId="7BF6E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33BBFA5E">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489" w:type="pct"/>
            <w:tcBorders>
              <w:tl2br w:val="nil"/>
              <w:tr2bl w:val="nil"/>
            </w:tcBorders>
            <w:noWrap w:val="0"/>
            <w:vAlign w:val="center"/>
          </w:tcPr>
          <w:p w14:paraId="64C55F0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3" w:type="pct"/>
            <w:tcBorders>
              <w:tl2br w:val="nil"/>
              <w:tr2bl w:val="nil"/>
            </w:tcBorders>
            <w:noWrap w:val="0"/>
            <w:vAlign w:val="center"/>
          </w:tcPr>
          <w:p w14:paraId="3701C626">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628F2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6AA6AE6C">
            <w:pPr>
              <w:pageBreakBefore w:val="0"/>
              <w:wordWrap/>
              <w:bidi w:val="0"/>
              <w:adjustRightInd/>
              <w:snapToGrid/>
              <w:spacing w:line="240" w:lineRule="auto"/>
              <w:ind w:firstLine="0" w:firstLineChars="0"/>
              <w:jc w:val="center"/>
              <w:rPr>
                <w:color w:val="auto"/>
                <w:sz w:val="21"/>
                <w:szCs w:val="22"/>
              </w:rPr>
            </w:pPr>
            <w:r>
              <w:rPr>
                <w:color w:val="auto"/>
                <w:sz w:val="21"/>
                <w:szCs w:val="22"/>
              </w:rPr>
              <w:t>厂界或防护带边缘的浓度最高点</w:t>
            </w:r>
            <w:r>
              <w:rPr>
                <w:color w:val="auto"/>
                <w:sz w:val="21"/>
                <w:szCs w:val="22"/>
                <w:vertAlign w:val="superscript"/>
              </w:rPr>
              <w:t>a</w:t>
            </w:r>
          </w:p>
        </w:tc>
        <w:tc>
          <w:tcPr>
            <w:tcW w:w="1489" w:type="pct"/>
            <w:tcBorders>
              <w:tl2br w:val="nil"/>
              <w:tr2bl w:val="nil"/>
            </w:tcBorders>
            <w:noWrap w:val="0"/>
            <w:vAlign w:val="center"/>
          </w:tcPr>
          <w:p w14:paraId="141FE178">
            <w:pPr>
              <w:pageBreakBefore w:val="0"/>
              <w:wordWrap/>
              <w:bidi w:val="0"/>
              <w:adjustRightInd/>
              <w:snapToGrid/>
              <w:spacing w:line="240" w:lineRule="auto"/>
              <w:ind w:firstLine="0" w:firstLineChars="0"/>
              <w:jc w:val="center"/>
              <w:rPr>
                <w:color w:val="auto"/>
                <w:sz w:val="21"/>
                <w:szCs w:val="22"/>
              </w:rPr>
            </w:pPr>
            <w:r>
              <w:rPr>
                <w:color w:val="auto"/>
                <w:sz w:val="21"/>
                <w:szCs w:val="22"/>
              </w:rPr>
              <w:t>臭气浓度、硫化氢、氨</w:t>
            </w:r>
          </w:p>
        </w:tc>
        <w:tc>
          <w:tcPr>
            <w:tcW w:w="1603" w:type="pct"/>
            <w:tcBorders>
              <w:tl2br w:val="nil"/>
              <w:tr2bl w:val="nil"/>
            </w:tcBorders>
            <w:noWrap w:val="0"/>
            <w:vAlign w:val="center"/>
          </w:tcPr>
          <w:p w14:paraId="21F49F0B">
            <w:pPr>
              <w:pageBreakBefore w:val="0"/>
              <w:wordWrap/>
              <w:bidi w:val="0"/>
              <w:adjustRightInd/>
              <w:snapToGrid/>
              <w:spacing w:line="240" w:lineRule="auto"/>
              <w:ind w:firstLine="0" w:firstLineChars="0"/>
              <w:jc w:val="center"/>
              <w:rPr>
                <w:color w:val="auto"/>
                <w:sz w:val="21"/>
                <w:szCs w:val="22"/>
              </w:rPr>
            </w:pPr>
            <w:r>
              <w:rPr>
                <w:color w:val="auto"/>
                <w:sz w:val="21"/>
                <w:szCs w:val="22"/>
              </w:rPr>
              <w:t>半年</w:t>
            </w:r>
          </w:p>
        </w:tc>
      </w:tr>
      <w:tr w14:paraId="4D29C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5F0EE19F">
            <w:pPr>
              <w:pageBreakBefore w:val="0"/>
              <w:wordWrap/>
              <w:bidi w:val="0"/>
              <w:adjustRightInd/>
              <w:snapToGrid/>
              <w:spacing w:line="240" w:lineRule="auto"/>
              <w:ind w:firstLine="0" w:firstLineChars="0"/>
              <w:jc w:val="center"/>
              <w:rPr>
                <w:color w:val="auto"/>
                <w:sz w:val="21"/>
                <w:szCs w:val="22"/>
              </w:rPr>
            </w:pPr>
            <w:r>
              <w:rPr>
                <w:color w:val="auto"/>
                <w:sz w:val="21"/>
                <w:szCs w:val="22"/>
              </w:rPr>
              <w:t>厂区甲烷体积浓度最高处</w:t>
            </w:r>
            <w:r>
              <w:rPr>
                <w:color w:val="auto"/>
                <w:sz w:val="21"/>
                <w:szCs w:val="22"/>
                <w:vertAlign w:val="superscript"/>
              </w:rPr>
              <w:t>b</w:t>
            </w:r>
          </w:p>
        </w:tc>
        <w:tc>
          <w:tcPr>
            <w:tcW w:w="1489" w:type="pct"/>
            <w:tcBorders>
              <w:tl2br w:val="nil"/>
              <w:tr2bl w:val="nil"/>
            </w:tcBorders>
            <w:noWrap w:val="0"/>
            <w:vAlign w:val="center"/>
          </w:tcPr>
          <w:p w14:paraId="0C0CB1FB">
            <w:pPr>
              <w:pageBreakBefore w:val="0"/>
              <w:wordWrap/>
              <w:bidi w:val="0"/>
              <w:adjustRightInd/>
              <w:snapToGrid/>
              <w:spacing w:line="240" w:lineRule="auto"/>
              <w:ind w:firstLine="0" w:firstLineChars="0"/>
              <w:jc w:val="center"/>
              <w:rPr>
                <w:color w:val="auto"/>
                <w:sz w:val="21"/>
                <w:szCs w:val="22"/>
              </w:rPr>
            </w:pPr>
            <w:r>
              <w:rPr>
                <w:color w:val="auto"/>
                <w:sz w:val="21"/>
                <w:szCs w:val="22"/>
              </w:rPr>
              <w:t>甲烷</w:t>
            </w:r>
            <w:r>
              <w:rPr>
                <w:color w:val="auto"/>
                <w:sz w:val="21"/>
                <w:szCs w:val="22"/>
                <w:vertAlign w:val="superscript"/>
              </w:rPr>
              <w:t>c</w:t>
            </w:r>
          </w:p>
        </w:tc>
        <w:tc>
          <w:tcPr>
            <w:tcW w:w="1603" w:type="pct"/>
            <w:tcBorders>
              <w:tl2br w:val="nil"/>
              <w:tr2bl w:val="nil"/>
            </w:tcBorders>
            <w:noWrap w:val="0"/>
            <w:vAlign w:val="center"/>
          </w:tcPr>
          <w:p w14:paraId="02A99586">
            <w:pPr>
              <w:pageBreakBefore w:val="0"/>
              <w:wordWrap/>
              <w:bidi w:val="0"/>
              <w:adjustRightInd/>
              <w:snapToGrid/>
              <w:spacing w:line="240" w:lineRule="auto"/>
              <w:ind w:firstLine="0" w:firstLineChars="0"/>
              <w:jc w:val="center"/>
              <w:rPr>
                <w:color w:val="auto"/>
                <w:sz w:val="21"/>
                <w:szCs w:val="22"/>
              </w:rPr>
            </w:pPr>
            <w:r>
              <w:rPr>
                <w:color w:val="auto"/>
                <w:sz w:val="21"/>
                <w:szCs w:val="22"/>
              </w:rPr>
              <w:t>年</w:t>
            </w:r>
          </w:p>
        </w:tc>
      </w:tr>
      <w:tr w14:paraId="0D48A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741B0030">
            <w:pPr>
              <w:pageBreakBefore w:val="0"/>
              <w:wordWrap/>
              <w:bidi w:val="0"/>
              <w:adjustRightInd/>
              <w:snapToGrid/>
              <w:spacing w:line="240" w:lineRule="auto"/>
              <w:ind w:firstLine="0" w:firstLineChars="0"/>
              <w:jc w:val="left"/>
              <w:rPr>
                <w:color w:val="auto"/>
                <w:sz w:val="21"/>
                <w:szCs w:val="22"/>
              </w:rPr>
            </w:pPr>
            <w:r>
              <w:rPr>
                <w:color w:val="auto"/>
                <w:sz w:val="21"/>
                <w:szCs w:val="22"/>
              </w:rPr>
              <w:t>备注：a防护带边缘的浓度最高点，通常位于靠近污泥脱水机房附近。</w:t>
            </w:r>
          </w:p>
          <w:p w14:paraId="5E932A0A">
            <w:pPr>
              <w:pageBreakBefore w:val="0"/>
              <w:wordWrap/>
              <w:bidi w:val="0"/>
              <w:adjustRightInd/>
              <w:snapToGrid/>
              <w:spacing w:line="240" w:lineRule="auto"/>
              <w:ind w:firstLine="0" w:firstLineChars="0"/>
              <w:jc w:val="left"/>
              <w:rPr>
                <w:color w:val="auto"/>
                <w:sz w:val="21"/>
                <w:szCs w:val="22"/>
              </w:rPr>
            </w:pPr>
            <w:r>
              <w:rPr>
                <w:rFonts w:hint="eastAsia"/>
                <w:color w:val="auto"/>
                <w:sz w:val="21"/>
                <w:szCs w:val="22"/>
                <w:lang w:val="en-US" w:eastAsia="zh-CN"/>
              </w:rPr>
              <w:t>b</w:t>
            </w:r>
            <w:r>
              <w:rPr>
                <w:color w:val="auto"/>
                <w:sz w:val="21"/>
                <w:szCs w:val="22"/>
              </w:rPr>
              <w:t>通常位于格栅、初沉池、污泥消化池、污泥浓缩池、污泥脱水机房等位置，选取浓度最高点设置监测点位。</w:t>
            </w:r>
          </w:p>
          <w:p w14:paraId="2CF41AB9">
            <w:pPr>
              <w:pageBreakBefore w:val="0"/>
              <w:wordWrap/>
              <w:bidi w:val="0"/>
              <w:adjustRightInd/>
              <w:snapToGrid/>
              <w:spacing w:line="240" w:lineRule="auto"/>
              <w:ind w:firstLine="0" w:firstLineChars="0"/>
              <w:jc w:val="left"/>
              <w:rPr>
                <w:color w:val="auto"/>
                <w:sz w:val="21"/>
                <w:szCs w:val="22"/>
              </w:rPr>
            </w:pPr>
            <w:r>
              <w:rPr>
                <w:rFonts w:hint="eastAsia"/>
                <w:color w:val="auto"/>
                <w:sz w:val="21"/>
                <w:szCs w:val="22"/>
                <w:lang w:val="en-US" w:eastAsia="zh-CN"/>
              </w:rPr>
              <w:t>c</w:t>
            </w:r>
            <w:r>
              <w:rPr>
                <w:color w:val="auto"/>
                <w:sz w:val="21"/>
                <w:szCs w:val="22"/>
              </w:rPr>
              <w:t>执行GB18918的排放单位执行。废气烟气参数和污染物浓度应同步监测。</w:t>
            </w:r>
          </w:p>
        </w:tc>
      </w:tr>
    </w:tbl>
    <w:p w14:paraId="5DB8AB92">
      <w:pPr>
        <w:pageBreakBefore w:val="0"/>
        <w:wordWrap/>
        <w:bidi w:val="0"/>
        <w:adjustRightInd/>
        <w:snapToGrid/>
        <w:spacing w:before="120" w:beforeLines="50"/>
        <w:ind w:firstLine="480"/>
        <w:rPr>
          <w:color w:val="auto"/>
          <w:szCs w:val="22"/>
        </w:rPr>
      </w:pPr>
      <w:r>
        <w:rPr>
          <w:color w:val="auto"/>
          <w:szCs w:val="22"/>
        </w:rPr>
        <w:t>3、厂界环境噪声监测</w:t>
      </w:r>
    </w:p>
    <w:p w14:paraId="1D6DCF82">
      <w:pPr>
        <w:pStyle w:val="15"/>
        <w:numPr>
          <w:ilvl w:val="0"/>
          <w:numId w:val="41"/>
        </w:numPr>
        <w:bidi w:val="0"/>
        <w:ind w:left="0" w:leftChars="0" w:firstLine="0" w:firstLineChars="0"/>
        <w:rPr>
          <w:color w:val="auto"/>
        </w:rPr>
      </w:pPr>
      <w:r>
        <w:rPr>
          <w:color w:val="auto"/>
        </w:rPr>
        <w:t>厂界环境噪声监测指标及最低监测频次</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57"/>
        <w:gridCol w:w="2734"/>
        <w:gridCol w:w="3750"/>
      </w:tblGrid>
      <w:tr w14:paraId="7F4DC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noWrap w:val="0"/>
            <w:vAlign w:val="center"/>
          </w:tcPr>
          <w:p w14:paraId="19A35DF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监测点位</w:t>
            </w:r>
          </w:p>
        </w:tc>
        <w:tc>
          <w:tcPr>
            <w:tcW w:w="1529" w:type="pct"/>
            <w:tcBorders>
              <w:tl2br w:val="nil"/>
              <w:tr2bl w:val="nil"/>
            </w:tcBorders>
            <w:noWrap w:val="0"/>
            <w:vAlign w:val="center"/>
          </w:tcPr>
          <w:p w14:paraId="7D59E9F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2095" w:type="pct"/>
            <w:tcBorders>
              <w:tl2br w:val="nil"/>
              <w:tr2bl w:val="nil"/>
            </w:tcBorders>
            <w:noWrap w:val="0"/>
            <w:vAlign w:val="center"/>
          </w:tcPr>
          <w:p w14:paraId="4353BE27">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15F99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noWrap w:val="0"/>
            <w:vAlign w:val="center"/>
          </w:tcPr>
          <w:p w14:paraId="1DE824E5">
            <w:pPr>
              <w:pageBreakBefore w:val="0"/>
              <w:wordWrap/>
              <w:bidi w:val="0"/>
              <w:adjustRightInd/>
              <w:snapToGrid/>
              <w:spacing w:line="240" w:lineRule="auto"/>
              <w:ind w:firstLine="0" w:firstLineChars="0"/>
              <w:jc w:val="center"/>
              <w:rPr>
                <w:color w:val="auto"/>
                <w:sz w:val="21"/>
                <w:szCs w:val="22"/>
              </w:rPr>
            </w:pPr>
            <w:r>
              <w:rPr>
                <w:color w:val="auto"/>
                <w:sz w:val="21"/>
                <w:szCs w:val="22"/>
              </w:rPr>
              <w:t>厂界四周</w:t>
            </w:r>
          </w:p>
        </w:tc>
        <w:tc>
          <w:tcPr>
            <w:tcW w:w="1529" w:type="pct"/>
            <w:tcBorders>
              <w:tl2br w:val="nil"/>
              <w:tr2bl w:val="nil"/>
            </w:tcBorders>
            <w:noWrap w:val="0"/>
            <w:vAlign w:val="center"/>
          </w:tcPr>
          <w:p w14:paraId="70146286">
            <w:pPr>
              <w:pageBreakBefore w:val="0"/>
              <w:wordWrap/>
              <w:bidi w:val="0"/>
              <w:adjustRightInd/>
              <w:snapToGrid/>
              <w:spacing w:line="240" w:lineRule="auto"/>
              <w:ind w:firstLine="0" w:firstLineChars="0"/>
              <w:jc w:val="center"/>
              <w:rPr>
                <w:color w:val="auto"/>
                <w:sz w:val="21"/>
                <w:szCs w:val="22"/>
              </w:rPr>
            </w:pPr>
            <w:r>
              <w:rPr>
                <w:color w:val="auto"/>
                <w:sz w:val="21"/>
                <w:szCs w:val="22"/>
              </w:rPr>
              <w:t>等效连续A声级</w:t>
            </w:r>
          </w:p>
        </w:tc>
        <w:tc>
          <w:tcPr>
            <w:tcW w:w="2095" w:type="pct"/>
            <w:tcBorders>
              <w:tl2br w:val="nil"/>
              <w:tr2bl w:val="nil"/>
            </w:tcBorders>
            <w:noWrap w:val="0"/>
            <w:vAlign w:val="center"/>
          </w:tcPr>
          <w:p w14:paraId="79248FDC">
            <w:pPr>
              <w:pageBreakBefore w:val="0"/>
              <w:wordWrap/>
              <w:bidi w:val="0"/>
              <w:adjustRightInd/>
              <w:snapToGrid/>
              <w:spacing w:line="240" w:lineRule="auto"/>
              <w:ind w:firstLine="0" w:firstLineChars="0"/>
              <w:jc w:val="center"/>
              <w:rPr>
                <w:color w:val="auto"/>
                <w:sz w:val="21"/>
                <w:szCs w:val="22"/>
              </w:rPr>
            </w:pPr>
            <w:r>
              <w:rPr>
                <w:color w:val="auto"/>
                <w:sz w:val="21"/>
                <w:szCs w:val="22"/>
              </w:rPr>
              <w:t>昼夜各一次/季度</w:t>
            </w:r>
          </w:p>
        </w:tc>
      </w:tr>
      <w:tr w14:paraId="375EF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6A1D7D70">
            <w:pPr>
              <w:pageBreakBefore w:val="0"/>
              <w:wordWrap/>
              <w:bidi w:val="0"/>
              <w:adjustRightInd/>
              <w:snapToGrid/>
              <w:spacing w:line="240" w:lineRule="auto"/>
              <w:ind w:firstLine="0" w:firstLineChars="0"/>
              <w:jc w:val="left"/>
              <w:rPr>
                <w:color w:val="auto"/>
                <w:sz w:val="21"/>
                <w:szCs w:val="22"/>
              </w:rPr>
            </w:pPr>
            <w:r>
              <w:rPr>
                <w:color w:val="auto"/>
                <w:sz w:val="21"/>
                <w:szCs w:val="22"/>
              </w:rPr>
              <w:t>备注：点位布设时应考虑曝气机、污泥回流泵、污泥脱水机、空压机、各类风机等噪声源在厂区内的分布情况。</w:t>
            </w:r>
          </w:p>
        </w:tc>
      </w:tr>
    </w:tbl>
    <w:p w14:paraId="00572EC2">
      <w:pPr>
        <w:pageBreakBefore w:val="0"/>
        <w:wordWrap/>
        <w:bidi w:val="0"/>
        <w:adjustRightInd/>
        <w:snapToGrid/>
        <w:spacing w:before="120" w:beforeLines="50"/>
        <w:ind w:firstLine="480"/>
        <w:rPr>
          <w:color w:val="auto"/>
          <w:szCs w:val="22"/>
        </w:rPr>
      </w:pPr>
      <w:r>
        <w:rPr>
          <w:color w:val="auto"/>
          <w:szCs w:val="22"/>
        </w:rPr>
        <w:t>4、环境质量监测</w:t>
      </w:r>
    </w:p>
    <w:p w14:paraId="1D735885">
      <w:pPr>
        <w:pageBreakBefore w:val="0"/>
        <w:wordWrap/>
        <w:bidi w:val="0"/>
        <w:adjustRightInd/>
        <w:snapToGrid/>
        <w:ind w:firstLine="480"/>
        <w:rPr>
          <w:color w:val="auto"/>
          <w:szCs w:val="22"/>
        </w:rPr>
      </w:pPr>
      <w:r>
        <w:rPr>
          <w:color w:val="auto"/>
          <w:szCs w:val="22"/>
        </w:rPr>
        <w:t>（1）地表水环境监测</w:t>
      </w:r>
    </w:p>
    <w:p w14:paraId="5BA17E73">
      <w:pPr>
        <w:pageBreakBefore w:val="0"/>
        <w:wordWrap/>
        <w:bidi w:val="0"/>
        <w:adjustRightInd/>
        <w:snapToGrid/>
        <w:ind w:firstLine="480"/>
        <w:rPr>
          <w:color w:val="auto"/>
          <w:szCs w:val="22"/>
        </w:rPr>
      </w:pPr>
      <w:r>
        <w:rPr>
          <w:color w:val="auto"/>
          <w:szCs w:val="22"/>
        </w:rPr>
        <w:t>监测断面：</w:t>
      </w:r>
      <w:r>
        <w:rPr>
          <w:rFonts w:hint="eastAsia"/>
          <w:color w:val="auto"/>
          <w:szCs w:val="22"/>
          <w:lang w:val="en-US" w:eastAsia="zh-CN"/>
        </w:rPr>
        <w:t>2</w:t>
      </w:r>
      <w:r>
        <w:rPr>
          <w:color w:val="auto"/>
          <w:szCs w:val="22"/>
        </w:rPr>
        <w:t>个，分别是污水处理厂排口上游500m处、排口下游2000m处。</w:t>
      </w:r>
    </w:p>
    <w:p w14:paraId="7F7133E1">
      <w:pPr>
        <w:pageBreakBefore w:val="0"/>
        <w:wordWrap/>
        <w:bidi w:val="0"/>
        <w:adjustRightInd/>
        <w:snapToGrid/>
        <w:ind w:firstLine="480"/>
        <w:rPr>
          <w:color w:val="auto"/>
          <w:szCs w:val="22"/>
        </w:rPr>
      </w:pPr>
      <w:r>
        <w:rPr>
          <w:color w:val="auto"/>
          <w:szCs w:val="22"/>
        </w:rPr>
        <w:t>监测指标：pH值、悬浮物、化学需氧量、五日生化需氧量、氨氮、总磷、总氮、石油类、溶解氧、氟化物、粪大肠菌群。</w:t>
      </w:r>
    </w:p>
    <w:p w14:paraId="64819295">
      <w:pPr>
        <w:pageBreakBefore w:val="0"/>
        <w:wordWrap/>
        <w:bidi w:val="0"/>
        <w:adjustRightInd/>
        <w:snapToGrid/>
        <w:ind w:firstLine="480"/>
        <w:rPr>
          <w:color w:val="auto"/>
          <w:szCs w:val="22"/>
        </w:rPr>
      </w:pPr>
      <w:r>
        <w:rPr>
          <w:color w:val="auto"/>
          <w:szCs w:val="22"/>
        </w:rPr>
        <w:t>监测频率：每年丰、枯、平水期至少各监测一次。</w:t>
      </w:r>
    </w:p>
    <w:p w14:paraId="7D9A6FF1">
      <w:pPr>
        <w:pageBreakBefore w:val="0"/>
        <w:wordWrap/>
        <w:bidi w:val="0"/>
        <w:adjustRightInd/>
        <w:snapToGrid/>
        <w:ind w:firstLine="480"/>
        <w:rPr>
          <w:color w:val="auto"/>
          <w:szCs w:val="22"/>
        </w:rPr>
      </w:pPr>
      <w:r>
        <w:rPr>
          <w:color w:val="auto"/>
          <w:szCs w:val="22"/>
        </w:rPr>
        <w:t>（2）地下水环境监测</w:t>
      </w:r>
    </w:p>
    <w:p w14:paraId="4D16AE9E">
      <w:pPr>
        <w:pageBreakBefore w:val="0"/>
        <w:wordWrap/>
        <w:bidi w:val="0"/>
        <w:adjustRightInd/>
        <w:snapToGrid/>
        <w:ind w:firstLine="480"/>
        <w:rPr>
          <w:color w:val="auto"/>
          <w:szCs w:val="22"/>
        </w:rPr>
      </w:pPr>
      <w:r>
        <w:rPr>
          <w:color w:val="auto"/>
          <w:szCs w:val="22"/>
        </w:rPr>
        <w:t>监测点位：3个监测井，分别为地下水水流方向上游、项目所在地和地下水水流方向下游。</w:t>
      </w:r>
    </w:p>
    <w:p w14:paraId="00C433D3">
      <w:pPr>
        <w:pageBreakBefore w:val="0"/>
        <w:wordWrap/>
        <w:bidi w:val="0"/>
        <w:adjustRightInd/>
        <w:snapToGrid/>
        <w:ind w:firstLine="480"/>
        <w:rPr>
          <w:color w:val="auto"/>
        </w:rPr>
      </w:pPr>
      <w:r>
        <w:rPr>
          <w:color w:val="auto"/>
          <w:szCs w:val="22"/>
        </w:rPr>
        <w:t>监测指标：</w:t>
      </w:r>
      <w:r>
        <w:rPr>
          <w:color w:val="auto"/>
        </w:rPr>
        <w:t>地下水水位、耗氧量、NH</w:t>
      </w:r>
      <w:r>
        <w:rPr>
          <w:color w:val="auto"/>
          <w:vertAlign w:val="subscript"/>
        </w:rPr>
        <w:t>3</w:t>
      </w:r>
      <w:r>
        <w:rPr>
          <w:color w:val="auto"/>
        </w:rPr>
        <w:t>-N</w:t>
      </w:r>
      <w:r>
        <w:rPr>
          <w:rFonts w:hint="eastAsia"/>
          <w:color w:val="auto"/>
        </w:rPr>
        <w:t>、氟化物</w:t>
      </w:r>
      <w:r>
        <w:rPr>
          <w:color w:val="auto"/>
        </w:rPr>
        <w:t>。</w:t>
      </w:r>
    </w:p>
    <w:p w14:paraId="6D8F608D">
      <w:pPr>
        <w:pageBreakBefore w:val="0"/>
        <w:wordWrap/>
        <w:bidi w:val="0"/>
        <w:adjustRightInd/>
        <w:snapToGrid/>
        <w:ind w:firstLine="480"/>
        <w:rPr>
          <w:color w:val="auto"/>
          <w:szCs w:val="22"/>
        </w:rPr>
      </w:pPr>
      <w:r>
        <w:rPr>
          <w:color w:val="auto"/>
          <w:szCs w:val="22"/>
        </w:rPr>
        <w:t>监测频率：</w:t>
      </w:r>
      <w:r>
        <w:rPr>
          <w:rFonts w:hint="eastAsia"/>
          <w:color w:val="auto"/>
          <w:szCs w:val="22"/>
        </w:rPr>
        <w:t>每年</w:t>
      </w:r>
      <w:r>
        <w:rPr>
          <w:color w:val="auto"/>
          <w:szCs w:val="22"/>
        </w:rPr>
        <w:t>进行</w:t>
      </w:r>
      <w:r>
        <w:rPr>
          <w:rFonts w:hint="eastAsia"/>
          <w:color w:val="auto"/>
          <w:szCs w:val="22"/>
        </w:rPr>
        <w:t>1</w:t>
      </w:r>
      <w:r>
        <w:rPr>
          <w:color w:val="auto"/>
          <w:szCs w:val="22"/>
        </w:rPr>
        <w:t>次监测。</w:t>
      </w:r>
    </w:p>
    <w:p w14:paraId="20CDF4B0">
      <w:pPr>
        <w:pStyle w:val="15"/>
        <w:numPr>
          <w:ilvl w:val="0"/>
          <w:numId w:val="41"/>
        </w:numPr>
        <w:bidi w:val="0"/>
        <w:ind w:left="0" w:leftChars="0" w:firstLine="0" w:firstLineChars="0"/>
        <w:rPr>
          <w:color w:val="auto"/>
        </w:rPr>
      </w:pPr>
      <w:r>
        <w:rPr>
          <w:color w:val="auto"/>
        </w:rPr>
        <w:t>项目区地下水监测计划</w:t>
      </w:r>
    </w:p>
    <w:tbl>
      <w:tblPr>
        <w:tblStyle w:val="48"/>
        <w:tblW w:w="901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34" w:type="dxa"/>
          <w:bottom w:w="0" w:type="dxa"/>
          <w:right w:w="34" w:type="dxa"/>
        </w:tblCellMar>
      </w:tblPr>
      <w:tblGrid>
        <w:gridCol w:w="570"/>
        <w:gridCol w:w="1000"/>
        <w:gridCol w:w="1050"/>
        <w:gridCol w:w="780"/>
        <w:gridCol w:w="1565"/>
        <w:gridCol w:w="1559"/>
        <w:gridCol w:w="1462"/>
        <w:gridCol w:w="1033"/>
      </w:tblGrid>
      <w:tr w14:paraId="1B84F1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4" w:type="dxa"/>
            <w:bottom w:w="0" w:type="dxa"/>
            <w:right w:w="34" w:type="dxa"/>
          </w:tblCellMar>
        </w:tblPrEx>
        <w:trPr>
          <w:trHeight w:val="340" w:hRule="atLeast"/>
          <w:tblHeader/>
          <w:jc w:val="center"/>
        </w:trPr>
        <w:tc>
          <w:tcPr>
            <w:tcW w:w="570" w:type="dxa"/>
            <w:noWrap/>
            <w:vAlign w:val="center"/>
          </w:tcPr>
          <w:p w14:paraId="4560C1E6">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跟踪监测</w:t>
            </w:r>
            <w:r>
              <w:rPr>
                <w:color w:val="auto"/>
                <w:sz w:val="21"/>
                <w:szCs w:val="21"/>
              </w:rPr>
              <w:t>编号</w:t>
            </w:r>
          </w:p>
        </w:tc>
        <w:tc>
          <w:tcPr>
            <w:tcW w:w="1000" w:type="dxa"/>
            <w:noWrap/>
            <w:vAlign w:val="center"/>
          </w:tcPr>
          <w:p w14:paraId="657F74F3">
            <w:pPr>
              <w:pageBreakBefore w:val="0"/>
              <w:tabs>
                <w:tab w:val="left" w:pos="945"/>
              </w:tabs>
              <w:wordWrap/>
              <w:bidi w:val="0"/>
              <w:adjustRightInd/>
              <w:snapToGrid/>
              <w:spacing w:line="240" w:lineRule="auto"/>
              <w:ind w:firstLine="0" w:firstLineChars="0"/>
              <w:jc w:val="center"/>
              <w:rPr>
                <w:rFonts w:hint="eastAsia"/>
                <w:color w:val="auto"/>
                <w:sz w:val="21"/>
                <w:szCs w:val="21"/>
              </w:rPr>
            </w:pPr>
            <w:r>
              <w:rPr>
                <w:rFonts w:hint="eastAsia"/>
                <w:color w:val="auto"/>
                <w:sz w:val="21"/>
                <w:szCs w:val="21"/>
              </w:rPr>
              <w:t>对应现状监测编号</w:t>
            </w:r>
          </w:p>
        </w:tc>
        <w:tc>
          <w:tcPr>
            <w:tcW w:w="1050" w:type="dxa"/>
            <w:noWrap/>
            <w:vAlign w:val="center"/>
          </w:tcPr>
          <w:p w14:paraId="190BF98C">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监测</w:t>
            </w:r>
          </w:p>
          <w:p w14:paraId="537867B8">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层位</w:t>
            </w:r>
          </w:p>
        </w:tc>
        <w:tc>
          <w:tcPr>
            <w:tcW w:w="780" w:type="dxa"/>
            <w:noWrap/>
            <w:vAlign w:val="center"/>
          </w:tcPr>
          <w:p w14:paraId="5936DDCE">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监测因子</w:t>
            </w:r>
          </w:p>
        </w:tc>
        <w:tc>
          <w:tcPr>
            <w:tcW w:w="1565" w:type="dxa"/>
            <w:noWrap w:val="0"/>
            <w:vAlign w:val="center"/>
          </w:tcPr>
          <w:p w14:paraId="6EE13981">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井深（m）</w:t>
            </w:r>
          </w:p>
        </w:tc>
        <w:tc>
          <w:tcPr>
            <w:tcW w:w="1559" w:type="dxa"/>
            <w:noWrap w:val="0"/>
            <w:vAlign w:val="center"/>
          </w:tcPr>
          <w:p w14:paraId="40F700DD">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地理位置</w:t>
            </w:r>
          </w:p>
        </w:tc>
        <w:tc>
          <w:tcPr>
            <w:tcW w:w="1462" w:type="dxa"/>
            <w:noWrap/>
            <w:vAlign w:val="center"/>
          </w:tcPr>
          <w:p w14:paraId="26FDFEAA">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监测目的</w:t>
            </w:r>
          </w:p>
        </w:tc>
        <w:tc>
          <w:tcPr>
            <w:tcW w:w="1033" w:type="dxa"/>
            <w:noWrap w:val="0"/>
            <w:vAlign w:val="center"/>
          </w:tcPr>
          <w:p w14:paraId="5DD40C9D">
            <w:pPr>
              <w:pageBreakBefore w:val="0"/>
              <w:tabs>
                <w:tab w:val="left" w:pos="945"/>
              </w:tabs>
              <w:wordWrap/>
              <w:bidi w:val="0"/>
              <w:adjustRightInd/>
              <w:snapToGrid/>
              <w:spacing w:line="240" w:lineRule="auto"/>
              <w:ind w:firstLine="0" w:firstLineChars="0"/>
              <w:jc w:val="center"/>
              <w:rPr>
                <w:rFonts w:hint="eastAsia"/>
                <w:color w:val="auto"/>
                <w:sz w:val="21"/>
                <w:szCs w:val="21"/>
              </w:rPr>
            </w:pPr>
            <w:r>
              <w:rPr>
                <w:rFonts w:hint="eastAsia"/>
                <w:color w:val="auto"/>
                <w:sz w:val="21"/>
                <w:szCs w:val="21"/>
              </w:rPr>
              <w:t>监测时间和频次</w:t>
            </w:r>
          </w:p>
        </w:tc>
      </w:tr>
      <w:tr w14:paraId="4831E9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4" w:type="dxa"/>
            <w:bottom w:w="0" w:type="dxa"/>
            <w:right w:w="34" w:type="dxa"/>
          </w:tblCellMar>
        </w:tblPrEx>
        <w:trPr>
          <w:trHeight w:val="340" w:hRule="atLeast"/>
          <w:jc w:val="center"/>
        </w:trPr>
        <w:tc>
          <w:tcPr>
            <w:tcW w:w="570" w:type="dxa"/>
            <w:noWrap/>
            <w:vAlign w:val="center"/>
          </w:tcPr>
          <w:p w14:paraId="0B1B8C2D">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J1</w:t>
            </w:r>
          </w:p>
        </w:tc>
        <w:tc>
          <w:tcPr>
            <w:tcW w:w="1000" w:type="dxa"/>
            <w:noWrap w:val="0"/>
            <w:vAlign w:val="center"/>
          </w:tcPr>
          <w:p w14:paraId="72BBFBF3">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3#</w:t>
            </w:r>
          </w:p>
        </w:tc>
        <w:tc>
          <w:tcPr>
            <w:tcW w:w="1050" w:type="dxa"/>
            <w:vMerge w:val="restart"/>
            <w:noWrap w:val="0"/>
            <w:vAlign w:val="center"/>
          </w:tcPr>
          <w:p w14:paraId="3BC7C557">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第四系</w:t>
            </w:r>
          </w:p>
          <w:p w14:paraId="1E46C8C6">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孔隙</w:t>
            </w:r>
            <w:r>
              <w:rPr>
                <w:color w:val="auto"/>
                <w:sz w:val="21"/>
                <w:szCs w:val="21"/>
              </w:rPr>
              <w:t>潜</w:t>
            </w:r>
          </w:p>
          <w:p w14:paraId="2D6B3686">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水含水层</w:t>
            </w:r>
          </w:p>
        </w:tc>
        <w:tc>
          <w:tcPr>
            <w:tcW w:w="780" w:type="dxa"/>
            <w:vMerge w:val="restart"/>
            <w:noWrap/>
            <w:vAlign w:val="center"/>
          </w:tcPr>
          <w:p w14:paraId="616C3606">
            <w:pPr>
              <w:pageBreakBefore w:val="0"/>
              <w:tabs>
                <w:tab w:val="left" w:pos="945"/>
              </w:tabs>
              <w:wordWrap/>
              <w:bidi w:val="0"/>
              <w:adjustRightInd/>
              <w:snapToGrid/>
              <w:spacing w:line="240" w:lineRule="auto"/>
              <w:ind w:firstLine="0" w:firstLineChars="0"/>
              <w:rPr>
                <w:rFonts w:hint="eastAsia"/>
                <w:color w:val="auto"/>
                <w:sz w:val="21"/>
                <w:szCs w:val="21"/>
              </w:rPr>
            </w:pPr>
            <w:r>
              <w:rPr>
                <w:rFonts w:hint="eastAsia"/>
                <w:color w:val="auto"/>
                <w:kern w:val="0"/>
                <w:sz w:val="21"/>
                <w:szCs w:val="21"/>
              </w:rPr>
              <w:t>水位、</w:t>
            </w:r>
            <w:r>
              <w:rPr>
                <w:color w:val="auto"/>
                <w:kern w:val="0"/>
                <w:sz w:val="21"/>
                <w:szCs w:val="21"/>
              </w:rPr>
              <w:t>氨氮、</w:t>
            </w:r>
            <w:r>
              <w:rPr>
                <w:rFonts w:hint="eastAsia"/>
                <w:color w:val="auto"/>
                <w:kern w:val="0"/>
                <w:sz w:val="21"/>
                <w:szCs w:val="21"/>
              </w:rPr>
              <w:t>耗氧量、氟化物</w:t>
            </w:r>
          </w:p>
        </w:tc>
        <w:tc>
          <w:tcPr>
            <w:tcW w:w="1565" w:type="dxa"/>
            <w:vMerge w:val="restart"/>
            <w:noWrap w:val="0"/>
            <w:vAlign w:val="center"/>
          </w:tcPr>
          <w:p w14:paraId="197B1761">
            <w:pPr>
              <w:pStyle w:val="18"/>
              <w:pageBreakBefore w:val="0"/>
              <w:wordWrap/>
              <w:bidi w:val="0"/>
              <w:adjustRightInd/>
              <w:snapToGrid/>
              <w:spacing w:line="240" w:lineRule="auto"/>
              <w:ind w:firstLine="0" w:firstLineChars="0"/>
              <w:jc w:val="both"/>
              <w:rPr>
                <w:color w:val="auto"/>
                <w:sz w:val="21"/>
                <w:szCs w:val="21"/>
              </w:rPr>
            </w:pPr>
            <w:r>
              <w:rPr>
                <w:color w:val="auto"/>
                <w:sz w:val="21"/>
                <w:szCs w:val="21"/>
              </w:rPr>
              <w:t>含水层井要达含水层底板且不能穿透隔水层；若含水层埋深太大，井深至少为最低稳定水位以下10m</w:t>
            </w:r>
          </w:p>
        </w:tc>
        <w:tc>
          <w:tcPr>
            <w:tcW w:w="1559" w:type="dxa"/>
            <w:noWrap w:val="0"/>
            <w:vAlign w:val="center"/>
          </w:tcPr>
          <w:p w14:paraId="6637D9B0">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场地</w:t>
            </w:r>
            <w:r>
              <w:rPr>
                <w:rFonts w:hint="eastAsia"/>
                <w:color w:val="auto"/>
                <w:sz w:val="21"/>
                <w:szCs w:val="21"/>
              </w:rPr>
              <w:t>北侧20m处</w:t>
            </w:r>
          </w:p>
          <w:p w14:paraId="4365BC24">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（上游）</w:t>
            </w:r>
          </w:p>
        </w:tc>
        <w:tc>
          <w:tcPr>
            <w:tcW w:w="1462" w:type="dxa"/>
            <w:noWrap/>
            <w:vAlign w:val="center"/>
          </w:tcPr>
          <w:p w14:paraId="1C8A93DC">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地下水初始背景值</w:t>
            </w:r>
          </w:p>
        </w:tc>
        <w:tc>
          <w:tcPr>
            <w:tcW w:w="1033" w:type="dxa"/>
            <w:vMerge w:val="restart"/>
            <w:noWrap w:val="0"/>
            <w:vAlign w:val="center"/>
          </w:tcPr>
          <w:p w14:paraId="4C43BBC1">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每年1次</w:t>
            </w:r>
          </w:p>
        </w:tc>
      </w:tr>
      <w:tr w14:paraId="3FDBC8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4" w:type="dxa"/>
            <w:bottom w:w="0" w:type="dxa"/>
            <w:right w:w="34" w:type="dxa"/>
          </w:tblCellMar>
        </w:tblPrEx>
        <w:trPr>
          <w:trHeight w:val="340" w:hRule="atLeast"/>
          <w:jc w:val="center"/>
        </w:trPr>
        <w:tc>
          <w:tcPr>
            <w:tcW w:w="570" w:type="dxa"/>
            <w:noWrap/>
            <w:vAlign w:val="center"/>
          </w:tcPr>
          <w:p w14:paraId="08EED758">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J2</w:t>
            </w:r>
          </w:p>
        </w:tc>
        <w:tc>
          <w:tcPr>
            <w:tcW w:w="1000" w:type="dxa"/>
            <w:noWrap w:val="0"/>
            <w:vAlign w:val="center"/>
          </w:tcPr>
          <w:p w14:paraId="0F11BDD6">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4#</w:t>
            </w:r>
          </w:p>
        </w:tc>
        <w:tc>
          <w:tcPr>
            <w:tcW w:w="1050" w:type="dxa"/>
            <w:vMerge w:val="continue"/>
            <w:noWrap w:val="0"/>
            <w:vAlign w:val="center"/>
          </w:tcPr>
          <w:p w14:paraId="54B92CFC">
            <w:pPr>
              <w:pageBreakBefore w:val="0"/>
              <w:tabs>
                <w:tab w:val="left" w:pos="945"/>
              </w:tabs>
              <w:wordWrap/>
              <w:bidi w:val="0"/>
              <w:adjustRightInd/>
              <w:snapToGrid/>
              <w:spacing w:line="240" w:lineRule="auto"/>
              <w:ind w:firstLine="0" w:firstLineChars="0"/>
              <w:jc w:val="center"/>
              <w:rPr>
                <w:color w:val="auto"/>
                <w:sz w:val="21"/>
                <w:szCs w:val="21"/>
              </w:rPr>
            </w:pPr>
          </w:p>
        </w:tc>
        <w:tc>
          <w:tcPr>
            <w:tcW w:w="780" w:type="dxa"/>
            <w:vMerge w:val="continue"/>
            <w:noWrap/>
            <w:vAlign w:val="center"/>
          </w:tcPr>
          <w:p w14:paraId="0E0D78DF">
            <w:pPr>
              <w:pageBreakBefore w:val="0"/>
              <w:tabs>
                <w:tab w:val="left" w:pos="945"/>
              </w:tabs>
              <w:wordWrap/>
              <w:bidi w:val="0"/>
              <w:adjustRightInd/>
              <w:snapToGrid/>
              <w:spacing w:line="240" w:lineRule="auto"/>
              <w:ind w:firstLine="0" w:firstLineChars="0"/>
              <w:jc w:val="center"/>
              <w:rPr>
                <w:color w:val="auto"/>
                <w:sz w:val="21"/>
                <w:szCs w:val="21"/>
              </w:rPr>
            </w:pPr>
          </w:p>
        </w:tc>
        <w:tc>
          <w:tcPr>
            <w:tcW w:w="1565" w:type="dxa"/>
            <w:vMerge w:val="continue"/>
            <w:noWrap w:val="0"/>
            <w:vAlign w:val="center"/>
          </w:tcPr>
          <w:p w14:paraId="447B0CD5">
            <w:pPr>
              <w:pageBreakBefore w:val="0"/>
              <w:tabs>
                <w:tab w:val="left" w:pos="945"/>
              </w:tabs>
              <w:wordWrap/>
              <w:bidi w:val="0"/>
              <w:adjustRightInd/>
              <w:snapToGrid/>
              <w:spacing w:line="240" w:lineRule="auto"/>
              <w:ind w:firstLine="0" w:firstLineChars="0"/>
              <w:jc w:val="center"/>
              <w:rPr>
                <w:color w:val="auto"/>
                <w:sz w:val="21"/>
                <w:szCs w:val="21"/>
              </w:rPr>
            </w:pPr>
          </w:p>
        </w:tc>
        <w:tc>
          <w:tcPr>
            <w:tcW w:w="1559" w:type="dxa"/>
            <w:noWrap w:val="0"/>
            <w:vAlign w:val="center"/>
          </w:tcPr>
          <w:p w14:paraId="034BFDC2">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场地范围</w:t>
            </w:r>
            <w:r>
              <w:rPr>
                <w:rFonts w:hint="eastAsia"/>
                <w:color w:val="auto"/>
                <w:sz w:val="21"/>
                <w:szCs w:val="21"/>
              </w:rPr>
              <w:t>内</w:t>
            </w:r>
          </w:p>
          <w:p w14:paraId="79CEBBD9">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（厂区）</w:t>
            </w:r>
          </w:p>
        </w:tc>
        <w:tc>
          <w:tcPr>
            <w:tcW w:w="1462" w:type="dxa"/>
            <w:noWrap/>
            <w:vAlign w:val="center"/>
          </w:tcPr>
          <w:p w14:paraId="75AA9416">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监测项目泄露可能产生地下水污染</w:t>
            </w:r>
          </w:p>
        </w:tc>
        <w:tc>
          <w:tcPr>
            <w:tcW w:w="1033" w:type="dxa"/>
            <w:vMerge w:val="continue"/>
            <w:noWrap w:val="0"/>
            <w:vAlign w:val="center"/>
          </w:tcPr>
          <w:p w14:paraId="06C5159F">
            <w:pPr>
              <w:pageBreakBefore w:val="0"/>
              <w:tabs>
                <w:tab w:val="left" w:pos="945"/>
              </w:tabs>
              <w:wordWrap/>
              <w:bidi w:val="0"/>
              <w:adjustRightInd/>
              <w:snapToGrid/>
              <w:spacing w:line="240" w:lineRule="auto"/>
              <w:ind w:firstLine="0" w:firstLineChars="0"/>
              <w:jc w:val="center"/>
              <w:rPr>
                <w:color w:val="auto"/>
                <w:sz w:val="21"/>
                <w:szCs w:val="21"/>
              </w:rPr>
            </w:pPr>
          </w:p>
        </w:tc>
      </w:tr>
      <w:tr w14:paraId="01B1A4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4" w:type="dxa"/>
            <w:bottom w:w="0" w:type="dxa"/>
            <w:right w:w="34" w:type="dxa"/>
          </w:tblCellMar>
        </w:tblPrEx>
        <w:trPr>
          <w:trHeight w:val="340" w:hRule="atLeast"/>
          <w:jc w:val="center"/>
        </w:trPr>
        <w:tc>
          <w:tcPr>
            <w:tcW w:w="570" w:type="dxa"/>
            <w:noWrap/>
            <w:vAlign w:val="center"/>
          </w:tcPr>
          <w:p w14:paraId="7F4BB745">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J3</w:t>
            </w:r>
          </w:p>
        </w:tc>
        <w:tc>
          <w:tcPr>
            <w:tcW w:w="1000" w:type="dxa"/>
            <w:noWrap w:val="0"/>
            <w:vAlign w:val="center"/>
          </w:tcPr>
          <w:p w14:paraId="071F1482">
            <w:pPr>
              <w:pageBreakBefore w:val="0"/>
              <w:tabs>
                <w:tab w:val="left" w:pos="945"/>
              </w:tabs>
              <w:wordWrap/>
              <w:bidi w:val="0"/>
              <w:adjustRightInd/>
              <w:snapToGrid/>
              <w:spacing w:line="240" w:lineRule="auto"/>
              <w:ind w:firstLine="0" w:firstLineChars="0"/>
              <w:jc w:val="center"/>
              <w:rPr>
                <w:color w:val="auto"/>
                <w:sz w:val="21"/>
                <w:szCs w:val="21"/>
              </w:rPr>
            </w:pPr>
            <w:r>
              <w:rPr>
                <w:rFonts w:hint="eastAsia"/>
                <w:color w:val="auto"/>
                <w:sz w:val="21"/>
                <w:szCs w:val="21"/>
              </w:rPr>
              <w:t>5#</w:t>
            </w:r>
          </w:p>
        </w:tc>
        <w:tc>
          <w:tcPr>
            <w:tcW w:w="1050" w:type="dxa"/>
            <w:vMerge w:val="continue"/>
            <w:noWrap w:val="0"/>
            <w:vAlign w:val="center"/>
          </w:tcPr>
          <w:p w14:paraId="276DBB92">
            <w:pPr>
              <w:pageBreakBefore w:val="0"/>
              <w:tabs>
                <w:tab w:val="left" w:pos="945"/>
              </w:tabs>
              <w:wordWrap/>
              <w:bidi w:val="0"/>
              <w:adjustRightInd/>
              <w:snapToGrid/>
              <w:spacing w:line="240" w:lineRule="auto"/>
              <w:ind w:firstLine="0" w:firstLineChars="0"/>
              <w:jc w:val="center"/>
              <w:rPr>
                <w:color w:val="auto"/>
                <w:sz w:val="21"/>
                <w:szCs w:val="21"/>
              </w:rPr>
            </w:pPr>
          </w:p>
        </w:tc>
        <w:tc>
          <w:tcPr>
            <w:tcW w:w="780" w:type="dxa"/>
            <w:vMerge w:val="continue"/>
            <w:noWrap/>
            <w:vAlign w:val="center"/>
          </w:tcPr>
          <w:p w14:paraId="05E154C0">
            <w:pPr>
              <w:pageBreakBefore w:val="0"/>
              <w:tabs>
                <w:tab w:val="left" w:pos="945"/>
              </w:tabs>
              <w:wordWrap/>
              <w:bidi w:val="0"/>
              <w:adjustRightInd/>
              <w:snapToGrid/>
              <w:spacing w:line="240" w:lineRule="auto"/>
              <w:ind w:firstLine="0" w:firstLineChars="0"/>
              <w:jc w:val="center"/>
              <w:rPr>
                <w:color w:val="auto"/>
                <w:sz w:val="21"/>
                <w:szCs w:val="21"/>
              </w:rPr>
            </w:pPr>
          </w:p>
        </w:tc>
        <w:tc>
          <w:tcPr>
            <w:tcW w:w="1565" w:type="dxa"/>
            <w:vMerge w:val="continue"/>
            <w:noWrap w:val="0"/>
            <w:vAlign w:val="center"/>
          </w:tcPr>
          <w:p w14:paraId="0C7BCBF6">
            <w:pPr>
              <w:pageBreakBefore w:val="0"/>
              <w:tabs>
                <w:tab w:val="left" w:pos="945"/>
              </w:tabs>
              <w:wordWrap/>
              <w:bidi w:val="0"/>
              <w:adjustRightInd/>
              <w:snapToGrid/>
              <w:spacing w:line="240" w:lineRule="auto"/>
              <w:ind w:firstLine="0" w:firstLineChars="0"/>
              <w:jc w:val="center"/>
              <w:rPr>
                <w:color w:val="auto"/>
                <w:sz w:val="21"/>
                <w:szCs w:val="21"/>
              </w:rPr>
            </w:pPr>
          </w:p>
        </w:tc>
        <w:tc>
          <w:tcPr>
            <w:tcW w:w="1559" w:type="dxa"/>
            <w:noWrap w:val="0"/>
            <w:vAlign w:val="center"/>
          </w:tcPr>
          <w:p w14:paraId="47C80DD0">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场地</w:t>
            </w:r>
            <w:r>
              <w:rPr>
                <w:rFonts w:hint="eastAsia"/>
                <w:color w:val="auto"/>
                <w:sz w:val="21"/>
                <w:szCs w:val="21"/>
              </w:rPr>
              <w:t>东侧20</w:t>
            </w:r>
            <w:r>
              <w:rPr>
                <w:color w:val="auto"/>
                <w:sz w:val="21"/>
                <w:szCs w:val="21"/>
              </w:rPr>
              <w:t>m处</w:t>
            </w:r>
          </w:p>
          <w:p w14:paraId="028CA08F">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（下游）</w:t>
            </w:r>
          </w:p>
        </w:tc>
        <w:tc>
          <w:tcPr>
            <w:tcW w:w="1462" w:type="dxa"/>
            <w:noWrap/>
            <w:vAlign w:val="center"/>
          </w:tcPr>
          <w:p w14:paraId="7AA7ACC9">
            <w:pPr>
              <w:pageBreakBefore w:val="0"/>
              <w:tabs>
                <w:tab w:val="left" w:pos="945"/>
              </w:tabs>
              <w:wordWrap/>
              <w:bidi w:val="0"/>
              <w:adjustRightInd/>
              <w:snapToGrid/>
              <w:spacing w:line="240" w:lineRule="auto"/>
              <w:ind w:firstLine="0" w:firstLineChars="0"/>
              <w:jc w:val="center"/>
              <w:rPr>
                <w:color w:val="auto"/>
                <w:sz w:val="21"/>
                <w:szCs w:val="21"/>
              </w:rPr>
            </w:pPr>
            <w:r>
              <w:rPr>
                <w:color w:val="auto"/>
                <w:sz w:val="21"/>
                <w:szCs w:val="21"/>
              </w:rPr>
              <w:t>监测项目泄露可能产生地下水污染</w:t>
            </w:r>
          </w:p>
        </w:tc>
        <w:tc>
          <w:tcPr>
            <w:tcW w:w="1033" w:type="dxa"/>
            <w:vMerge w:val="continue"/>
            <w:noWrap w:val="0"/>
            <w:vAlign w:val="center"/>
          </w:tcPr>
          <w:p w14:paraId="24C7B941">
            <w:pPr>
              <w:pageBreakBefore w:val="0"/>
              <w:tabs>
                <w:tab w:val="left" w:pos="945"/>
              </w:tabs>
              <w:wordWrap/>
              <w:bidi w:val="0"/>
              <w:adjustRightInd/>
              <w:snapToGrid/>
              <w:spacing w:line="240" w:lineRule="auto"/>
              <w:ind w:firstLine="0" w:firstLineChars="0"/>
              <w:jc w:val="center"/>
              <w:rPr>
                <w:color w:val="auto"/>
                <w:sz w:val="21"/>
                <w:szCs w:val="21"/>
              </w:rPr>
            </w:pPr>
          </w:p>
        </w:tc>
      </w:tr>
    </w:tbl>
    <w:p w14:paraId="567B04E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环保管理人员的培训计划</w:t>
      </w:r>
    </w:p>
    <w:p w14:paraId="7F1BA774">
      <w:pPr>
        <w:pageBreakBefore w:val="0"/>
        <w:wordWrap/>
        <w:bidi w:val="0"/>
        <w:adjustRightInd/>
        <w:snapToGrid/>
        <w:ind w:firstLine="480"/>
        <w:jc w:val="left"/>
        <w:rPr>
          <w:color w:val="auto"/>
          <w:szCs w:val="22"/>
        </w:rPr>
      </w:pPr>
      <w:r>
        <w:rPr>
          <w:color w:val="auto"/>
          <w:szCs w:val="22"/>
        </w:rPr>
        <w:t>对从事环保工作的专职人员，进行上岗前和日常的专业培训，使其有一定的环境保护专业知识，要求其了解企业运行产生的废水、废气、噪声等污染的治理技术，确保废水、废气、噪声等污染物的达标排放和处理设备的正常运转。加强对从事环保工作的专职人员的环境保护法律、法规教育，提高工作责任感，杜绝人为因素造成的环保事故发生。</w:t>
      </w:r>
    </w:p>
    <w:p w14:paraId="3BA11928">
      <w:pPr>
        <w:pStyle w:val="4"/>
        <w:pageBreakBefore w:val="0"/>
        <w:wordWrap/>
        <w:bidi w:val="0"/>
        <w:adjustRightInd/>
        <w:snapToGrid/>
        <w:rPr>
          <w:rFonts w:ascii="Times New Roman" w:hAnsi="Times New Roman" w:eastAsia="宋体"/>
          <w:color w:val="auto"/>
        </w:rPr>
      </w:pPr>
      <w:bookmarkStart w:id="289" w:name="_Toc362082820"/>
      <w:bookmarkStart w:id="290" w:name="_Toc21693"/>
      <w:bookmarkStart w:id="291" w:name="_Toc1073"/>
      <w:bookmarkStart w:id="292" w:name="_Toc374627969"/>
      <w:bookmarkStart w:id="293" w:name="_Toc505087385"/>
      <w:bookmarkStart w:id="294" w:name="_Toc437548695"/>
      <w:r>
        <w:rPr>
          <w:rFonts w:hint="eastAsia" w:ascii="Times New Roman" w:hAnsi="Times New Roman" w:eastAsia="宋体"/>
          <w:color w:val="auto"/>
        </w:rPr>
        <w:t xml:space="preserve"> </w:t>
      </w:r>
      <w:bookmarkStart w:id="295" w:name="_Toc28604"/>
      <w:r>
        <w:rPr>
          <w:rFonts w:ascii="Times New Roman" w:hAnsi="Times New Roman" w:eastAsia="宋体"/>
          <w:color w:val="auto"/>
        </w:rPr>
        <w:t>工程</w:t>
      </w:r>
      <w:r>
        <w:rPr>
          <w:rFonts w:hint="eastAsia" w:ascii="Times New Roman" w:hAnsi="Times New Roman" w:eastAsia="宋体"/>
          <w:color w:val="auto"/>
          <w:lang w:eastAsia="zh-CN"/>
        </w:rPr>
        <w:t>“</w:t>
      </w:r>
      <w:r>
        <w:rPr>
          <w:rFonts w:ascii="Times New Roman" w:hAnsi="Times New Roman" w:eastAsia="宋体"/>
          <w:color w:val="auto"/>
        </w:rPr>
        <w:t>三同时</w:t>
      </w:r>
      <w:r>
        <w:rPr>
          <w:rFonts w:hint="eastAsia" w:ascii="Times New Roman" w:hAnsi="Times New Roman" w:eastAsia="宋体"/>
          <w:color w:val="auto"/>
          <w:lang w:eastAsia="zh-CN"/>
        </w:rPr>
        <w:t>”</w:t>
      </w:r>
      <w:r>
        <w:rPr>
          <w:rFonts w:ascii="Times New Roman" w:hAnsi="Times New Roman" w:eastAsia="宋体"/>
          <w:color w:val="auto"/>
        </w:rPr>
        <w:t>验收一览表</w:t>
      </w:r>
      <w:bookmarkEnd w:id="289"/>
      <w:bookmarkEnd w:id="290"/>
      <w:bookmarkEnd w:id="291"/>
      <w:bookmarkEnd w:id="292"/>
      <w:bookmarkEnd w:id="293"/>
      <w:bookmarkEnd w:id="294"/>
      <w:bookmarkEnd w:id="295"/>
    </w:p>
    <w:p w14:paraId="6608F1AB">
      <w:pPr>
        <w:bidi w:val="0"/>
        <w:rPr>
          <w:color w:val="auto"/>
        </w:rPr>
      </w:pPr>
      <w:r>
        <w:rPr>
          <w:color w:val="auto"/>
        </w:rPr>
        <w:t>建设项目投产试运行后，应进行</w:t>
      </w:r>
      <w:r>
        <w:rPr>
          <w:rFonts w:hint="eastAsia"/>
          <w:color w:val="auto"/>
          <w:lang w:eastAsia="zh-CN"/>
        </w:rPr>
        <w:t>“</w:t>
      </w:r>
      <w:r>
        <w:rPr>
          <w:color w:val="auto"/>
        </w:rPr>
        <w:t>三同时</w:t>
      </w:r>
      <w:r>
        <w:rPr>
          <w:rFonts w:hint="eastAsia"/>
          <w:color w:val="auto"/>
          <w:lang w:eastAsia="zh-CN"/>
        </w:rPr>
        <w:t>”</w:t>
      </w:r>
      <w:r>
        <w:rPr>
          <w:color w:val="auto"/>
        </w:rPr>
        <w:t>验收，</w:t>
      </w:r>
      <w:r>
        <w:rPr>
          <w:rFonts w:hint="eastAsia"/>
          <w:color w:val="auto"/>
          <w:lang w:eastAsia="zh-CN"/>
        </w:rPr>
        <w:t>“</w:t>
      </w:r>
      <w:r>
        <w:rPr>
          <w:color w:val="auto"/>
        </w:rPr>
        <w:t>三同时</w:t>
      </w:r>
      <w:r>
        <w:rPr>
          <w:rFonts w:hint="eastAsia"/>
          <w:color w:val="auto"/>
          <w:lang w:eastAsia="zh-CN"/>
        </w:rPr>
        <w:t>”</w:t>
      </w:r>
      <w:r>
        <w:rPr>
          <w:color w:val="auto"/>
        </w:rPr>
        <w:t>验收内容应严格按照建设项目的组成确定，包括监测内容和管理内容两部分，详见</w:t>
      </w:r>
      <w:r>
        <w:rPr>
          <w:rFonts w:hint="eastAsia"/>
          <w:color w:val="auto"/>
          <w:lang w:val="en-US" w:eastAsia="zh-CN"/>
        </w:rPr>
        <w:t>下表</w:t>
      </w:r>
      <w:r>
        <w:rPr>
          <w:color w:val="auto"/>
        </w:rPr>
        <w:t>。</w:t>
      </w:r>
    </w:p>
    <w:bookmarkEnd w:id="285"/>
    <w:bookmarkEnd w:id="286"/>
    <w:bookmarkEnd w:id="287"/>
    <w:p w14:paraId="7B813BD9">
      <w:pPr>
        <w:pStyle w:val="15"/>
        <w:numPr>
          <w:ilvl w:val="0"/>
          <w:numId w:val="42"/>
        </w:numPr>
        <w:bidi w:val="0"/>
        <w:ind w:left="0" w:leftChars="0" w:firstLine="0" w:firstLineChars="0"/>
        <w:rPr>
          <w:color w:val="auto"/>
        </w:rPr>
      </w:pPr>
      <w:bookmarkStart w:id="296" w:name="_Toc374627866"/>
      <w:bookmarkStart w:id="297" w:name="_Toc3567"/>
      <w:r>
        <w:rPr>
          <w:rFonts w:hint="eastAsia"/>
          <w:color w:val="auto"/>
          <w:lang w:eastAsia="zh-CN"/>
        </w:rPr>
        <w:t>“</w:t>
      </w:r>
      <w:r>
        <w:rPr>
          <w:color w:val="auto"/>
        </w:rPr>
        <w:t>三同时</w:t>
      </w:r>
      <w:r>
        <w:rPr>
          <w:rFonts w:hint="eastAsia"/>
          <w:color w:val="auto"/>
          <w:lang w:eastAsia="zh-CN"/>
        </w:rPr>
        <w:t>”</w:t>
      </w:r>
      <w:r>
        <w:rPr>
          <w:color w:val="auto"/>
        </w:rPr>
        <w:t>验收项目一览表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48"/>
        <w:gridCol w:w="579"/>
        <w:gridCol w:w="1492"/>
        <w:gridCol w:w="3587"/>
        <w:gridCol w:w="2538"/>
      </w:tblGrid>
      <w:tr w14:paraId="48846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400B4993">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环境</w:t>
            </w:r>
          </w:p>
          <w:p w14:paraId="3B9E57DC">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类别</w:t>
            </w:r>
          </w:p>
        </w:tc>
        <w:tc>
          <w:tcPr>
            <w:tcW w:w="327" w:type="pct"/>
            <w:tcBorders>
              <w:tl2br w:val="nil"/>
              <w:tr2bl w:val="nil"/>
            </w:tcBorders>
            <w:noWrap w:val="0"/>
            <w:tcMar>
              <w:left w:w="57" w:type="dxa"/>
              <w:right w:w="57" w:type="dxa"/>
            </w:tcMar>
            <w:vAlign w:val="center"/>
          </w:tcPr>
          <w:p w14:paraId="5035FB57">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时期</w:t>
            </w:r>
          </w:p>
        </w:tc>
        <w:tc>
          <w:tcPr>
            <w:tcW w:w="843" w:type="pct"/>
            <w:tcBorders>
              <w:tl2br w:val="nil"/>
              <w:tr2bl w:val="nil"/>
            </w:tcBorders>
            <w:noWrap w:val="0"/>
            <w:tcMar>
              <w:left w:w="57" w:type="dxa"/>
              <w:right w:w="57" w:type="dxa"/>
            </w:tcMar>
            <w:vAlign w:val="center"/>
          </w:tcPr>
          <w:p w14:paraId="3690E072">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污染源</w:t>
            </w:r>
          </w:p>
        </w:tc>
        <w:tc>
          <w:tcPr>
            <w:tcW w:w="2027" w:type="pct"/>
            <w:tcBorders>
              <w:tl2br w:val="nil"/>
              <w:tr2bl w:val="nil"/>
            </w:tcBorders>
            <w:noWrap w:val="0"/>
            <w:tcMar>
              <w:left w:w="57" w:type="dxa"/>
              <w:right w:w="57" w:type="dxa"/>
            </w:tcMar>
            <w:vAlign w:val="center"/>
          </w:tcPr>
          <w:p w14:paraId="045FDF0D">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治理措施</w:t>
            </w:r>
          </w:p>
        </w:tc>
        <w:tc>
          <w:tcPr>
            <w:tcW w:w="1434" w:type="pct"/>
            <w:tcBorders>
              <w:tl2br w:val="nil"/>
              <w:tr2bl w:val="nil"/>
            </w:tcBorders>
            <w:noWrap w:val="0"/>
            <w:tcMar>
              <w:left w:w="57" w:type="dxa"/>
              <w:right w:w="57" w:type="dxa"/>
            </w:tcMar>
            <w:vAlign w:val="center"/>
          </w:tcPr>
          <w:p w14:paraId="07BF1AB3">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验收要求</w:t>
            </w:r>
          </w:p>
        </w:tc>
      </w:tr>
      <w:tr w14:paraId="0FDB1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39D111B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地表水环境</w:t>
            </w:r>
          </w:p>
        </w:tc>
        <w:tc>
          <w:tcPr>
            <w:tcW w:w="327" w:type="pct"/>
            <w:vMerge w:val="restart"/>
            <w:tcBorders>
              <w:tl2br w:val="nil"/>
              <w:tr2bl w:val="nil"/>
            </w:tcBorders>
            <w:noWrap w:val="0"/>
            <w:tcMar>
              <w:left w:w="57" w:type="dxa"/>
              <w:right w:w="57" w:type="dxa"/>
            </w:tcMar>
            <w:vAlign w:val="center"/>
          </w:tcPr>
          <w:p w14:paraId="294239DD">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0055711F">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施工废水</w:t>
            </w:r>
          </w:p>
        </w:tc>
        <w:tc>
          <w:tcPr>
            <w:tcW w:w="2027" w:type="pct"/>
            <w:tcBorders>
              <w:tl2br w:val="nil"/>
              <w:tr2bl w:val="nil"/>
            </w:tcBorders>
            <w:noWrap w:val="0"/>
            <w:tcMar>
              <w:left w:w="57" w:type="dxa"/>
              <w:right w:w="57" w:type="dxa"/>
            </w:tcMar>
            <w:vAlign w:val="center"/>
          </w:tcPr>
          <w:p w14:paraId="32D0969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经沉淀池、隔油池处理后用于回用</w:t>
            </w:r>
          </w:p>
        </w:tc>
        <w:tc>
          <w:tcPr>
            <w:tcW w:w="1434" w:type="pct"/>
            <w:tcBorders>
              <w:tl2br w:val="nil"/>
              <w:tr2bl w:val="nil"/>
            </w:tcBorders>
            <w:noWrap w:val="0"/>
            <w:tcMar>
              <w:left w:w="57" w:type="dxa"/>
              <w:right w:w="57" w:type="dxa"/>
            </w:tcMar>
            <w:vAlign w:val="center"/>
          </w:tcPr>
          <w:p w14:paraId="7ECC977B">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eastAsia="zh-CN"/>
              </w:rPr>
              <w:t>“</w:t>
            </w:r>
            <w:r>
              <w:rPr>
                <w:color w:val="auto"/>
                <w:kern w:val="0"/>
                <w:sz w:val="21"/>
                <w:szCs w:val="21"/>
              </w:rPr>
              <w:t>零</w:t>
            </w:r>
            <w:r>
              <w:rPr>
                <w:rFonts w:hint="eastAsia"/>
                <w:color w:val="auto"/>
                <w:kern w:val="0"/>
                <w:sz w:val="21"/>
                <w:szCs w:val="21"/>
                <w:lang w:eastAsia="zh-CN"/>
              </w:rPr>
              <w:t>”</w:t>
            </w:r>
            <w:r>
              <w:rPr>
                <w:color w:val="auto"/>
                <w:kern w:val="0"/>
                <w:sz w:val="21"/>
                <w:szCs w:val="21"/>
              </w:rPr>
              <w:t>排放</w:t>
            </w:r>
          </w:p>
        </w:tc>
      </w:tr>
      <w:tr w14:paraId="5B94A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42B1141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381FC7A6">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333F2A30">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施工生活污水</w:t>
            </w:r>
          </w:p>
        </w:tc>
        <w:tc>
          <w:tcPr>
            <w:tcW w:w="2027" w:type="pct"/>
            <w:tcBorders>
              <w:tl2br w:val="nil"/>
              <w:tr2bl w:val="nil"/>
            </w:tcBorders>
            <w:noWrap w:val="0"/>
            <w:tcMar>
              <w:left w:w="57" w:type="dxa"/>
              <w:right w:w="57" w:type="dxa"/>
            </w:tcMar>
            <w:vAlign w:val="center"/>
          </w:tcPr>
          <w:p w14:paraId="5FF810F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依托区域市政设施系统处理</w:t>
            </w:r>
          </w:p>
        </w:tc>
        <w:tc>
          <w:tcPr>
            <w:tcW w:w="1434" w:type="pct"/>
            <w:tcBorders>
              <w:tl2br w:val="nil"/>
              <w:tr2bl w:val="nil"/>
            </w:tcBorders>
            <w:noWrap w:val="0"/>
            <w:tcMar>
              <w:left w:w="57" w:type="dxa"/>
              <w:right w:w="57" w:type="dxa"/>
            </w:tcMar>
            <w:vAlign w:val="center"/>
          </w:tcPr>
          <w:p w14:paraId="6AB85612">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eastAsia="zh-CN"/>
              </w:rPr>
              <w:t>“</w:t>
            </w:r>
            <w:r>
              <w:rPr>
                <w:color w:val="auto"/>
                <w:kern w:val="0"/>
                <w:sz w:val="21"/>
                <w:szCs w:val="21"/>
              </w:rPr>
              <w:t>零</w:t>
            </w:r>
            <w:r>
              <w:rPr>
                <w:rFonts w:hint="eastAsia"/>
                <w:color w:val="auto"/>
                <w:kern w:val="0"/>
                <w:sz w:val="21"/>
                <w:szCs w:val="21"/>
                <w:lang w:eastAsia="zh-CN"/>
              </w:rPr>
              <w:t>”</w:t>
            </w:r>
            <w:r>
              <w:rPr>
                <w:color w:val="auto"/>
                <w:kern w:val="0"/>
                <w:sz w:val="21"/>
                <w:szCs w:val="21"/>
              </w:rPr>
              <w:t>排放</w:t>
            </w:r>
          </w:p>
        </w:tc>
      </w:tr>
      <w:tr w14:paraId="346B4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72DB66D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75AFE20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67345184">
            <w:pPr>
              <w:pageBreakBefore w:val="0"/>
              <w:wordWrap/>
              <w:bidi w:val="0"/>
              <w:adjustRightInd/>
              <w:snapToGrid/>
              <w:spacing w:line="240" w:lineRule="auto"/>
              <w:ind w:firstLine="0" w:firstLineChars="0"/>
              <w:jc w:val="center"/>
              <w:textAlignment w:val="baseline"/>
              <w:rPr>
                <w:bCs/>
                <w:color w:val="auto"/>
                <w:sz w:val="21"/>
                <w:szCs w:val="21"/>
              </w:rPr>
            </w:pPr>
            <w:r>
              <w:rPr>
                <w:bCs/>
                <w:color w:val="auto"/>
                <w:sz w:val="21"/>
                <w:szCs w:val="21"/>
              </w:rPr>
              <w:t>综合废水</w:t>
            </w:r>
          </w:p>
        </w:tc>
        <w:tc>
          <w:tcPr>
            <w:tcW w:w="2027" w:type="pct"/>
            <w:tcBorders>
              <w:tl2br w:val="nil"/>
              <w:tr2bl w:val="nil"/>
            </w:tcBorders>
            <w:noWrap w:val="0"/>
            <w:tcMar>
              <w:left w:w="57" w:type="dxa"/>
              <w:right w:w="57" w:type="dxa"/>
            </w:tcMar>
            <w:vAlign w:val="center"/>
          </w:tcPr>
          <w:p w14:paraId="45A028DF">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采用</w:t>
            </w:r>
            <w:r>
              <w:rPr>
                <w:rFonts w:hint="eastAsia"/>
                <w:color w:val="auto"/>
                <w:kern w:val="0"/>
                <w:sz w:val="21"/>
                <w:szCs w:val="21"/>
                <w:lang w:eastAsia="zh-CN"/>
              </w:rPr>
              <w:t>“超细格栅+调节池+高级氧化预处理（预留）+水解酸化池+生化池+二沉池+磁混凝沉淀池+深床反硝化+高级氧化深度处理+紫外线消毒”</w:t>
            </w:r>
            <w:r>
              <w:rPr>
                <w:rFonts w:hint="eastAsia"/>
                <w:color w:val="auto"/>
                <w:kern w:val="0"/>
                <w:sz w:val="21"/>
                <w:szCs w:val="21"/>
              </w:rPr>
              <w:t>为主体的</w:t>
            </w:r>
            <w:r>
              <w:rPr>
                <w:color w:val="auto"/>
                <w:kern w:val="0"/>
                <w:sz w:val="21"/>
                <w:szCs w:val="21"/>
              </w:rPr>
              <w:t>工艺（处理能力为</w:t>
            </w:r>
            <w:r>
              <w:rPr>
                <w:rFonts w:hint="eastAsia"/>
                <w:color w:val="auto"/>
                <w:kern w:val="0"/>
                <w:sz w:val="21"/>
                <w:szCs w:val="21"/>
                <w:lang w:val="en-US" w:eastAsia="zh-CN"/>
              </w:rPr>
              <w:t>0.3</w:t>
            </w:r>
            <w:r>
              <w:rPr>
                <w:rFonts w:hint="eastAsia"/>
                <w:color w:val="auto"/>
                <w:kern w:val="0"/>
                <w:sz w:val="21"/>
                <w:szCs w:val="21"/>
                <w:lang w:eastAsia="zh-CN"/>
              </w:rPr>
              <w:t>万m³</w:t>
            </w:r>
            <w:r>
              <w:rPr>
                <w:color w:val="auto"/>
                <w:kern w:val="0"/>
                <w:sz w:val="21"/>
                <w:szCs w:val="21"/>
              </w:rPr>
              <w:t>/d）</w:t>
            </w:r>
          </w:p>
        </w:tc>
        <w:tc>
          <w:tcPr>
            <w:tcW w:w="1434" w:type="pct"/>
            <w:tcBorders>
              <w:tl2br w:val="nil"/>
              <w:tr2bl w:val="nil"/>
            </w:tcBorders>
            <w:noWrap w:val="0"/>
            <w:tcMar>
              <w:left w:w="57" w:type="dxa"/>
              <w:right w:w="57" w:type="dxa"/>
            </w:tcMar>
            <w:vAlign w:val="center"/>
          </w:tcPr>
          <w:p w14:paraId="252B779C">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val="en-US" w:eastAsia="zh-CN"/>
              </w:rPr>
              <w:t>达到</w:t>
            </w:r>
            <w:r>
              <w:rPr>
                <w:rFonts w:hint="eastAsia"/>
                <w:color w:val="auto"/>
                <w:kern w:val="0"/>
                <w:sz w:val="21"/>
                <w:szCs w:val="21"/>
              </w:rPr>
              <w:t>《城镇污水处理厂污染物排放标准》（GB18918-2002）一级A标准</w:t>
            </w:r>
          </w:p>
        </w:tc>
      </w:tr>
      <w:tr w14:paraId="05AD5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67C26231">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地下水环境</w:t>
            </w:r>
          </w:p>
        </w:tc>
        <w:tc>
          <w:tcPr>
            <w:tcW w:w="327" w:type="pct"/>
            <w:tcBorders>
              <w:tl2br w:val="nil"/>
              <w:tr2bl w:val="nil"/>
            </w:tcBorders>
            <w:noWrap w:val="0"/>
            <w:tcMar>
              <w:left w:w="57" w:type="dxa"/>
              <w:right w:w="57" w:type="dxa"/>
            </w:tcMar>
            <w:vAlign w:val="center"/>
          </w:tcPr>
          <w:p w14:paraId="20962809">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营运期</w:t>
            </w:r>
          </w:p>
        </w:tc>
        <w:tc>
          <w:tcPr>
            <w:tcW w:w="843" w:type="pct"/>
            <w:tcBorders>
              <w:tl2br w:val="nil"/>
              <w:tr2bl w:val="nil"/>
            </w:tcBorders>
            <w:noWrap w:val="0"/>
            <w:tcMar>
              <w:left w:w="57" w:type="dxa"/>
              <w:right w:w="57" w:type="dxa"/>
            </w:tcMar>
            <w:vAlign w:val="center"/>
          </w:tcPr>
          <w:p w14:paraId="592D9AAC">
            <w:pPr>
              <w:pageBreakBefore w:val="0"/>
              <w:wordWrap/>
              <w:bidi w:val="0"/>
              <w:adjustRightInd/>
              <w:snapToGrid/>
              <w:spacing w:line="240" w:lineRule="auto"/>
              <w:ind w:firstLine="0" w:firstLineChars="0"/>
              <w:jc w:val="center"/>
              <w:textAlignment w:val="baseline"/>
              <w:rPr>
                <w:bCs/>
                <w:color w:val="auto"/>
                <w:sz w:val="21"/>
                <w:szCs w:val="21"/>
              </w:rPr>
            </w:pPr>
            <w:r>
              <w:rPr>
                <w:bCs/>
                <w:color w:val="auto"/>
                <w:sz w:val="21"/>
                <w:szCs w:val="21"/>
              </w:rPr>
              <w:t>分区防渗措施</w:t>
            </w:r>
          </w:p>
        </w:tc>
        <w:tc>
          <w:tcPr>
            <w:tcW w:w="2027" w:type="pct"/>
            <w:tcBorders>
              <w:tl2br w:val="nil"/>
              <w:tr2bl w:val="nil"/>
            </w:tcBorders>
            <w:noWrap w:val="0"/>
            <w:tcMar>
              <w:left w:w="57" w:type="dxa"/>
              <w:right w:w="57" w:type="dxa"/>
            </w:tcMar>
            <w:vAlign w:val="center"/>
          </w:tcPr>
          <w:p w14:paraId="7FCD6D5C">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重点防渗区采用</w:t>
            </w:r>
            <w:r>
              <w:rPr>
                <w:color w:val="auto"/>
                <w:kern w:val="0"/>
                <w:position w:val="-2"/>
                <w:sz w:val="21"/>
                <w:szCs w:val="21"/>
              </w:rPr>
              <w:t>①垫层</w:t>
            </w:r>
            <w:r>
              <w:rPr>
                <w:rFonts w:hint="eastAsia"/>
                <w:color w:val="auto"/>
                <w:kern w:val="0"/>
                <w:position w:val="-2"/>
                <w:sz w:val="21"/>
                <w:szCs w:val="21"/>
                <w:lang w:eastAsia="zh-CN"/>
              </w:rPr>
              <w:t>分层</w:t>
            </w:r>
            <w:r>
              <w:rPr>
                <w:color w:val="auto"/>
                <w:kern w:val="0"/>
                <w:position w:val="-2"/>
                <w:sz w:val="21"/>
                <w:szCs w:val="21"/>
              </w:rPr>
              <w:t>压实；②抗渗等级为 P8厚</w:t>
            </w:r>
            <w:r>
              <w:rPr>
                <w:rFonts w:hint="eastAsia"/>
                <w:color w:val="auto"/>
                <w:kern w:val="0"/>
                <w:position w:val="-2"/>
                <w:sz w:val="21"/>
                <w:szCs w:val="21"/>
              </w:rPr>
              <w:t>15</w:t>
            </w:r>
            <w:r>
              <w:rPr>
                <w:color w:val="auto"/>
                <w:kern w:val="0"/>
                <w:position w:val="-2"/>
                <w:sz w:val="21"/>
                <w:szCs w:val="21"/>
              </w:rPr>
              <w:t>0mm 混凝土③表层</w:t>
            </w:r>
            <w:r>
              <w:rPr>
                <w:rFonts w:hint="eastAsia"/>
                <w:color w:val="auto"/>
                <w:kern w:val="0"/>
                <w:position w:val="-2"/>
                <w:sz w:val="21"/>
                <w:szCs w:val="21"/>
              </w:rPr>
              <w:t>1.5</w:t>
            </w:r>
            <w:r>
              <w:rPr>
                <w:color w:val="auto"/>
                <w:kern w:val="0"/>
                <w:position w:val="-2"/>
                <w:sz w:val="21"/>
                <w:szCs w:val="21"/>
              </w:rPr>
              <w:t>mm厚结构土工膜④渗透系数</w:t>
            </w:r>
            <w:r>
              <w:rPr>
                <w:rFonts w:hint="eastAsia"/>
                <w:color w:val="auto"/>
                <w:kern w:val="0"/>
                <w:position w:val="-2"/>
                <w:sz w:val="21"/>
                <w:szCs w:val="21"/>
                <w:lang w:eastAsia="zh-CN"/>
              </w:rPr>
              <w:t>1</w:t>
            </w:r>
            <w:r>
              <w:rPr>
                <w:color w:val="auto"/>
                <w:kern w:val="0"/>
                <w:position w:val="-2"/>
                <w:sz w:val="21"/>
                <w:szCs w:val="21"/>
              </w:rPr>
              <w:t>0</w:t>
            </w:r>
            <w:r>
              <w:rPr>
                <w:color w:val="auto"/>
                <w:kern w:val="0"/>
                <w:position w:val="-2"/>
                <w:sz w:val="21"/>
                <w:szCs w:val="21"/>
                <w:vertAlign w:val="superscript"/>
              </w:rPr>
              <w:t>-7</w:t>
            </w:r>
            <w:r>
              <w:rPr>
                <w:color w:val="auto"/>
                <w:kern w:val="0"/>
                <w:position w:val="-2"/>
                <w:sz w:val="21"/>
                <w:szCs w:val="21"/>
              </w:rPr>
              <w:t>cm/s</w:t>
            </w:r>
            <w:r>
              <w:rPr>
                <w:color w:val="auto"/>
                <w:sz w:val="21"/>
                <w:szCs w:val="21"/>
              </w:rPr>
              <w:t>；一般防渗区采用抗渗等级为P6厚1</w:t>
            </w:r>
            <w:r>
              <w:rPr>
                <w:rFonts w:hint="eastAsia"/>
                <w:color w:val="auto"/>
                <w:sz w:val="21"/>
                <w:szCs w:val="21"/>
              </w:rPr>
              <w:t>0</w:t>
            </w:r>
            <w:r>
              <w:rPr>
                <w:color w:val="auto"/>
                <w:sz w:val="21"/>
                <w:szCs w:val="21"/>
              </w:rPr>
              <w:t>0mm的混凝土，渗透系数10</w:t>
            </w:r>
            <w:r>
              <w:rPr>
                <w:color w:val="auto"/>
                <w:sz w:val="21"/>
                <w:szCs w:val="21"/>
                <w:vertAlign w:val="superscript"/>
              </w:rPr>
              <w:t>-7</w:t>
            </w:r>
            <w:r>
              <w:rPr>
                <w:color w:val="auto"/>
                <w:sz w:val="21"/>
                <w:szCs w:val="21"/>
              </w:rPr>
              <w:t>cm/s；简单防渗区采取非铺砌地坪或普通混凝土地坪，不设置防渗层</w:t>
            </w:r>
          </w:p>
        </w:tc>
        <w:tc>
          <w:tcPr>
            <w:tcW w:w="1434" w:type="pct"/>
            <w:tcBorders>
              <w:tl2br w:val="nil"/>
              <w:tr2bl w:val="nil"/>
            </w:tcBorders>
            <w:noWrap w:val="0"/>
            <w:tcMar>
              <w:left w:w="57" w:type="dxa"/>
              <w:right w:w="57" w:type="dxa"/>
            </w:tcMar>
            <w:vAlign w:val="center"/>
          </w:tcPr>
          <w:p w14:paraId="627D09B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r w14:paraId="76D6E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30227334">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大气环境</w:t>
            </w:r>
          </w:p>
        </w:tc>
        <w:tc>
          <w:tcPr>
            <w:tcW w:w="327" w:type="pct"/>
            <w:tcBorders>
              <w:tl2br w:val="nil"/>
              <w:tr2bl w:val="nil"/>
            </w:tcBorders>
            <w:noWrap w:val="0"/>
            <w:tcMar>
              <w:left w:w="57" w:type="dxa"/>
              <w:right w:w="57" w:type="dxa"/>
            </w:tcMar>
            <w:vAlign w:val="center"/>
          </w:tcPr>
          <w:p w14:paraId="123ED008">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22B4C99A">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施工扬尘</w:t>
            </w:r>
          </w:p>
        </w:tc>
        <w:tc>
          <w:tcPr>
            <w:tcW w:w="2027" w:type="pct"/>
            <w:tcBorders>
              <w:tl2br w:val="nil"/>
              <w:tr2bl w:val="nil"/>
            </w:tcBorders>
            <w:noWrap w:val="0"/>
            <w:tcMar>
              <w:left w:w="57" w:type="dxa"/>
              <w:right w:w="57" w:type="dxa"/>
            </w:tcMar>
            <w:vAlign w:val="center"/>
          </w:tcPr>
          <w:p w14:paraId="6FD5BAA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施工作业面、施工道路、材料堆场、挖方临时堆场洒水防尘，采取覆盖堆料、润湿等措施</w:t>
            </w:r>
          </w:p>
        </w:tc>
        <w:tc>
          <w:tcPr>
            <w:tcW w:w="1434" w:type="pct"/>
            <w:tcBorders>
              <w:tl2br w:val="nil"/>
              <w:tr2bl w:val="nil"/>
            </w:tcBorders>
            <w:noWrap w:val="0"/>
            <w:tcMar>
              <w:left w:w="57" w:type="dxa"/>
              <w:right w:w="57" w:type="dxa"/>
            </w:tcMar>
            <w:vAlign w:val="center"/>
          </w:tcPr>
          <w:p w14:paraId="0C38F54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达到《大气污染物综合排放标准》（GB1629-1996）表2中的二级标准要求</w:t>
            </w:r>
          </w:p>
        </w:tc>
      </w:tr>
      <w:tr w14:paraId="14A16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6893E079">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5E32AD9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4987056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污水处理厂恶臭</w:t>
            </w:r>
          </w:p>
        </w:tc>
        <w:tc>
          <w:tcPr>
            <w:tcW w:w="2027" w:type="pct"/>
            <w:tcBorders>
              <w:tl2br w:val="nil"/>
              <w:tr2bl w:val="nil"/>
            </w:tcBorders>
            <w:noWrap w:val="0"/>
            <w:tcMar>
              <w:left w:w="57" w:type="dxa"/>
              <w:right w:w="57" w:type="dxa"/>
            </w:tcMar>
            <w:vAlign w:val="center"/>
          </w:tcPr>
          <w:p w14:paraId="230710EB">
            <w:pPr>
              <w:pageBreakBefore w:val="0"/>
              <w:wordWrap/>
              <w:bidi w:val="0"/>
              <w:adjustRightInd/>
              <w:snapToGrid/>
              <w:spacing w:line="240" w:lineRule="auto"/>
              <w:ind w:firstLine="0" w:firstLineChars="0"/>
              <w:jc w:val="center"/>
              <w:textAlignment w:val="baseline"/>
              <w:rPr>
                <w:color w:val="auto"/>
                <w:kern w:val="0"/>
                <w:sz w:val="21"/>
                <w:szCs w:val="21"/>
              </w:rPr>
            </w:pPr>
            <w:r>
              <w:rPr>
                <w:bCs/>
                <w:color w:val="auto"/>
                <w:kern w:val="0"/>
                <w:sz w:val="21"/>
                <w:szCs w:val="21"/>
              </w:rPr>
              <w:t>采用密闭设置，共设置</w:t>
            </w:r>
            <w:r>
              <w:rPr>
                <w:rFonts w:hint="eastAsia"/>
                <w:bCs/>
                <w:color w:val="auto"/>
                <w:kern w:val="0"/>
                <w:sz w:val="21"/>
                <w:szCs w:val="21"/>
                <w:lang w:val="en-US" w:eastAsia="zh-CN"/>
              </w:rPr>
              <w:t>1</w:t>
            </w:r>
            <w:r>
              <w:rPr>
                <w:bCs/>
                <w:color w:val="auto"/>
                <w:kern w:val="0"/>
                <w:sz w:val="21"/>
                <w:szCs w:val="21"/>
              </w:rPr>
              <w:t>套除臭装置，</w:t>
            </w:r>
            <w:r>
              <w:rPr>
                <w:color w:val="auto"/>
                <w:sz w:val="21"/>
                <w:szCs w:val="21"/>
              </w:rPr>
              <w:t>（净化效率≥95%，风机风量</w:t>
            </w:r>
            <w:r>
              <w:rPr>
                <w:rFonts w:hint="eastAsia"/>
                <w:color w:val="auto"/>
                <w:sz w:val="21"/>
                <w:szCs w:val="21"/>
                <w:lang w:val="en-US" w:eastAsia="zh-CN"/>
              </w:rPr>
              <w:t>20</w:t>
            </w:r>
            <w:r>
              <w:rPr>
                <w:color w:val="auto"/>
                <w:sz w:val="21"/>
                <w:szCs w:val="21"/>
              </w:rPr>
              <w:t>000</w:t>
            </w:r>
            <w:r>
              <w:rPr>
                <w:rFonts w:hint="eastAsia"/>
                <w:color w:val="auto"/>
                <w:sz w:val="21"/>
                <w:szCs w:val="21"/>
                <w:lang w:eastAsia="zh-CN"/>
              </w:rPr>
              <w:t>m³</w:t>
            </w:r>
            <w:r>
              <w:rPr>
                <w:color w:val="auto"/>
                <w:sz w:val="21"/>
                <w:szCs w:val="21"/>
              </w:rPr>
              <w:t>/h），经1根15m排气筒排放</w:t>
            </w:r>
          </w:p>
        </w:tc>
        <w:tc>
          <w:tcPr>
            <w:tcW w:w="1434" w:type="pct"/>
            <w:tcBorders>
              <w:tl2br w:val="nil"/>
              <w:tr2bl w:val="nil"/>
            </w:tcBorders>
            <w:noWrap w:val="0"/>
            <w:tcMar>
              <w:left w:w="57" w:type="dxa"/>
              <w:right w:w="57" w:type="dxa"/>
            </w:tcMar>
            <w:vAlign w:val="center"/>
          </w:tcPr>
          <w:p w14:paraId="410E30B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达到《恶臭污染物排放标准》（GB14554-1993）表</w:t>
            </w:r>
            <w:r>
              <w:rPr>
                <w:rFonts w:hint="eastAsia"/>
                <w:color w:val="auto"/>
                <w:kern w:val="0"/>
                <w:sz w:val="21"/>
                <w:szCs w:val="21"/>
                <w:lang w:eastAsia="zh-CN"/>
              </w:rPr>
              <w:t>1</w:t>
            </w:r>
            <w:r>
              <w:rPr>
                <w:color w:val="auto"/>
                <w:kern w:val="0"/>
                <w:sz w:val="21"/>
                <w:szCs w:val="21"/>
              </w:rPr>
              <w:t>、表2标准</w:t>
            </w:r>
          </w:p>
        </w:tc>
      </w:tr>
      <w:tr w14:paraId="4AED3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3920B119">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声环境</w:t>
            </w:r>
          </w:p>
        </w:tc>
        <w:tc>
          <w:tcPr>
            <w:tcW w:w="327" w:type="pct"/>
            <w:tcBorders>
              <w:tl2br w:val="nil"/>
              <w:tr2bl w:val="nil"/>
            </w:tcBorders>
            <w:noWrap w:val="0"/>
            <w:tcMar>
              <w:left w:w="57" w:type="dxa"/>
              <w:right w:w="57" w:type="dxa"/>
            </w:tcMar>
            <w:vAlign w:val="center"/>
          </w:tcPr>
          <w:p w14:paraId="60F99139">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35635A1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施工期各种机械设备</w:t>
            </w:r>
          </w:p>
        </w:tc>
        <w:tc>
          <w:tcPr>
            <w:tcW w:w="2027" w:type="pct"/>
            <w:tcBorders>
              <w:tl2br w:val="nil"/>
              <w:tr2bl w:val="nil"/>
            </w:tcBorders>
            <w:noWrap w:val="0"/>
            <w:tcMar>
              <w:left w:w="57" w:type="dxa"/>
              <w:right w:w="57" w:type="dxa"/>
            </w:tcMar>
            <w:vAlign w:val="center"/>
          </w:tcPr>
          <w:p w14:paraId="582CE8C0">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高噪设备隔声、隔振或消声降噪，优化施工总图布置等</w:t>
            </w:r>
          </w:p>
        </w:tc>
        <w:tc>
          <w:tcPr>
            <w:tcW w:w="1434" w:type="pct"/>
            <w:tcBorders>
              <w:tl2br w:val="nil"/>
              <w:tr2bl w:val="nil"/>
            </w:tcBorders>
            <w:noWrap w:val="0"/>
            <w:tcMar>
              <w:left w:w="57" w:type="dxa"/>
              <w:right w:w="57" w:type="dxa"/>
            </w:tcMar>
            <w:vAlign w:val="center"/>
          </w:tcPr>
          <w:p w14:paraId="2830279F">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达到《建筑施工场界环境噪声排放标准》</w:t>
            </w:r>
            <w:r>
              <w:rPr>
                <w:rFonts w:hint="eastAsia"/>
                <w:color w:val="auto"/>
                <w:kern w:val="0"/>
                <w:sz w:val="21"/>
                <w:szCs w:val="21"/>
                <w:lang w:eastAsia="zh-CN"/>
              </w:rPr>
              <w:t>（</w:t>
            </w:r>
            <w:r>
              <w:rPr>
                <w:bCs/>
                <w:color w:val="auto"/>
                <w:kern w:val="0"/>
                <w:sz w:val="21"/>
                <w:szCs w:val="21"/>
              </w:rPr>
              <w:t>GB</w:t>
            </w:r>
            <w:r>
              <w:rPr>
                <w:rFonts w:hint="eastAsia"/>
                <w:bCs/>
                <w:color w:val="auto"/>
                <w:kern w:val="0"/>
                <w:sz w:val="21"/>
                <w:szCs w:val="21"/>
                <w:lang w:eastAsia="zh-CN"/>
              </w:rPr>
              <w:t>1</w:t>
            </w:r>
            <w:r>
              <w:rPr>
                <w:bCs/>
                <w:color w:val="auto"/>
                <w:kern w:val="0"/>
                <w:sz w:val="21"/>
                <w:szCs w:val="21"/>
              </w:rPr>
              <w:t>2523-2011</w:t>
            </w:r>
            <w:r>
              <w:rPr>
                <w:rFonts w:hint="eastAsia"/>
                <w:color w:val="auto"/>
                <w:kern w:val="0"/>
                <w:sz w:val="21"/>
                <w:szCs w:val="21"/>
                <w:lang w:eastAsia="zh-CN"/>
              </w:rPr>
              <w:t>）</w:t>
            </w:r>
            <w:r>
              <w:rPr>
                <w:color w:val="auto"/>
                <w:kern w:val="0"/>
                <w:sz w:val="21"/>
                <w:szCs w:val="21"/>
              </w:rPr>
              <w:t>中的相关标准</w:t>
            </w:r>
          </w:p>
        </w:tc>
      </w:tr>
      <w:tr w14:paraId="7F47F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C44BFBD">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0598DE9C">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560E11CC">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设备噪声</w:t>
            </w:r>
          </w:p>
        </w:tc>
        <w:tc>
          <w:tcPr>
            <w:tcW w:w="2027" w:type="pct"/>
            <w:tcBorders>
              <w:tl2br w:val="nil"/>
              <w:tr2bl w:val="nil"/>
            </w:tcBorders>
            <w:noWrap w:val="0"/>
            <w:tcMar>
              <w:left w:w="57" w:type="dxa"/>
              <w:right w:w="57" w:type="dxa"/>
            </w:tcMar>
            <w:vAlign w:val="center"/>
          </w:tcPr>
          <w:p w14:paraId="0603387E">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选用低噪声设备、隔声、消声、减振等措施</w:t>
            </w:r>
          </w:p>
        </w:tc>
        <w:tc>
          <w:tcPr>
            <w:tcW w:w="1434" w:type="pct"/>
            <w:tcBorders>
              <w:tl2br w:val="nil"/>
              <w:tr2bl w:val="nil"/>
            </w:tcBorders>
            <w:noWrap w:val="0"/>
            <w:tcMar>
              <w:left w:w="57" w:type="dxa"/>
              <w:right w:w="57" w:type="dxa"/>
            </w:tcMar>
            <w:vAlign w:val="center"/>
          </w:tcPr>
          <w:p w14:paraId="736E84F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达到《工业企业厂界环境噪声排放标准》（GB12348-2008）</w:t>
            </w:r>
            <w:r>
              <w:rPr>
                <w:rFonts w:hint="eastAsia"/>
                <w:color w:val="auto"/>
                <w:kern w:val="0"/>
                <w:sz w:val="21"/>
                <w:szCs w:val="21"/>
                <w:lang w:val="en-US" w:eastAsia="zh-CN"/>
              </w:rPr>
              <w:t>2</w:t>
            </w:r>
            <w:r>
              <w:rPr>
                <w:color w:val="auto"/>
                <w:kern w:val="0"/>
                <w:sz w:val="21"/>
                <w:szCs w:val="21"/>
              </w:rPr>
              <w:t>类标准要求</w:t>
            </w:r>
          </w:p>
        </w:tc>
      </w:tr>
      <w:tr w14:paraId="7B57F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091EF4A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固废</w:t>
            </w:r>
          </w:p>
        </w:tc>
        <w:tc>
          <w:tcPr>
            <w:tcW w:w="327" w:type="pct"/>
            <w:vMerge w:val="restart"/>
            <w:tcBorders>
              <w:tl2br w:val="nil"/>
              <w:tr2bl w:val="nil"/>
            </w:tcBorders>
            <w:noWrap w:val="0"/>
            <w:tcMar>
              <w:left w:w="57" w:type="dxa"/>
              <w:right w:w="57" w:type="dxa"/>
            </w:tcMar>
            <w:vAlign w:val="center"/>
          </w:tcPr>
          <w:p w14:paraId="40F22564">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601BFE7F">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建筑垃圾</w:t>
            </w:r>
          </w:p>
        </w:tc>
        <w:tc>
          <w:tcPr>
            <w:tcW w:w="2027" w:type="pct"/>
            <w:tcBorders>
              <w:tl2br w:val="nil"/>
              <w:tr2bl w:val="nil"/>
            </w:tcBorders>
            <w:noWrap w:val="0"/>
            <w:tcMar>
              <w:left w:w="57" w:type="dxa"/>
              <w:right w:w="57" w:type="dxa"/>
            </w:tcMar>
            <w:vAlign w:val="center"/>
          </w:tcPr>
          <w:p w14:paraId="2D782B05">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sz w:val="21"/>
                <w:szCs w:val="21"/>
              </w:rPr>
              <w:t>清运至指定的建筑废渣专用堆放场</w:t>
            </w:r>
          </w:p>
        </w:tc>
        <w:tc>
          <w:tcPr>
            <w:tcW w:w="1434" w:type="pct"/>
            <w:vMerge w:val="restart"/>
            <w:tcBorders>
              <w:tl2br w:val="nil"/>
              <w:tr2bl w:val="nil"/>
            </w:tcBorders>
            <w:noWrap w:val="0"/>
            <w:tcMar>
              <w:left w:w="57" w:type="dxa"/>
              <w:right w:w="57" w:type="dxa"/>
            </w:tcMar>
            <w:vAlign w:val="center"/>
          </w:tcPr>
          <w:p w14:paraId="4A53C641">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r w14:paraId="103E7A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15BDFC9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43337204">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78B50B4A">
            <w:pPr>
              <w:pageBreakBefore w:val="0"/>
              <w:wordWrap/>
              <w:bidi w:val="0"/>
              <w:adjustRightInd/>
              <w:snapToGrid/>
              <w:spacing w:line="240" w:lineRule="auto"/>
              <w:ind w:firstLine="0" w:firstLineChars="0"/>
              <w:jc w:val="center"/>
              <w:rPr>
                <w:color w:val="auto"/>
                <w:sz w:val="21"/>
                <w:szCs w:val="21"/>
              </w:rPr>
            </w:pPr>
            <w:r>
              <w:rPr>
                <w:color w:val="auto"/>
                <w:sz w:val="21"/>
                <w:szCs w:val="21"/>
              </w:rPr>
              <w:t>生活垃圾</w:t>
            </w:r>
          </w:p>
        </w:tc>
        <w:tc>
          <w:tcPr>
            <w:tcW w:w="2027" w:type="pct"/>
            <w:tcBorders>
              <w:tl2br w:val="nil"/>
              <w:tr2bl w:val="nil"/>
            </w:tcBorders>
            <w:noWrap w:val="0"/>
            <w:tcMar>
              <w:left w:w="57" w:type="dxa"/>
              <w:right w:w="57" w:type="dxa"/>
            </w:tcMar>
            <w:vAlign w:val="center"/>
          </w:tcPr>
          <w:p w14:paraId="23752BB3">
            <w:pPr>
              <w:pageBreakBefore w:val="0"/>
              <w:wordWrap/>
              <w:bidi w:val="0"/>
              <w:adjustRightInd/>
              <w:snapToGrid/>
              <w:spacing w:line="240" w:lineRule="auto"/>
              <w:ind w:firstLine="0" w:firstLineChars="0"/>
              <w:jc w:val="center"/>
              <w:rPr>
                <w:color w:val="auto"/>
                <w:sz w:val="21"/>
                <w:szCs w:val="21"/>
              </w:rPr>
            </w:pPr>
            <w:r>
              <w:rPr>
                <w:color w:val="auto"/>
                <w:sz w:val="21"/>
                <w:szCs w:val="21"/>
              </w:rPr>
              <w:t>环卫部门收集清运处理</w:t>
            </w:r>
          </w:p>
        </w:tc>
        <w:tc>
          <w:tcPr>
            <w:tcW w:w="1434" w:type="pct"/>
            <w:vMerge w:val="continue"/>
            <w:tcBorders>
              <w:tl2br w:val="nil"/>
              <w:tr2bl w:val="nil"/>
            </w:tcBorders>
            <w:noWrap w:val="0"/>
            <w:tcMar>
              <w:left w:w="57" w:type="dxa"/>
              <w:right w:w="57" w:type="dxa"/>
            </w:tcMar>
            <w:vAlign w:val="center"/>
          </w:tcPr>
          <w:p w14:paraId="5E14D818">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6491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62B7AE04">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restart"/>
            <w:tcBorders>
              <w:tl2br w:val="nil"/>
              <w:tr2bl w:val="nil"/>
            </w:tcBorders>
            <w:noWrap w:val="0"/>
            <w:tcMar>
              <w:left w:w="57" w:type="dxa"/>
              <w:right w:w="57" w:type="dxa"/>
            </w:tcMar>
            <w:vAlign w:val="center"/>
          </w:tcPr>
          <w:p w14:paraId="46239540">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104CC4BC">
            <w:pPr>
              <w:pStyle w:val="495"/>
              <w:pageBreakBefore w:val="0"/>
              <w:wordWrap/>
              <w:bidi w:val="0"/>
              <w:adjustRightInd/>
              <w:snapToGrid/>
              <w:ind w:firstLine="0" w:firstLineChars="0"/>
              <w:jc w:val="center"/>
              <w:rPr>
                <w:color w:val="auto"/>
                <w:sz w:val="21"/>
                <w:szCs w:val="21"/>
              </w:rPr>
            </w:pPr>
            <w:r>
              <w:rPr>
                <w:color w:val="auto"/>
                <w:sz w:val="21"/>
                <w:szCs w:val="21"/>
              </w:rPr>
              <w:t>生活垃圾</w:t>
            </w:r>
          </w:p>
        </w:tc>
        <w:tc>
          <w:tcPr>
            <w:tcW w:w="2027" w:type="pct"/>
            <w:tcBorders>
              <w:tl2br w:val="nil"/>
              <w:tr2bl w:val="nil"/>
            </w:tcBorders>
            <w:noWrap w:val="0"/>
            <w:tcMar>
              <w:left w:w="57" w:type="dxa"/>
              <w:right w:w="57" w:type="dxa"/>
            </w:tcMar>
            <w:vAlign w:val="center"/>
          </w:tcPr>
          <w:p w14:paraId="4777B776">
            <w:pPr>
              <w:pStyle w:val="495"/>
              <w:pageBreakBefore w:val="0"/>
              <w:wordWrap/>
              <w:bidi w:val="0"/>
              <w:adjustRightInd/>
              <w:snapToGrid/>
              <w:ind w:firstLine="0" w:firstLineChars="0"/>
              <w:jc w:val="center"/>
              <w:rPr>
                <w:color w:val="auto"/>
                <w:sz w:val="21"/>
                <w:szCs w:val="21"/>
              </w:rPr>
            </w:pPr>
            <w:r>
              <w:rPr>
                <w:color w:val="auto"/>
                <w:sz w:val="21"/>
                <w:szCs w:val="21"/>
              </w:rPr>
              <w:t>环卫清运</w:t>
            </w:r>
          </w:p>
        </w:tc>
        <w:tc>
          <w:tcPr>
            <w:tcW w:w="1434" w:type="pct"/>
            <w:vMerge w:val="continue"/>
            <w:tcBorders>
              <w:tl2br w:val="nil"/>
              <w:tr2bl w:val="nil"/>
            </w:tcBorders>
            <w:noWrap w:val="0"/>
            <w:tcMar>
              <w:left w:w="57" w:type="dxa"/>
              <w:right w:w="57" w:type="dxa"/>
            </w:tcMar>
            <w:vAlign w:val="center"/>
          </w:tcPr>
          <w:p w14:paraId="618AEC12">
            <w:pPr>
              <w:pageBreakBefore w:val="0"/>
              <w:wordWrap/>
              <w:bidi w:val="0"/>
              <w:adjustRightInd/>
              <w:snapToGrid/>
              <w:spacing w:line="240" w:lineRule="auto"/>
              <w:ind w:firstLine="0" w:firstLineChars="0"/>
              <w:jc w:val="center"/>
              <w:textAlignment w:val="baseline"/>
              <w:rPr>
                <w:color w:val="auto"/>
                <w:kern w:val="0"/>
                <w:sz w:val="21"/>
                <w:szCs w:val="21"/>
              </w:rPr>
            </w:pPr>
          </w:p>
        </w:tc>
      </w:tr>
      <w:tr w14:paraId="46ED2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154ECB1">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4058B36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0B50527C">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食堂餐厨垃圾</w:t>
            </w:r>
          </w:p>
        </w:tc>
        <w:tc>
          <w:tcPr>
            <w:tcW w:w="2027" w:type="pct"/>
            <w:tcBorders>
              <w:tl2br w:val="nil"/>
              <w:tr2bl w:val="nil"/>
            </w:tcBorders>
            <w:noWrap w:val="0"/>
            <w:tcMar>
              <w:left w:w="57" w:type="dxa"/>
              <w:right w:w="57" w:type="dxa"/>
            </w:tcMar>
            <w:vAlign w:val="center"/>
          </w:tcPr>
          <w:p w14:paraId="5599001D">
            <w:pPr>
              <w:pStyle w:val="495"/>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c>
          <w:tcPr>
            <w:tcW w:w="1434" w:type="pct"/>
            <w:vMerge w:val="continue"/>
            <w:tcBorders>
              <w:tl2br w:val="nil"/>
              <w:tr2bl w:val="nil"/>
            </w:tcBorders>
            <w:noWrap w:val="0"/>
            <w:tcMar>
              <w:left w:w="57" w:type="dxa"/>
              <w:right w:w="57" w:type="dxa"/>
            </w:tcMar>
            <w:vAlign w:val="center"/>
          </w:tcPr>
          <w:p w14:paraId="09B58758">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FBAE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051ACA55">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146D6A7">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2C283FC8">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废包装材料</w:t>
            </w:r>
          </w:p>
        </w:tc>
        <w:tc>
          <w:tcPr>
            <w:tcW w:w="2027" w:type="pct"/>
            <w:tcBorders>
              <w:tl2br w:val="nil"/>
              <w:tr2bl w:val="nil"/>
            </w:tcBorders>
            <w:noWrap w:val="0"/>
            <w:tcMar>
              <w:left w:w="57" w:type="dxa"/>
              <w:right w:w="57" w:type="dxa"/>
            </w:tcMar>
            <w:vAlign w:val="center"/>
          </w:tcPr>
          <w:p w14:paraId="5A1CA60C">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外售废品回收站</w:t>
            </w:r>
          </w:p>
        </w:tc>
        <w:tc>
          <w:tcPr>
            <w:tcW w:w="1434" w:type="pct"/>
            <w:vMerge w:val="continue"/>
            <w:tcBorders>
              <w:tl2br w:val="nil"/>
              <w:tr2bl w:val="nil"/>
            </w:tcBorders>
            <w:noWrap w:val="0"/>
            <w:tcMar>
              <w:left w:w="57" w:type="dxa"/>
              <w:right w:w="57" w:type="dxa"/>
            </w:tcMar>
            <w:vAlign w:val="center"/>
          </w:tcPr>
          <w:p w14:paraId="7BD662E6">
            <w:pPr>
              <w:pageBreakBefore w:val="0"/>
              <w:wordWrap/>
              <w:bidi w:val="0"/>
              <w:adjustRightInd/>
              <w:snapToGrid/>
              <w:spacing w:line="240" w:lineRule="auto"/>
              <w:ind w:firstLine="0" w:firstLineChars="0"/>
              <w:jc w:val="center"/>
              <w:textAlignment w:val="baseline"/>
              <w:rPr>
                <w:color w:val="auto"/>
                <w:kern w:val="0"/>
                <w:sz w:val="21"/>
                <w:szCs w:val="21"/>
              </w:rPr>
            </w:pPr>
          </w:p>
        </w:tc>
      </w:tr>
      <w:tr w14:paraId="143F0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1BF82082">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6E4F073E">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6EE135B7">
            <w:pPr>
              <w:pStyle w:val="495"/>
              <w:pageBreakBefore w:val="0"/>
              <w:wordWrap/>
              <w:bidi w:val="0"/>
              <w:adjustRightInd/>
              <w:snapToGrid/>
              <w:ind w:firstLine="0" w:firstLineChars="0"/>
              <w:jc w:val="center"/>
              <w:rPr>
                <w:color w:val="auto"/>
                <w:sz w:val="21"/>
                <w:szCs w:val="21"/>
              </w:rPr>
            </w:pPr>
            <w:r>
              <w:rPr>
                <w:color w:val="auto"/>
                <w:sz w:val="21"/>
                <w:szCs w:val="21"/>
              </w:rPr>
              <w:t>栅渣</w:t>
            </w:r>
          </w:p>
        </w:tc>
        <w:tc>
          <w:tcPr>
            <w:tcW w:w="2027" w:type="pct"/>
            <w:tcBorders>
              <w:tl2br w:val="nil"/>
              <w:tr2bl w:val="nil"/>
            </w:tcBorders>
            <w:noWrap w:val="0"/>
            <w:tcMar>
              <w:left w:w="57" w:type="dxa"/>
              <w:right w:w="57" w:type="dxa"/>
            </w:tcMar>
            <w:vAlign w:val="center"/>
          </w:tcPr>
          <w:p w14:paraId="5DA4E150">
            <w:pPr>
              <w:pStyle w:val="495"/>
              <w:pageBreakBefore w:val="0"/>
              <w:wordWrap/>
              <w:bidi w:val="0"/>
              <w:adjustRightInd/>
              <w:snapToGrid/>
              <w:ind w:firstLine="0" w:firstLineChars="0"/>
              <w:jc w:val="center"/>
              <w:rPr>
                <w:color w:val="auto"/>
                <w:sz w:val="21"/>
                <w:szCs w:val="21"/>
              </w:rPr>
            </w:pPr>
            <w:r>
              <w:rPr>
                <w:color w:val="auto"/>
                <w:sz w:val="21"/>
                <w:szCs w:val="21"/>
              </w:rPr>
              <w:t>环卫部门清运</w:t>
            </w:r>
          </w:p>
        </w:tc>
        <w:tc>
          <w:tcPr>
            <w:tcW w:w="1434" w:type="pct"/>
            <w:vMerge w:val="continue"/>
            <w:tcBorders>
              <w:tl2br w:val="nil"/>
              <w:tr2bl w:val="nil"/>
            </w:tcBorders>
            <w:noWrap w:val="0"/>
            <w:tcMar>
              <w:left w:w="57" w:type="dxa"/>
              <w:right w:w="57" w:type="dxa"/>
            </w:tcMar>
            <w:vAlign w:val="center"/>
          </w:tcPr>
          <w:p w14:paraId="171A5755">
            <w:pPr>
              <w:pageBreakBefore w:val="0"/>
              <w:wordWrap/>
              <w:bidi w:val="0"/>
              <w:adjustRightInd/>
              <w:snapToGrid/>
              <w:spacing w:line="240" w:lineRule="auto"/>
              <w:ind w:firstLine="0" w:firstLineChars="0"/>
              <w:jc w:val="center"/>
              <w:textAlignment w:val="baseline"/>
              <w:rPr>
                <w:color w:val="auto"/>
                <w:kern w:val="0"/>
                <w:sz w:val="21"/>
                <w:szCs w:val="21"/>
              </w:rPr>
            </w:pPr>
          </w:p>
        </w:tc>
      </w:tr>
      <w:tr w14:paraId="22789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5D2D073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DD4C91D">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6F978FE5">
            <w:pPr>
              <w:pStyle w:val="495"/>
              <w:pageBreakBefore w:val="0"/>
              <w:wordWrap/>
              <w:bidi w:val="0"/>
              <w:adjustRightInd/>
              <w:snapToGrid/>
              <w:ind w:firstLine="0" w:firstLineChars="0"/>
              <w:jc w:val="center"/>
              <w:rPr>
                <w:color w:val="auto"/>
                <w:sz w:val="21"/>
                <w:szCs w:val="21"/>
              </w:rPr>
            </w:pPr>
            <w:r>
              <w:rPr>
                <w:color w:val="auto"/>
                <w:sz w:val="21"/>
                <w:szCs w:val="21"/>
              </w:rPr>
              <w:t>污泥</w:t>
            </w:r>
          </w:p>
        </w:tc>
        <w:tc>
          <w:tcPr>
            <w:tcW w:w="2027" w:type="pct"/>
            <w:tcBorders>
              <w:tl2br w:val="nil"/>
              <w:tr2bl w:val="nil"/>
            </w:tcBorders>
            <w:noWrap w:val="0"/>
            <w:tcMar>
              <w:left w:w="57" w:type="dxa"/>
              <w:right w:w="57" w:type="dxa"/>
            </w:tcMar>
            <w:vAlign w:val="center"/>
          </w:tcPr>
          <w:p w14:paraId="70A15B97">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45C014BE">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若属危废→危废处置单位；若不属 </w:t>
            </w:r>
          </w:p>
          <w:p w14:paraId="105AA92B">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危废→其他第三方专业机构处置。</w:t>
            </w:r>
          </w:p>
        </w:tc>
        <w:tc>
          <w:tcPr>
            <w:tcW w:w="1434" w:type="pct"/>
            <w:vMerge w:val="continue"/>
            <w:tcBorders>
              <w:tl2br w:val="nil"/>
              <w:tr2bl w:val="nil"/>
            </w:tcBorders>
            <w:noWrap w:val="0"/>
            <w:tcMar>
              <w:left w:w="57" w:type="dxa"/>
              <w:right w:w="57" w:type="dxa"/>
            </w:tcMar>
            <w:vAlign w:val="center"/>
          </w:tcPr>
          <w:p w14:paraId="73E6DAFA">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ED250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6D0B1CDF">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08A49F8D">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0058602C">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生物除臭系统废弃填料</w:t>
            </w:r>
          </w:p>
        </w:tc>
        <w:tc>
          <w:tcPr>
            <w:tcW w:w="2027" w:type="pct"/>
            <w:tcBorders>
              <w:tl2br w:val="nil"/>
              <w:tr2bl w:val="nil"/>
            </w:tcBorders>
            <w:noWrap w:val="0"/>
            <w:tcMar>
              <w:left w:w="57" w:type="dxa"/>
              <w:right w:w="57" w:type="dxa"/>
            </w:tcMar>
            <w:vAlign w:val="center"/>
          </w:tcPr>
          <w:p w14:paraId="64512E8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厂家回收</w:t>
            </w:r>
          </w:p>
        </w:tc>
        <w:tc>
          <w:tcPr>
            <w:tcW w:w="1434" w:type="pct"/>
            <w:vMerge w:val="continue"/>
            <w:tcBorders>
              <w:tl2br w:val="nil"/>
              <w:tr2bl w:val="nil"/>
            </w:tcBorders>
            <w:noWrap w:val="0"/>
            <w:tcMar>
              <w:left w:w="57" w:type="dxa"/>
              <w:right w:w="57" w:type="dxa"/>
            </w:tcMar>
            <w:vAlign w:val="center"/>
          </w:tcPr>
          <w:p w14:paraId="1025A88D">
            <w:pPr>
              <w:pageBreakBefore w:val="0"/>
              <w:wordWrap/>
              <w:bidi w:val="0"/>
              <w:adjustRightInd/>
              <w:snapToGrid/>
              <w:spacing w:line="240" w:lineRule="auto"/>
              <w:ind w:firstLine="0" w:firstLineChars="0"/>
              <w:jc w:val="center"/>
              <w:textAlignment w:val="baseline"/>
              <w:rPr>
                <w:color w:val="auto"/>
                <w:kern w:val="0"/>
                <w:sz w:val="21"/>
                <w:szCs w:val="21"/>
              </w:rPr>
            </w:pPr>
          </w:p>
        </w:tc>
      </w:tr>
      <w:tr w14:paraId="4ADA2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51866A48">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0D2E242F">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5B4A9D33">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w:t>
            </w:r>
          </w:p>
        </w:tc>
        <w:tc>
          <w:tcPr>
            <w:tcW w:w="2027" w:type="pct"/>
            <w:vMerge w:val="restart"/>
            <w:tcBorders>
              <w:tl2br w:val="nil"/>
              <w:tr2bl w:val="nil"/>
            </w:tcBorders>
            <w:noWrap w:val="0"/>
            <w:tcMar>
              <w:left w:w="57" w:type="dxa"/>
              <w:right w:w="57" w:type="dxa"/>
            </w:tcMar>
            <w:vAlign w:val="center"/>
          </w:tcPr>
          <w:p w14:paraId="339120A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新建危废暂存间，做好防雨、防晒、防溢流、防渗措施，分类收集，定期交由有危废处理资质的单位处理</w:t>
            </w:r>
          </w:p>
        </w:tc>
        <w:tc>
          <w:tcPr>
            <w:tcW w:w="1434" w:type="pct"/>
            <w:vMerge w:val="continue"/>
            <w:tcBorders>
              <w:tl2br w:val="nil"/>
              <w:tr2bl w:val="nil"/>
            </w:tcBorders>
            <w:noWrap w:val="0"/>
            <w:tcMar>
              <w:left w:w="57" w:type="dxa"/>
              <w:right w:w="57" w:type="dxa"/>
            </w:tcMar>
            <w:vAlign w:val="center"/>
          </w:tcPr>
          <w:p w14:paraId="47603C8F">
            <w:pPr>
              <w:pageBreakBefore w:val="0"/>
              <w:wordWrap/>
              <w:bidi w:val="0"/>
              <w:adjustRightInd/>
              <w:snapToGrid/>
              <w:spacing w:line="240" w:lineRule="auto"/>
              <w:ind w:firstLine="0" w:firstLineChars="0"/>
              <w:jc w:val="center"/>
              <w:textAlignment w:val="baseline"/>
              <w:rPr>
                <w:color w:val="auto"/>
                <w:kern w:val="0"/>
                <w:sz w:val="21"/>
                <w:szCs w:val="21"/>
              </w:rPr>
            </w:pPr>
          </w:p>
        </w:tc>
      </w:tr>
      <w:tr w14:paraId="25B9A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2419E5AB">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7B4C9208">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08BFD74A">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废机油桶</w:t>
            </w:r>
          </w:p>
        </w:tc>
        <w:tc>
          <w:tcPr>
            <w:tcW w:w="2027" w:type="pct"/>
            <w:vMerge w:val="continue"/>
            <w:tcBorders>
              <w:tl2br w:val="nil"/>
              <w:tr2bl w:val="nil"/>
            </w:tcBorders>
            <w:noWrap w:val="0"/>
            <w:tcMar>
              <w:left w:w="57" w:type="dxa"/>
              <w:right w:w="57" w:type="dxa"/>
            </w:tcMar>
            <w:vAlign w:val="center"/>
          </w:tcPr>
          <w:p w14:paraId="174AFAD6">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375298E6">
            <w:pPr>
              <w:pageBreakBefore w:val="0"/>
              <w:wordWrap/>
              <w:bidi w:val="0"/>
              <w:adjustRightInd/>
              <w:snapToGrid/>
              <w:spacing w:line="240" w:lineRule="auto"/>
              <w:ind w:firstLine="0" w:firstLineChars="0"/>
              <w:jc w:val="center"/>
              <w:textAlignment w:val="baseline"/>
              <w:rPr>
                <w:color w:val="auto"/>
                <w:kern w:val="0"/>
                <w:sz w:val="21"/>
                <w:szCs w:val="21"/>
              </w:rPr>
            </w:pPr>
          </w:p>
        </w:tc>
      </w:tr>
      <w:tr w14:paraId="18520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162B84D1">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3E21812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4C5C7340">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含油棉纱手套</w:t>
            </w:r>
          </w:p>
        </w:tc>
        <w:tc>
          <w:tcPr>
            <w:tcW w:w="2027" w:type="pct"/>
            <w:vMerge w:val="continue"/>
            <w:tcBorders>
              <w:tl2br w:val="nil"/>
              <w:tr2bl w:val="nil"/>
            </w:tcBorders>
            <w:noWrap w:val="0"/>
            <w:tcMar>
              <w:left w:w="57" w:type="dxa"/>
              <w:right w:w="57" w:type="dxa"/>
            </w:tcMar>
            <w:vAlign w:val="center"/>
          </w:tcPr>
          <w:p w14:paraId="2F5B1122">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027FD7B1">
            <w:pPr>
              <w:pageBreakBefore w:val="0"/>
              <w:wordWrap/>
              <w:bidi w:val="0"/>
              <w:adjustRightInd/>
              <w:snapToGrid/>
              <w:spacing w:line="240" w:lineRule="auto"/>
              <w:ind w:firstLine="0" w:firstLineChars="0"/>
              <w:jc w:val="center"/>
              <w:textAlignment w:val="baseline"/>
              <w:rPr>
                <w:color w:val="auto"/>
                <w:kern w:val="0"/>
                <w:sz w:val="21"/>
                <w:szCs w:val="21"/>
              </w:rPr>
            </w:pPr>
          </w:p>
        </w:tc>
      </w:tr>
      <w:tr w14:paraId="41D29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20DDC79">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76F66947">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2697BBBC">
            <w:pPr>
              <w:pStyle w:val="495"/>
              <w:pageBreakBefore w:val="0"/>
              <w:wordWrap/>
              <w:bidi w:val="0"/>
              <w:adjustRightInd/>
              <w:snapToGrid/>
              <w:ind w:firstLine="0" w:firstLineChars="0"/>
              <w:jc w:val="center"/>
              <w:rPr>
                <w:color w:val="auto"/>
                <w:sz w:val="21"/>
                <w:szCs w:val="21"/>
              </w:rPr>
            </w:pPr>
            <w:r>
              <w:rPr>
                <w:color w:val="auto"/>
                <w:sz w:val="21"/>
                <w:szCs w:val="21"/>
              </w:rPr>
              <w:t>化验废液</w:t>
            </w:r>
          </w:p>
        </w:tc>
        <w:tc>
          <w:tcPr>
            <w:tcW w:w="2027" w:type="pct"/>
            <w:vMerge w:val="continue"/>
            <w:tcBorders>
              <w:tl2br w:val="nil"/>
              <w:tr2bl w:val="nil"/>
            </w:tcBorders>
            <w:noWrap w:val="0"/>
            <w:tcMar>
              <w:left w:w="57" w:type="dxa"/>
              <w:right w:w="57" w:type="dxa"/>
            </w:tcMar>
            <w:vAlign w:val="center"/>
          </w:tcPr>
          <w:p w14:paraId="2E18BBD9">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794151DD">
            <w:pPr>
              <w:pageBreakBefore w:val="0"/>
              <w:wordWrap/>
              <w:bidi w:val="0"/>
              <w:adjustRightInd/>
              <w:snapToGrid/>
              <w:spacing w:line="240" w:lineRule="auto"/>
              <w:ind w:firstLine="0" w:firstLineChars="0"/>
              <w:jc w:val="center"/>
              <w:textAlignment w:val="baseline"/>
              <w:rPr>
                <w:color w:val="auto"/>
                <w:kern w:val="0"/>
                <w:sz w:val="21"/>
                <w:szCs w:val="21"/>
              </w:rPr>
            </w:pPr>
          </w:p>
        </w:tc>
      </w:tr>
      <w:tr w14:paraId="45B41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2500E73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F5D6FD2">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4F05ECD7">
            <w:pPr>
              <w:pStyle w:val="495"/>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废化学试剂瓶</w:t>
            </w:r>
          </w:p>
        </w:tc>
        <w:tc>
          <w:tcPr>
            <w:tcW w:w="2027" w:type="pct"/>
            <w:vMerge w:val="continue"/>
            <w:tcBorders>
              <w:tl2br w:val="nil"/>
              <w:tr2bl w:val="nil"/>
            </w:tcBorders>
            <w:noWrap w:val="0"/>
            <w:tcMar>
              <w:left w:w="57" w:type="dxa"/>
              <w:right w:w="57" w:type="dxa"/>
            </w:tcMar>
            <w:vAlign w:val="center"/>
          </w:tcPr>
          <w:p w14:paraId="1B635A57">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7F098C06">
            <w:pPr>
              <w:pageBreakBefore w:val="0"/>
              <w:wordWrap/>
              <w:bidi w:val="0"/>
              <w:adjustRightInd/>
              <w:snapToGrid/>
              <w:spacing w:line="240" w:lineRule="auto"/>
              <w:ind w:firstLine="0" w:firstLineChars="0"/>
              <w:jc w:val="center"/>
              <w:textAlignment w:val="baseline"/>
              <w:rPr>
                <w:color w:val="auto"/>
                <w:kern w:val="0"/>
                <w:sz w:val="21"/>
                <w:szCs w:val="21"/>
              </w:rPr>
            </w:pPr>
          </w:p>
        </w:tc>
      </w:tr>
      <w:tr w14:paraId="6DE84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661D81F7">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环境风险</w:t>
            </w:r>
          </w:p>
        </w:tc>
        <w:tc>
          <w:tcPr>
            <w:tcW w:w="327" w:type="pct"/>
            <w:tcBorders>
              <w:tl2br w:val="nil"/>
              <w:tr2bl w:val="nil"/>
            </w:tcBorders>
            <w:noWrap w:val="0"/>
            <w:tcMar>
              <w:left w:w="57" w:type="dxa"/>
              <w:right w:w="57" w:type="dxa"/>
            </w:tcMar>
            <w:vAlign w:val="center"/>
          </w:tcPr>
          <w:p w14:paraId="562A7694">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营运期</w:t>
            </w:r>
          </w:p>
        </w:tc>
        <w:tc>
          <w:tcPr>
            <w:tcW w:w="843" w:type="pct"/>
            <w:tcBorders>
              <w:tl2br w:val="nil"/>
              <w:tr2bl w:val="nil"/>
            </w:tcBorders>
            <w:noWrap w:val="0"/>
            <w:tcMar>
              <w:left w:w="57" w:type="dxa"/>
              <w:right w:w="57" w:type="dxa"/>
            </w:tcMar>
            <w:vAlign w:val="center"/>
          </w:tcPr>
          <w:p w14:paraId="7A2C6C5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应急措施</w:t>
            </w:r>
          </w:p>
        </w:tc>
        <w:tc>
          <w:tcPr>
            <w:tcW w:w="2027" w:type="pct"/>
            <w:tcBorders>
              <w:tl2br w:val="nil"/>
              <w:tr2bl w:val="nil"/>
            </w:tcBorders>
            <w:noWrap w:val="0"/>
            <w:tcMar>
              <w:left w:w="57" w:type="dxa"/>
              <w:right w:w="57" w:type="dxa"/>
            </w:tcMar>
            <w:vAlign w:val="center"/>
          </w:tcPr>
          <w:p w14:paraId="25808B7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配置灭火器、消火栓等消防设施；制定应急预案，加强演练</w:t>
            </w:r>
          </w:p>
        </w:tc>
        <w:tc>
          <w:tcPr>
            <w:tcW w:w="1434" w:type="pct"/>
            <w:tcBorders>
              <w:tl2br w:val="nil"/>
              <w:tr2bl w:val="nil"/>
            </w:tcBorders>
            <w:noWrap w:val="0"/>
            <w:tcMar>
              <w:left w:w="57" w:type="dxa"/>
              <w:right w:w="57" w:type="dxa"/>
            </w:tcMar>
            <w:vAlign w:val="center"/>
          </w:tcPr>
          <w:p w14:paraId="23E5D56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bl>
    <w:p w14:paraId="7A1BC129">
      <w:pPr>
        <w:pStyle w:val="140"/>
        <w:pageBreakBefore w:val="0"/>
        <w:wordWrap/>
        <w:bidi w:val="0"/>
        <w:adjustRightInd/>
        <w:snapToGrid/>
        <w:rPr>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4FE3E8BE">
      <w:pPr>
        <w:pStyle w:val="3"/>
        <w:pageBreakBefore w:val="0"/>
        <w:wordWrap/>
        <w:bidi w:val="0"/>
        <w:adjustRightInd/>
        <w:snapToGrid/>
        <w:rPr>
          <w:rFonts w:eastAsia="宋体"/>
          <w:color w:val="auto"/>
        </w:rPr>
      </w:pPr>
      <w:bookmarkStart w:id="298" w:name="_Toc7220"/>
      <w:bookmarkStart w:id="299" w:name="_Toc505087386"/>
      <w:bookmarkStart w:id="300" w:name="_Toc15291"/>
      <w:r>
        <w:rPr>
          <w:rFonts w:eastAsia="宋体"/>
          <w:color w:val="auto"/>
        </w:rPr>
        <w:t>环境影响评价结论</w:t>
      </w:r>
      <w:bookmarkEnd w:id="296"/>
      <w:bookmarkEnd w:id="297"/>
      <w:bookmarkEnd w:id="298"/>
      <w:bookmarkEnd w:id="299"/>
      <w:bookmarkEnd w:id="300"/>
    </w:p>
    <w:p w14:paraId="12E7F332">
      <w:pPr>
        <w:pStyle w:val="4"/>
        <w:pageBreakBefore w:val="0"/>
        <w:wordWrap/>
        <w:bidi w:val="0"/>
        <w:adjustRightInd/>
        <w:snapToGrid/>
        <w:rPr>
          <w:rFonts w:ascii="Times New Roman" w:hAnsi="Times New Roman" w:eastAsia="宋体"/>
          <w:color w:val="auto"/>
        </w:rPr>
      </w:pPr>
      <w:bookmarkStart w:id="301" w:name="_Toc362082782"/>
      <w:bookmarkStart w:id="302" w:name="_Toc505087387"/>
      <w:bookmarkStart w:id="303" w:name="_Toc374627870"/>
      <w:bookmarkStart w:id="304" w:name="_Toc20983"/>
      <w:bookmarkStart w:id="305" w:name="_Toc30943"/>
      <w:r>
        <w:rPr>
          <w:rFonts w:hint="eastAsia" w:ascii="Times New Roman" w:hAnsi="Times New Roman" w:eastAsia="宋体"/>
          <w:color w:val="auto"/>
        </w:rPr>
        <w:t xml:space="preserve"> </w:t>
      </w:r>
      <w:bookmarkStart w:id="306" w:name="_Toc32110"/>
      <w:r>
        <w:rPr>
          <w:rFonts w:ascii="Times New Roman" w:hAnsi="Times New Roman" w:eastAsia="宋体"/>
          <w:color w:val="auto"/>
        </w:rPr>
        <w:t>结论</w:t>
      </w:r>
      <w:bookmarkEnd w:id="301"/>
      <w:bookmarkEnd w:id="302"/>
      <w:bookmarkEnd w:id="303"/>
      <w:bookmarkEnd w:id="304"/>
      <w:bookmarkEnd w:id="305"/>
      <w:bookmarkEnd w:id="306"/>
    </w:p>
    <w:p w14:paraId="5A83089F">
      <w:pPr>
        <w:pStyle w:val="5"/>
        <w:pageBreakBefore w:val="0"/>
        <w:wordWrap/>
        <w:bidi w:val="0"/>
        <w:adjustRightInd/>
        <w:snapToGrid/>
        <w:spacing w:before="48" w:after="48"/>
        <w:ind w:left="0"/>
        <w:rPr>
          <w:rFonts w:eastAsia="宋体"/>
          <w:color w:val="auto"/>
        </w:rPr>
      </w:pPr>
      <w:bookmarkStart w:id="307" w:name="_Toc8343"/>
      <w:bookmarkStart w:id="308" w:name="_Toc374627871"/>
      <w:r>
        <w:rPr>
          <w:rFonts w:hint="eastAsia" w:eastAsia="宋体"/>
          <w:color w:val="auto"/>
        </w:rPr>
        <w:t xml:space="preserve"> </w:t>
      </w:r>
      <w:r>
        <w:rPr>
          <w:rFonts w:eastAsia="宋体"/>
          <w:color w:val="auto"/>
        </w:rPr>
        <w:t>建设项目概况</w:t>
      </w:r>
    </w:p>
    <w:p w14:paraId="4EB2037B">
      <w:pPr>
        <w:pageBreakBefore w:val="0"/>
        <w:widowControl/>
        <w:wordWrap/>
        <w:bidi w:val="0"/>
        <w:adjustRightInd/>
        <w:snapToGrid/>
        <w:ind w:firstLine="480"/>
        <w:rPr>
          <w:color w:val="auto"/>
          <w:kern w:val="0"/>
          <w:lang w:bidi="ar"/>
        </w:rPr>
      </w:pPr>
      <w:r>
        <w:rPr>
          <w:rFonts w:hint="eastAsia"/>
          <w:color w:val="auto"/>
          <w:lang w:eastAsia="zh-CN"/>
        </w:rPr>
        <w:t>巴中市巴州区曾口片区污水处理厂、环境监测站建设项目</w:t>
      </w:r>
      <w:r>
        <w:rPr>
          <w:rFonts w:hint="eastAsia"/>
          <w:color w:val="auto"/>
        </w:rPr>
        <w:t>位于</w:t>
      </w:r>
      <w:r>
        <w:rPr>
          <w:rFonts w:hint="eastAsia"/>
          <w:color w:val="auto"/>
          <w:lang w:eastAsia="zh-CN"/>
        </w:rPr>
        <w:t>巴中市巴州区曾口镇寿星村13组</w:t>
      </w:r>
      <w:r>
        <w:rPr>
          <w:rFonts w:hint="eastAsia"/>
          <w:color w:val="auto"/>
        </w:rPr>
        <w:t>，占地</w:t>
      </w:r>
      <w:r>
        <w:rPr>
          <w:rFonts w:hint="eastAsia"/>
          <w:color w:val="auto"/>
          <w:lang w:val="en-US" w:eastAsia="zh-CN"/>
        </w:rPr>
        <w:t>40490.09m²</w:t>
      </w:r>
      <w:r>
        <w:rPr>
          <w:rFonts w:hint="eastAsia"/>
          <w:color w:val="auto"/>
        </w:rPr>
        <w:t>，污水处理主体工艺为</w:t>
      </w:r>
      <w:r>
        <w:rPr>
          <w:rFonts w:hint="eastAsia"/>
          <w:color w:val="auto"/>
          <w:lang w:eastAsia="zh-CN"/>
        </w:rPr>
        <w:t>“超细格栅+调节池+高级氧化预处理（预留）+水解酸化池+生化池+二沉池+磁混凝沉淀池+深床反硝化+高级氧化深度处理+紫外线消毒”</w:t>
      </w:r>
      <w:r>
        <w:rPr>
          <w:rFonts w:hint="eastAsia"/>
          <w:color w:val="auto"/>
        </w:rPr>
        <w:t>，处理规模为</w:t>
      </w:r>
      <w:r>
        <w:rPr>
          <w:rFonts w:hint="eastAsia"/>
          <w:color w:val="auto"/>
          <w:lang w:val="en-US" w:eastAsia="zh-CN"/>
        </w:rPr>
        <w:t>0.3</w:t>
      </w:r>
      <w:r>
        <w:rPr>
          <w:rFonts w:hint="eastAsia"/>
          <w:color w:val="auto"/>
          <w:lang w:eastAsia="zh-CN"/>
        </w:rPr>
        <w:t>万m³</w:t>
      </w:r>
      <w:r>
        <w:rPr>
          <w:rFonts w:hint="eastAsia"/>
          <w:color w:val="auto"/>
        </w:rPr>
        <w:t>/d（</w:t>
      </w:r>
      <w:r>
        <w:rPr>
          <w:rFonts w:hint="eastAsia"/>
          <w:color w:val="auto"/>
          <w:lang w:val="en-US" w:eastAsia="zh-CN"/>
        </w:rPr>
        <w:t>含尾水管道</w:t>
      </w:r>
      <w:r>
        <w:rPr>
          <w:rFonts w:hint="eastAsia"/>
          <w:color w:val="auto"/>
        </w:rPr>
        <w:t>），本项目出水执行《城镇污水处理厂污染物排放标准》（GB18918-2002）一级A标准。</w:t>
      </w:r>
    </w:p>
    <w:bookmarkEnd w:id="307"/>
    <w:bookmarkEnd w:id="308"/>
    <w:p w14:paraId="655F2D2C">
      <w:pPr>
        <w:pStyle w:val="5"/>
        <w:pageBreakBefore w:val="0"/>
        <w:wordWrap/>
        <w:bidi w:val="0"/>
        <w:adjustRightInd/>
        <w:snapToGrid/>
        <w:spacing w:before="48" w:after="48"/>
        <w:ind w:left="0"/>
        <w:rPr>
          <w:rFonts w:eastAsia="宋体"/>
          <w:color w:val="auto"/>
        </w:rPr>
      </w:pPr>
      <w:bookmarkStart w:id="309" w:name="_Toc18760"/>
      <w:bookmarkStart w:id="310" w:name="_Toc374627872"/>
      <w:r>
        <w:rPr>
          <w:rFonts w:hint="eastAsia" w:eastAsia="宋体"/>
          <w:color w:val="auto"/>
        </w:rPr>
        <w:t xml:space="preserve"> </w:t>
      </w:r>
      <w:r>
        <w:rPr>
          <w:rFonts w:eastAsia="宋体"/>
          <w:color w:val="auto"/>
        </w:rPr>
        <w:t>环境质量现状结论</w:t>
      </w:r>
    </w:p>
    <w:p w14:paraId="03662042">
      <w:pPr>
        <w:bidi w:val="0"/>
        <w:rPr>
          <w:color w:val="auto"/>
        </w:rPr>
      </w:pPr>
      <w:r>
        <w:rPr>
          <w:color w:val="auto"/>
        </w:rPr>
        <w:t>1、环境空气</w:t>
      </w:r>
    </w:p>
    <w:p w14:paraId="4358A865">
      <w:pPr>
        <w:bidi w:val="0"/>
        <w:rPr>
          <w:color w:val="auto"/>
        </w:rPr>
      </w:pPr>
      <w:r>
        <w:rPr>
          <w:color w:val="auto"/>
        </w:rPr>
        <w:t>根据《</w:t>
      </w:r>
      <w:r>
        <w:rPr>
          <w:rFonts w:hint="eastAsia"/>
          <w:color w:val="auto"/>
          <w:lang w:eastAsia="zh-CN"/>
        </w:rPr>
        <w:t>2023巴中市生态环境状况公报</w:t>
      </w:r>
      <w:r>
        <w:rPr>
          <w:color w:val="auto"/>
        </w:rPr>
        <w:t>》，</w:t>
      </w:r>
      <w:r>
        <w:rPr>
          <w:rFonts w:hint="eastAsia"/>
          <w:color w:val="auto"/>
        </w:rPr>
        <w:t>巴中市六项基本因子均满足《环境空气质量标准》（GB3095-2012）中的二级标准</w:t>
      </w:r>
      <w:r>
        <w:rPr>
          <w:color w:val="auto"/>
        </w:rPr>
        <w:t>，项目所在区域为达标区。同时对区域NH</w:t>
      </w:r>
      <w:r>
        <w:rPr>
          <w:color w:val="auto"/>
          <w:vertAlign w:val="subscript"/>
        </w:rPr>
        <w:t>3</w:t>
      </w:r>
      <w:r>
        <w:rPr>
          <w:color w:val="auto"/>
        </w:rPr>
        <w:t>、H</w:t>
      </w:r>
      <w:r>
        <w:rPr>
          <w:color w:val="auto"/>
          <w:vertAlign w:val="subscript"/>
        </w:rPr>
        <w:t>2</w:t>
      </w:r>
      <w:r>
        <w:rPr>
          <w:color w:val="auto"/>
        </w:rPr>
        <w:t>S进行了补充监测，均满足《环境影响评价技术导则 大气环境》（HJ2.2-2018）中附录D要求限值。</w:t>
      </w:r>
    </w:p>
    <w:p w14:paraId="0C71D26B">
      <w:pPr>
        <w:bidi w:val="0"/>
        <w:rPr>
          <w:color w:val="auto"/>
        </w:rPr>
      </w:pPr>
      <w:r>
        <w:rPr>
          <w:color w:val="auto"/>
        </w:rPr>
        <w:t>2、地表水环境</w:t>
      </w:r>
    </w:p>
    <w:p w14:paraId="15A01D08">
      <w:pPr>
        <w:bidi w:val="0"/>
        <w:rPr>
          <w:color w:val="auto"/>
        </w:rPr>
      </w:pPr>
      <w:r>
        <w:rPr>
          <w:color w:val="auto"/>
        </w:rPr>
        <w:t>根据现状监测，</w:t>
      </w:r>
      <w:r>
        <w:rPr>
          <w:rFonts w:hint="eastAsia"/>
          <w:color w:val="auto"/>
          <w:lang w:eastAsia="zh-CN"/>
        </w:rPr>
        <w:t>巴河</w:t>
      </w:r>
      <w:r>
        <w:rPr>
          <w:color w:val="auto"/>
        </w:rPr>
        <w:t>各水污染物指标均能达到《地表水环境质量》（GB3838-2002）Ⅲ类水域标准限值要求，水环境质量现状较好。</w:t>
      </w:r>
    </w:p>
    <w:p w14:paraId="07493C24">
      <w:pPr>
        <w:bidi w:val="0"/>
        <w:rPr>
          <w:color w:val="auto"/>
        </w:rPr>
      </w:pPr>
      <w:r>
        <w:rPr>
          <w:color w:val="auto"/>
        </w:rPr>
        <w:t>3、声环境</w:t>
      </w:r>
    </w:p>
    <w:p w14:paraId="017121E2">
      <w:pPr>
        <w:bidi w:val="0"/>
        <w:rPr>
          <w:color w:val="auto"/>
        </w:rPr>
      </w:pPr>
      <w:r>
        <w:rPr>
          <w:color w:val="auto"/>
        </w:rPr>
        <w:t>根据现状监测，厂界周围各噪声监测点昼、夜间声学环境现状监测值均满足（GB3096-2008）中3类标准限值要求，区域声环境质量较好。</w:t>
      </w:r>
    </w:p>
    <w:p w14:paraId="2C3A4F15">
      <w:pPr>
        <w:bidi w:val="0"/>
        <w:rPr>
          <w:color w:val="auto"/>
        </w:rPr>
      </w:pPr>
      <w:r>
        <w:rPr>
          <w:color w:val="auto"/>
        </w:rPr>
        <w:t>4、地下水环境</w:t>
      </w:r>
    </w:p>
    <w:p w14:paraId="283F4E17">
      <w:pPr>
        <w:bidi w:val="0"/>
        <w:rPr>
          <w:color w:val="auto"/>
        </w:rPr>
      </w:pPr>
      <w:r>
        <w:rPr>
          <w:color w:val="auto"/>
        </w:rPr>
        <w:t>根据现状监测报告，区域地下水各监测指标均满足《地下水质量标准》（GB/T14848-2017）Ⅲ类水域标准，说明区域地下水环境质量良好。</w:t>
      </w:r>
    </w:p>
    <w:p w14:paraId="135B7B9F">
      <w:pPr>
        <w:bidi w:val="0"/>
        <w:rPr>
          <w:color w:val="auto"/>
        </w:rPr>
      </w:pPr>
      <w:r>
        <w:rPr>
          <w:color w:val="auto"/>
        </w:rPr>
        <w:t>5、土壤环境</w:t>
      </w:r>
    </w:p>
    <w:p w14:paraId="1CCA9FA2">
      <w:pPr>
        <w:bidi w:val="0"/>
        <w:rPr>
          <w:color w:val="auto"/>
        </w:rPr>
      </w:pPr>
      <w:r>
        <w:rPr>
          <w:color w:val="auto"/>
        </w:rPr>
        <w:t>根据现状监测报告，区域土壤各监测指标均满足《土壤环境质量 建设用地土壤污染风险管控标准（试行）》（GB36600-2018）中筛选值第二类用地限值要求，表明评价区域内土壤环境质量较好。</w:t>
      </w:r>
    </w:p>
    <w:bookmarkEnd w:id="309"/>
    <w:bookmarkEnd w:id="310"/>
    <w:p w14:paraId="723C6BDE">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主要环境影响评价结论</w:t>
      </w:r>
    </w:p>
    <w:p w14:paraId="581E2E69">
      <w:pPr>
        <w:pageBreakBefore w:val="0"/>
        <w:wordWrap/>
        <w:bidi w:val="0"/>
        <w:adjustRightInd/>
        <w:snapToGrid/>
        <w:ind w:firstLine="480"/>
        <w:rPr>
          <w:color w:val="auto"/>
        </w:rPr>
      </w:pPr>
      <w:bookmarkStart w:id="311" w:name="_Toc29115"/>
      <w:bookmarkStart w:id="312" w:name="_Toc374627876"/>
      <w:r>
        <w:rPr>
          <w:color w:val="auto"/>
        </w:rPr>
        <w:t>1、施工期环境影响评价结论</w:t>
      </w:r>
    </w:p>
    <w:p w14:paraId="03BEC568">
      <w:pPr>
        <w:pageBreakBefore w:val="0"/>
        <w:wordWrap/>
        <w:autoSpaceDE w:val="0"/>
        <w:autoSpaceDN w:val="0"/>
        <w:bidi w:val="0"/>
        <w:adjustRightInd/>
        <w:snapToGrid/>
        <w:ind w:firstLine="480"/>
        <w:jc w:val="left"/>
        <w:rPr>
          <w:color w:val="auto"/>
          <w:kern w:val="0"/>
        </w:rPr>
      </w:pPr>
      <w:r>
        <w:rPr>
          <w:color w:val="auto"/>
          <w:kern w:val="0"/>
        </w:rPr>
        <w:t>本项目施工期间废气、废水、固废及噪声等均有产生，施工弃方</w:t>
      </w:r>
      <w:r>
        <w:rPr>
          <w:rFonts w:hint="eastAsia"/>
          <w:color w:val="auto"/>
          <w:kern w:val="0"/>
          <w:lang w:eastAsia="zh-CN"/>
        </w:rPr>
        <w:t>运往指定</w:t>
      </w:r>
      <w:r>
        <w:rPr>
          <w:color w:val="auto"/>
          <w:kern w:val="0"/>
        </w:rPr>
        <w:t>堆场堆放。施工废气主要有施工过程产生的扬尘，采取湿法作业可得到有效控制；施工废水经沉淀处理后循环使用，施工人员生活污水依托区域已建管网，处理后排入市政污水管网，经</w:t>
      </w:r>
      <w:r>
        <w:rPr>
          <w:rFonts w:hint="eastAsia"/>
          <w:color w:val="auto"/>
          <w:kern w:val="0"/>
          <w:lang w:eastAsia="zh-CN"/>
        </w:rPr>
        <w:t>曾口镇污水处理厂</w:t>
      </w:r>
      <w:r>
        <w:rPr>
          <w:color w:val="auto"/>
          <w:kern w:val="0"/>
        </w:rPr>
        <w:t>处理达标后排放；施工过程产生的建筑垃圾具有回收利用价值，可回收利用，没有回收利用价值</w:t>
      </w:r>
      <w:r>
        <w:rPr>
          <w:color w:val="auto"/>
        </w:rPr>
        <w:t>由施工单位统一运往建筑垃圾堆放场进行处置；施工人员产生的生活垃圾集中收集后，定期交市政环卫部门清运处理，不会对环境造成影响</w:t>
      </w:r>
      <w:r>
        <w:rPr>
          <w:color w:val="auto"/>
          <w:kern w:val="0"/>
        </w:rPr>
        <w:t>；施工过程各类施工设备噪声会对周边环境产生影响，要求施工单位严格按照施工规范，文明施工，禁止夜间高噪声施工。项目施工期间对环境的影响是暂时的，随施工结束，影响消除。</w:t>
      </w:r>
    </w:p>
    <w:p w14:paraId="7E2E8290">
      <w:pPr>
        <w:pageBreakBefore w:val="0"/>
        <w:wordWrap/>
        <w:bidi w:val="0"/>
        <w:adjustRightInd/>
        <w:snapToGrid/>
        <w:ind w:firstLine="480"/>
        <w:rPr>
          <w:color w:val="auto"/>
        </w:rPr>
      </w:pPr>
      <w:r>
        <w:rPr>
          <w:color w:val="auto"/>
        </w:rPr>
        <w:t>2、营运期影响评价结论</w:t>
      </w:r>
    </w:p>
    <w:p w14:paraId="278E01B4">
      <w:pPr>
        <w:pageBreakBefore w:val="0"/>
        <w:wordWrap/>
        <w:bidi w:val="0"/>
        <w:adjustRightInd/>
        <w:snapToGrid/>
        <w:ind w:firstLine="480"/>
        <w:rPr>
          <w:color w:val="auto"/>
        </w:rPr>
      </w:pPr>
      <w:r>
        <w:rPr>
          <w:color w:val="auto"/>
        </w:rPr>
        <w:t>（1）大气环境影响评价结论</w:t>
      </w:r>
    </w:p>
    <w:p w14:paraId="4A2DB3E1">
      <w:pPr>
        <w:pageBreakBefore w:val="0"/>
        <w:wordWrap/>
        <w:bidi w:val="0"/>
        <w:adjustRightInd/>
        <w:snapToGrid/>
        <w:ind w:firstLine="480"/>
        <w:rPr>
          <w:color w:val="auto"/>
        </w:rPr>
      </w:pPr>
      <w:r>
        <w:rPr>
          <w:color w:val="auto"/>
        </w:rPr>
        <w:t>本项目主要废气污染物为NH</w:t>
      </w:r>
      <w:r>
        <w:rPr>
          <w:color w:val="auto"/>
          <w:vertAlign w:val="subscript"/>
        </w:rPr>
        <w:t>3</w:t>
      </w:r>
      <w:r>
        <w:rPr>
          <w:color w:val="auto"/>
        </w:rPr>
        <w:t>、H</w:t>
      </w:r>
      <w:r>
        <w:rPr>
          <w:color w:val="auto"/>
          <w:vertAlign w:val="subscript"/>
        </w:rPr>
        <w:t>2</w:t>
      </w:r>
      <w:r>
        <w:rPr>
          <w:color w:val="auto"/>
        </w:rPr>
        <w:t>S，采取相应治理措施后均可实现达标排放，本项目废气排放不会对项目所在区域大气环境质量造成明显不利影响。</w:t>
      </w:r>
    </w:p>
    <w:p w14:paraId="656E4BFA">
      <w:pPr>
        <w:pageBreakBefore w:val="0"/>
        <w:wordWrap/>
        <w:bidi w:val="0"/>
        <w:adjustRightInd/>
        <w:snapToGrid/>
        <w:ind w:firstLine="480"/>
        <w:rPr>
          <w:color w:val="auto"/>
        </w:rPr>
      </w:pPr>
      <w:r>
        <w:rPr>
          <w:color w:val="auto"/>
        </w:rPr>
        <w:t>（2）地表水环境影响评价结论</w:t>
      </w:r>
    </w:p>
    <w:p w14:paraId="60E0AF33">
      <w:pPr>
        <w:pageBreakBefore w:val="0"/>
        <w:widowControl/>
        <w:wordWrap/>
        <w:bidi w:val="0"/>
        <w:adjustRightInd/>
        <w:snapToGrid/>
        <w:ind w:firstLine="480"/>
        <w:rPr>
          <w:color w:val="auto"/>
        </w:rPr>
      </w:pPr>
      <w:r>
        <w:rPr>
          <w:color w:val="auto"/>
        </w:rPr>
        <w:t>项目营运期服务范围内的废水经项目处理后，</w:t>
      </w:r>
      <w:r>
        <w:rPr>
          <w:rFonts w:hint="eastAsia"/>
          <w:color w:val="auto"/>
        </w:rPr>
        <w:t>项目排水能够满足《城镇污水处理厂污染物排放标准》（GB18918-2002）一级A标准的限值要求。项目建设可有效避免企业废水直排进入</w:t>
      </w:r>
      <w:r>
        <w:rPr>
          <w:rFonts w:hint="eastAsia"/>
          <w:color w:val="auto"/>
          <w:lang w:eastAsia="zh-CN"/>
        </w:rPr>
        <w:t>巴河</w:t>
      </w:r>
      <w:r>
        <w:rPr>
          <w:rFonts w:hint="eastAsia"/>
          <w:color w:val="auto"/>
        </w:rPr>
        <w:t>，进而恶化流域水质。项目的建设具有环境正效益。</w:t>
      </w:r>
    </w:p>
    <w:p w14:paraId="4D042666">
      <w:pPr>
        <w:pageBreakBefore w:val="0"/>
        <w:wordWrap/>
        <w:bidi w:val="0"/>
        <w:adjustRightInd/>
        <w:snapToGrid/>
        <w:ind w:firstLine="480"/>
        <w:rPr>
          <w:color w:val="auto"/>
        </w:rPr>
      </w:pPr>
      <w:r>
        <w:rPr>
          <w:color w:val="auto"/>
        </w:rPr>
        <w:t>（3）声学环境影响评价结论</w:t>
      </w:r>
    </w:p>
    <w:p w14:paraId="1ADED1E3">
      <w:pPr>
        <w:pageBreakBefore w:val="0"/>
        <w:wordWrap/>
        <w:bidi w:val="0"/>
        <w:adjustRightInd/>
        <w:snapToGrid/>
        <w:ind w:firstLine="480"/>
        <w:rPr>
          <w:color w:val="auto"/>
        </w:rPr>
      </w:pPr>
      <w:r>
        <w:rPr>
          <w:color w:val="auto"/>
        </w:rPr>
        <w:t>项目投入运营后，通过采取消声、减震和建筑隔声等降噪措施。经预测，项目厂界昼、夜间噪声贡献值满足《工业企业厂界环境噪声排放标准》</w:t>
      </w:r>
      <w:r>
        <w:rPr>
          <w:rFonts w:hint="eastAsia"/>
          <w:color w:val="auto"/>
          <w:lang w:eastAsia="zh-CN"/>
        </w:rPr>
        <w:t>（</w:t>
      </w:r>
      <w:r>
        <w:rPr>
          <w:color w:val="auto"/>
        </w:rPr>
        <w:t>GB12348-2008</w:t>
      </w:r>
      <w:r>
        <w:rPr>
          <w:rFonts w:hint="eastAsia"/>
          <w:color w:val="auto"/>
          <w:lang w:eastAsia="zh-CN"/>
        </w:rPr>
        <w:t>）</w:t>
      </w:r>
      <w:r>
        <w:rPr>
          <w:color w:val="auto"/>
        </w:rPr>
        <w:t>中</w:t>
      </w:r>
      <w:r>
        <w:rPr>
          <w:rFonts w:hint="eastAsia"/>
          <w:color w:val="auto"/>
          <w:lang w:val="en-US" w:eastAsia="zh-CN"/>
        </w:rPr>
        <w:t>2</w:t>
      </w:r>
      <w:r>
        <w:rPr>
          <w:color w:val="auto"/>
        </w:rPr>
        <w:t>类标准限值要求。</w:t>
      </w:r>
    </w:p>
    <w:p w14:paraId="176A3918">
      <w:pPr>
        <w:pageBreakBefore w:val="0"/>
        <w:wordWrap/>
        <w:bidi w:val="0"/>
        <w:adjustRightInd/>
        <w:snapToGrid/>
        <w:ind w:firstLine="480"/>
        <w:rPr>
          <w:color w:val="auto"/>
        </w:rPr>
      </w:pPr>
      <w:r>
        <w:rPr>
          <w:color w:val="auto"/>
        </w:rPr>
        <w:t>因此，建设单位只要严格采取降噪、消音、隔声等降噪措施后，设备噪声可实现厂界达标排放，不会对</w:t>
      </w:r>
      <w:r>
        <w:rPr>
          <w:rFonts w:hint="eastAsia"/>
          <w:color w:val="auto"/>
          <w:lang w:eastAsia="zh-CN"/>
        </w:rPr>
        <w:t>厂</w:t>
      </w:r>
      <w:r>
        <w:rPr>
          <w:color w:val="auto"/>
        </w:rPr>
        <w:t>界及外环境造成明显影响。</w:t>
      </w:r>
    </w:p>
    <w:p w14:paraId="00AEAB8B">
      <w:pPr>
        <w:pageBreakBefore w:val="0"/>
        <w:wordWrap/>
        <w:bidi w:val="0"/>
        <w:adjustRightInd/>
        <w:snapToGrid/>
        <w:ind w:firstLine="480"/>
        <w:rPr>
          <w:color w:val="auto"/>
        </w:rPr>
      </w:pPr>
      <w:r>
        <w:rPr>
          <w:color w:val="auto"/>
        </w:rPr>
        <w:t>（4）固体废物影响评价结论</w:t>
      </w:r>
    </w:p>
    <w:p w14:paraId="305E1C06">
      <w:pPr>
        <w:pageBreakBefore w:val="0"/>
        <w:wordWrap/>
        <w:bidi w:val="0"/>
        <w:adjustRightInd/>
        <w:snapToGrid/>
        <w:ind w:firstLine="480"/>
        <w:rPr>
          <w:color w:val="auto"/>
        </w:rPr>
      </w:pPr>
      <w:r>
        <w:rPr>
          <w:color w:val="auto"/>
        </w:rPr>
        <w:t>本项目各项固体废弃物处置措施可行，只要在工作中，将各项措施严格落到实处，就能将本项目固废对环境的影响降低到最低程度。</w:t>
      </w:r>
    </w:p>
    <w:p w14:paraId="6A17392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环保措施及有效性、达标排放结论</w:t>
      </w:r>
    </w:p>
    <w:p w14:paraId="219CC27E">
      <w:pPr>
        <w:pageBreakBefore w:val="0"/>
        <w:wordWrap/>
        <w:bidi w:val="0"/>
        <w:adjustRightInd/>
        <w:snapToGrid/>
        <w:ind w:firstLine="480"/>
        <w:rPr>
          <w:color w:val="auto"/>
        </w:rPr>
      </w:pPr>
      <w:bookmarkStart w:id="313" w:name="_Toc308892039"/>
      <w:r>
        <w:rPr>
          <w:color w:val="auto"/>
        </w:rPr>
        <w:t>1、废水治理措施及有效性、达标排放结论</w:t>
      </w:r>
    </w:p>
    <w:p w14:paraId="4E61D15D">
      <w:pPr>
        <w:pageBreakBefore w:val="0"/>
        <w:wordWrap/>
        <w:bidi w:val="0"/>
        <w:adjustRightInd/>
        <w:snapToGrid/>
        <w:ind w:firstLine="480"/>
        <w:rPr>
          <w:color w:val="auto"/>
        </w:rPr>
      </w:pPr>
      <w:r>
        <w:rPr>
          <w:color w:val="auto"/>
        </w:rPr>
        <w:t>根据工程分析，项目营运期综合废水采用</w:t>
      </w:r>
      <w:r>
        <w:rPr>
          <w:rFonts w:hint="eastAsia"/>
          <w:color w:val="auto"/>
          <w:lang w:eastAsia="zh-CN"/>
        </w:rPr>
        <w:t>“超细格栅+调节池+高级氧化预处理（预留）+水解酸化池+生化池+二沉池+磁混凝沉淀池+深床反硝化+高级氧化深度处理+紫外线消毒”</w:t>
      </w:r>
      <w:r>
        <w:rPr>
          <w:color w:val="auto"/>
        </w:rPr>
        <w:t>工艺后，可满足废水达标排放要求。因此，废水处理措施有效、可行。</w:t>
      </w:r>
    </w:p>
    <w:p w14:paraId="627ADC80">
      <w:pPr>
        <w:pageBreakBefore w:val="0"/>
        <w:wordWrap/>
        <w:bidi w:val="0"/>
        <w:adjustRightInd/>
        <w:snapToGrid/>
        <w:ind w:firstLine="480"/>
        <w:rPr>
          <w:color w:val="auto"/>
        </w:rPr>
      </w:pPr>
      <w:r>
        <w:rPr>
          <w:color w:val="auto"/>
        </w:rPr>
        <w:t>2、废气治理措施及有效性、达标排放结论</w:t>
      </w:r>
      <w:bookmarkEnd w:id="313"/>
    </w:p>
    <w:p w14:paraId="33CB5978">
      <w:pPr>
        <w:pageBreakBefore w:val="0"/>
        <w:wordWrap/>
        <w:bidi w:val="0"/>
        <w:adjustRightInd/>
        <w:snapToGrid/>
        <w:ind w:firstLine="480"/>
        <w:rPr>
          <w:color w:val="auto"/>
        </w:rPr>
      </w:pPr>
      <w:r>
        <w:rPr>
          <w:color w:val="auto"/>
        </w:rPr>
        <w:t>本项目采取的废气处理工艺成熟。项目营运期建设单位在严格按照环评提出的合理有效的废气污染防治措施后，可使废气实现达标排放。因此，废气治理措施有效、可行。</w:t>
      </w:r>
    </w:p>
    <w:p w14:paraId="1A979058">
      <w:pPr>
        <w:pageBreakBefore w:val="0"/>
        <w:wordWrap/>
        <w:bidi w:val="0"/>
        <w:adjustRightInd/>
        <w:snapToGrid/>
        <w:ind w:firstLine="480"/>
        <w:rPr>
          <w:color w:val="auto"/>
        </w:rPr>
      </w:pPr>
      <w:bookmarkStart w:id="314" w:name="_Toc308892040"/>
      <w:r>
        <w:rPr>
          <w:color w:val="auto"/>
        </w:rPr>
        <w:t>3、噪声治理措施及有效性、达标排放结论</w:t>
      </w:r>
      <w:bookmarkEnd w:id="314"/>
    </w:p>
    <w:p w14:paraId="4E572355">
      <w:pPr>
        <w:pageBreakBefore w:val="0"/>
        <w:wordWrap/>
        <w:bidi w:val="0"/>
        <w:adjustRightInd/>
        <w:snapToGrid/>
        <w:ind w:firstLine="480"/>
        <w:rPr>
          <w:color w:val="auto"/>
        </w:rPr>
      </w:pPr>
      <w:r>
        <w:rPr>
          <w:color w:val="auto"/>
        </w:rPr>
        <w:t>项目采取的治理措施可以有效控制设备噪声污染。建设单位采取消声、隔声等降噪措施后，经预测分析，项目设备噪声不会对厂界及外环境造成明显影响，可做到噪声不扰民。因此，噪声治理措施有效、可行。</w:t>
      </w:r>
    </w:p>
    <w:p w14:paraId="118AD67E">
      <w:pPr>
        <w:pageBreakBefore w:val="0"/>
        <w:wordWrap/>
        <w:bidi w:val="0"/>
        <w:adjustRightInd/>
        <w:snapToGrid/>
        <w:ind w:firstLine="480"/>
        <w:rPr>
          <w:color w:val="auto"/>
        </w:rPr>
      </w:pPr>
      <w:bookmarkStart w:id="315" w:name="_Toc308892041"/>
      <w:r>
        <w:rPr>
          <w:color w:val="auto"/>
        </w:rPr>
        <w:t>4、固废处置措施及有效性、达标排放结论</w:t>
      </w:r>
      <w:bookmarkEnd w:id="315"/>
    </w:p>
    <w:p w14:paraId="06E592F1">
      <w:pPr>
        <w:pageBreakBefore w:val="0"/>
        <w:wordWrap/>
        <w:bidi w:val="0"/>
        <w:adjustRightInd/>
        <w:snapToGrid/>
        <w:ind w:firstLine="480"/>
        <w:rPr>
          <w:color w:val="auto"/>
        </w:rPr>
      </w:pPr>
      <w:r>
        <w:rPr>
          <w:color w:val="auto"/>
        </w:rPr>
        <w:t>本项目产生的固废通过分类收集，做到了减量化、资源化、无害化处理，其治理措施技术、经济可行。</w:t>
      </w:r>
    </w:p>
    <w:p w14:paraId="47789AF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w:t>
      </w:r>
      <w:bookmarkEnd w:id="311"/>
      <w:bookmarkEnd w:id="312"/>
      <w:r>
        <w:rPr>
          <w:rFonts w:eastAsia="宋体"/>
          <w:color w:val="auto"/>
        </w:rPr>
        <w:t>影响经济损益分析</w:t>
      </w:r>
    </w:p>
    <w:p w14:paraId="32751E87">
      <w:pPr>
        <w:pageBreakBefore w:val="0"/>
        <w:wordWrap/>
        <w:bidi w:val="0"/>
        <w:adjustRightInd/>
        <w:snapToGrid/>
        <w:ind w:firstLine="480"/>
        <w:rPr>
          <w:color w:val="auto"/>
          <w:lang w:val="de-DE"/>
        </w:rPr>
      </w:pPr>
      <w:bookmarkStart w:id="316" w:name="_Toc374627877"/>
      <w:bookmarkStart w:id="317" w:name="_Toc31214"/>
      <w:r>
        <w:rPr>
          <w:color w:val="auto"/>
        </w:rPr>
        <w:t>项目为污水处理工程，将改善区域现有</w:t>
      </w:r>
      <w:r>
        <w:rPr>
          <w:rFonts w:hint="eastAsia"/>
          <w:color w:val="auto"/>
          <w:lang w:eastAsia="zh-CN"/>
        </w:rPr>
        <w:t>污水</w:t>
      </w:r>
      <w:r>
        <w:rPr>
          <w:color w:val="auto"/>
        </w:rPr>
        <w:t>处理能力不足的困境，外排污染物浓度和排放量大幅度减少，对于改善</w:t>
      </w:r>
      <w:r>
        <w:rPr>
          <w:rFonts w:hint="eastAsia"/>
          <w:color w:val="auto"/>
          <w:lang w:eastAsia="zh-CN"/>
        </w:rPr>
        <w:t>巴河</w:t>
      </w:r>
      <w:r>
        <w:rPr>
          <w:color w:val="auto"/>
        </w:rPr>
        <w:t>水质具有明显的环境正效益，同时也可降低项目排污口下游水体敏感目标的环境风险。</w:t>
      </w:r>
    </w:p>
    <w:p w14:paraId="43F07A75">
      <w:pPr>
        <w:pageBreakBefore w:val="0"/>
        <w:wordWrap/>
        <w:bidi w:val="0"/>
        <w:adjustRightInd/>
        <w:snapToGrid/>
        <w:ind w:firstLine="480"/>
        <w:rPr>
          <w:color w:val="auto"/>
        </w:rPr>
      </w:pPr>
      <w:r>
        <w:rPr>
          <w:color w:val="auto"/>
        </w:rPr>
        <w:t>从环境经济角度出发，本项目的建设可带来显著的社会效益和环境效益，环境保护投资效果较好，环保投资是合理的，本项目的建设是可行的。</w:t>
      </w:r>
    </w:p>
    <w:p w14:paraId="6FD11862">
      <w:pPr>
        <w:pageBreakBefore w:val="0"/>
        <w:wordWrap/>
        <w:bidi w:val="0"/>
        <w:adjustRightInd/>
        <w:snapToGrid/>
        <w:ind w:firstLine="480"/>
        <w:rPr>
          <w:color w:val="auto"/>
        </w:rPr>
      </w:pPr>
      <w:r>
        <w:rPr>
          <w:color w:val="auto"/>
        </w:rPr>
        <w:t>综上所述，该项目建设从环境、经济损益分析结果是可行的。</w:t>
      </w:r>
    </w:p>
    <w:bookmarkEnd w:id="316"/>
    <w:bookmarkEnd w:id="317"/>
    <w:p w14:paraId="5B8531D5">
      <w:pPr>
        <w:pStyle w:val="5"/>
        <w:pageBreakBefore w:val="0"/>
        <w:wordWrap/>
        <w:bidi w:val="0"/>
        <w:adjustRightInd/>
        <w:snapToGrid/>
        <w:spacing w:before="48" w:after="48"/>
        <w:ind w:left="0"/>
        <w:rPr>
          <w:rFonts w:eastAsia="宋体"/>
          <w:color w:val="auto"/>
        </w:rPr>
      </w:pPr>
      <w:bookmarkStart w:id="318" w:name="_Toc362082783"/>
      <w:bookmarkStart w:id="319" w:name="_Toc29282"/>
      <w:bookmarkStart w:id="320" w:name="_Toc374627878"/>
      <w:r>
        <w:rPr>
          <w:rFonts w:hint="eastAsia" w:eastAsia="宋体"/>
          <w:color w:val="auto"/>
        </w:rPr>
        <w:t xml:space="preserve"> </w:t>
      </w:r>
      <w:r>
        <w:rPr>
          <w:rFonts w:eastAsia="宋体"/>
          <w:color w:val="auto"/>
        </w:rPr>
        <w:t>环境管理与监测计划</w:t>
      </w:r>
    </w:p>
    <w:p w14:paraId="3266B530">
      <w:pPr>
        <w:pageBreakBefore w:val="0"/>
        <w:wordWrap/>
        <w:bidi w:val="0"/>
        <w:adjustRightInd/>
        <w:snapToGrid/>
        <w:ind w:firstLine="480"/>
        <w:rPr>
          <w:color w:val="auto"/>
        </w:rPr>
      </w:pPr>
      <w:bookmarkStart w:id="321" w:name="_Toc193099739"/>
      <w:bookmarkStart w:id="322" w:name="_Toc201378544"/>
      <w:bookmarkStart w:id="323" w:name="_Toc185132482"/>
      <w:r>
        <w:rPr>
          <w:color w:val="auto"/>
        </w:rPr>
        <w:t>为做好环境管理工作，厂区需建立完整的环境管理体系，将环境管理工作自上而下的贯穿到项目的运行管理中。并按照环评提出的监测计划要求委托有环境监测资质的单位开展环境监测工作。</w:t>
      </w:r>
      <w:bookmarkEnd w:id="321"/>
      <w:bookmarkEnd w:id="322"/>
      <w:bookmarkEnd w:id="323"/>
    </w:p>
    <w:p w14:paraId="72CFB720">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评价总结论</w:t>
      </w:r>
    </w:p>
    <w:p w14:paraId="44A4CCC7">
      <w:pPr>
        <w:pageBreakBefore w:val="0"/>
        <w:wordWrap/>
        <w:bidi w:val="0"/>
        <w:adjustRightInd/>
        <w:snapToGrid/>
        <w:ind w:firstLine="480"/>
        <w:rPr>
          <w:color w:val="auto"/>
          <w:szCs w:val="20"/>
        </w:rPr>
      </w:pPr>
      <w:r>
        <w:rPr>
          <w:color w:val="auto"/>
          <w:szCs w:val="20"/>
        </w:rPr>
        <w:t>本项目符合国家现行产业政策，选址符合当地规划要求，拟建场地周边无明显环境制约因素，拟采取的废气、污水、噪声、固废、地下水等污染防治措施技术可靠、经济可行。项目建成</w:t>
      </w:r>
      <w:r>
        <w:rPr>
          <w:rFonts w:hint="eastAsia"/>
          <w:color w:val="auto"/>
          <w:szCs w:val="20"/>
          <w:lang w:eastAsia="zh-CN"/>
        </w:rPr>
        <w:t>运营</w:t>
      </w:r>
      <w:r>
        <w:rPr>
          <w:color w:val="auto"/>
          <w:szCs w:val="20"/>
        </w:rPr>
        <w:t>后，将具有良好的经济、社会和环境效益。只要认真落实本报告书中提出的各项污染防治对策措施，严格执行</w:t>
      </w:r>
      <w:r>
        <w:rPr>
          <w:rFonts w:hint="eastAsia"/>
          <w:color w:val="auto"/>
          <w:szCs w:val="20"/>
          <w:lang w:eastAsia="zh-CN"/>
        </w:rPr>
        <w:t>“</w:t>
      </w:r>
      <w:r>
        <w:rPr>
          <w:color w:val="auto"/>
          <w:szCs w:val="20"/>
        </w:rPr>
        <w:t>三同时</w:t>
      </w:r>
      <w:r>
        <w:rPr>
          <w:rFonts w:hint="eastAsia"/>
          <w:color w:val="auto"/>
          <w:szCs w:val="20"/>
          <w:lang w:eastAsia="zh-CN"/>
        </w:rPr>
        <w:t>”</w:t>
      </w:r>
      <w:r>
        <w:rPr>
          <w:color w:val="auto"/>
          <w:szCs w:val="20"/>
        </w:rPr>
        <w:t>制度，保证环境保护措施的有效运行，确保污染物稳定达标排放，并严格按照环评要求进行环境风险防范，从环保角度而言，本项目选址在</w:t>
      </w:r>
      <w:r>
        <w:rPr>
          <w:rFonts w:hint="eastAsia"/>
          <w:color w:val="auto"/>
          <w:lang w:eastAsia="zh-CN"/>
        </w:rPr>
        <w:t>巴中巴州区四川巴中经济开发区</w:t>
      </w:r>
      <w:r>
        <w:rPr>
          <w:color w:val="auto"/>
        </w:rPr>
        <w:t>内</w:t>
      </w:r>
      <w:r>
        <w:rPr>
          <w:color w:val="auto"/>
          <w:szCs w:val="20"/>
        </w:rPr>
        <w:t>建设是可行的。</w:t>
      </w:r>
    </w:p>
    <w:bookmarkEnd w:id="318"/>
    <w:bookmarkEnd w:id="319"/>
    <w:bookmarkEnd w:id="320"/>
    <w:p w14:paraId="72269536">
      <w:pPr>
        <w:pStyle w:val="4"/>
        <w:pageBreakBefore w:val="0"/>
        <w:wordWrap/>
        <w:bidi w:val="0"/>
        <w:adjustRightInd/>
        <w:snapToGrid/>
        <w:rPr>
          <w:rFonts w:ascii="Times New Roman" w:hAnsi="Times New Roman" w:eastAsia="宋体"/>
          <w:color w:val="auto"/>
        </w:rPr>
      </w:pPr>
      <w:bookmarkStart w:id="324" w:name="_Toc23336"/>
      <w:bookmarkStart w:id="325" w:name="_Toc505087388"/>
      <w:r>
        <w:rPr>
          <w:rFonts w:hint="eastAsia" w:ascii="Times New Roman" w:hAnsi="Times New Roman" w:eastAsia="宋体"/>
          <w:color w:val="auto"/>
        </w:rPr>
        <w:t xml:space="preserve"> </w:t>
      </w:r>
      <w:bookmarkStart w:id="326" w:name="_Toc26610"/>
      <w:r>
        <w:rPr>
          <w:rFonts w:ascii="Times New Roman" w:hAnsi="Times New Roman" w:eastAsia="宋体"/>
          <w:color w:val="auto"/>
        </w:rPr>
        <w:t>要求及建议</w:t>
      </w:r>
      <w:bookmarkEnd w:id="324"/>
      <w:bookmarkEnd w:id="325"/>
      <w:bookmarkEnd w:id="326"/>
    </w:p>
    <w:p w14:paraId="32B7F5C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要求</w:t>
      </w:r>
    </w:p>
    <w:p w14:paraId="53894F00">
      <w:pPr>
        <w:pageBreakBefore w:val="0"/>
        <w:wordWrap/>
        <w:bidi w:val="0"/>
        <w:adjustRightInd/>
        <w:snapToGrid/>
        <w:ind w:firstLine="480"/>
        <w:rPr>
          <w:color w:val="auto"/>
          <w:szCs w:val="20"/>
        </w:rPr>
      </w:pPr>
      <w:r>
        <w:rPr>
          <w:color w:val="auto"/>
          <w:szCs w:val="20"/>
        </w:rPr>
        <w:t>1、配备专职环保管理人员，培训上岗，具备对突发事故的快速反应能力，对水处理措施进行常规管理和事故处置实施与监控。</w:t>
      </w:r>
    </w:p>
    <w:p w14:paraId="2ACE719F">
      <w:pPr>
        <w:pageBreakBefore w:val="0"/>
        <w:wordWrap/>
        <w:bidi w:val="0"/>
        <w:adjustRightInd/>
        <w:snapToGrid/>
        <w:ind w:firstLine="480"/>
        <w:rPr>
          <w:color w:val="auto"/>
          <w:szCs w:val="20"/>
        </w:rPr>
      </w:pPr>
      <w:r>
        <w:rPr>
          <w:rFonts w:hint="eastAsia"/>
          <w:color w:val="auto"/>
          <w:szCs w:val="20"/>
        </w:rPr>
        <w:t>2</w:t>
      </w:r>
      <w:r>
        <w:rPr>
          <w:color w:val="auto"/>
          <w:szCs w:val="20"/>
        </w:rPr>
        <w:t>、当污水处理设备发生事故停运时，应立即启动应急预案，与园区协调通知企业暂停生产及排水。同时，将污水立即引入事故池中暂存，并对污水处理厂进行紧急抢修。待其污水处理厂恢复正常工作后，将该部分临时储存的污水经污水处理厂处理达标后再外排进入</w:t>
      </w:r>
      <w:r>
        <w:rPr>
          <w:rFonts w:hint="eastAsia"/>
          <w:color w:val="auto"/>
          <w:szCs w:val="20"/>
          <w:lang w:eastAsia="zh-CN"/>
        </w:rPr>
        <w:t>巴河</w:t>
      </w:r>
      <w:r>
        <w:rPr>
          <w:color w:val="auto"/>
          <w:szCs w:val="20"/>
        </w:rPr>
        <w:t>。严禁项目污水未经有效处理就直接外排进入</w:t>
      </w:r>
      <w:r>
        <w:rPr>
          <w:rFonts w:hint="eastAsia"/>
          <w:color w:val="auto"/>
          <w:szCs w:val="20"/>
          <w:lang w:eastAsia="zh-CN"/>
        </w:rPr>
        <w:t>巴河</w:t>
      </w:r>
      <w:r>
        <w:rPr>
          <w:color w:val="auto"/>
          <w:szCs w:val="20"/>
        </w:rPr>
        <w:t>。</w:t>
      </w:r>
    </w:p>
    <w:p w14:paraId="58561468">
      <w:pPr>
        <w:pageBreakBefore w:val="0"/>
        <w:wordWrap/>
        <w:bidi w:val="0"/>
        <w:adjustRightInd/>
        <w:snapToGrid/>
        <w:ind w:firstLine="480"/>
        <w:rPr>
          <w:color w:val="auto"/>
          <w:szCs w:val="20"/>
        </w:rPr>
      </w:pPr>
      <w:r>
        <w:rPr>
          <w:rFonts w:hint="eastAsia"/>
          <w:color w:val="auto"/>
          <w:szCs w:val="20"/>
        </w:rPr>
        <w:t>3</w:t>
      </w:r>
      <w:r>
        <w:rPr>
          <w:color w:val="auto"/>
          <w:szCs w:val="20"/>
        </w:rPr>
        <w:t>、该项目危险废物在收集、贮存、转运、处置过程中一定要按照国家</w:t>
      </w:r>
      <w:r>
        <w:rPr>
          <w:rFonts w:hint="eastAsia"/>
          <w:color w:val="auto"/>
          <w:szCs w:val="20"/>
          <w:lang w:eastAsia="zh-CN"/>
        </w:rPr>
        <w:t>“</w:t>
      </w:r>
      <w:r>
        <w:rPr>
          <w:color w:val="auto"/>
          <w:szCs w:val="20"/>
        </w:rPr>
        <w:t>危险废物管理条例</w:t>
      </w:r>
      <w:r>
        <w:rPr>
          <w:rFonts w:hint="eastAsia"/>
          <w:color w:val="auto"/>
          <w:szCs w:val="20"/>
          <w:lang w:eastAsia="zh-CN"/>
        </w:rPr>
        <w:t>”</w:t>
      </w:r>
      <w:r>
        <w:rPr>
          <w:color w:val="auto"/>
          <w:szCs w:val="20"/>
        </w:rPr>
        <w:t>要求严格管理，严防二次污染。</w:t>
      </w:r>
    </w:p>
    <w:p w14:paraId="0E553961">
      <w:pPr>
        <w:pageBreakBefore w:val="0"/>
        <w:wordWrap/>
        <w:bidi w:val="0"/>
        <w:adjustRightInd/>
        <w:snapToGrid/>
        <w:ind w:firstLine="480"/>
        <w:rPr>
          <w:color w:val="auto"/>
          <w:szCs w:val="20"/>
        </w:rPr>
      </w:pPr>
      <w:r>
        <w:rPr>
          <w:rFonts w:hint="eastAsia"/>
          <w:color w:val="auto"/>
          <w:szCs w:val="20"/>
        </w:rPr>
        <w:t>4</w:t>
      </w:r>
      <w:r>
        <w:rPr>
          <w:color w:val="auto"/>
          <w:szCs w:val="20"/>
        </w:rPr>
        <w:t>、保证足够的环保资金，落实本报告书中提出的废水、废气、废渣及噪声治理措施。加强管理，保证环保设施的运行效率。</w:t>
      </w:r>
    </w:p>
    <w:p w14:paraId="0E8FA8DC">
      <w:pPr>
        <w:pageBreakBefore w:val="0"/>
        <w:wordWrap/>
        <w:bidi w:val="0"/>
        <w:adjustRightInd/>
        <w:snapToGrid/>
        <w:ind w:firstLine="480"/>
        <w:rPr>
          <w:color w:val="auto"/>
          <w:szCs w:val="20"/>
        </w:rPr>
      </w:pPr>
      <w:r>
        <w:rPr>
          <w:rFonts w:hint="eastAsia"/>
          <w:color w:val="auto"/>
          <w:szCs w:val="20"/>
        </w:rPr>
        <w:t>5</w:t>
      </w:r>
      <w:r>
        <w:rPr>
          <w:color w:val="auto"/>
          <w:szCs w:val="20"/>
        </w:rPr>
        <w:t>、项目不得随意增大危险化学品存储量或使用量，项目不得构成重大危险源；并且，项目应根据厂区实际情况以及消防、公安、环保等部门和</w:t>
      </w:r>
      <w:r>
        <w:rPr>
          <w:rFonts w:hint="eastAsia"/>
          <w:color w:val="auto"/>
          <w:szCs w:val="20"/>
          <w:lang w:eastAsia="zh-CN"/>
        </w:rPr>
        <w:t>国家其他</w:t>
      </w:r>
      <w:r>
        <w:rPr>
          <w:color w:val="auto"/>
          <w:szCs w:val="20"/>
        </w:rPr>
        <w:t>相关规定，进一步制订符合其自身实际情况和</w:t>
      </w:r>
      <w:r>
        <w:rPr>
          <w:rFonts w:hint="eastAsia"/>
          <w:color w:val="auto"/>
          <w:szCs w:val="20"/>
          <w:lang w:eastAsia="zh-CN"/>
        </w:rPr>
        <w:t>运营</w:t>
      </w:r>
      <w:r>
        <w:rPr>
          <w:color w:val="auto"/>
          <w:szCs w:val="20"/>
        </w:rPr>
        <w:t>需要的紧急事故应急预案和应急组织系统，以期在发生环境风险事故时，将各类环境风险影响控制在可接受范围内。</w:t>
      </w:r>
    </w:p>
    <w:p w14:paraId="33D153C3">
      <w:pPr>
        <w:pageBreakBefore w:val="0"/>
        <w:wordWrap/>
        <w:bidi w:val="0"/>
        <w:adjustRightInd/>
        <w:snapToGrid/>
        <w:ind w:firstLine="480"/>
        <w:rPr>
          <w:color w:val="auto"/>
          <w:szCs w:val="20"/>
        </w:rPr>
      </w:pPr>
      <w:r>
        <w:rPr>
          <w:rFonts w:hint="eastAsia"/>
          <w:color w:val="auto"/>
          <w:szCs w:val="20"/>
        </w:rPr>
        <w:t>6</w:t>
      </w:r>
      <w:r>
        <w:rPr>
          <w:color w:val="auto"/>
          <w:szCs w:val="20"/>
        </w:rPr>
        <w:t>、定期委托当地环境监测站或具有检测资质的第三方检测单位进行污染源监测，同时建立监测档案。</w:t>
      </w:r>
    </w:p>
    <w:p w14:paraId="2A048157">
      <w:pPr>
        <w:pageBreakBefore w:val="0"/>
        <w:wordWrap/>
        <w:bidi w:val="0"/>
        <w:adjustRightInd/>
        <w:snapToGrid/>
        <w:ind w:firstLine="480"/>
        <w:rPr>
          <w:color w:val="auto"/>
          <w:szCs w:val="20"/>
        </w:rPr>
      </w:pPr>
      <w:r>
        <w:rPr>
          <w:rFonts w:hint="eastAsia"/>
          <w:color w:val="auto"/>
          <w:szCs w:val="20"/>
        </w:rPr>
        <w:t>7</w:t>
      </w:r>
      <w:r>
        <w:rPr>
          <w:color w:val="auto"/>
          <w:szCs w:val="20"/>
        </w:rPr>
        <w:t>、认真贯彻执行国家和地方的各项环保法规和方针政策，建立一套完善的</w:t>
      </w:r>
      <w:r>
        <w:rPr>
          <w:rFonts w:hint="eastAsia"/>
          <w:color w:val="auto"/>
          <w:szCs w:val="20"/>
          <w:lang w:eastAsia="zh-CN"/>
        </w:rPr>
        <w:t>“</w:t>
      </w:r>
      <w:r>
        <w:rPr>
          <w:color w:val="auto"/>
          <w:szCs w:val="20"/>
        </w:rPr>
        <w:t>环境管理手册</w:t>
      </w:r>
      <w:r>
        <w:rPr>
          <w:rFonts w:hint="eastAsia"/>
          <w:color w:val="auto"/>
          <w:szCs w:val="20"/>
          <w:lang w:eastAsia="zh-CN"/>
        </w:rPr>
        <w:t>”</w:t>
      </w:r>
      <w:r>
        <w:rPr>
          <w:color w:val="auto"/>
          <w:szCs w:val="20"/>
        </w:rPr>
        <w:t>，落实环境管理规章制度，强化管理，确定专门的环境管理人员，落实专人负责环保处理设施的运行和维护，接受当地环保部门的监督和管理。在当地环保部门的指导下，定期对污染物进行监测，并建立污染物管理档案。</w:t>
      </w:r>
    </w:p>
    <w:p w14:paraId="5AF1EAE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建议</w:t>
      </w:r>
    </w:p>
    <w:p w14:paraId="04ADB005">
      <w:pPr>
        <w:pageBreakBefore w:val="0"/>
        <w:wordWrap/>
        <w:bidi w:val="0"/>
        <w:adjustRightInd/>
        <w:snapToGrid/>
        <w:ind w:firstLine="480"/>
        <w:rPr>
          <w:color w:val="auto"/>
          <w:szCs w:val="20"/>
        </w:rPr>
      </w:pPr>
      <w:r>
        <w:rPr>
          <w:color w:val="auto"/>
          <w:szCs w:val="20"/>
        </w:rPr>
        <w:t>1、建立健全安全环境管理体系，加强</w:t>
      </w:r>
      <w:r>
        <w:rPr>
          <w:rFonts w:hint="eastAsia"/>
          <w:color w:val="auto"/>
          <w:szCs w:val="20"/>
          <w:lang w:eastAsia="zh-CN"/>
        </w:rPr>
        <w:t>“</w:t>
      </w:r>
      <w:r>
        <w:rPr>
          <w:color w:val="auto"/>
          <w:szCs w:val="20"/>
        </w:rPr>
        <w:t>三废</w:t>
      </w:r>
      <w:r>
        <w:rPr>
          <w:rFonts w:hint="eastAsia"/>
          <w:color w:val="auto"/>
          <w:szCs w:val="20"/>
          <w:lang w:eastAsia="zh-CN"/>
        </w:rPr>
        <w:t>”</w:t>
      </w:r>
      <w:r>
        <w:rPr>
          <w:color w:val="auto"/>
          <w:szCs w:val="20"/>
        </w:rPr>
        <w:t>排放监测和管理。</w:t>
      </w:r>
    </w:p>
    <w:p w14:paraId="0FE411A3">
      <w:pPr>
        <w:pageBreakBefore w:val="0"/>
        <w:wordWrap/>
        <w:bidi w:val="0"/>
        <w:adjustRightInd/>
        <w:snapToGrid/>
        <w:ind w:firstLine="480"/>
        <w:rPr>
          <w:color w:val="auto"/>
          <w:szCs w:val="20"/>
        </w:rPr>
      </w:pPr>
      <w:r>
        <w:rPr>
          <w:rFonts w:hint="eastAsia"/>
          <w:color w:val="auto"/>
          <w:szCs w:val="20"/>
        </w:rPr>
        <w:t>2</w:t>
      </w:r>
      <w:r>
        <w:rPr>
          <w:color w:val="auto"/>
          <w:szCs w:val="20"/>
        </w:rPr>
        <w:t>、加强厂区环境绿化，既可降噪、吸附臭气，又可美化环境。</w:t>
      </w:r>
    </w:p>
    <w:sectPr>
      <w:headerReference r:id="rId30"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1"/>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D8D15965-CDA3-40E9-BD6C-67E4C483D1AF}"/>
  </w:font>
  <w:font w:name="黑体">
    <w:panose1 w:val="02010609060101010101"/>
    <w:charset w:val="86"/>
    <w:family w:val="auto"/>
    <w:pitch w:val="default"/>
    <w:sig w:usb0="800002BF" w:usb1="38CF7CFA" w:usb2="00000016" w:usb3="00000000" w:csb0="00040001" w:csb1="00000000"/>
    <w:embedRegular r:id="rId2" w:fontKey="{A611A041-4736-46C3-9CA0-16B4C4AABD1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3" w:fontKey="{4484547F-ADFC-4D5F-B21F-2D40B7151BFA}"/>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方正仿宋_GB2312">
    <w:panose1 w:val="02000000000000000000"/>
    <w:charset w:val="86"/>
    <w:family w:val="auto"/>
    <w:pitch w:val="default"/>
    <w:sig w:usb0="A00002BF" w:usb1="184F6CFA" w:usb2="00000012" w:usb3="00000000" w:csb0="00040001" w:csb1="00000000"/>
    <w:embedRegular r:id="rId4" w:fontKey="{81369A15-8DFE-4334-A390-044969E460A7}"/>
  </w:font>
  <w:font w:name="Arial Black">
    <w:panose1 w:val="020B0A04020102020204"/>
    <w:charset w:val="00"/>
    <w:family w:val="auto"/>
    <w:pitch w:val="default"/>
    <w:sig w:usb0="00000287" w:usb1="00000000" w:usb2="00000000" w:usb3="00000000" w:csb0="2000009F" w:csb1="DFD7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Dubai">
    <w:altName w:val="NumberOnly"/>
    <w:panose1 w:val="020B0503030403030204"/>
    <w:charset w:val="00"/>
    <w:family w:val="auto"/>
    <w:pitch w:val="default"/>
    <w:sig w:usb0="00000000" w:usb1="00000000" w:usb2="00000008" w:usb3="00000000" w:csb0="20000041" w:csb1="00000000"/>
  </w:font>
  <w:font w:name="文鼎粗钢笔行楷">
    <w:altName w:val="宋体"/>
    <w:panose1 w:val="03000800000000000000"/>
    <w:charset w:val="86"/>
    <w:family w:val="swiss"/>
    <w:pitch w:val="default"/>
    <w:sig w:usb0="00000000" w:usb1="00000000" w:usb2="00000012" w:usb3="00000000" w:csb0="00040001" w:csb1="00000000"/>
  </w:font>
  <w:font w:name="@宋体">
    <w:panose1 w:val="02010600030101010101"/>
    <w:charset w:val="86"/>
    <w:family w:val="auto"/>
    <w:pitch w:val="default"/>
    <w:sig w:usb0="00000003" w:usb1="288F0000" w:usb2="00000006" w:usb3="00000000" w:csb0="00040001" w:csb1="00000000"/>
  </w:font>
  <w:font w:name="Simplex">
    <w:altName w:val="Segoe Print"/>
    <w:panose1 w:val="00000400000000000000"/>
    <w:charset w:val="00"/>
    <w:family w:val="auto"/>
    <w:pitch w:val="default"/>
    <w:sig w:usb0="00000000" w:usb1="00000000" w:usb2="00000000" w:usb3="00000000" w:csb0="000001FF" w:csb1="00000000"/>
  </w:font>
  <w:font w:name="MS PGothic">
    <w:panose1 w:val="020B0600070205080204"/>
    <w:charset w:val="80"/>
    <w:family w:val="swiss"/>
    <w:pitch w:val="default"/>
    <w:sig w:usb0="E00002FF" w:usb1="6AC7FDFB" w:usb2="00000012" w:usb3="00000000" w:csb0="4002009F" w:csb1="DFD70000"/>
  </w:font>
  <w:font w:name="规范宋体超大字库">
    <w:altName w:val="宋体"/>
    <w:panose1 w:val="02010600010101010101"/>
    <w:charset w:val="86"/>
    <w:family w:val="auto"/>
    <w:pitch w:val="default"/>
    <w:sig w:usb0="00000000" w:usb1="00000000" w:usb2="00000012"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embedRegular r:id="rId5" w:fontKey="{EC4B5C21-EC14-4C00-87E4-40EE922105BB}"/>
  </w:font>
  <w:font w:name="Cambria Math">
    <w:panose1 w:val="02040503050406030204"/>
    <w:charset w:val="00"/>
    <w:family w:val="auto"/>
    <w:pitch w:val="default"/>
    <w:sig w:usb0="E00002FF" w:usb1="420024FF" w:usb2="00000000" w:usb3="00000000" w:csb0="2000019F" w:csb1="00000000"/>
    <w:embedRegular r:id="rId6" w:fontKey="{294C6A01-47C6-4730-BA22-772BE270815E}"/>
  </w:font>
  <w:font w:name="MS Gothic">
    <w:panose1 w:val="020B0609070205080204"/>
    <w:charset w:val="80"/>
    <w:family w:val="modern"/>
    <w:pitch w:val="default"/>
    <w:sig w:usb0="E00002FF" w:usb1="6AC7FDFB" w:usb2="00000012" w:usb3="00000000" w:csb0="4002009F" w:csb1="DFD70000"/>
    <w:embedRegular r:id="rId7" w:fontKey="{08C3A16F-7976-4B50-80E5-3F5BADAFD799}"/>
  </w:font>
  <w:font w:name="等线">
    <w:panose1 w:val="02010600030101010101"/>
    <w:charset w:val="86"/>
    <w:family w:val="auto"/>
    <w:pitch w:val="default"/>
    <w:sig w:usb0="A00002BF" w:usb1="38CF7CFA" w:usb2="00000016" w:usb3="00000000" w:csb0="0004000F" w:csb1="00000000"/>
    <w:embedRegular r:id="rId8" w:fontKey="{9672760E-CC2E-4FF5-B4A1-489E1D1160F3}"/>
  </w:font>
  <w:font w:name="Wingdings 2">
    <w:panose1 w:val="05020102010507070707"/>
    <w:charset w:val="02"/>
    <w:family w:val="auto"/>
    <w:pitch w:val="default"/>
    <w:sig w:usb0="00000000" w:usb1="00000000" w:usb2="00000000" w:usb3="00000000" w:csb0="80000000" w:csb1="00000000"/>
    <w:embedRegular r:id="rId9" w:fontKey="{93A58498-FA59-4125-8F4E-16F07AF04313}"/>
  </w:font>
  <w:font w:name="NumberOnly">
    <w:panose1 w:val="020B0500000000000000"/>
    <w:charset w:val="00"/>
    <w:family w:val="auto"/>
    <w:pitch w:val="default"/>
    <w:sig w:usb0="8000002F" w:usb1="10000048" w:usb2="00000000" w:usb3="00000000" w:csb0="00000111" w:csb1="40000000"/>
  </w:font>
  <w:font w:name="Gulim">
    <w:panose1 w:val="020B0600000101010101"/>
    <w:charset w:val="81"/>
    <w:family w:val="auto"/>
    <w:pitch w:val="default"/>
    <w:sig w:usb0="B00002AF" w:usb1="69D77CFB" w:usb2="00000030" w:usb3="00000000" w:csb0="4008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3EF346">
    <w:pPr>
      <w:pStyle w:val="33"/>
      <w:ind w:firstLine="360"/>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CF1A1">
                          <w:pPr>
                            <w:pStyle w:val="3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624CF1A1">
                    <w:pPr>
                      <w:pStyle w:val="3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75650519"/>
      <w:docPartObj>
        <w:docPartGallery w:val="autotext"/>
      </w:docPartObj>
    </w:sdtPr>
    <w:sdtContent>
      <w:p w14:paraId="1758923D">
        <w:pPr>
          <w:pStyle w:val="33"/>
          <w:ind w:firstLine="360"/>
          <w:jc w:val="center"/>
        </w:pPr>
        <w:r>
          <w:fldChar w:fldCharType="begin"/>
        </w:r>
        <w:r>
          <w:instrText xml:space="preserve">PAGE   \* MERGEFORMAT</w:instrText>
        </w:r>
        <w:r>
          <w:fldChar w:fldCharType="separate"/>
        </w:r>
        <w:r>
          <w:rPr>
            <w:lang w:val="zh-CN"/>
          </w:rPr>
          <w:t>26</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A6CBC">
    <w:pPr>
      <w:snapToGrid w:val="0"/>
      <w:ind w:firstLine="360"/>
      <w:jc w:val="center"/>
      <w:rPr>
        <w:kern w:val="0"/>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59BAE7">
                          <w:pPr>
                            <w:snapToGrid w:val="0"/>
                            <w:ind w:firstLine="360"/>
                            <w:jc w:val="center"/>
                          </w:pPr>
                          <w:r>
                            <w:rPr>
                              <w:kern w:val="0"/>
                              <w:sz w:val="18"/>
                              <w:szCs w:val="18"/>
                            </w:rPr>
                            <w:fldChar w:fldCharType="begin"/>
                          </w:r>
                          <w:r>
                            <w:rPr>
                              <w:kern w:val="0"/>
                              <w:sz w:val="18"/>
                              <w:szCs w:val="18"/>
                            </w:rPr>
                            <w:instrText xml:space="preserve">PAGE   \* MERGEFORMAT</w:instrText>
                          </w:r>
                          <w:r>
                            <w:rPr>
                              <w:kern w:val="0"/>
                              <w:sz w:val="18"/>
                              <w:szCs w:val="18"/>
                            </w:rPr>
                            <w:fldChar w:fldCharType="separate"/>
                          </w:r>
                          <w:r>
                            <w:rPr>
                              <w:kern w:val="0"/>
                              <w:sz w:val="18"/>
                              <w:szCs w:val="18"/>
                              <w:lang w:val="zh-CN"/>
                            </w:rPr>
                            <w:t>392</w:t>
                          </w:r>
                          <w:r>
                            <w:rPr>
                              <w:kern w:val="0"/>
                              <w:sz w:val="18"/>
                              <w:szCs w:val="18"/>
                            </w:rPr>
                            <w:fldChar w:fldCharType="end"/>
                          </w:r>
                        </w:p>
                      </w:txbxContent>
                    </wps:txbx>
                    <wps:bodyPr wrap="none" lIns="0" tIns="0" rIns="0" bIns="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Igg5MwBAACeAwAADgAAAGRycy9lMm9Eb2MueG1srVPNjtMwEL4j8Q6W&#10;79RpEas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lvchFc3lDhuceSX798uP35dfn4l&#10;y+rlKmvUB6gx9T5gchre+AHzZz+gM1MfVLT5i6QIxlHh81VhOSQi8qP1a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wiCDkzAEAAJ4DAAAOAAAAAAAAAAEAIAAAAB4BAABkcnMvZTJv&#10;RG9jLnhtbFBLBQYAAAAABgAGAFkBAABcBQAAAAA=&#10;">
              <v:fill on="f" focussize="0,0"/>
              <v:stroke on="f"/>
              <v:imagedata o:title=""/>
              <o:lock v:ext="edit" aspectratio="f"/>
              <v:textbox inset="0mm,0mm,0mm,0mm" style="mso-fit-shape-to-text:t;">
                <w:txbxContent>
                  <w:p w14:paraId="1C59BAE7">
                    <w:pPr>
                      <w:snapToGrid w:val="0"/>
                      <w:ind w:firstLine="360"/>
                      <w:jc w:val="center"/>
                    </w:pPr>
                    <w:r>
                      <w:rPr>
                        <w:kern w:val="0"/>
                        <w:sz w:val="18"/>
                        <w:szCs w:val="18"/>
                      </w:rPr>
                      <w:fldChar w:fldCharType="begin"/>
                    </w:r>
                    <w:r>
                      <w:rPr>
                        <w:kern w:val="0"/>
                        <w:sz w:val="18"/>
                        <w:szCs w:val="18"/>
                      </w:rPr>
                      <w:instrText xml:space="preserve">PAGE   \* MERGEFORMAT</w:instrText>
                    </w:r>
                    <w:r>
                      <w:rPr>
                        <w:kern w:val="0"/>
                        <w:sz w:val="18"/>
                        <w:szCs w:val="18"/>
                      </w:rPr>
                      <w:fldChar w:fldCharType="separate"/>
                    </w:r>
                    <w:r>
                      <w:rPr>
                        <w:kern w:val="0"/>
                        <w:sz w:val="18"/>
                        <w:szCs w:val="18"/>
                        <w:lang w:val="zh-CN"/>
                      </w:rPr>
                      <w:t>392</w:t>
                    </w:r>
                    <w:r>
                      <w:rPr>
                        <w:kern w:val="0"/>
                        <w:sz w:val="18"/>
                        <w:szCs w:val="18"/>
                      </w:rPr>
                      <w:fldChar w:fldCharType="end"/>
                    </w:r>
                  </w:p>
                </w:txbxContent>
              </v:textbox>
            </v:shape>
          </w:pict>
        </mc:Fallback>
      </mc:AlternateContent>
    </w:r>
  </w:p>
  <w:p w14:paraId="01AEDC3F">
    <w:pPr>
      <w:adjustRightInd/>
      <w:spacing w:line="10" w:lineRule="exact"/>
      <w:ind w:firstLine="0" w:firstLineChars="0"/>
      <w:rPr>
        <w:sz w:val="1"/>
        <w:szCs w:val="1"/>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1231CC">
    <w:pPr>
      <w:spacing w:before="57" w:line="209" w:lineRule="auto"/>
      <w:ind w:left="146"/>
      <w:rPr>
        <w:rFonts w:ascii="Times New Roman" w:hAnsi="Times New Roman" w:eastAsia="Times New Roman" w:cs="Times New Roman"/>
        <w:sz w:val="18"/>
        <w:szCs w:val="18"/>
      </w:rPr>
    </w:pPr>
    <w:r>
      <w:rPr>
        <w:sz w:val="24"/>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B6439F">
                          <w:pPr>
                            <w:pStyle w:val="33"/>
                          </w:pPr>
                          <w:r>
                            <w:fldChar w:fldCharType="begin"/>
                          </w:r>
                          <w:r>
                            <w:instrText xml:space="preserve"> PAGE  \* MERGEFORMAT </w:instrText>
                          </w:r>
                          <w:r>
                            <w:fldChar w:fldCharType="separate"/>
                          </w:r>
                          <w:r>
                            <w:t>332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14:paraId="6BB6439F">
                    <w:pPr>
                      <w:pStyle w:val="33"/>
                    </w:pPr>
                    <w:r>
                      <w:fldChar w:fldCharType="begin"/>
                    </w:r>
                    <w:r>
                      <w:instrText xml:space="preserve"> PAGE  \* MERGEFORMAT </w:instrText>
                    </w:r>
                    <w:r>
                      <w:fldChar w:fldCharType="separate"/>
                    </w:r>
                    <w:r>
                      <w:t>332</w:t>
                    </w:r>
                    <w:r>
                      <w:fldChar w:fldCharType="end"/>
                    </w:r>
                  </w:p>
                </w:txbxContent>
              </v:textbox>
            </v:shape>
          </w:pict>
        </mc:Fallback>
      </mc:AlternateContent>
    </w:r>
    <w:r>
      <mc:AlternateContent>
        <mc:Choice Requires="wps">
          <w:drawing>
            <wp:anchor distT="0" distB="0" distL="114300" distR="114300" simplePos="0" relativeHeight="251675648" behindDoc="0" locked="0" layoutInCell="0" allowOverlap="1">
              <wp:simplePos x="0" y="0"/>
              <wp:positionH relativeFrom="page">
                <wp:posOffset>1141095</wp:posOffset>
              </wp:positionH>
              <wp:positionV relativeFrom="page">
                <wp:posOffset>9895205</wp:posOffset>
              </wp:positionV>
              <wp:extent cx="4821555" cy="6350"/>
              <wp:effectExtent l="0" t="0" r="0" b="0"/>
              <wp:wrapNone/>
              <wp:docPr id="105" name="任意多边形 105"/>
              <wp:cNvGraphicFramePr/>
              <a:graphic xmlns:a="http://schemas.openxmlformats.org/drawingml/2006/main">
                <a:graphicData uri="http://schemas.microsoft.com/office/word/2010/wordprocessingShape">
                  <wps:wsp>
                    <wps:cNvSpPr/>
                    <wps:spPr>
                      <a:xfrm>
                        <a:off x="0" y="0"/>
                        <a:ext cx="4821555" cy="6350"/>
                      </a:xfrm>
                      <a:custGeom>
                        <a:avLst/>
                        <a:gdLst/>
                        <a:ahLst/>
                        <a:cxnLst/>
                        <a:pathLst>
                          <a:path w="7592" h="10">
                            <a:moveTo>
                              <a:pt x="0" y="0"/>
                            </a:moveTo>
                            <a:lnTo>
                              <a:pt x="7592" y="0"/>
                            </a:lnTo>
                            <a:lnTo>
                              <a:pt x="759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779.15pt;height:0.5pt;width:379.65pt;mso-position-horizontal-relative:page;mso-position-vertical-relative:page;z-index:251675648;mso-width-relative:page;mso-height-relative:page;" fillcolor="#000000" filled="t" stroked="f" coordsize="7592,10" o:allowincell="f" o:gfxdata="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cSBxbbAAAADQEAAA8AAAAAAAAA&#10;AQAgAAAAIgAAAGRycy9kb3ducmV2LnhtbFBLAQIUABQAAAAIAIdO4kCeGI+3DgIAAH0EAAAOAAAA&#10;AAAAAAEAIAAAACoBAABkcnMvZTJvRG9jLnhtbFBLBQYAAAAABgAGAFkBAACqBQAAAAA=&#10;" path="m0,0l7592,0,7592,9,0,9,0,0xe">
              <v:fill on="t" focussize="0,0"/>
              <v:stroke on="f"/>
              <v:imagedata o:title=""/>
              <o:lock v:ext="edit" aspectratio="f"/>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215F1">
    <w:pPr>
      <w:pStyle w:val="33"/>
      <w:ind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12B614">
                          <w:pPr>
                            <w:pStyle w:val="33"/>
                            <w:ind w:firstLine="360"/>
                            <w:jc w:val="center"/>
                          </w:pPr>
                          <w:r>
                            <w:fldChar w:fldCharType="begin"/>
                          </w:r>
                          <w:r>
                            <w:instrText xml:space="preserve">PAGE   \* MERGEFORMAT</w:instrText>
                          </w:r>
                          <w:r>
                            <w:fldChar w:fldCharType="separate"/>
                          </w:r>
                          <w:r>
                            <w:rPr>
                              <w:lang w:val="zh-CN"/>
                            </w:rPr>
                            <w:t>394</w:t>
                          </w:r>
                          <w:r>
                            <w:fldChar w:fldCharType="end"/>
                          </w:r>
                        </w:p>
                      </w:txbxContent>
                    </wps:txbx>
                    <wps:bodyPr wrap="none" lIns="0" tIns="0" rIns="0" bIns="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uoW7Us0BAACeAwAADgAAAAAAAAABACAAAAAeAQAAZHJzL2Uy&#10;b0RvYy54bWxQSwUGAAAAAAYABgBZAQAAXQUAAAAA&#10;">
              <v:fill on="f" focussize="0,0"/>
              <v:stroke on="f"/>
              <v:imagedata o:title=""/>
              <o:lock v:ext="edit" aspectratio="f"/>
              <v:textbox inset="0mm,0mm,0mm,0mm" style="mso-fit-shape-to-text:t;">
                <w:txbxContent>
                  <w:p w14:paraId="3F12B614">
                    <w:pPr>
                      <w:pStyle w:val="33"/>
                      <w:ind w:firstLine="360"/>
                      <w:jc w:val="center"/>
                    </w:pPr>
                    <w:r>
                      <w:fldChar w:fldCharType="begin"/>
                    </w:r>
                    <w:r>
                      <w:instrText xml:space="preserve">PAGE   \* MERGEFORMAT</w:instrText>
                    </w:r>
                    <w:r>
                      <w:fldChar w:fldCharType="separate"/>
                    </w:r>
                    <w:r>
                      <w:rPr>
                        <w:lang w:val="zh-CN"/>
                      </w:rPr>
                      <w:t>394</w:t>
                    </w:r>
                    <w:r>
                      <w:fldChar w:fldCharType="end"/>
                    </w:r>
                  </w:p>
                </w:txbxContent>
              </v:textbox>
            </v:shape>
          </w:pict>
        </mc:Fallback>
      </mc:AlternateContent>
    </w:r>
  </w:p>
  <w:p w14:paraId="39EDE3D3">
    <w:pPr>
      <w:spacing w:line="10" w:lineRule="exact"/>
      <w:ind w:firstLine="20"/>
      <w:rPr>
        <w:sz w:val="1"/>
        <w:szCs w:val="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AD2F13">
    <w:pPr>
      <w:pStyle w:val="3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64FDF">
    <w:pPr>
      <w:pStyle w:val="33"/>
      <w:ind w:firstLine="360"/>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BB1CE3">
                          <w:pPr>
                            <w:pStyle w:val="3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1CBB1CE3">
                    <w:pPr>
                      <w:pStyle w:val="3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583CF1">
    <w:pPr>
      <w:pStyle w:val="33"/>
      <w:ind w:firstLine="440"/>
      <w:jc w:val="cente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DF729A">
                          <w:pPr>
                            <w:pStyle w:val="33"/>
                            <w:ind w:firstLine="440"/>
                            <w:jc w:val="center"/>
                          </w:pPr>
                          <w:r>
                            <w:rPr>
                              <w:sz w:val="22"/>
                              <w:szCs w:val="22"/>
                            </w:rPr>
                            <w:fldChar w:fldCharType="begin"/>
                          </w:r>
                          <w:r>
                            <w:instrText xml:space="preserve">PAGE  \* ROMAN  \* MERGEFORMAT</w:instrText>
                          </w:r>
                          <w:r>
                            <w:rPr>
                              <w:sz w:val="22"/>
                              <w:szCs w:val="22"/>
                            </w:rPr>
                            <w:fldChar w:fldCharType="separate"/>
                          </w:r>
                          <w:r>
                            <w:rPr>
                              <w:color w:val="4472C4"/>
                              <w:sz w:val="28"/>
                              <w:szCs w:val="28"/>
                              <w:lang w:val="zh-CN"/>
                            </w:rPr>
                            <w:t>III</w:t>
                          </w:r>
                          <w:r>
                            <w:rPr>
                              <w:color w:val="4472C4"/>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08DF729A">
                    <w:pPr>
                      <w:pStyle w:val="33"/>
                      <w:ind w:firstLine="440"/>
                      <w:jc w:val="center"/>
                    </w:pPr>
                    <w:r>
                      <w:rPr>
                        <w:sz w:val="22"/>
                        <w:szCs w:val="22"/>
                      </w:rPr>
                      <w:fldChar w:fldCharType="begin"/>
                    </w:r>
                    <w:r>
                      <w:instrText xml:space="preserve">PAGE  \* ROMAN  \* MERGEFORMAT</w:instrText>
                    </w:r>
                    <w:r>
                      <w:rPr>
                        <w:sz w:val="22"/>
                        <w:szCs w:val="22"/>
                      </w:rPr>
                      <w:fldChar w:fldCharType="separate"/>
                    </w:r>
                    <w:r>
                      <w:rPr>
                        <w:color w:val="4472C4"/>
                        <w:sz w:val="28"/>
                        <w:szCs w:val="28"/>
                        <w:lang w:val="zh-CN"/>
                      </w:rPr>
                      <w:t>III</w:t>
                    </w:r>
                    <w:r>
                      <w:rPr>
                        <w:color w:val="4472C4"/>
                        <w:sz w:val="28"/>
                        <w:szCs w:val="2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92992">
    <w:pPr>
      <w:pStyle w:val="33"/>
      <w:ind w:firstLine="360"/>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A145AE">
                          <w:pPr>
                            <w:pStyle w:val="3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4BA145AE">
                    <w:pPr>
                      <w:pStyle w:val="3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D4D01">
    <w:pPr>
      <w:pStyle w:val="33"/>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1037CD4">
                          <w:pPr>
                            <w:pStyle w:val="33"/>
                            <w:ind w:firstLine="360"/>
                            <w:jc w:val="center"/>
                          </w:pPr>
                          <w:r>
                            <w:fldChar w:fldCharType="begin"/>
                          </w:r>
                          <w:r>
                            <w:instrText xml:space="preserve">PAGE   \* MERGEFORMAT</w:instrText>
                          </w:r>
                          <w:r>
                            <w:fldChar w:fldCharType="separate"/>
                          </w:r>
                          <w:r>
                            <w:rPr>
                              <w:lang w:val="zh-CN"/>
                            </w:rPr>
                            <w:t>149</w:t>
                          </w:r>
                          <w:r>
                            <w:fldChar w:fldCharType="end"/>
                          </w:r>
                        </w:p>
                      </w:txbxContent>
                    </wps:txbx>
                    <wps:bodyPr wrap="none" lIns="0" tIns="0" rIns="0" bIns="0" upright="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H+bsuTLAQAAngMAAA4AAAAAAAAAAQAgAAAAHgEAAGRycy9lMm9E&#10;b2MueG1sUEsFBgAAAAAGAAYAWQEAAFsFAAAAAA==&#10;">
              <v:fill on="f" focussize="0,0"/>
              <v:stroke on="f"/>
              <v:imagedata o:title=""/>
              <o:lock v:ext="edit" aspectratio="f"/>
              <v:textbox inset="0mm,0mm,0mm,0mm" style="mso-fit-shape-to-text:t;">
                <w:txbxContent>
                  <w:p w14:paraId="61037CD4">
                    <w:pPr>
                      <w:pStyle w:val="33"/>
                      <w:ind w:firstLine="360"/>
                      <w:jc w:val="center"/>
                    </w:pPr>
                    <w:r>
                      <w:fldChar w:fldCharType="begin"/>
                    </w:r>
                    <w:r>
                      <w:instrText xml:space="preserve">PAGE   \* MERGEFORMAT</w:instrText>
                    </w:r>
                    <w:r>
                      <w:fldChar w:fldCharType="separate"/>
                    </w:r>
                    <w:r>
                      <w:rPr>
                        <w:lang w:val="zh-CN"/>
                      </w:rPr>
                      <w:t>149</w:t>
                    </w:r>
                    <w:r>
                      <w:fldChar w:fldCharType="end"/>
                    </w:r>
                  </w:p>
                </w:txbxContent>
              </v:textbox>
            </v:shape>
          </w:pict>
        </mc:Fallback>
      </mc:AlternateContent>
    </w:r>
  </w:p>
  <w:p w14:paraId="2D3C57AF">
    <w:pPr>
      <w:pStyle w:val="33"/>
      <w:ind w:firstLine="422"/>
      <w:rPr>
        <w:rFonts w:eastAsia="方正仿宋_GB2312"/>
        <w:b/>
        <w:bCs/>
        <w:sz w:val="21"/>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D9486">
    <w:pPr>
      <w:spacing w:line="174" w:lineRule="auto"/>
      <w:ind w:left="456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39990B">
                          <w:pPr>
                            <w:pStyle w:val="33"/>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4139990B">
                    <w:pPr>
                      <w:pStyle w:val="33"/>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31FD">
    <w:pPr>
      <w:spacing w:line="174" w:lineRule="auto"/>
      <w:ind w:left="692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302EF6">
                          <w:pPr>
                            <w:pStyle w:val="33"/>
                          </w:pPr>
                          <w:r>
                            <w:fldChar w:fldCharType="begin"/>
                          </w:r>
                          <w:r>
                            <w:instrText xml:space="preserve"> PAGE  \* MERGEFORMAT </w:instrText>
                          </w:r>
                          <w:r>
                            <w:fldChar w:fldCharType="separate"/>
                          </w:r>
                          <w:r>
                            <w:t>155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v:fill on="f" focussize="0,0"/>
              <v:stroke on="f" weight="0.5pt"/>
              <v:imagedata o:title=""/>
              <o:lock v:ext="edit" aspectratio="f"/>
              <v:textbox inset="0mm,0mm,0mm,0mm" style="mso-fit-shape-to-text:t;">
                <w:txbxContent>
                  <w:p w14:paraId="2A302EF6">
                    <w:pPr>
                      <w:pStyle w:val="33"/>
                    </w:pPr>
                    <w:r>
                      <w:fldChar w:fldCharType="begin"/>
                    </w:r>
                    <w:r>
                      <w:instrText xml:space="preserve"> PAGE  \* MERGEFORMAT </w:instrText>
                    </w:r>
                    <w:r>
                      <w:fldChar w:fldCharType="separate"/>
                    </w:r>
                    <w:r>
                      <w:t>155</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B6726">
    <w:pPr>
      <w:pStyle w:val="33"/>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018EE">
                          <w:pPr>
                            <w:pStyle w:val="33"/>
                            <w:ind w:firstLine="360"/>
                            <w:jc w:val="center"/>
                          </w:pPr>
                          <w:r>
                            <w:fldChar w:fldCharType="begin"/>
                          </w:r>
                          <w:r>
                            <w:instrText xml:space="preserve">PAGE   \* MERGEFORMAT</w:instrText>
                          </w:r>
                          <w:r>
                            <w:fldChar w:fldCharType="separate"/>
                          </w:r>
                          <w:r>
                            <w:rPr>
                              <w:lang w:val="zh-CN"/>
                            </w:rPr>
                            <w:t>384</w:t>
                          </w:r>
                          <w:r>
                            <w:fldChar w:fldCharType="end"/>
                          </w:r>
                        </w:p>
                      </w:txbxContent>
                    </wps:txbx>
                    <wps:bodyPr wrap="none" lIns="0" tIns="0" rIns="0" bIns="0" upright="0">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vmPzkzAEAAJ4DAAAOAAAAAAAAAAEAIAAAAB4BAABkcnMvZTJv&#10;RG9jLnhtbFBLBQYAAAAABgAGAFkBAABcBQAAAAA=&#10;">
              <v:fill on="f" focussize="0,0"/>
              <v:stroke on="f"/>
              <v:imagedata o:title=""/>
              <o:lock v:ext="edit" aspectratio="f"/>
              <v:textbox inset="0mm,0mm,0mm,0mm" style="mso-fit-shape-to-text:t;">
                <w:txbxContent>
                  <w:p w14:paraId="42C018EE">
                    <w:pPr>
                      <w:pStyle w:val="33"/>
                      <w:ind w:firstLine="360"/>
                      <w:jc w:val="center"/>
                    </w:pPr>
                    <w:r>
                      <w:fldChar w:fldCharType="begin"/>
                    </w:r>
                    <w:r>
                      <w:instrText xml:space="preserve">PAGE   \* MERGEFORMAT</w:instrText>
                    </w:r>
                    <w:r>
                      <w:fldChar w:fldCharType="separate"/>
                    </w:r>
                    <w:r>
                      <w:rPr>
                        <w:lang w:val="zh-CN"/>
                      </w:rPr>
                      <w:t>384</w:t>
                    </w:r>
                    <w:r>
                      <w:fldChar w:fldCharType="end"/>
                    </w:r>
                  </w:p>
                </w:txbxContent>
              </v:textbox>
            </v:shape>
          </w:pict>
        </mc:Fallback>
      </mc:AlternateContent>
    </w:r>
  </w:p>
  <w:p w14:paraId="3CF59941">
    <w:pPr>
      <w:spacing w:line="10" w:lineRule="exact"/>
      <w:ind w:firstLine="20"/>
      <w:rPr>
        <w:sz w:val="1"/>
        <w:szCs w:val="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45F92">
    <w:pPr>
      <w:pStyle w:val="34"/>
      <w:pBdr>
        <w:bottom w:val="none" w:color="auto" w:sz="0" w:space="1"/>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75492D">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3846DC">
    <w:pPr>
      <w:ind w:left="480" w:firstLine="0" w:firstLineChars="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1DABD1">
    <w:pPr>
      <w:spacing w:before="16" w:line="218" w:lineRule="auto"/>
      <w:ind w:left="687"/>
      <w:rPr>
        <w:rFonts w:ascii="宋体" w:hAnsi="宋体" w:eastAsia="宋体" w:cs="宋体"/>
        <w:sz w:val="18"/>
        <w:szCs w:val="18"/>
      </w:rPr>
    </w:pPr>
    <w:r>
      <mc:AlternateContent>
        <mc:Choice Requires="wps">
          <w:drawing>
            <wp:anchor distT="0" distB="0" distL="114300" distR="114300" simplePos="0" relativeHeight="251674624" behindDoc="0" locked="0" layoutInCell="0" allowOverlap="1">
              <wp:simplePos x="0" y="0"/>
              <wp:positionH relativeFrom="page">
                <wp:posOffset>1141095</wp:posOffset>
              </wp:positionH>
              <wp:positionV relativeFrom="page">
                <wp:posOffset>701040</wp:posOffset>
              </wp:positionV>
              <wp:extent cx="5278755" cy="9525"/>
              <wp:effectExtent l="0" t="0" r="0" b="0"/>
              <wp:wrapNone/>
              <wp:docPr id="106" name="任意多边形 106"/>
              <wp:cNvGraphicFramePr/>
              <a:graphic xmlns:a="http://schemas.openxmlformats.org/drawingml/2006/main">
                <a:graphicData uri="http://schemas.microsoft.com/office/word/2010/wordprocessingShape">
                  <wps:wsp>
                    <wps:cNvSpPr/>
                    <wps:spPr>
                      <a:xfrm>
                        <a:off x="0" y="0"/>
                        <a:ext cx="5278755" cy="9525"/>
                      </a:xfrm>
                      <a:custGeom>
                        <a:avLst/>
                        <a:gdLst/>
                        <a:ahLst/>
                        <a:cxnLst/>
                        <a:pathLst>
                          <a:path w="8312" h="15">
                            <a:moveTo>
                              <a:pt x="0" y="0"/>
                            </a:moveTo>
                            <a:lnTo>
                              <a:pt x="8312" y="0"/>
                            </a:lnTo>
                            <a:lnTo>
                              <a:pt x="8312"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55.2pt;height:0.75pt;width:415.65pt;mso-position-horizontal-relative:page;mso-position-vertical-relative:page;z-index:251674624;mso-width-relative:page;mso-height-relative:page;" fillcolor="#000000" filled="t" stroked="f" coordsize="8312,15" o:allowincell="f" o:gfxdata="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9aCDe2AAAAAwBAAAPAAAA&#10;AAAAAAEAIAAAACIAAABkcnMvZG93bnJldi54bWxQSwECFAAUAAAACACHTuJAZHjvshUCAAB/BAAA&#10;DgAAAAAAAAABACAAAAAnAQAAZHJzL2Uyb0RvYy54bWxQSwUGAAAAAAYABgBZAQAArgUAAAAA&#10;" path="m0,0l8312,0,8312,14,0,14,0,0xe">
              <v:fill on="t" focussize="0,0"/>
              <v:stroke on="f"/>
              <v:imagedata o:title=""/>
              <o:lock v:ext="edit" aspectratio="f"/>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3849D">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78720">
    <w:pPr>
      <w:pStyle w:val="3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B6216">
    <w:pPr>
      <w:pStyle w:val="34"/>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082AC">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48D6C">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DD408">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EA4EE6">
    <w:pPr>
      <w:pStyle w:val="34"/>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675998">
    <w:pPr>
      <w:pStyle w:val="19"/>
      <w:spacing w:before="19" w:line="219" w:lineRule="auto"/>
      <w:ind w:left="4307"/>
    </w:pPr>
    <w:r>
      <mc:AlternateContent>
        <mc:Choice Requires="wps">
          <w:drawing>
            <wp:anchor distT="0" distB="0" distL="114300" distR="114300" simplePos="0" relativeHeight="251673600" behindDoc="0" locked="0" layoutInCell="0" allowOverlap="1">
              <wp:simplePos x="0" y="0"/>
              <wp:positionH relativeFrom="page">
                <wp:posOffset>882015</wp:posOffset>
              </wp:positionH>
              <wp:positionV relativeFrom="page">
                <wp:posOffset>726440</wp:posOffset>
              </wp:positionV>
              <wp:extent cx="8929370" cy="9525"/>
              <wp:effectExtent l="0" t="0" r="0" b="0"/>
              <wp:wrapNone/>
              <wp:docPr id="59" name="任意多边形 59"/>
              <wp:cNvGraphicFramePr/>
              <a:graphic xmlns:a="http://schemas.openxmlformats.org/drawingml/2006/main">
                <a:graphicData uri="http://schemas.microsoft.com/office/word/2010/wordprocessingShape">
                  <wps:wsp>
                    <wps:cNvSpPr/>
                    <wps:spPr>
                      <a:xfrm>
                        <a:off x="0" y="0"/>
                        <a:ext cx="8929370" cy="9525"/>
                      </a:xfrm>
                      <a:custGeom>
                        <a:avLst/>
                        <a:gdLst/>
                        <a:ahLst/>
                        <a:cxnLst/>
                        <a:pathLst>
                          <a:path w="14061" h="15">
                            <a:moveTo>
                              <a:pt x="0" y="14"/>
                            </a:moveTo>
                            <a:lnTo>
                              <a:pt x="14061" y="14"/>
                            </a:lnTo>
                            <a:lnTo>
                              <a:pt x="14061" y="0"/>
                            </a:lnTo>
                            <a:lnTo>
                              <a:pt x="0" y="0"/>
                            </a:lnTo>
                            <a:lnTo>
                              <a:pt x="0" y="14"/>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69.45pt;margin-top:57.2pt;height:0.75pt;width:703.1pt;mso-position-horizontal-relative:page;mso-position-vertical-relative:page;z-index:251673600;mso-width-relative:page;mso-height-relative:page;" fillcolor="#000000" filled="t" stroked="f" coordsize="14061,15" o:allowincell="f" o:gfxdata="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6zgKPNYAAAAMAQAADwAAAAAA&#10;AAABACAAAAAiAAAAZHJzL2Rvd25yZXYueG1sUEsBAhQAFAAAAAgAh07iQBhL5GUVAgAAgQQAAA4A&#10;AAAAAAAAAQAgAAAAJQEAAGRycy9lMm9Eb2MueG1sUEsFBgAAAAAGAAYAWQEAAKwFAAAAAA==&#10;" path="m0,14l14061,14,14061,0,0,0,0,14xe">
              <v:fill on="t" focussize="0,0"/>
              <v:stroke on="f"/>
              <v:imagedata o:title=""/>
              <o:lock v:ext="edit" aspectratio="f"/>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1F1B5">
    <w:pPr>
      <w:pStyle w:val="34"/>
      <w:pBdr>
        <w:bottom w:val="single" w:color="auto" w:sz="4" w:space="1"/>
      </w:pBdr>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999CF1"/>
    <w:multiLevelType w:val="multilevel"/>
    <w:tmpl w:val="81999CF1"/>
    <w:lvl w:ilvl="0" w:tentative="0">
      <w:start w:val="1"/>
      <w:numFmt w:val="decimal"/>
      <w:lvlText w:val="表2.7-%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8B3CB287"/>
    <w:multiLevelType w:val="singleLevel"/>
    <w:tmpl w:val="8B3CB287"/>
    <w:lvl w:ilvl="0" w:tentative="0">
      <w:start w:val="3"/>
      <w:numFmt w:val="decimal"/>
      <w:suff w:val="nothing"/>
      <w:lvlText w:val="（%1）"/>
      <w:lvlJc w:val="left"/>
    </w:lvl>
  </w:abstractNum>
  <w:abstractNum w:abstractNumId="2">
    <w:nsid w:val="8F8549A5"/>
    <w:multiLevelType w:val="singleLevel"/>
    <w:tmpl w:val="8F8549A5"/>
    <w:lvl w:ilvl="0" w:tentative="0">
      <w:start w:val="2"/>
      <w:numFmt w:val="decimal"/>
      <w:suff w:val="nothing"/>
      <w:lvlText w:val="%1．"/>
      <w:lvlJc w:val="left"/>
    </w:lvl>
  </w:abstractNum>
  <w:abstractNum w:abstractNumId="3">
    <w:nsid w:val="8F85DABA"/>
    <w:multiLevelType w:val="multilevel"/>
    <w:tmpl w:val="8F85DABA"/>
    <w:lvl w:ilvl="0" w:tentative="0">
      <w:start w:val="1"/>
      <w:numFmt w:val="decimal"/>
      <w:lvlText w:val="表8.3-%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9C899FC3"/>
    <w:multiLevelType w:val="singleLevel"/>
    <w:tmpl w:val="9C899FC3"/>
    <w:lvl w:ilvl="0" w:tentative="0">
      <w:start w:val="1"/>
      <w:numFmt w:val="decimal"/>
      <w:suff w:val="nothing"/>
      <w:lvlText w:val="%1、"/>
      <w:lvlJc w:val="left"/>
    </w:lvl>
  </w:abstractNum>
  <w:abstractNum w:abstractNumId="5">
    <w:nsid w:val="9FCF9642"/>
    <w:multiLevelType w:val="multilevel"/>
    <w:tmpl w:val="9FCF9642"/>
    <w:lvl w:ilvl="0" w:tentative="0">
      <w:start w:val="1"/>
      <w:numFmt w:val="decimal"/>
      <w:lvlText w:val="表5.3-%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A0E49566"/>
    <w:multiLevelType w:val="singleLevel"/>
    <w:tmpl w:val="A0E49566"/>
    <w:lvl w:ilvl="0" w:tentative="0">
      <w:start w:val="2"/>
      <w:numFmt w:val="decimal"/>
      <w:suff w:val="nothing"/>
      <w:lvlText w:val="%1、"/>
      <w:lvlJc w:val="left"/>
    </w:lvl>
  </w:abstractNum>
  <w:abstractNum w:abstractNumId="7">
    <w:nsid w:val="A2394457"/>
    <w:multiLevelType w:val="multilevel"/>
    <w:tmpl w:val="A2394457"/>
    <w:lvl w:ilvl="0" w:tentative="0">
      <w:start w:val="1"/>
      <w:numFmt w:val="decimal"/>
      <w:lvlText w:val="表4.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A4E69EC9"/>
    <w:multiLevelType w:val="singleLevel"/>
    <w:tmpl w:val="A4E69EC9"/>
    <w:lvl w:ilvl="0" w:tentative="0">
      <w:start w:val="2"/>
      <w:numFmt w:val="decimal"/>
      <w:suff w:val="nothing"/>
      <w:lvlText w:val="%1、"/>
      <w:lvlJc w:val="left"/>
    </w:lvl>
  </w:abstractNum>
  <w:abstractNum w:abstractNumId="9">
    <w:nsid w:val="AA09F9E5"/>
    <w:multiLevelType w:val="multilevel"/>
    <w:tmpl w:val="AA09F9E5"/>
    <w:lvl w:ilvl="0" w:tentative="0">
      <w:start w:val="1"/>
      <w:numFmt w:val="decimal"/>
      <w:pStyle w:val="3"/>
      <w:lvlText w:val="%1"/>
      <w:lvlJc w:val="left"/>
      <w:pPr>
        <w:ind w:left="425" w:hanging="425"/>
      </w:pPr>
      <w:rPr>
        <w:rFonts w:hint="default" w:ascii="Times New Roman" w:hAnsi="Times New Roman" w:eastAsia="宋体" w:cs="宋体"/>
        <w:b/>
        <w:i w:val="0"/>
        <w:sz w:val="36"/>
      </w:rPr>
    </w:lvl>
    <w:lvl w:ilvl="1" w:tentative="0">
      <w:start w:val="1"/>
      <w:numFmt w:val="decimal"/>
      <w:pStyle w:val="4"/>
      <w:lvlText w:val="%1.%2"/>
      <w:lvlJc w:val="left"/>
      <w:pPr>
        <w:ind w:left="0" w:firstLine="0"/>
      </w:pPr>
      <w:rPr>
        <w:rFonts w:hint="default" w:ascii="Times New Roman" w:hAnsi="Times New Roman" w:eastAsia="宋体" w:cs="宋体"/>
        <w:b/>
        <w:i w:val="0"/>
        <w:sz w:val="32"/>
      </w:rPr>
    </w:lvl>
    <w:lvl w:ilvl="2" w:tentative="0">
      <w:start w:val="1"/>
      <w:numFmt w:val="decimal"/>
      <w:pStyle w:val="5"/>
      <w:suff w:val="nothing"/>
      <w:lvlText w:val="%1.%2.%3"/>
      <w:lvlJc w:val="left"/>
      <w:pPr>
        <w:tabs>
          <w:tab w:val="left" w:pos="3255"/>
        </w:tabs>
        <w:ind w:left="2835" w:firstLine="0"/>
      </w:pPr>
      <w:rPr>
        <w:rFonts w:hint="default" w:ascii="Times New Roman" w:hAnsi="Times New Roman" w:eastAsia="宋体" w:cs="宋体"/>
        <w:b/>
        <w:i w:val="0"/>
        <w:sz w:val="28"/>
      </w:rPr>
    </w:lvl>
    <w:lvl w:ilvl="3" w:tentative="0">
      <w:start w:val="1"/>
      <w:numFmt w:val="decimal"/>
      <w:pStyle w:val="6"/>
      <w:lvlText w:val="%1.%2.%3.%4"/>
      <w:lvlJc w:val="left"/>
      <w:pPr>
        <w:tabs>
          <w:tab w:val="left" w:pos="420"/>
        </w:tabs>
        <w:ind w:left="0" w:firstLine="0"/>
      </w:pPr>
      <w:rPr>
        <w:rFonts w:hint="default" w:ascii="Times New Roman" w:hAnsi="Times New Roman" w:eastAsia="宋体" w:cs="宋体"/>
        <w:b/>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0">
    <w:nsid w:val="ADECA7FE"/>
    <w:multiLevelType w:val="multilevel"/>
    <w:tmpl w:val="ADECA7FE"/>
    <w:lvl w:ilvl="0" w:tentative="0">
      <w:start w:val="1"/>
      <w:numFmt w:val="decimal"/>
      <w:lvlText w:val="表5.7-%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C60DBCEE"/>
    <w:multiLevelType w:val="multilevel"/>
    <w:tmpl w:val="C60DBCEE"/>
    <w:lvl w:ilvl="0" w:tentative="0">
      <w:start w:val="1"/>
      <w:numFmt w:val="decimal"/>
      <w:lvlText w:val="表2.5-%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CDD5A0EB"/>
    <w:multiLevelType w:val="singleLevel"/>
    <w:tmpl w:val="CDD5A0EB"/>
    <w:lvl w:ilvl="0" w:tentative="0">
      <w:start w:val="2"/>
      <w:numFmt w:val="decimal"/>
      <w:suff w:val="nothing"/>
      <w:lvlText w:val="（%1）"/>
      <w:lvlJc w:val="left"/>
    </w:lvl>
  </w:abstractNum>
  <w:abstractNum w:abstractNumId="13">
    <w:nsid w:val="D088FC7E"/>
    <w:multiLevelType w:val="multilevel"/>
    <w:tmpl w:val="D088FC7E"/>
    <w:lvl w:ilvl="0" w:tentative="0">
      <w:start w:val="1"/>
      <w:numFmt w:val="decimal"/>
      <w:lvlText w:val="表8.4-%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D52EDDF4"/>
    <w:multiLevelType w:val="multilevel"/>
    <w:tmpl w:val="D52EDDF4"/>
    <w:lvl w:ilvl="0" w:tentative="0">
      <w:start w:val="1"/>
      <w:numFmt w:val="decimal"/>
      <w:lvlText w:val="表5.6-%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D7160928"/>
    <w:multiLevelType w:val="singleLevel"/>
    <w:tmpl w:val="D7160928"/>
    <w:lvl w:ilvl="0" w:tentative="0">
      <w:start w:val="1"/>
      <w:numFmt w:val="decimal"/>
      <w:lvlText w:val="%1)"/>
      <w:lvlJc w:val="left"/>
      <w:pPr>
        <w:tabs>
          <w:tab w:val="left" w:pos="312"/>
        </w:tabs>
      </w:pPr>
    </w:lvl>
  </w:abstractNum>
  <w:abstractNum w:abstractNumId="16">
    <w:nsid w:val="DBC61FCB"/>
    <w:multiLevelType w:val="singleLevel"/>
    <w:tmpl w:val="DBC61FCB"/>
    <w:lvl w:ilvl="0" w:tentative="0">
      <w:start w:val="1"/>
      <w:numFmt w:val="decimal"/>
      <w:suff w:val="nothing"/>
      <w:lvlText w:val="%1）"/>
      <w:lvlJc w:val="left"/>
    </w:lvl>
  </w:abstractNum>
  <w:abstractNum w:abstractNumId="17">
    <w:nsid w:val="DCF3F743"/>
    <w:multiLevelType w:val="singleLevel"/>
    <w:tmpl w:val="DCF3F743"/>
    <w:lvl w:ilvl="0" w:tentative="0">
      <w:start w:val="1"/>
      <w:numFmt w:val="decimal"/>
      <w:suff w:val="nothing"/>
      <w:lvlText w:val="（%1）"/>
      <w:lvlJc w:val="left"/>
    </w:lvl>
  </w:abstractNum>
  <w:abstractNum w:abstractNumId="18">
    <w:nsid w:val="DF7D041F"/>
    <w:multiLevelType w:val="singleLevel"/>
    <w:tmpl w:val="DF7D041F"/>
    <w:lvl w:ilvl="0" w:tentative="0">
      <w:start w:val="1"/>
      <w:numFmt w:val="decimal"/>
      <w:suff w:val="nothing"/>
      <w:lvlText w:val="%1、"/>
      <w:lvlJc w:val="left"/>
    </w:lvl>
  </w:abstractNum>
  <w:abstractNum w:abstractNumId="19">
    <w:nsid w:val="EEF010DD"/>
    <w:multiLevelType w:val="singleLevel"/>
    <w:tmpl w:val="EEF010DD"/>
    <w:lvl w:ilvl="0" w:tentative="0">
      <w:start w:val="1"/>
      <w:numFmt w:val="decimal"/>
      <w:suff w:val="nothing"/>
      <w:lvlText w:val="（%1）"/>
      <w:lvlJc w:val="left"/>
    </w:lvl>
  </w:abstractNum>
  <w:abstractNum w:abstractNumId="20">
    <w:nsid w:val="F7A6C602"/>
    <w:multiLevelType w:val="multilevel"/>
    <w:tmpl w:val="F7A6C602"/>
    <w:lvl w:ilvl="0" w:tentative="0">
      <w:start w:val="1"/>
      <w:numFmt w:val="decimal"/>
      <w:lvlText w:val="表2.1-%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F8ACE715"/>
    <w:multiLevelType w:val="multilevel"/>
    <w:tmpl w:val="F8ACE715"/>
    <w:lvl w:ilvl="0" w:tentative="0">
      <w:start w:val="1"/>
      <w:numFmt w:val="decimal"/>
      <w:lvlText w:val="表1.5-%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FB0836BE"/>
    <w:multiLevelType w:val="multilevel"/>
    <w:tmpl w:val="FB0836BE"/>
    <w:lvl w:ilvl="0" w:tentative="0">
      <w:start w:val="1"/>
      <w:numFmt w:val="decimal"/>
      <w:pStyle w:val="15"/>
      <w:lvlText w:val="表2.5-%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FCC81E1A"/>
    <w:multiLevelType w:val="multilevel"/>
    <w:tmpl w:val="FCC81E1A"/>
    <w:lvl w:ilvl="0" w:tentative="0">
      <w:start w:val="1"/>
      <w:numFmt w:val="decimal"/>
      <w:lvlText w:val="表3.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03F8019F"/>
    <w:multiLevelType w:val="multilevel"/>
    <w:tmpl w:val="03F8019F"/>
    <w:lvl w:ilvl="0" w:tentative="0">
      <w:start w:val="1"/>
      <w:numFmt w:val="decimal"/>
      <w:lvlText w:val="表2.6-%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06FB7D3A"/>
    <w:multiLevelType w:val="singleLevel"/>
    <w:tmpl w:val="06FB7D3A"/>
    <w:lvl w:ilvl="0" w:tentative="0">
      <w:start w:val="1"/>
      <w:numFmt w:val="bullet"/>
      <w:pStyle w:val="28"/>
      <w:lvlText w:val=""/>
      <w:lvlJc w:val="left"/>
      <w:pPr>
        <w:tabs>
          <w:tab w:val="left" w:pos="2040"/>
        </w:tabs>
        <w:ind w:left="2040" w:hanging="360"/>
      </w:pPr>
      <w:rPr>
        <w:rFonts w:hint="default" w:ascii="Wingdings" w:hAnsi="Wingdings"/>
      </w:rPr>
    </w:lvl>
  </w:abstractNum>
  <w:abstractNum w:abstractNumId="26">
    <w:nsid w:val="0B474BB4"/>
    <w:multiLevelType w:val="multilevel"/>
    <w:tmpl w:val="0B474BB4"/>
    <w:lvl w:ilvl="0" w:tentative="0">
      <w:start w:val="1"/>
      <w:numFmt w:val="decimal"/>
      <w:lvlText w:val="表8.5-%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0F170D5E"/>
    <w:multiLevelType w:val="singleLevel"/>
    <w:tmpl w:val="0F170D5E"/>
    <w:lvl w:ilvl="0" w:tentative="0">
      <w:start w:val="1"/>
      <w:numFmt w:val="decimal"/>
      <w:suff w:val="nothing"/>
      <w:lvlText w:val="（%1）"/>
      <w:lvlJc w:val="left"/>
    </w:lvl>
  </w:abstractNum>
  <w:abstractNum w:abstractNumId="28">
    <w:nsid w:val="2007B009"/>
    <w:multiLevelType w:val="multilevel"/>
    <w:tmpl w:val="2007B009"/>
    <w:lvl w:ilvl="0" w:tentative="0">
      <w:start w:val="1"/>
      <w:numFmt w:val="decimal"/>
      <w:lvlText w:val="表6.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253E73FB"/>
    <w:multiLevelType w:val="multilevel"/>
    <w:tmpl w:val="253E73FB"/>
    <w:lvl w:ilvl="0" w:tentative="0">
      <w:start w:val="1"/>
      <w:numFmt w:val="decimal"/>
      <w:lvlText w:val="%1"/>
      <w:lvlJc w:val="left"/>
      <w:pPr>
        <w:tabs>
          <w:tab w:val="left" w:pos="432"/>
        </w:tabs>
        <w:ind w:left="432" w:hanging="632"/>
      </w:pPr>
      <w:rPr>
        <w:rFonts w:hint="default" w:ascii="Times New Roman" w:hAnsi="Times New Roman" w:eastAsia="宋体"/>
        <w:b/>
        <w:i w:val="0"/>
        <w:spacing w:val="8"/>
        <w:w w:val="100"/>
        <w:sz w:val="32"/>
        <w:szCs w:val="32"/>
      </w:rPr>
    </w:lvl>
    <w:lvl w:ilvl="1" w:tentative="0">
      <w:start w:val="1"/>
      <w:numFmt w:val="decimal"/>
      <w:lvlText w:val="%1.%2"/>
      <w:lvlJc w:val="left"/>
      <w:pPr>
        <w:tabs>
          <w:tab w:val="left" w:pos="573"/>
        </w:tabs>
        <w:ind w:left="573" w:hanging="431"/>
      </w:pPr>
      <w:rPr>
        <w:rFonts w:hint="default" w:ascii="Times New Roman" w:hAnsi="Times New Roman" w:eastAsia="宋体"/>
        <w:b/>
        <w:i w:val="0"/>
        <w:sz w:val="24"/>
        <w:szCs w:val="24"/>
      </w:rPr>
    </w:lvl>
    <w:lvl w:ilvl="2" w:tentative="0">
      <w:start w:val="1"/>
      <w:numFmt w:val="decimal"/>
      <w:lvlText w:val="%1.%2.%3"/>
      <w:lvlJc w:val="left"/>
      <w:pPr>
        <w:tabs>
          <w:tab w:val="left" w:pos="833"/>
        </w:tabs>
        <w:ind w:left="833" w:hanging="833"/>
      </w:pPr>
      <w:rPr>
        <w:rFonts w:hint="default" w:ascii="Times New Roman" w:hAnsi="Times New Roman" w:eastAsia="宋体"/>
        <w:b/>
        <w:i w:val="0"/>
        <w:sz w:val="24"/>
        <w:szCs w:val="24"/>
      </w:rPr>
    </w:lvl>
    <w:lvl w:ilvl="3" w:tentative="0">
      <w:start w:val="1"/>
      <w:numFmt w:val="decimal"/>
      <w:pStyle w:val="656"/>
      <w:lvlText w:val="%1.%2.%3.%4"/>
      <w:lvlJc w:val="left"/>
      <w:pPr>
        <w:tabs>
          <w:tab w:val="left" w:pos="0"/>
        </w:tabs>
        <w:ind w:left="0" w:firstLine="0"/>
      </w:pPr>
      <w:rPr>
        <w:rFonts w:hint="default" w:ascii="Times New Roman" w:hAnsi="Times New Roman" w:eastAsia="宋体"/>
        <w:sz w:val="24"/>
        <w:szCs w:val="24"/>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0">
    <w:nsid w:val="299AD99A"/>
    <w:multiLevelType w:val="singleLevel"/>
    <w:tmpl w:val="299AD99A"/>
    <w:lvl w:ilvl="0" w:tentative="0">
      <w:start w:val="2"/>
      <w:numFmt w:val="decimal"/>
      <w:suff w:val="nothing"/>
      <w:lvlText w:val="（%1）"/>
      <w:lvlJc w:val="left"/>
    </w:lvl>
  </w:abstractNum>
  <w:abstractNum w:abstractNumId="31">
    <w:nsid w:val="34B668E3"/>
    <w:multiLevelType w:val="multilevel"/>
    <w:tmpl w:val="34B668E3"/>
    <w:lvl w:ilvl="0" w:tentative="0">
      <w:start w:val="1"/>
      <w:numFmt w:val="chineseCountingThousand"/>
      <w:lvlText w:val="%1、"/>
      <w:lvlJc w:val="left"/>
      <w:pPr>
        <w:tabs>
          <w:tab w:val="left" w:pos="425"/>
        </w:tabs>
        <w:ind w:left="0" w:firstLine="0"/>
      </w:pPr>
      <w:rPr>
        <w:rFonts w:hint="eastAsia"/>
      </w:rPr>
    </w:lvl>
    <w:lvl w:ilvl="1" w:tentative="0">
      <w:start w:val="1"/>
      <w:numFmt w:val="decimal"/>
      <w:pStyle w:val="333"/>
      <w:lvlText w:val="%2."/>
      <w:lvlJc w:val="left"/>
      <w:pPr>
        <w:tabs>
          <w:tab w:val="left" w:pos="1276"/>
        </w:tabs>
        <w:ind w:left="851" w:firstLine="0"/>
      </w:pPr>
      <w:rPr>
        <w:rFonts w:hint="eastAsia"/>
      </w:rPr>
    </w:lvl>
    <w:lvl w:ilvl="2" w:tentative="0">
      <w:start w:val="1"/>
      <w:numFmt w:val="decimal"/>
      <w:lvlText w:val="(%3)"/>
      <w:lvlJc w:val="left"/>
      <w:pPr>
        <w:tabs>
          <w:tab w:val="left" w:pos="2126"/>
        </w:tabs>
        <w:ind w:left="1701" w:firstLine="0"/>
      </w:pPr>
      <w:rPr>
        <w:rFonts w:hint="eastAsia"/>
      </w:rPr>
    </w:lvl>
    <w:lvl w:ilvl="3" w:tentative="0">
      <w:start w:val="1"/>
      <w:numFmt w:val="decimal"/>
      <w:lvlText w:val="%4)"/>
      <w:lvlJc w:val="left"/>
      <w:pPr>
        <w:tabs>
          <w:tab w:val="left" w:pos="2976"/>
        </w:tabs>
        <w:ind w:left="2551" w:firstLine="0"/>
      </w:pPr>
      <w:rPr>
        <w:rFonts w:hint="eastAsia"/>
      </w:rPr>
    </w:lvl>
    <w:lvl w:ilvl="4" w:tentative="0">
      <w:start w:val="1"/>
      <w:numFmt w:val="upperLetter"/>
      <w:lvlText w:val="%5."/>
      <w:lvlJc w:val="left"/>
      <w:pPr>
        <w:tabs>
          <w:tab w:val="left" w:pos="3827"/>
        </w:tabs>
        <w:ind w:left="3402" w:firstLine="0"/>
      </w:pPr>
      <w:rPr>
        <w:rFonts w:hint="eastAsia"/>
      </w:rPr>
    </w:lvl>
    <w:lvl w:ilvl="5" w:tentative="0">
      <w:start w:val="1"/>
      <w:numFmt w:val="lowerLetter"/>
      <w:lvlText w:val="(%6)"/>
      <w:lvlJc w:val="left"/>
      <w:pPr>
        <w:tabs>
          <w:tab w:val="left" w:pos="4677"/>
        </w:tabs>
        <w:ind w:left="4252" w:firstLine="0"/>
      </w:pPr>
      <w:rPr>
        <w:rFonts w:hint="eastAsia"/>
      </w:rPr>
    </w:lvl>
    <w:lvl w:ilvl="6" w:tentative="0">
      <w:start w:val="1"/>
      <w:numFmt w:val="lowerRoman"/>
      <w:lvlText w:val="(%7)"/>
      <w:lvlJc w:val="left"/>
      <w:pPr>
        <w:tabs>
          <w:tab w:val="left" w:pos="5528"/>
        </w:tabs>
        <w:ind w:left="5102" w:firstLine="0"/>
      </w:pPr>
      <w:rPr>
        <w:rFonts w:hint="eastAsia"/>
      </w:rPr>
    </w:lvl>
    <w:lvl w:ilvl="7" w:tentative="0">
      <w:start w:val="1"/>
      <w:numFmt w:val="lowerLetter"/>
      <w:lvlText w:val="(%8)"/>
      <w:lvlJc w:val="left"/>
      <w:pPr>
        <w:tabs>
          <w:tab w:val="left" w:pos="6378"/>
        </w:tabs>
        <w:ind w:left="5953" w:firstLine="0"/>
      </w:pPr>
      <w:rPr>
        <w:rFonts w:hint="eastAsia"/>
      </w:rPr>
    </w:lvl>
    <w:lvl w:ilvl="8" w:tentative="0">
      <w:start w:val="1"/>
      <w:numFmt w:val="lowerRoman"/>
      <w:lvlText w:val="(%9)"/>
      <w:lvlJc w:val="left"/>
      <w:pPr>
        <w:tabs>
          <w:tab w:val="left" w:pos="7228"/>
        </w:tabs>
        <w:ind w:left="6803" w:firstLine="0"/>
      </w:pPr>
      <w:rPr>
        <w:rFonts w:hint="eastAsia"/>
      </w:rPr>
    </w:lvl>
  </w:abstractNum>
  <w:abstractNum w:abstractNumId="32">
    <w:nsid w:val="3A6CECE3"/>
    <w:multiLevelType w:val="multilevel"/>
    <w:tmpl w:val="3A6CECE3"/>
    <w:lvl w:ilvl="0" w:tentative="0">
      <w:start w:val="1"/>
      <w:numFmt w:val="decimal"/>
      <w:lvlText w:val="表7.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0915370"/>
    <w:multiLevelType w:val="multilevel"/>
    <w:tmpl w:val="40915370"/>
    <w:lvl w:ilvl="0" w:tentative="0">
      <w:start w:val="1"/>
      <w:numFmt w:val="decimal"/>
      <w:lvlText w:val="表2.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55860BAE"/>
    <w:multiLevelType w:val="multilevel"/>
    <w:tmpl w:val="55860BAE"/>
    <w:lvl w:ilvl="0" w:tentative="0">
      <w:start w:val="1"/>
      <w:numFmt w:val="decimal"/>
      <w:lvlText w:val="表2.4-%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56CE0C12"/>
    <w:multiLevelType w:val="multilevel"/>
    <w:tmpl w:val="56CE0C12"/>
    <w:lvl w:ilvl="0" w:tentative="0">
      <w:start w:val="1"/>
      <w:numFmt w:val="decimal"/>
      <w:lvlText w:val="表8.6-%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587544C4"/>
    <w:multiLevelType w:val="multilevel"/>
    <w:tmpl w:val="587544C4"/>
    <w:lvl w:ilvl="0" w:tentative="0">
      <w:start w:val="1"/>
      <w:numFmt w:val="decimal"/>
      <w:lvlText w:val="表1.3-%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FECE28A"/>
    <w:multiLevelType w:val="singleLevel"/>
    <w:tmpl w:val="5FECE28A"/>
    <w:lvl w:ilvl="0" w:tentative="0">
      <w:start w:val="1"/>
      <w:numFmt w:val="decimal"/>
      <w:suff w:val="nothing"/>
      <w:lvlText w:val="%1）"/>
      <w:lvlJc w:val="left"/>
    </w:lvl>
  </w:abstractNum>
  <w:abstractNum w:abstractNumId="38">
    <w:nsid w:val="60C843DA"/>
    <w:multiLevelType w:val="multilevel"/>
    <w:tmpl w:val="60C843DA"/>
    <w:lvl w:ilvl="0" w:tentative="0">
      <w:start w:val="1"/>
      <w:numFmt w:val="decimal"/>
      <w:lvlText w:val="表5.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6E29F177"/>
    <w:multiLevelType w:val="multilevel"/>
    <w:tmpl w:val="6E29F177"/>
    <w:lvl w:ilvl="0" w:tentative="0">
      <w:start w:val="1"/>
      <w:numFmt w:val="decimal"/>
      <w:lvlText w:val="表4.1-%1"/>
      <w:lvlJc w:val="center"/>
      <w:pPr>
        <w:tabs>
          <w:tab w:val="left" w:pos="0"/>
        </w:tabs>
        <w:ind w:left="420" w:hanging="42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7514F3D9"/>
    <w:multiLevelType w:val="singleLevel"/>
    <w:tmpl w:val="7514F3D9"/>
    <w:lvl w:ilvl="0" w:tentative="0">
      <w:start w:val="1"/>
      <w:numFmt w:val="decimal"/>
      <w:suff w:val="nothing"/>
      <w:lvlText w:val="%1、"/>
      <w:lvlJc w:val="left"/>
    </w:lvl>
  </w:abstractNum>
  <w:abstractNum w:abstractNumId="41">
    <w:nsid w:val="7FA08DDA"/>
    <w:multiLevelType w:val="multilevel"/>
    <w:tmpl w:val="7FA08DDA"/>
    <w:lvl w:ilvl="0" w:tentative="0">
      <w:start w:val="1"/>
      <w:numFmt w:val="decimal"/>
      <w:lvlText w:val="表1.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9"/>
  </w:num>
  <w:num w:numId="2">
    <w:abstractNumId w:val="22"/>
  </w:num>
  <w:num w:numId="3">
    <w:abstractNumId w:val="25"/>
  </w:num>
  <w:num w:numId="4">
    <w:abstractNumId w:val="31"/>
  </w:num>
  <w:num w:numId="5">
    <w:abstractNumId w:val="29"/>
  </w:num>
  <w:num w:numId="6">
    <w:abstractNumId w:val="1"/>
  </w:num>
  <w:num w:numId="7">
    <w:abstractNumId w:val="41"/>
  </w:num>
  <w:num w:numId="8">
    <w:abstractNumId w:val="12"/>
  </w:num>
  <w:num w:numId="9">
    <w:abstractNumId w:val="36"/>
  </w:num>
  <w:num w:numId="10">
    <w:abstractNumId w:val="4"/>
  </w:num>
  <w:num w:numId="11">
    <w:abstractNumId w:val="21"/>
  </w:num>
  <w:num w:numId="12">
    <w:abstractNumId w:val="2"/>
  </w:num>
  <w:num w:numId="13">
    <w:abstractNumId w:val="20"/>
  </w:num>
  <w:num w:numId="14">
    <w:abstractNumId w:val="19"/>
  </w:num>
  <w:num w:numId="15">
    <w:abstractNumId w:val="8"/>
  </w:num>
  <w:num w:numId="16">
    <w:abstractNumId w:val="33"/>
  </w:num>
  <w:num w:numId="17">
    <w:abstractNumId w:val="37"/>
  </w:num>
  <w:num w:numId="18">
    <w:abstractNumId w:val="15"/>
  </w:num>
  <w:num w:numId="19">
    <w:abstractNumId w:val="16"/>
  </w:num>
  <w:num w:numId="20">
    <w:abstractNumId w:val="6"/>
  </w:num>
  <w:num w:numId="21">
    <w:abstractNumId w:val="17"/>
  </w:num>
  <w:num w:numId="22">
    <w:abstractNumId w:val="34"/>
  </w:num>
  <w:num w:numId="23">
    <w:abstractNumId w:val="18"/>
  </w:num>
  <w:num w:numId="24">
    <w:abstractNumId w:val="30"/>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9"/>
  </w:num>
  <w:num w:numId="30">
    <w:abstractNumId w:val="27"/>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0"/>
  </w:num>
  <w:num w:numId="33">
    <w:abstractNumId w:val="38"/>
  </w:num>
  <w:num w:numId="34">
    <w:abstractNumId w:val="5"/>
  </w:num>
  <w:num w:numId="35">
    <w:abstractNumId w:val="14"/>
  </w:num>
  <w:num w:numId="36">
    <w:abstractNumId w:val="10"/>
  </w:num>
  <w:num w:numId="37">
    <w:abstractNumId w:val="28"/>
  </w:num>
  <w:num w:numId="38">
    <w:abstractNumId w:val="32"/>
  </w:num>
  <w:num w:numId="39">
    <w:abstractNumId w:val="3"/>
  </w:num>
  <w:num w:numId="40">
    <w:abstractNumId w:val="13"/>
  </w:num>
  <w:num w:numId="41">
    <w:abstractNumId w:val="26"/>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TrueTypeFonts/>
  <w:saveSubsetFonts/>
  <w:bordersDoNotSurroundHeader w:val="0"/>
  <w:bordersDoNotSurroundFooter w:val="0"/>
  <w:documentProtection w:enforcement="0"/>
  <w:defaultTabStop w:val="420"/>
  <w:hyphenationZone w:val="360"/>
  <w:drawingGridHorizontalSpacing w:val="120"/>
  <w:drawingGridVerticalSpacing w:val="163"/>
  <w:displayHorizontalDrawingGridEvery w:val="1"/>
  <w:displayVerticalDrawingGridEvery w:val="1"/>
  <w:doNotShadeFormData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ViN2FhOGFiYjY4OThmMjI3YmJhZjc2N2E0OWI3NGIifQ=="/>
  </w:docVars>
  <w:rsids>
    <w:rsidRoot w:val="00173ED7"/>
    <w:rsid w:val="00000081"/>
    <w:rsid w:val="000004A1"/>
    <w:rsid w:val="000006E2"/>
    <w:rsid w:val="0000236F"/>
    <w:rsid w:val="000023A2"/>
    <w:rsid w:val="000027D8"/>
    <w:rsid w:val="00002F4A"/>
    <w:rsid w:val="000032BF"/>
    <w:rsid w:val="00003973"/>
    <w:rsid w:val="00003CA2"/>
    <w:rsid w:val="00003DC8"/>
    <w:rsid w:val="000044F1"/>
    <w:rsid w:val="000061FA"/>
    <w:rsid w:val="00006295"/>
    <w:rsid w:val="00006D4D"/>
    <w:rsid w:val="000073C4"/>
    <w:rsid w:val="00007AFF"/>
    <w:rsid w:val="00007F79"/>
    <w:rsid w:val="00010661"/>
    <w:rsid w:val="000108C2"/>
    <w:rsid w:val="00010AF4"/>
    <w:rsid w:val="00010F08"/>
    <w:rsid w:val="0001175C"/>
    <w:rsid w:val="0001255A"/>
    <w:rsid w:val="00012EB6"/>
    <w:rsid w:val="0001359F"/>
    <w:rsid w:val="00013A67"/>
    <w:rsid w:val="00013EED"/>
    <w:rsid w:val="0001461E"/>
    <w:rsid w:val="00015910"/>
    <w:rsid w:val="00015954"/>
    <w:rsid w:val="000159E5"/>
    <w:rsid w:val="0001632A"/>
    <w:rsid w:val="000178A9"/>
    <w:rsid w:val="00017CD8"/>
    <w:rsid w:val="0002033F"/>
    <w:rsid w:val="00020834"/>
    <w:rsid w:val="00020CE1"/>
    <w:rsid w:val="00021146"/>
    <w:rsid w:val="00021C91"/>
    <w:rsid w:val="00021E80"/>
    <w:rsid w:val="00022079"/>
    <w:rsid w:val="000221C5"/>
    <w:rsid w:val="0002228F"/>
    <w:rsid w:val="000224FA"/>
    <w:rsid w:val="00022D8A"/>
    <w:rsid w:val="000231BE"/>
    <w:rsid w:val="0002345A"/>
    <w:rsid w:val="000235C4"/>
    <w:rsid w:val="0002446F"/>
    <w:rsid w:val="00024B80"/>
    <w:rsid w:val="00024E06"/>
    <w:rsid w:val="00025292"/>
    <w:rsid w:val="00025674"/>
    <w:rsid w:val="00025A5A"/>
    <w:rsid w:val="00025BB0"/>
    <w:rsid w:val="00025D7D"/>
    <w:rsid w:val="00026154"/>
    <w:rsid w:val="000264CE"/>
    <w:rsid w:val="000264EC"/>
    <w:rsid w:val="00026935"/>
    <w:rsid w:val="00027007"/>
    <w:rsid w:val="00027946"/>
    <w:rsid w:val="00030BAF"/>
    <w:rsid w:val="00030C42"/>
    <w:rsid w:val="00031076"/>
    <w:rsid w:val="00031400"/>
    <w:rsid w:val="00031E92"/>
    <w:rsid w:val="00031F2E"/>
    <w:rsid w:val="000325F2"/>
    <w:rsid w:val="00032852"/>
    <w:rsid w:val="00032A3D"/>
    <w:rsid w:val="00033586"/>
    <w:rsid w:val="000336F9"/>
    <w:rsid w:val="0003402F"/>
    <w:rsid w:val="000342D7"/>
    <w:rsid w:val="0003445D"/>
    <w:rsid w:val="000345B6"/>
    <w:rsid w:val="00034A94"/>
    <w:rsid w:val="000361FC"/>
    <w:rsid w:val="00036AEC"/>
    <w:rsid w:val="00036AED"/>
    <w:rsid w:val="00037901"/>
    <w:rsid w:val="00040083"/>
    <w:rsid w:val="000401C5"/>
    <w:rsid w:val="000405AF"/>
    <w:rsid w:val="00040F02"/>
    <w:rsid w:val="00041897"/>
    <w:rsid w:val="00041AF3"/>
    <w:rsid w:val="00042B52"/>
    <w:rsid w:val="00042E24"/>
    <w:rsid w:val="00042EAB"/>
    <w:rsid w:val="0004316D"/>
    <w:rsid w:val="00043243"/>
    <w:rsid w:val="0004375D"/>
    <w:rsid w:val="00043E93"/>
    <w:rsid w:val="0004484D"/>
    <w:rsid w:val="00044AF9"/>
    <w:rsid w:val="00044C94"/>
    <w:rsid w:val="000450D7"/>
    <w:rsid w:val="00045379"/>
    <w:rsid w:val="00045F01"/>
    <w:rsid w:val="0004742B"/>
    <w:rsid w:val="000478A2"/>
    <w:rsid w:val="00047CA4"/>
    <w:rsid w:val="000503C5"/>
    <w:rsid w:val="000505AD"/>
    <w:rsid w:val="00050DF5"/>
    <w:rsid w:val="000512A9"/>
    <w:rsid w:val="00051AAB"/>
    <w:rsid w:val="000521BC"/>
    <w:rsid w:val="0005231D"/>
    <w:rsid w:val="000524FB"/>
    <w:rsid w:val="00052849"/>
    <w:rsid w:val="000531A5"/>
    <w:rsid w:val="00053506"/>
    <w:rsid w:val="000537B6"/>
    <w:rsid w:val="0005520C"/>
    <w:rsid w:val="00055959"/>
    <w:rsid w:val="00055B7C"/>
    <w:rsid w:val="00055C59"/>
    <w:rsid w:val="000578A7"/>
    <w:rsid w:val="000616EC"/>
    <w:rsid w:val="000617ED"/>
    <w:rsid w:val="00061AC6"/>
    <w:rsid w:val="00062345"/>
    <w:rsid w:val="000624B0"/>
    <w:rsid w:val="0006275F"/>
    <w:rsid w:val="00063E04"/>
    <w:rsid w:val="00065CE6"/>
    <w:rsid w:val="00066C97"/>
    <w:rsid w:val="000677BA"/>
    <w:rsid w:val="00067D5A"/>
    <w:rsid w:val="00067EA4"/>
    <w:rsid w:val="000700F6"/>
    <w:rsid w:val="00070645"/>
    <w:rsid w:val="000716C9"/>
    <w:rsid w:val="0007189D"/>
    <w:rsid w:val="00072C80"/>
    <w:rsid w:val="00073385"/>
    <w:rsid w:val="00073793"/>
    <w:rsid w:val="00074170"/>
    <w:rsid w:val="000743EE"/>
    <w:rsid w:val="000748FB"/>
    <w:rsid w:val="00076295"/>
    <w:rsid w:val="000764D4"/>
    <w:rsid w:val="000765C8"/>
    <w:rsid w:val="00076782"/>
    <w:rsid w:val="000768F6"/>
    <w:rsid w:val="00077157"/>
    <w:rsid w:val="000777B0"/>
    <w:rsid w:val="00077DB5"/>
    <w:rsid w:val="00077FC9"/>
    <w:rsid w:val="0008013A"/>
    <w:rsid w:val="00080E56"/>
    <w:rsid w:val="000812DC"/>
    <w:rsid w:val="00081579"/>
    <w:rsid w:val="00081A7D"/>
    <w:rsid w:val="00081BA7"/>
    <w:rsid w:val="00081D66"/>
    <w:rsid w:val="000824CF"/>
    <w:rsid w:val="0008425B"/>
    <w:rsid w:val="0008431D"/>
    <w:rsid w:val="00084BF8"/>
    <w:rsid w:val="00084C82"/>
    <w:rsid w:val="00085517"/>
    <w:rsid w:val="00085B09"/>
    <w:rsid w:val="00085C2B"/>
    <w:rsid w:val="00086325"/>
    <w:rsid w:val="0008665E"/>
    <w:rsid w:val="00087B00"/>
    <w:rsid w:val="00087F56"/>
    <w:rsid w:val="0009167C"/>
    <w:rsid w:val="00092247"/>
    <w:rsid w:val="00092A6C"/>
    <w:rsid w:val="000939E8"/>
    <w:rsid w:val="00093D95"/>
    <w:rsid w:val="00094891"/>
    <w:rsid w:val="000968F0"/>
    <w:rsid w:val="00097275"/>
    <w:rsid w:val="00097EB2"/>
    <w:rsid w:val="000A09AA"/>
    <w:rsid w:val="000A1801"/>
    <w:rsid w:val="000A1BAE"/>
    <w:rsid w:val="000A1C3A"/>
    <w:rsid w:val="000A268B"/>
    <w:rsid w:val="000A328B"/>
    <w:rsid w:val="000A395F"/>
    <w:rsid w:val="000A62C5"/>
    <w:rsid w:val="000A659C"/>
    <w:rsid w:val="000A6869"/>
    <w:rsid w:val="000A6E23"/>
    <w:rsid w:val="000A7246"/>
    <w:rsid w:val="000A7B6E"/>
    <w:rsid w:val="000A7EF3"/>
    <w:rsid w:val="000B098E"/>
    <w:rsid w:val="000B12FB"/>
    <w:rsid w:val="000B14E1"/>
    <w:rsid w:val="000B14E2"/>
    <w:rsid w:val="000B1ED7"/>
    <w:rsid w:val="000B25F4"/>
    <w:rsid w:val="000B266C"/>
    <w:rsid w:val="000B3010"/>
    <w:rsid w:val="000B34E9"/>
    <w:rsid w:val="000B485A"/>
    <w:rsid w:val="000B52C5"/>
    <w:rsid w:val="000B7766"/>
    <w:rsid w:val="000B7901"/>
    <w:rsid w:val="000B7DC3"/>
    <w:rsid w:val="000C02C5"/>
    <w:rsid w:val="000C1837"/>
    <w:rsid w:val="000C18B7"/>
    <w:rsid w:val="000C1CB2"/>
    <w:rsid w:val="000C1F64"/>
    <w:rsid w:val="000C298B"/>
    <w:rsid w:val="000C2EC2"/>
    <w:rsid w:val="000C3970"/>
    <w:rsid w:val="000C4362"/>
    <w:rsid w:val="000C4767"/>
    <w:rsid w:val="000C49CD"/>
    <w:rsid w:val="000C4EBF"/>
    <w:rsid w:val="000C4F26"/>
    <w:rsid w:val="000C68AF"/>
    <w:rsid w:val="000C6D99"/>
    <w:rsid w:val="000C6E83"/>
    <w:rsid w:val="000C74AB"/>
    <w:rsid w:val="000C787E"/>
    <w:rsid w:val="000D00BE"/>
    <w:rsid w:val="000D0163"/>
    <w:rsid w:val="000D0929"/>
    <w:rsid w:val="000D2664"/>
    <w:rsid w:val="000D26D0"/>
    <w:rsid w:val="000D2DD0"/>
    <w:rsid w:val="000D2F44"/>
    <w:rsid w:val="000D32F6"/>
    <w:rsid w:val="000D3A49"/>
    <w:rsid w:val="000D42F6"/>
    <w:rsid w:val="000D44CF"/>
    <w:rsid w:val="000D4BF1"/>
    <w:rsid w:val="000D50F3"/>
    <w:rsid w:val="000D5A35"/>
    <w:rsid w:val="000D6D60"/>
    <w:rsid w:val="000D7A97"/>
    <w:rsid w:val="000D7C29"/>
    <w:rsid w:val="000E0789"/>
    <w:rsid w:val="000E1CE7"/>
    <w:rsid w:val="000E2148"/>
    <w:rsid w:val="000E263A"/>
    <w:rsid w:val="000E3E2F"/>
    <w:rsid w:val="000E43E1"/>
    <w:rsid w:val="000E45E4"/>
    <w:rsid w:val="000E46D6"/>
    <w:rsid w:val="000E506E"/>
    <w:rsid w:val="000E54A5"/>
    <w:rsid w:val="000E5627"/>
    <w:rsid w:val="000E5A3B"/>
    <w:rsid w:val="000E6D77"/>
    <w:rsid w:val="000E70EC"/>
    <w:rsid w:val="000E7315"/>
    <w:rsid w:val="000E744D"/>
    <w:rsid w:val="000E7F14"/>
    <w:rsid w:val="000F0038"/>
    <w:rsid w:val="000F0A14"/>
    <w:rsid w:val="000F0C7E"/>
    <w:rsid w:val="000F189A"/>
    <w:rsid w:val="000F1F91"/>
    <w:rsid w:val="000F3114"/>
    <w:rsid w:val="000F32E0"/>
    <w:rsid w:val="000F3480"/>
    <w:rsid w:val="000F3C26"/>
    <w:rsid w:val="000F446C"/>
    <w:rsid w:val="000F44EE"/>
    <w:rsid w:val="000F490A"/>
    <w:rsid w:val="000F4C02"/>
    <w:rsid w:val="000F5643"/>
    <w:rsid w:val="000F5BB8"/>
    <w:rsid w:val="000F78BB"/>
    <w:rsid w:val="000F792E"/>
    <w:rsid w:val="00100151"/>
    <w:rsid w:val="001004FF"/>
    <w:rsid w:val="00100944"/>
    <w:rsid w:val="00101395"/>
    <w:rsid w:val="00101B35"/>
    <w:rsid w:val="00101F70"/>
    <w:rsid w:val="00102253"/>
    <w:rsid w:val="0010257B"/>
    <w:rsid w:val="001027F2"/>
    <w:rsid w:val="001038D2"/>
    <w:rsid w:val="0010426E"/>
    <w:rsid w:val="00104941"/>
    <w:rsid w:val="00104CBF"/>
    <w:rsid w:val="00105C93"/>
    <w:rsid w:val="00106B27"/>
    <w:rsid w:val="00106BAA"/>
    <w:rsid w:val="00106BD5"/>
    <w:rsid w:val="00106D40"/>
    <w:rsid w:val="001076EF"/>
    <w:rsid w:val="001106E9"/>
    <w:rsid w:val="00111013"/>
    <w:rsid w:val="00111412"/>
    <w:rsid w:val="001117E6"/>
    <w:rsid w:val="001119BA"/>
    <w:rsid w:val="00112F9B"/>
    <w:rsid w:val="00112FDB"/>
    <w:rsid w:val="00113476"/>
    <w:rsid w:val="001137B1"/>
    <w:rsid w:val="00113D28"/>
    <w:rsid w:val="001144F4"/>
    <w:rsid w:val="00115080"/>
    <w:rsid w:val="001156AC"/>
    <w:rsid w:val="00115861"/>
    <w:rsid w:val="00115C46"/>
    <w:rsid w:val="00115CB5"/>
    <w:rsid w:val="00115E7C"/>
    <w:rsid w:val="001160E5"/>
    <w:rsid w:val="00116955"/>
    <w:rsid w:val="00117914"/>
    <w:rsid w:val="0012188B"/>
    <w:rsid w:val="00121F33"/>
    <w:rsid w:val="001220B4"/>
    <w:rsid w:val="00122129"/>
    <w:rsid w:val="001227D0"/>
    <w:rsid w:val="00123098"/>
    <w:rsid w:val="00123327"/>
    <w:rsid w:val="0012393B"/>
    <w:rsid w:val="00123AA6"/>
    <w:rsid w:val="00123D57"/>
    <w:rsid w:val="00124496"/>
    <w:rsid w:val="00124C53"/>
    <w:rsid w:val="00125DB2"/>
    <w:rsid w:val="00125DCD"/>
    <w:rsid w:val="00126476"/>
    <w:rsid w:val="00126C66"/>
    <w:rsid w:val="00126D20"/>
    <w:rsid w:val="00126F49"/>
    <w:rsid w:val="0012775D"/>
    <w:rsid w:val="00127775"/>
    <w:rsid w:val="001301D5"/>
    <w:rsid w:val="0013057B"/>
    <w:rsid w:val="00130B47"/>
    <w:rsid w:val="0013134C"/>
    <w:rsid w:val="001313DB"/>
    <w:rsid w:val="00131739"/>
    <w:rsid w:val="001317EF"/>
    <w:rsid w:val="00131BEC"/>
    <w:rsid w:val="00132416"/>
    <w:rsid w:val="00132EE2"/>
    <w:rsid w:val="00132F11"/>
    <w:rsid w:val="001337AE"/>
    <w:rsid w:val="0013516B"/>
    <w:rsid w:val="001352A8"/>
    <w:rsid w:val="0013620A"/>
    <w:rsid w:val="0013731E"/>
    <w:rsid w:val="00137D93"/>
    <w:rsid w:val="00140094"/>
    <w:rsid w:val="00140148"/>
    <w:rsid w:val="0014041C"/>
    <w:rsid w:val="00140884"/>
    <w:rsid w:val="0014241B"/>
    <w:rsid w:val="001426BA"/>
    <w:rsid w:val="00142C1D"/>
    <w:rsid w:val="001431A0"/>
    <w:rsid w:val="001432C1"/>
    <w:rsid w:val="001438B8"/>
    <w:rsid w:val="00143912"/>
    <w:rsid w:val="00143ABF"/>
    <w:rsid w:val="00143B86"/>
    <w:rsid w:val="00143BD7"/>
    <w:rsid w:val="0014403E"/>
    <w:rsid w:val="0014452D"/>
    <w:rsid w:val="001445B5"/>
    <w:rsid w:val="00144966"/>
    <w:rsid w:val="00144EBF"/>
    <w:rsid w:val="0014514E"/>
    <w:rsid w:val="00145558"/>
    <w:rsid w:val="00147273"/>
    <w:rsid w:val="00150164"/>
    <w:rsid w:val="00150EF6"/>
    <w:rsid w:val="00152153"/>
    <w:rsid w:val="00152AC2"/>
    <w:rsid w:val="00153DF1"/>
    <w:rsid w:val="00154148"/>
    <w:rsid w:val="0015431D"/>
    <w:rsid w:val="00154812"/>
    <w:rsid w:val="0015539C"/>
    <w:rsid w:val="00156BA3"/>
    <w:rsid w:val="00156EA4"/>
    <w:rsid w:val="001575D2"/>
    <w:rsid w:val="001577F0"/>
    <w:rsid w:val="00157819"/>
    <w:rsid w:val="00157CDA"/>
    <w:rsid w:val="001606DC"/>
    <w:rsid w:val="00160962"/>
    <w:rsid w:val="00160D6F"/>
    <w:rsid w:val="00161171"/>
    <w:rsid w:val="0016122D"/>
    <w:rsid w:val="00161527"/>
    <w:rsid w:val="00163BD5"/>
    <w:rsid w:val="0016481C"/>
    <w:rsid w:val="00164E27"/>
    <w:rsid w:val="00165550"/>
    <w:rsid w:val="0016576E"/>
    <w:rsid w:val="00166828"/>
    <w:rsid w:val="001671B5"/>
    <w:rsid w:val="00167732"/>
    <w:rsid w:val="00167A5C"/>
    <w:rsid w:val="001704A0"/>
    <w:rsid w:val="00170C45"/>
    <w:rsid w:val="00170F02"/>
    <w:rsid w:val="00171906"/>
    <w:rsid w:val="00172ADC"/>
    <w:rsid w:val="00172FA0"/>
    <w:rsid w:val="001736DE"/>
    <w:rsid w:val="00173ED7"/>
    <w:rsid w:val="00174053"/>
    <w:rsid w:val="00174490"/>
    <w:rsid w:val="001748C9"/>
    <w:rsid w:val="001754E2"/>
    <w:rsid w:val="001767AC"/>
    <w:rsid w:val="001803EA"/>
    <w:rsid w:val="00180DE5"/>
    <w:rsid w:val="00181454"/>
    <w:rsid w:val="00181E01"/>
    <w:rsid w:val="0018230B"/>
    <w:rsid w:val="00182AEC"/>
    <w:rsid w:val="00182F6F"/>
    <w:rsid w:val="00183E7B"/>
    <w:rsid w:val="00183EEB"/>
    <w:rsid w:val="00184BB8"/>
    <w:rsid w:val="00184FDC"/>
    <w:rsid w:val="0018513F"/>
    <w:rsid w:val="001857D2"/>
    <w:rsid w:val="001859E0"/>
    <w:rsid w:val="00185AD7"/>
    <w:rsid w:val="0018638D"/>
    <w:rsid w:val="00186725"/>
    <w:rsid w:val="001871B6"/>
    <w:rsid w:val="00187C7D"/>
    <w:rsid w:val="0019059E"/>
    <w:rsid w:val="00191A54"/>
    <w:rsid w:val="00191D90"/>
    <w:rsid w:val="00192135"/>
    <w:rsid w:val="0019227D"/>
    <w:rsid w:val="00192372"/>
    <w:rsid w:val="001923B4"/>
    <w:rsid w:val="001930CB"/>
    <w:rsid w:val="001933BB"/>
    <w:rsid w:val="001934FB"/>
    <w:rsid w:val="001937F7"/>
    <w:rsid w:val="001942AE"/>
    <w:rsid w:val="00195719"/>
    <w:rsid w:val="00195CF9"/>
    <w:rsid w:val="00196B65"/>
    <w:rsid w:val="00196B6E"/>
    <w:rsid w:val="00196D37"/>
    <w:rsid w:val="001970EC"/>
    <w:rsid w:val="0019780D"/>
    <w:rsid w:val="00197D07"/>
    <w:rsid w:val="001A0105"/>
    <w:rsid w:val="001A0DB9"/>
    <w:rsid w:val="001A129A"/>
    <w:rsid w:val="001A2A15"/>
    <w:rsid w:val="001A2B94"/>
    <w:rsid w:val="001A42C8"/>
    <w:rsid w:val="001A45BA"/>
    <w:rsid w:val="001A4C56"/>
    <w:rsid w:val="001A521A"/>
    <w:rsid w:val="001A5288"/>
    <w:rsid w:val="001A590E"/>
    <w:rsid w:val="001A5BCA"/>
    <w:rsid w:val="001A5D63"/>
    <w:rsid w:val="001A5F50"/>
    <w:rsid w:val="001A7070"/>
    <w:rsid w:val="001A7119"/>
    <w:rsid w:val="001A7798"/>
    <w:rsid w:val="001A7B4F"/>
    <w:rsid w:val="001B0E88"/>
    <w:rsid w:val="001B1E37"/>
    <w:rsid w:val="001B22C4"/>
    <w:rsid w:val="001B2E5D"/>
    <w:rsid w:val="001B2FBB"/>
    <w:rsid w:val="001B3C1E"/>
    <w:rsid w:val="001B3E53"/>
    <w:rsid w:val="001B411D"/>
    <w:rsid w:val="001B4BBC"/>
    <w:rsid w:val="001B573B"/>
    <w:rsid w:val="001B5798"/>
    <w:rsid w:val="001B6C7F"/>
    <w:rsid w:val="001B71C7"/>
    <w:rsid w:val="001B7583"/>
    <w:rsid w:val="001B7E43"/>
    <w:rsid w:val="001C0185"/>
    <w:rsid w:val="001C07ED"/>
    <w:rsid w:val="001C0A23"/>
    <w:rsid w:val="001C1258"/>
    <w:rsid w:val="001C1E48"/>
    <w:rsid w:val="001C28C8"/>
    <w:rsid w:val="001C2C26"/>
    <w:rsid w:val="001C38E6"/>
    <w:rsid w:val="001C3D4B"/>
    <w:rsid w:val="001C4286"/>
    <w:rsid w:val="001C495E"/>
    <w:rsid w:val="001C5275"/>
    <w:rsid w:val="001C5E3D"/>
    <w:rsid w:val="001D041B"/>
    <w:rsid w:val="001D097C"/>
    <w:rsid w:val="001D174E"/>
    <w:rsid w:val="001D24D2"/>
    <w:rsid w:val="001D25B0"/>
    <w:rsid w:val="001D2ADF"/>
    <w:rsid w:val="001D2C52"/>
    <w:rsid w:val="001D3083"/>
    <w:rsid w:val="001D395F"/>
    <w:rsid w:val="001D3FB2"/>
    <w:rsid w:val="001D4997"/>
    <w:rsid w:val="001D5986"/>
    <w:rsid w:val="001D5AEC"/>
    <w:rsid w:val="001D685B"/>
    <w:rsid w:val="001E0BF4"/>
    <w:rsid w:val="001E13FC"/>
    <w:rsid w:val="001E22EE"/>
    <w:rsid w:val="001E306B"/>
    <w:rsid w:val="001E3E19"/>
    <w:rsid w:val="001E44F5"/>
    <w:rsid w:val="001E4BEB"/>
    <w:rsid w:val="001E4DA8"/>
    <w:rsid w:val="001E53C4"/>
    <w:rsid w:val="001E54E3"/>
    <w:rsid w:val="001E60F7"/>
    <w:rsid w:val="001E63A5"/>
    <w:rsid w:val="001E69C8"/>
    <w:rsid w:val="001E6CD7"/>
    <w:rsid w:val="001E742A"/>
    <w:rsid w:val="001E7DF7"/>
    <w:rsid w:val="001F1633"/>
    <w:rsid w:val="001F27FC"/>
    <w:rsid w:val="001F3024"/>
    <w:rsid w:val="001F3ADA"/>
    <w:rsid w:val="001F6140"/>
    <w:rsid w:val="001F62A6"/>
    <w:rsid w:val="001F78A0"/>
    <w:rsid w:val="00200937"/>
    <w:rsid w:val="00200E4F"/>
    <w:rsid w:val="002017B7"/>
    <w:rsid w:val="0020188C"/>
    <w:rsid w:val="0020289C"/>
    <w:rsid w:val="00202AC2"/>
    <w:rsid w:val="00202E33"/>
    <w:rsid w:val="00203EE3"/>
    <w:rsid w:val="002041DD"/>
    <w:rsid w:val="0020490D"/>
    <w:rsid w:val="00204921"/>
    <w:rsid w:val="00205081"/>
    <w:rsid w:val="002054CE"/>
    <w:rsid w:val="00205C95"/>
    <w:rsid w:val="002064FC"/>
    <w:rsid w:val="00206607"/>
    <w:rsid w:val="00206893"/>
    <w:rsid w:val="00206A49"/>
    <w:rsid w:val="00207578"/>
    <w:rsid w:val="00210330"/>
    <w:rsid w:val="002106BA"/>
    <w:rsid w:val="00210CD6"/>
    <w:rsid w:val="00211005"/>
    <w:rsid w:val="002111BC"/>
    <w:rsid w:val="002113DE"/>
    <w:rsid w:val="002127F7"/>
    <w:rsid w:val="00212810"/>
    <w:rsid w:val="00214274"/>
    <w:rsid w:val="002143EA"/>
    <w:rsid w:val="002148A3"/>
    <w:rsid w:val="00214A0F"/>
    <w:rsid w:val="00214EC6"/>
    <w:rsid w:val="00215B58"/>
    <w:rsid w:val="002160F0"/>
    <w:rsid w:val="00220D50"/>
    <w:rsid w:val="00221720"/>
    <w:rsid w:val="00221C32"/>
    <w:rsid w:val="0022238D"/>
    <w:rsid w:val="00222F86"/>
    <w:rsid w:val="0022312F"/>
    <w:rsid w:val="0022339D"/>
    <w:rsid w:val="002242F0"/>
    <w:rsid w:val="002248AD"/>
    <w:rsid w:val="00224B2A"/>
    <w:rsid w:val="00224B86"/>
    <w:rsid w:val="00224B91"/>
    <w:rsid w:val="00225889"/>
    <w:rsid w:val="0022729C"/>
    <w:rsid w:val="002273E1"/>
    <w:rsid w:val="00227B20"/>
    <w:rsid w:val="0023021B"/>
    <w:rsid w:val="00231411"/>
    <w:rsid w:val="00231596"/>
    <w:rsid w:val="00231F8E"/>
    <w:rsid w:val="0023234A"/>
    <w:rsid w:val="00232932"/>
    <w:rsid w:val="00232F2C"/>
    <w:rsid w:val="00233299"/>
    <w:rsid w:val="0023577E"/>
    <w:rsid w:val="00235A15"/>
    <w:rsid w:val="00236126"/>
    <w:rsid w:val="00236392"/>
    <w:rsid w:val="00236709"/>
    <w:rsid w:val="00236F24"/>
    <w:rsid w:val="00237193"/>
    <w:rsid w:val="0023726B"/>
    <w:rsid w:val="00237CE7"/>
    <w:rsid w:val="00237E80"/>
    <w:rsid w:val="00237EE5"/>
    <w:rsid w:val="00240C8A"/>
    <w:rsid w:val="00240CB2"/>
    <w:rsid w:val="00240E55"/>
    <w:rsid w:val="00241A72"/>
    <w:rsid w:val="00241CB9"/>
    <w:rsid w:val="00242837"/>
    <w:rsid w:val="00242EFD"/>
    <w:rsid w:val="00243BC4"/>
    <w:rsid w:val="00244734"/>
    <w:rsid w:val="002465EA"/>
    <w:rsid w:val="00247505"/>
    <w:rsid w:val="0024763D"/>
    <w:rsid w:val="002503CE"/>
    <w:rsid w:val="0025223C"/>
    <w:rsid w:val="00252508"/>
    <w:rsid w:val="002526AD"/>
    <w:rsid w:val="00252CF8"/>
    <w:rsid w:val="00252D94"/>
    <w:rsid w:val="00252F53"/>
    <w:rsid w:val="00254495"/>
    <w:rsid w:val="00254BC6"/>
    <w:rsid w:val="00255288"/>
    <w:rsid w:val="0025533D"/>
    <w:rsid w:val="0025546E"/>
    <w:rsid w:val="002556DC"/>
    <w:rsid w:val="002557D5"/>
    <w:rsid w:val="00255BFD"/>
    <w:rsid w:val="0025648E"/>
    <w:rsid w:val="0025672B"/>
    <w:rsid w:val="00256C22"/>
    <w:rsid w:val="00257744"/>
    <w:rsid w:val="00260B06"/>
    <w:rsid w:val="00260B64"/>
    <w:rsid w:val="0026152F"/>
    <w:rsid w:val="0026269C"/>
    <w:rsid w:val="002635E3"/>
    <w:rsid w:val="002650C6"/>
    <w:rsid w:val="00265336"/>
    <w:rsid w:val="00265C1C"/>
    <w:rsid w:val="002676BC"/>
    <w:rsid w:val="00267E80"/>
    <w:rsid w:val="00270155"/>
    <w:rsid w:val="0027096D"/>
    <w:rsid w:val="00271901"/>
    <w:rsid w:val="002723EF"/>
    <w:rsid w:val="00273509"/>
    <w:rsid w:val="002737B6"/>
    <w:rsid w:val="0027399A"/>
    <w:rsid w:val="00274219"/>
    <w:rsid w:val="002752C9"/>
    <w:rsid w:val="00275668"/>
    <w:rsid w:val="002758E0"/>
    <w:rsid w:val="00275D8B"/>
    <w:rsid w:val="00276FE8"/>
    <w:rsid w:val="00277546"/>
    <w:rsid w:val="00277854"/>
    <w:rsid w:val="0028182D"/>
    <w:rsid w:val="0028220A"/>
    <w:rsid w:val="00282C61"/>
    <w:rsid w:val="00282EED"/>
    <w:rsid w:val="002836D3"/>
    <w:rsid w:val="0028379A"/>
    <w:rsid w:val="00283CCC"/>
    <w:rsid w:val="00284D3D"/>
    <w:rsid w:val="00285A76"/>
    <w:rsid w:val="00285ACB"/>
    <w:rsid w:val="00285BAD"/>
    <w:rsid w:val="00286319"/>
    <w:rsid w:val="00287743"/>
    <w:rsid w:val="00290E83"/>
    <w:rsid w:val="00291530"/>
    <w:rsid w:val="0029457F"/>
    <w:rsid w:val="00294E52"/>
    <w:rsid w:val="00295692"/>
    <w:rsid w:val="00295FA0"/>
    <w:rsid w:val="002960F3"/>
    <w:rsid w:val="00296530"/>
    <w:rsid w:val="00297406"/>
    <w:rsid w:val="002A0627"/>
    <w:rsid w:val="002A0A91"/>
    <w:rsid w:val="002A0FA0"/>
    <w:rsid w:val="002A2795"/>
    <w:rsid w:val="002A420F"/>
    <w:rsid w:val="002A49A1"/>
    <w:rsid w:val="002A504B"/>
    <w:rsid w:val="002A57ED"/>
    <w:rsid w:val="002A5B4B"/>
    <w:rsid w:val="002A64AE"/>
    <w:rsid w:val="002A7045"/>
    <w:rsid w:val="002A7315"/>
    <w:rsid w:val="002A7EAB"/>
    <w:rsid w:val="002B0486"/>
    <w:rsid w:val="002B0B20"/>
    <w:rsid w:val="002B135E"/>
    <w:rsid w:val="002B14CC"/>
    <w:rsid w:val="002B18BE"/>
    <w:rsid w:val="002B25C4"/>
    <w:rsid w:val="002B2843"/>
    <w:rsid w:val="002B2949"/>
    <w:rsid w:val="002B3032"/>
    <w:rsid w:val="002B316D"/>
    <w:rsid w:val="002B339B"/>
    <w:rsid w:val="002B3897"/>
    <w:rsid w:val="002B39B2"/>
    <w:rsid w:val="002B4310"/>
    <w:rsid w:val="002B4486"/>
    <w:rsid w:val="002B46AD"/>
    <w:rsid w:val="002B4894"/>
    <w:rsid w:val="002B53C8"/>
    <w:rsid w:val="002B5589"/>
    <w:rsid w:val="002B7294"/>
    <w:rsid w:val="002B7399"/>
    <w:rsid w:val="002B7802"/>
    <w:rsid w:val="002B7AA4"/>
    <w:rsid w:val="002C0660"/>
    <w:rsid w:val="002C09F9"/>
    <w:rsid w:val="002C307A"/>
    <w:rsid w:val="002C37D2"/>
    <w:rsid w:val="002C390A"/>
    <w:rsid w:val="002C40B5"/>
    <w:rsid w:val="002C4F2F"/>
    <w:rsid w:val="002C5729"/>
    <w:rsid w:val="002C630B"/>
    <w:rsid w:val="002C65B0"/>
    <w:rsid w:val="002C6BA4"/>
    <w:rsid w:val="002C6EDA"/>
    <w:rsid w:val="002C709B"/>
    <w:rsid w:val="002C746C"/>
    <w:rsid w:val="002C75EA"/>
    <w:rsid w:val="002C7CFA"/>
    <w:rsid w:val="002D07E9"/>
    <w:rsid w:val="002D1350"/>
    <w:rsid w:val="002D3238"/>
    <w:rsid w:val="002D3416"/>
    <w:rsid w:val="002D3B54"/>
    <w:rsid w:val="002D401A"/>
    <w:rsid w:val="002D4051"/>
    <w:rsid w:val="002D484D"/>
    <w:rsid w:val="002D48F6"/>
    <w:rsid w:val="002D506D"/>
    <w:rsid w:val="002D5C33"/>
    <w:rsid w:val="002D6D32"/>
    <w:rsid w:val="002D74FB"/>
    <w:rsid w:val="002D7F5C"/>
    <w:rsid w:val="002E0CB5"/>
    <w:rsid w:val="002E24B7"/>
    <w:rsid w:val="002E2DC0"/>
    <w:rsid w:val="002E317D"/>
    <w:rsid w:val="002E397C"/>
    <w:rsid w:val="002E3F29"/>
    <w:rsid w:val="002E4BE8"/>
    <w:rsid w:val="002E5964"/>
    <w:rsid w:val="002E5B8C"/>
    <w:rsid w:val="002E60B7"/>
    <w:rsid w:val="002E6298"/>
    <w:rsid w:val="002E6713"/>
    <w:rsid w:val="002E6B5A"/>
    <w:rsid w:val="002E6D82"/>
    <w:rsid w:val="002E6F73"/>
    <w:rsid w:val="002E787F"/>
    <w:rsid w:val="002E7BFD"/>
    <w:rsid w:val="002F00B9"/>
    <w:rsid w:val="002F038B"/>
    <w:rsid w:val="002F0532"/>
    <w:rsid w:val="002F061A"/>
    <w:rsid w:val="002F080E"/>
    <w:rsid w:val="002F0F57"/>
    <w:rsid w:val="002F125A"/>
    <w:rsid w:val="002F1540"/>
    <w:rsid w:val="002F1E1B"/>
    <w:rsid w:val="002F2481"/>
    <w:rsid w:val="002F2A42"/>
    <w:rsid w:val="002F30BD"/>
    <w:rsid w:val="002F3993"/>
    <w:rsid w:val="002F5769"/>
    <w:rsid w:val="002F5FF9"/>
    <w:rsid w:val="002F61A8"/>
    <w:rsid w:val="002F6413"/>
    <w:rsid w:val="002F6A34"/>
    <w:rsid w:val="002F76D2"/>
    <w:rsid w:val="002F787B"/>
    <w:rsid w:val="00300593"/>
    <w:rsid w:val="003008F9"/>
    <w:rsid w:val="00301439"/>
    <w:rsid w:val="003015A0"/>
    <w:rsid w:val="00301DE3"/>
    <w:rsid w:val="003022FE"/>
    <w:rsid w:val="00303AD7"/>
    <w:rsid w:val="0030482A"/>
    <w:rsid w:val="00304A1E"/>
    <w:rsid w:val="00304F88"/>
    <w:rsid w:val="00305269"/>
    <w:rsid w:val="00305278"/>
    <w:rsid w:val="00306057"/>
    <w:rsid w:val="003061EF"/>
    <w:rsid w:val="003062DF"/>
    <w:rsid w:val="003068A0"/>
    <w:rsid w:val="00306CA2"/>
    <w:rsid w:val="003073A2"/>
    <w:rsid w:val="00307E2D"/>
    <w:rsid w:val="00307FB4"/>
    <w:rsid w:val="003101CC"/>
    <w:rsid w:val="003103D2"/>
    <w:rsid w:val="003108B2"/>
    <w:rsid w:val="003110B5"/>
    <w:rsid w:val="0031175F"/>
    <w:rsid w:val="00311B98"/>
    <w:rsid w:val="00312425"/>
    <w:rsid w:val="0031244C"/>
    <w:rsid w:val="003131F5"/>
    <w:rsid w:val="00313380"/>
    <w:rsid w:val="00313ECF"/>
    <w:rsid w:val="003144F4"/>
    <w:rsid w:val="003145F3"/>
    <w:rsid w:val="00314694"/>
    <w:rsid w:val="00314976"/>
    <w:rsid w:val="00314A8E"/>
    <w:rsid w:val="00314C64"/>
    <w:rsid w:val="00314CB7"/>
    <w:rsid w:val="00315093"/>
    <w:rsid w:val="003150B0"/>
    <w:rsid w:val="003150FD"/>
    <w:rsid w:val="0031669A"/>
    <w:rsid w:val="0031731A"/>
    <w:rsid w:val="0031778E"/>
    <w:rsid w:val="00321183"/>
    <w:rsid w:val="00321AFB"/>
    <w:rsid w:val="003222C3"/>
    <w:rsid w:val="00322ED5"/>
    <w:rsid w:val="003232BC"/>
    <w:rsid w:val="00323C33"/>
    <w:rsid w:val="00324150"/>
    <w:rsid w:val="00324527"/>
    <w:rsid w:val="003245E6"/>
    <w:rsid w:val="00324623"/>
    <w:rsid w:val="003252F8"/>
    <w:rsid w:val="0032559D"/>
    <w:rsid w:val="00326050"/>
    <w:rsid w:val="0032724D"/>
    <w:rsid w:val="00327CF6"/>
    <w:rsid w:val="00327DA4"/>
    <w:rsid w:val="00330561"/>
    <w:rsid w:val="00330D9D"/>
    <w:rsid w:val="00330FD9"/>
    <w:rsid w:val="00331660"/>
    <w:rsid w:val="00331FCA"/>
    <w:rsid w:val="00333BBA"/>
    <w:rsid w:val="0033405E"/>
    <w:rsid w:val="0033410B"/>
    <w:rsid w:val="00334574"/>
    <w:rsid w:val="0033572D"/>
    <w:rsid w:val="00335A39"/>
    <w:rsid w:val="003368BB"/>
    <w:rsid w:val="00336B1B"/>
    <w:rsid w:val="003371D2"/>
    <w:rsid w:val="00337DB1"/>
    <w:rsid w:val="003410A4"/>
    <w:rsid w:val="003421FF"/>
    <w:rsid w:val="00342F8B"/>
    <w:rsid w:val="00343052"/>
    <w:rsid w:val="00343D0C"/>
    <w:rsid w:val="003441BE"/>
    <w:rsid w:val="00344288"/>
    <w:rsid w:val="00344318"/>
    <w:rsid w:val="00345267"/>
    <w:rsid w:val="003466F2"/>
    <w:rsid w:val="00346D41"/>
    <w:rsid w:val="00350227"/>
    <w:rsid w:val="003502AC"/>
    <w:rsid w:val="0035039C"/>
    <w:rsid w:val="0035047A"/>
    <w:rsid w:val="003505E4"/>
    <w:rsid w:val="003507CA"/>
    <w:rsid w:val="00350CB6"/>
    <w:rsid w:val="0035125B"/>
    <w:rsid w:val="0035169F"/>
    <w:rsid w:val="00351EFA"/>
    <w:rsid w:val="00352B1C"/>
    <w:rsid w:val="003537FF"/>
    <w:rsid w:val="00354CDA"/>
    <w:rsid w:val="003552D4"/>
    <w:rsid w:val="00355836"/>
    <w:rsid w:val="00356EB2"/>
    <w:rsid w:val="0035754C"/>
    <w:rsid w:val="00357809"/>
    <w:rsid w:val="003603D2"/>
    <w:rsid w:val="00360484"/>
    <w:rsid w:val="003613C4"/>
    <w:rsid w:val="00361880"/>
    <w:rsid w:val="00362C65"/>
    <w:rsid w:val="00363C83"/>
    <w:rsid w:val="00363EB8"/>
    <w:rsid w:val="00363FFC"/>
    <w:rsid w:val="0036425B"/>
    <w:rsid w:val="003645C4"/>
    <w:rsid w:val="00364E9A"/>
    <w:rsid w:val="00365BA7"/>
    <w:rsid w:val="00366198"/>
    <w:rsid w:val="0036699C"/>
    <w:rsid w:val="003676BF"/>
    <w:rsid w:val="003705BB"/>
    <w:rsid w:val="00370640"/>
    <w:rsid w:val="00370E4D"/>
    <w:rsid w:val="003714E3"/>
    <w:rsid w:val="003725AD"/>
    <w:rsid w:val="003727A2"/>
    <w:rsid w:val="003733F8"/>
    <w:rsid w:val="00373C29"/>
    <w:rsid w:val="0037443E"/>
    <w:rsid w:val="00375B69"/>
    <w:rsid w:val="003765D5"/>
    <w:rsid w:val="003766E3"/>
    <w:rsid w:val="003769AA"/>
    <w:rsid w:val="00376B00"/>
    <w:rsid w:val="00376CB4"/>
    <w:rsid w:val="00376DCB"/>
    <w:rsid w:val="00377310"/>
    <w:rsid w:val="003800EB"/>
    <w:rsid w:val="00380143"/>
    <w:rsid w:val="003809B9"/>
    <w:rsid w:val="003814FF"/>
    <w:rsid w:val="003815EE"/>
    <w:rsid w:val="00381D97"/>
    <w:rsid w:val="00382777"/>
    <w:rsid w:val="00382CEB"/>
    <w:rsid w:val="0038375F"/>
    <w:rsid w:val="003847A3"/>
    <w:rsid w:val="00385985"/>
    <w:rsid w:val="00385C10"/>
    <w:rsid w:val="00385D7B"/>
    <w:rsid w:val="003860F3"/>
    <w:rsid w:val="003864A3"/>
    <w:rsid w:val="00386B48"/>
    <w:rsid w:val="00386F55"/>
    <w:rsid w:val="00386FAC"/>
    <w:rsid w:val="00387558"/>
    <w:rsid w:val="003877C8"/>
    <w:rsid w:val="0039067E"/>
    <w:rsid w:val="0039073A"/>
    <w:rsid w:val="003913FA"/>
    <w:rsid w:val="003915FE"/>
    <w:rsid w:val="003917D6"/>
    <w:rsid w:val="003930EB"/>
    <w:rsid w:val="00393788"/>
    <w:rsid w:val="00393E21"/>
    <w:rsid w:val="00394007"/>
    <w:rsid w:val="0039459B"/>
    <w:rsid w:val="00394D1C"/>
    <w:rsid w:val="00395256"/>
    <w:rsid w:val="00395381"/>
    <w:rsid w:val="003958CB"/>
    <w:rsid w:val="003963AE"/>
    <w:rsid w:val="00396F4B"/>
    <w:rsid w:val="003970DF"/>
    <w:rsid w:val="00397BBF"/>
    <w:rsid w:val="003A0587"/>
    <w:rsid w:val="003A0914"/>
    <w:rsid w:val="003A1551"/>
    <w:rsid w:val="003A1BC6"/>
    <w:rsid w:val="003A1F63"/>
    <w:rsid w:val="003A205A"/>
    <w:rsid w:val="003A2150"/>
    <w:rsid w:val="003A21BA"/>
    <w:rsid w:val="003A24F5"/>
    <w:rsid w:val="003A298D"/>
    <w:rsid w:val="003A2D08"/>
    <w:rsid w:val="003A31E5"/>
    <w:rsid w:val="003A37D4"/>
    <w:rsid w:val="003A3A6A"/>
    <w:rsid w:val="003A3B0A"/>
    <w:rsid w:val="003A4C14"/>
    <w:rsid w:val="003A58EF"/>
    <w:rsid w:val="003A6079"/>
    <w:rsid w:val="003A6085"/>
    <w:rsid w:val="003A694D"/>
    <w:rsid w:val="003A6F5C"/>
    <w:rsid w:val="003A72CF"/>
    <w:rsid w:val="003B01C2"/>
    <w:rsid w:val="003B075F"/>
    <w:rsid w:val="003B10AB"/>
    <w:rsid w:val="003B136C"/>
    <w:rsid w:val="003B2963"/>
    <w:rsid w:val="003B3A4B"/>
    <w:rsid w:val="003B3E05"/>
    <w:rsid w:val="003B404A"/>
    <w:rsid w:val="003B41BC"/>
    <w:rsid w:val="003B4487"/>
    <w:rsid w:val="003B5331"/>
    <w:rsid w:val="003B54A8"/>
    <w:rsid w:val="003B59E2"/>
    <w:rsid w:val="003B5CF0"/>
    <w:rsid w:val="003B668C"/>
    <w:rsid w:val="003B7DE8"/>
    <w:rsid w:val="003C107C"/>
    <w:rsid w:val="003C1DB0"/>
    <w:rsid w:val="003C1DEB"/>
    <w:rsid w:val="003C2D06"/>
    <w:rsid w:val="003C413C"/>
    <w:rsid w:val="003C4BF0"/>
    <w:rsid w:val="003C69D3"/>
    <w:rsid w:val="003C704D"/>
    <w:rsid w:val="003C71FE"/>
    <w:rsid w:val="003C72AD"/>
    <w:rsid w:val="003C77CB"/>
    <w:rsid w:val="003C7CD4"/>
    <w:rsid w:val="003C7F54"/>
    <w:rsid w:val="003D0CA3"/>
    <w:rsid w:val="003D103C"/>
    <w:rsid w:val="003D13AF"/>
    <w:rsid w:val="003D18F9"/>
    <w:rsid w:val="003D19D2"/>
    <w:rsid w:val="003D2422"/>
    <w:rsid w:val="003D2E44"/>
    <w:rsid w:val="003D3D32"/>
    <w:rsid w:val="003D3F11"/>
    <w:rsid w:val="003D431A"/>
    <w:rsid w:val="003D4388"/>
    <w:rsid w:val="003D4FAE"/>
    <w:rsid w:val="003D56C4"/>
    <w:rsid w:val="003D5CDB"/>
    <w:rsid w:val="003D655B"/>
    <w:rsid w:val="003D7154"/>
    <w:rsid w:val="003D733A"/>
    <w:rsid w:val="003D7F20"/>
    <w:rsid w:val="003E0604"/>
    <w:rsid w:val="003E078D"/>
    <w:rsid w:val="003E20D1"/>
    <w:rsid w:val="003E2116"/>
    <w:rsid w:val="003E30A3"/>
    <w:rsid w:val="003E3359"/>
    <w:rsid w:val="003E3880"/>
    <w:rsid w:val="003E50D4"/>
    <w:rsid w:val="003E56DF"/>
    <w:rsid w:val="003E5B78"/>
    <w:rsid w:val="003E6AEB"/>
    <w:rsid w:val="003E6DFF"/>
    <w:rsid w:val="003E6F9C"/>
    <w:rsid w:val="003F05A6"/>
    <w:rsid w:val="003F3205"/>
    <w:rsid w:val="003F3A3B"/>
    <w:rsid w:val="003F3B32"/>
    <w:rsid w:val="003F4234"/>
    <w:rsid w:val="003F43FF"/>
    <w:rsid w:val="003F44F8"/>
    <w:rsid w:val="003F4540"/>
    <w:rsid w:val="003F45EE"/>
    <w:rsid w:val="003F47ED"/>
    <w:rsid w:val="003F5000"/>
    <w:rsid w:val="003F5348"/>
    <w:rsid w:val="003F57C8"/>
    <w:rsid w:val="003F5A45"/>
    <w:rsid w:val="003F650C"/>
    <w:rsid w:val="003F6EFC"/>
    <w:rsid w:val="00401061"/>
    <w:rsid w:val="00402619"/>
    <w:rsid w:val="00402ADB"/>
    <w:rsid w:val="004030E2"/>
    <w:rsid w:val="00403CFA"/>
    <w:rsid w:val="00404325"/>
    <w:rsid w:val="00404A95"/>
    <w:rsid w:val="00404B8A"/>
    <w:rsid w:val="00404D1E"/>
    <w:rsid w:val="004052B5"/>
    <w:rsid w:val="00405B94"/>
    <w:rsid w:val="00405CF6"/>
    <w:rsid w:val="00406D52"/>
    <w:rsid w:val="00407DC4"/>
    <w:rsid w:val="00407F21"/>
    <w:rsid w:val="00410EC1"/>
    <w:rsid w:val="0041145B"/>
    <w:rsid w:val="004115FD"/>
    <w:rsid w:val="00411DB5"/>
    <w:rsid w:val="00412571"/>
    <w:rsid w:val="0041369C"/>
    <w:rsid w:val="00413D07"/>
    <w:rsid w:val="00413F96"/>
    <w:rsid w:val="004150A9"/>
    <w:rsid w:val="00415B77"/>
    <w:rsid w:val="004169B5"/>
    <w:rsid w:val="00417AAA"/>
    <w:rsid w:val="0042004B"/>
    <w:rsid w:val="004202E1"/>
    <w:rsid w:val="004202EF"/>
    <w:rsid w:val="00421335"/>
    <w:rsid w:val="00422DF6"/>
    <w:rsid w:val="00422FB8"/>
    <w:rsid w:val="004231C7"/>
    <w:rsid w:val="00423628"/>
    <w:rsid w:val="00424840"/>
    <w:rsid w:val="00424BDB"/>
    <w:rsid w:val="00425C91"/>
    <w:rsid w:val="00425D16"/>
    <w:rsid w:val="00425F1A"/>
    <w:rsid w:val="00426753"/>
    <w:rsid w:val="00426A95"/>
    <w:rsid w:val="00426BCB"/>
    <w:rsid w:val="00426CA3"/>
    <w:rsid w:val="00427069"/>
    <w:rsid w:val="00427324"/>
    <w:rsid w:val="0042739D"/>
    <w:rsid w:val="00427405"/>
    <w:rsid w:val="00430A0A"/>
    <w:rsid w:val="0043295C"/>
    <w:rsid w:val="00433820"/>
    <w:rsid w:val="00433FC8"/>
    <w:rsid w:val="00434596"/>
    <w:rsid w:val="00435119"/>
    <w:rsid w:val="00436233"/>
    <w:rsid w:val="00436356"/>
    <w:rsid w:val="00436608"/>
    <w:rsid w:val="0043677F"/>
    <w:rsid w:val="00437047"/>
    <w:rsid w:val="004372F4"/>
    <w:rsid w:val="004401B0"/>
    <w:rsid w:val="0044054B"/>
    <w:rsid w:val="004407CD"/>
    <w:rsid w:val="00440DEB"/>
    <w:rsid w:val="0044137A"/>
    <w:rsid w:val="00442E5B"/>
    <w:rsid w:val="004439E1"/>
    <w:rsid w:val="00443C82"/>
    <w:rsid w:val="0044441C"/>
    <w:rsid w:val="00444B2F"/>
    <w:rsid w:val="00445A01"/>
    <w:rsid w:val="00446361"/>
    <w:rsid w:val="004470F5"/>
    <w:rsid w:val="00447E92"/>
    <w:rsid w:val="004500E5"/>
    <w:rsid w:val="004514D9"/>
    <w:rsid w:val="00451785"/>
    <w:rsid w:val="00452406"/>
    <w:rsid w:val="004544D8"/>
    <w:rsid w:val="004546D5"/>
    <w:rsid w:val="00454B1D"/>
    <w:rsid w:val="00454BBF"/>
    <w:rsid w:val="00455155"/>
    <w:rsid w:val="00455315"/>
    <w:rsid w:val="00455634"/>
    <w:rsid w:val="00456138"/>
    <w:rsid w:val="004571D6"/>
    <w:rsid w:val="00457630"/>
    <w:rsid w:val="00457D7F"/>
    <w:rsid w:val="004610E1"/>
    <w:rsid w:val="0046158E"/>
    <w:rsid w:val="00462158"/>
    <w:rsid w:val="004621BD"/>
    <w:rsid w:val="00462B47"/>
    <w:rsid w:val="00463FA0"/>
    <w:rsid w:val="0046498B"/>
    <w:rsid w:val="0046550D"/>
    <w:rsid w:val="00465E08"/>
    <w:rsid w:val="00465ECA"/>
    <w:rsid w:val="004664E3"/>
    <w:rsid w:val="00466871"/>
    <w:rsid w:val="00466DD1"/>
    <w:rsid w:val="00466EB2"/>
    <w:rsid w:val="004678EE"/>
    <w:rsid w:val="004701BC"/>
    <w:rsid w:val="004704EF"/>
    <w:rsid w:val="004705ED"/>
    <w:rsid w:val="004708BC"/>
    <w:rsid w:val="00470FF4"/>
    <w:rsid w:val="00471222"/>
    <w:rsid w:val="004719C7"/>
    <w:rsid w:val="00471E42"/>
    <w:rsid w:val="00472E6A"/>
    <w:rsid w:val="0047360E"/>
    <w:rsid w:val="00473FFB"/>
    <w:rsid w:val="004741B4"/>
    <w:rsid w:val="00474671"/>
    <w:rsid w:val="00474895"/>
    <w:rsid w:val="00475098"/>
    <w:rsid w:val="004752F1"/>
    <w:rsid w:val="00475796"/>
    <w:rsid w:val="0047586A"/>
    <w:rsid w:val="004761AC"/>
    <w:rsid w:val="004778C3"/>
    <w:rsid w:val="004800CA"/>
    <w:rsid w:val="0048014A"/>
    <w:rsid w:val="00480594"/>
    <w:rsid w:val="00480DF3"/>
    <w:rsid w:val="004813CA"/>
    <w:rsid w:val="004814CC"/>
    <w:rsid w:val="00481810"/>
    <w:rsid w:val="0048271E"/>
    <w:rsid w:val="004827B1"/>
    <w:rsid w:val="004827B3"/>
    <w:rsid w:val="00482E5F"/>
    <w:rsid w:val="004834E4"/>
    <w:rsid w:val="0048406F"/>
    <w:rsid w:val="00484382"/>
    <w:rsid w:val="004843A1"/>
    <w:rsid w:val="004849D5"/>
    <w:rsid w:val="00485FC6"/>
    <w:rsid w:val="004863AB"/>
    <w:rsid w:val="004868CC"/>
    <w:rsid w:val="00486D3D"/>
    <w:rsid w:val="00486F01"/>
    <w:rsid w:val="00486FFC"/>
    <w:rsid w:val="00487305"/>
    <w:rsid w:val="004875E8"/>
    <w:rsid w:val="00487819"/>
    <w:rsid w:val="00490451"/>
    <w:rsid w:val="00491440"/>
    <w:rsid w:val="00491774"/>
    <w:rsid w:val="00492489"/>
    <w:rsid w:val="004927D4"/>
    <w:rsid w:val="004933E9"/>
    <w:rsid w:val="0049443B"/>
    <w:rsid w:val="00494A85"/>
    <w:rsid w:val="00494FE6"/>
    <w:rsid w:val="00495B35"/>
    <w:rsid w:val="004968F0"/>
    <w:rsid w:val="0049695D"/>
    <w:rsid w:val="00496B99"/>
    <w:rsid w:val="004A0542"/>
    <w:rsid w:val="004A0B68"/>
    <w:rsid w:val="004A0EAB"/>
    <w:rsid w:val="004A0F26"/>
    <w:rsid w:val="004A167A"/>
    <w:rsid w:val="004A4157"/>
    <w:rsid w:val="004A448F"/>
    <w:rsid w:val="004A501A"/>
    <w:rsid w:val="004A50D8"/>
    <w:rsid w:val="004A5281"/>
    <w:rsid w:val="004A56CC"/>
    <w:rsid w:val="004A6237"/>
    <w:rsid w:val="004A6470"/>
    <w:rsid w:val="004A6832"/>
    <w:rsid w:val="004A6BB6"/>
    <w:rsid w:val="004A6F26"/>
    <w:rsid w:val="004A6F4F"/>
    <w:rsid w:val="004A7173"/>
    <w:rsid w:val="004A7AFE"/>
    <w:rsid w:val="004B0200"/>
    <w:rsid w:val="004B0E39"/>
    <w:rsid w:val="004B1454"/>
    <w:rsid w:val="004B15DD"/>
    <w:rsid w:val="004B170F"/>
    <w:rsid w:val="004B28F6"/>
    <w:rsid w:val="004B2A25"/>
    <w:rsid w:val="004B3C73"/>
    <w:rsid w:val="004B3F3E"/>
    <w:rsid w:val="004B4C6B"/>
    <w:rsid w:val="004B4D2C"/>
    <w:rsid w:val="004B4F0B"/>
    <w:rsid w:val="004B5BBD"/>
    <w:rsid w:val="004B60EF"/>
    <w:rsid w:val="004B62E6"/>
    <w:rsid w:val="004B65EA"/>
    <w:rsid w:val="004B678F"/>
    <w:rsid w:val="004B6B89"/>
    <w:rsid w:val="004B6F88"/>
    <w:rsid w:val="004B70BF"/>
    <w:rsid w:val="004B7169"/>
    <w:rsid w:val="004B7DB7"/>
    <w:rsid w:val="004C0055"/>
    <w:rsid w:val="004C0578"/>
    <w:rsid w:val="004C0968"/>
    <w:rsid w:val="004C0F55"/>
    <w:rsid w:val="004C21B8"/>
    <w:rsid w:val="004C22A2"/>
    <w:rsid w:val="004C23E8"/>
    <w:rsid w:val="004C2BE7"/>
    <w:rsid w:val="004C30F0"/>
    <w:rsid w:val="004C3254"/>
    <w:rsid w:val="004C3E2A"/>
    <w:rsid w:val="004C4310"/>
    <w:rsid w:val="004C49F4"/>
    <w:rsid w:val="004C62C7"/>
    <w:rsid w:val="004C6D49"/>
    <w:rsid w:val="004C7132"/>
    <w:rsid w:val="004C75DC"/>
    <w:rsid w:val="004C7D6B"/>
    <w:rsid w:val="004C7F9C"/>
    <w:rsid w:val="004D07CC"/>
    <w:rsid w:val="004D085D"/>
    <w:rsid w:val="004D122D"/>
    <w:rsid w:val="004D1A33"/>
    <w:rsid w:val="004D316A"/>
    <w:rsid w:val="004D31C0"/>
    <w:rsid w:val="004D3514"/>
    <w:rsid w:val="004D3605"/>
    <w:rsid w:val="004D3C6F"/>
    <w:rsid w:val="004D3D2B"/>
    <w:rsid w:val="004D3DFE"/>
    <w:rsid w:val="004D44D7"/>
    <w:rsid w:val="004D468B"/>
    <w:rsid w:val="004D50A0"/>
    <w:rsid w:val="004D6966"/>
    <w:rsid w:val="004D724D"/>
    <w:rsid w:val="004D7762"/>
    <w:rsid w:val="004E03E4"/>
    <w:rsid w:val="004E0CEF"/>
    <w:rsid w:val="004E11EC"/>
    <w:rsid w:val="004E1706"/>
    <w:rsid w:val="004E21A6"/>
    <w:rsid w:val="004E237B"/>
    <w:rsid w:val="004E2E6B"/>
    <w:rsid w:val="004E3413"/>
    <w:rsid w:val="004E3B9C"/>
    <w:rsid w:val="004E43CE"/>
    <w:rsid w:val="004E4D16"/>
    <w:rsid w:val="004E64BB"/>
    <w:rsid w:val="004E74F8"/>
    <w:rsid w:val="004F0472"/>
    <w:rsid w:val="004F0724"/>
    <w:rsid w:val="004F09A3"/>
    <w:rsid w:val="004F0AE3"/>
    <w:rsid w:val="004F0AF9"/>
    <w:rsid w:val="004F1AE8"/>
    <w:rsid w:val="004F24AF"/>
    <w:rsid w:val="004F25EC"/>
    <w:rsid w:val="004F3B57"/>
    <w:rsid w:val="004F3BB2"/>
    <w:rsid w:val="004F3FF8"/>
    <w:rsid w:val="004F4988"/>
    <w:rsid w:val="004F58B3"/>
    <w:rsid w:val="004F5B61"/>
    <w:rsid w:val="004F67E9"/>
    <w:rsid w:val="004F6872"/>
    <w:rsid w:val="004F6AB4"/>
    <w:rsid w:val="004F75CB"/>
    <w:rsid w:val="004F7993"/>
    <w:rsid w:val="004F7FB4"/>
    <w:rsid w:val="0050064A"/>
    <w:rsid w:val="00500915"/>
    <w:rsid w:val="0050101F"/>
    <w:rsid w:val="005010D4"/>
    <w:rsid w:val="00501806"/>
    <w:rsid w:val="0050237F"/>
    <w:rsid w:val="00503E74"/>
    <w:rsid w:val="00504951"/>
    <w:rsid w:val="0050506D"/>
    <w:rsid w:val="0050608E"/>
    <w:rsid w:val="0050775D"/>
    <w:rsid w:val="0051132C"/>
    <w:rsid w:val="00511477"/>
    <w:rsid w:val="00511EEA"/>
    <w:rsid w:val="00512003"/>
    <w:rsid w:val="0051207D"/>
    <w:rsid w:val="005121B0"/>
    <w:rsid w:val="005121FB"/>
    <w:rsid w:val="0051246E"/>
    <w:rsid w:val="005125CA"/>
    <w:rsid w:val="005127B4"/>
    <w:rsid w:val="0051288E"/>
    <w:rsid w:val="0051315B"/>
    <w:rsid w:val="00513AD2"/>
    <w:rsid w:val="0051439A"/>
    <w:rsid w:val="00514968"/>
    <w:rsid w:val="00514CCB"/>
    <w:rsid w:val="00514FB2"/>
    <w:rsid w:val="005164F4"/>
    <w:rsid w:val="005175A5"/>
    <w:rsid w:val="00520297"/>
    <w:rsid w:val="00521343"/>
    <w:rsid w:val="0052186B"/>
    <w:rsid w:val="005229E1"/>
    <w:rsid w:val="00523611"/>
    <w:rsid w:val="00524149"/>
    <w:rsid w:val="00524790"/>
    <w:rsid w:val="00524D46"/>
    <w:rsid w:val="00525020"/>
    <w:rsid w:val="0052543E"/>
    <w:rsid w:val="00525463"/>
    <w:rsid w:val="00525C72"/>
    <w:rsid w:val="00526A47"/>
    <w:rsid w:val="00527313"/>
    <w:rsid w:val="00527D7A"/>
    <w:rsid w:val="00527E89"/>
    <w:rsid w:val="00530848"/>
    <w:rsid w:val="00530CF3"/>
    <w:rsid w:val="00530F5F"/>
    <w:rsid w:val="00531149"/>
    <w:rsid w:val="005319CF"/>
    <w:rsid w:val="0053258F"/>
    <w:rsid w:val="005327CD"/>
    <w:rsid w:val="0053385F"/>
    <w:rsid w:val="00533A60"/>
    <w:rsid w:val="00533AB5"/>
    <w:rsid w:val="00533BC0"/>
    <w:rsid w:val="00535D11"/>
    <w:rsid w:val="0053683B"/>
    <w:rsid w:val="00536EED"/>
    <w:rsid w:val="00537F79"/>
    <w:rsid w:val="00540610"/>
    <w:rsid w:val="0054172C"/>
    <w:rsid w:val="00541B47"/>
    <w:rsid w:val="00541BC2"/>
    <w:rsid w:val="00542109"/>
    <w:rsid w:val="005425E0"/>
    <w:rsid w:val="0054327E"/>
    <w:rsid w:val="005432FD"/>
    <w:rsid w:val="005435A1"/>
    <w:rsid w:val="005435C2"/>
    <w:rsid w:val="0054394D"/>
    <w:rsid w:val="00543B6B"/>
    <w:rsid w:val="00543D6F"/>
    <w:rsid w:val="005455BF"/>
    <w:rsid w:val="005468AB"/>
    <w:rsid w:val="00546F70"/>
    <w:rsid w:val="0054740F"/>
    <w:rsid w:val="00547D42"/>
    <w:rsid w:val="00547FEF"/>
    <w:rsid w:val="00550314"/>
    <w:rsid w:val="00550A4A"/>
    <w:rsid w:val="00550A5C"/>
    <w:rsid w:val="00550E79"/>
    <w:rsid w:val="00552B1A"/>
    <w:rsid w:val="005532DB"/>
    <w:rsid w:val="0055341D"/>
    <w:rsid w:val="00553902"/>
    <w:rsid w:val="00553A57"/>
    <w:rsid w:val="005543B2"/>
    <w:rsid w:val="00554B99"/>
    <w:rsid w:val="005558C9"/>
    <w:rsid w:val="00557110"/>
    <w:rsid w:val="00557723"/>
    <w:rsid w:val="00557B28"/>
    <w:rsid w:val="005609C6"/>
    <w:rsid w:val="00560D7B"/>
    <w:rsid w:val="005611F7"/>
    <w:rsid w:val="00562990"/>
    <w:rsid w:val="00563205"/>
    <w:rsid w:val="00563279"/>
    <w:rsid w:val="00563975"/>
    <w:rsid w:val="00563ABF"/>
    <w:rsid w:val="005645CA"/>
    <w:rsid w:val="00564DD2"/>
    <w:rsid w:val="00565BC9"/>
    <w:rsid w:val="00566E90"/>
    <w:rsid w:val="005673BA"/>
    <w:rsid w:val="005676F8"/>
    <w:rsid w:val="00567A55"/>
    <w:rsid w:val="00567B7D"/>
    <w:rsid w:val="00570168"/>
    <w:rsid w:val="00570832"/>
    <w:rsid w:val="00571E27"/>
    <w:rsid w:val="00572317"/>
    <w:rsid w:val="0057235B"/>
    <w:rsid w:val="00572589"/>
    <w:rsid w:val="005727CD"/>
    <w:rsid w:val="00572D8B"/>
    <w:rsid w:val="00573572"/>
    <w:rsid w:val="0057438E"/>
    <w:rsid w:val="005746A3"/>
    <w:rsid w:val="00575FEE"/>
    <w:rsid w:val="00577ECA"/>
    <w:rsid w:val="00580015"/>
    <w:rsid w:val="005805A5"/>
    <w:rsid w:val="00581FFD"/>
    <w:rsid w:val="005825F7"/>
    <w:rsid w:val="00582C60"/>
    <w:rsid w:val="005839FD"/>
    <w:rsid w:val="005864A4"/>
    <w:rsid w:val="00586929"/>
    <w:rsid w:val="00587BF0"/>
    <w:rsid w:val="005900B8"/>
    <w:rsid w:val="00590996"/>
    <w:rsid w:val="00590A34"/>
    <w:rsid w:val="00591138"/>
    <w:rsid w:val="00591C3C"/>
    <w:rsid w:val="00591FAD"/>
    <w:rsid w:val="00592C42"/>
    <w:rsid w:val="005938AD"/>
    <w:rsid w:val="005948C4"/>
    <w:rsid w:val="00594A71"/>
    <w:rsid w:val="00594CEE"/>
    <w:rsid w:val="00594FA7"/>
    <w:rsid w:val="005956CB"/>
    <w:rsid w:val="0059591C"/>
    <w:rsid w:val="0059596F"/>
    <w:rsid w:val="00595B96"/>
    <w:rsid w:val="0059619E"/>
    <w:rsid w:val="00596290"/>
    <w:rsid w:val="00596342"/>
    <w:rsid w:val="00596FC7"/>
    <w:rsid w:val="005974C1"/>
    <w:rsid w:val="00597DBC"/>
    <w:rsid w:val="005A0075"/>
    <w:rsid w:val="005A01EA"/>
    <w:rsid w:val="005A0296"/>
    <w:rsid w:val="005A08F2"/>
    <w:rsid w:val="005A0CFB"/>
    <w:rsid w:val="005A1AEE"/>
    <w:rsid w:val="005A1AEF"/>
    <w:rsid w:val="005A234E"/>
    <w:rsid w:val="005A23EF"/>
    <w:rsid w:val="005A28B8"/>
    <w:rsid w:val="005A2D5F"/>
    <w:rsid w:val="005A2E26"/>
    <w:rsid w:val="005A3074"/>
    <w:rsid w:val="005A3E65"/>
    <w:rsid w:val="005A3FA1"/>
    <w:rsid w:val="005A4207"/>
    <w:rsid w:val="005A4E3E"/>
    <w:rsid w:val="005A56B3"/>
    <w:rsid w:val="005A5F6A"/>
    <w:rsid w:val="005A67CF"/>
    <w:rsid w:val="005A6A82"/>
    <w:rsid w:val="005A6D11"/>
    <w:rsid w:val="005A747C"/>
    <w:rsid w:val="005A751D"/>
    <w:rsid w:val="005A756F"/>
    <w:rsid w:val="005A767E"/>
    <w:rsid w:val="005A78D0"/>
    <w:rsid w:val="005A7BAE"/>
    <w:rsid w:val="005A7F9D"/>
    <w:rsid w:val="005B1096"/>
    <w:rsid w:val="005B16BF"/>
    <w:rsid w:val="005B1CC3"/>
    <w:rsid w:val="005B2422"/>
    <w:rsid w:val="005B251B"/>
    <w:rsid w:val="005B4244"/>
    <w:rsid w:val="005B4364"/>
    <w:rsid w:val="005B4EF4"/>
    <w:rsid w:val="005B526D"/>
    <w:rsid w:val="005B6322"/>
    <w:rsid w:val="005B70C8"/>
    <w:rsid w:val="005B776F"/>
    <w:rsid w:val="005B7919"/>
    <w:rsid w:val="005B7924"/>
    <w:rsid w:val="005B7E1C"/>
    <w:rsid w:val="005B7FCD"/>
    <w:rsid w:val="005C06F2"/>
    <w:rsid w:val="005C0ECE"/>
    <w:rsid w:val="005C1193"/>
    <w:rsid w:val="005C187F"/>
    <w:rsid w:val="005C3147"/>
    <w:rsid w:val="005C3DC2"/>
    <w:rsid w:val="005C4073"/>
    <w:rsid w:val="005C4ACB"/>
    <w:rsid w:val="005C4B33"/>
    <w:rsid w:val="005C57C5"/>
    <w:rsid w:val="005C5EB1"/>
    <w:rsid w:val="005C699E"/>
    <w:rsid w:val="005C6F0E"/>
    <w:rsid w:val="005C6FA7"/>
    <w:rsid w:val="005C7430"/>
    <w:rsid w:val="005C7BE9"/>
    <w:rsid w:val="005C7C54"/>
    <w:rsid w:val="005C7C84"/>
    <w:rsid w:val="005C7D6E"/>
    <w:rsid w:val="005D00B0"/>
    <w:rsid w:val="005D12A3"/>
    <w:rsid w:val="005D1750"/>
    <w:rsid w:val="005D2CE4"/>
    <w:rsid w:val="005D2F03"/>
    <w:rsid w:val="005D3143"/>
    <w:rsid w:val="005D3170"/>
    <w:rsid w:val="005D33F0"/>
    <w:rsid w:val="005D3B89"/>
    <w:rsid w:val="005D3BBB"/>
    <w:rsid w:val="005D41E9"/>
    <w:rsid w:val="005D42CE"/>
    <w:rsid w:val="005D47F4"/>
    <w:rsid w:val="005D5489"/>
    <w:rsid w:val="005D5883"/>
    <w:rsid w:val="005D5BC6"/>
    <w:rsid w:val="005D6298"/>
    <w:rsid w:val="005D633B"/>
    <w:rsid w:val="005E0572"/>
    <w:rsid w:val="005E18E3"/>
    <w:rsid w:val="005E244C"/>
    <w:rsid w:val="005E2990"/>
    <w:rsid w:val="005E302C"/>
    <w:rsid w:val="005E43F3"/>
    <w:rsid w:val="005E4456"/>
    <w:rsid w:val="005E47C1"/>
    <w:rsid w:val="005E49C8"/>
    <w:rsid w:val="005E4C8F"/>
    <w:rsid w:val="005E4CB7"/>
    <w:rsid w:val="005E58B6"/>
    <w:rsid w:val="005E59C0"/>
    <w:rsid w:val="005E5C8C"/>
    <w:rsid w:val="005E60A4"/>
    <w:rsid w:val="005E655C"/>
    <w:rsid w:val="005E69BF"/>
    <w:rsid w:val="005E7542"/>
    <w:rsid w:val="005E7F3E"/>
    <w:rsid w:val="005F00A7"/>
    <w:rsid w:val="005F1F16"/>
    <w:rsid w:val="005F24FF"/>
    <w:rsid w:val="005F3484"/>
    <w:rsid w:val="005F407C"/>
    <w:rsid w:val="005F502E"/>
    <w:rsid w:val="005F532F"/>
    <w:rsid w:val="005F5403"/>
    <w:rsid w:val="005F5832"/>
    <w:rsid w:val="005F5DB0"/>
    <w:rsid w:val="005F67D2"/>
    <w:rsid w:val="005F7162"/>
    <w:rsid w:val="005F73D1"/>
    <w:rsid w:val="005F7C6E"/>
    <w:rsid w:val="00600B6E"/>
    <w:rsid w:val="0060246E"/>
    <w:rsid w:val="00602721"/>
    <w:rsid w:val="006052F5"/>
    <w:rsid w:val="006061F7"/>
    <w:rsid w:val="00606CE7"/>
    <w:rsid w:val="00607EDB"/>
    <w:rsid w:val="006100B1"/>
    <w:rsid w:val="006107B0"/>
    <w:rsid w:val="00610D75"/>
    <w:rsid w:val="00611530"/>
    <w:rsid w:val="00612B18"/>
    <w:rsid w:val="006132CC"/>
    <w:rsid w:val="00613324"/>
    <w:rsid w:val="00613A3D"/>
    <w:rsid w:val="00613D24"/>
    <w:rsid w:val="0061417F"/>
    <w:rsid w:val="00614D4F"/>
    <w:rsid w:val="006151DB"/>
    <w:rsid w:val="00615770"/>
    <w:rsid w:val="00615C97"/>
    <w:rsid w:val="006173E6"/>
    <w:rsid w:val="00617974"/>
    <w:rsid w:val="00617CA1"/>
    <w:rsid w:val="00617E3C"/>
    <w:rsid w:val="00621402"/>
    <w:rsid w:val="00622340"/>
    <w:rsid w:val="0062240D"/>
    <w:rsid w:val="006228F5"/>
    <w:rsid w:val="00623257"/>
    <w:rsid w:val="0062373D"/>
    <w:rsid w:val="00623804"/>
    <w:rsid w:val="00623AB7"/>
    <w:rsid w:val="00623FCC"/>
    <w:rsid w:val="006248EA"/>
    <w:rsid w:val="00624E4A"/>
    <w:rsid w:val="00624F9B"/>
    <w:rsid w:val="006254AD"/>
    <w:rsid w:val="00625846"/>
    <w:rsid w:val="00626307"/>
    <w:rsid w:val="00626444"/>
    <w:rsid w:val="0063073F"/>
    <w:rsid w:val="0063083B"/>
    <w:rsid w:val="00631695"/>
    <w:rsid w:val="00631E94"/>
    <w:rsid w:val="00632AEB"/>
    <w:rsid w:val="00633C8A"/>
    <w:rsid w:val="00633EA6"/>
    <w:rsid w:val="0063436A"/>
    <w:rsid w:val="00634FEC"/>
    <w:rsid w:val="006354F6"/>
    <w:rsid w:val="00635B32"/>
    <w:rsid w:val="00635E08"/>
    <w:rsid w:val="00635EFA"/>
    <w:rsid w:val="00636D13"/>
    <w:rsid w:val="00637ED2"/>
    <w:rsid w:val="006402E4"/>
    <w:rsid w:val="0064189C"/>
    <w:rsid w:val="00642C56"/>
    <w:rsid w:val="00643092"/>
    <w:rsid w:val="00643222"/>
    <w:rsid w:val="00643AAA"/>
    <w:rsid w:val="006440C9"/>
    <w:rsid w:val="00644436"/>
    <w:rsid w:val="00644815"/>
    <w:rsid w:val="0064485B"/>
    <w:rsid w:val="00644A73"/>
    <w:rsid w:val="00645207"/>
    <w:rsid w:val="0064539F"/>
    <w:rsid w:val="006454A7"/>
    <w:rsid w:val="006454FC"/>
    <w:rsid w:val="00645994"/>
    <w:rsid w:val="00645A8B"/>
    <w:rsid w:val="00645D15"/>
    <w:rsid w:val="00646B3D"/>
    <w:rsid w:val="006501AE"/>
    <w:rsid w:val="006510C8"/>
    <w:rsid w:val="0065137F"/>
    <w:rsid w:val="00651649"/>
    <w:rsid w:val="0065187C"/>
    <w:rsid w:val="00651A18"/>
    <w:rsid w:val="00651DF6"/>
    <w:rsid w:val="00651F4E"/>
    <w:rsid w:val="0065200A"/>
    <w:rsid w:val="00653C70"/>
    <w:rsid w:val="00654A46"/>
    <w:rsid w:val="00654D23"/>
    <w:rsid w:val="00654ED0"/>
    <w:rsid w:val="006552B7"/>
    <w:rsid w:val="006553E1"/>
    <w:rsid w:val="006558BE"/>
    <w:rsid w:val="00655DBA"/>
    <w:rsid w:val="006566E9"/>
    <w:rsid w:val="00656EAD"/>
    <w:rsid w:val="006570A0"/>
    <w:rsid w:val="0065726C"/>
    <w:rsid w:val="006578D6"/>
    <w:rsid w:val="00660096"/>
    <w:rsid w:val="00660A7C"/>
    <w:rsid w:val="00661892"/>
    <w:rsid w:val="006618B6"/>
    <w:rsid w:val="00661C9D"/>
    <w:rsid w:val="006622CE"/>
    <w:rsid w:val="006631F2"/>
    <w:rsid w:val="006637EA"/>
    <w:rsid w:val="00663C51"/>
    <w:rsid w:val="00664B83"/>
    <w:rsid w:val="00665241"/>
    <w:rsid w:val="0066562D"/>
    <w:rsid w:val="006659E6"/>
    <w:rsid w:val="006660B9"/>
    <w:rsid w:val="006665FE"/>
    <w:rsid w:val="00666938"/>
    <w:rsid w:val="00666F99"/>
    <w:rsid w:val="00670340"/>
    <w:rsid w:val="006708DB"/>
    <w:rsid w:val="00670F55"/>
    <w:rsid w:val="00671603"/>
    <w:rsid w:val="006716E4"/>
    <w:rsid w:val="00671C70"/>
    <w:rsid w:val="00671EC0"/>
    <w:rsid w:val="006723E1"/>
    <w:rsid w:val="00672753"/>
    <w:rsid w:val="00672A8B"/>
    <w:rsid w:val="006737DD"/>
    <w:rsid w:val="006744A9"/>
    <w:rsid w:val="00674F33"/>
    <w:rsid w:val="00676022"/>
    <w:rsid w:val="00677237"/>
    <w:rsid w:val="006772A3"/>
    <w:rsid w:val="006800E0"/>
    <w:rsid w:val="006809FC"/>
    <w:rsid w:val="006817C4"/>
    <w:rsid w:val="00681E43"/>
    <w:rsid w:val="00681F9E"/>
    <w:rsid w:val="006821E0"/>
    <w:rsid w:val="00682AE8"/>
    <w:rsid w:val="00682F14"/>
    <w:rsid w:val="00682FC4"/>
    <w:rsid w:val="006830BB"/>
    <w:rsid w:val="006833D4"/>
    <w:rsid w:val="00683CEF"/>
    <w:rsid w:val="006840E4"/>
    <w:rsid w:val="0068599E"/>
    <w:rsid w:val="00685DC8"/>
    <w:rsid w:val="00686CC0"/>
    <w:rsid w:val="0068715C"/>
    <w:rsid w:val="006873FE"/>
    <w:rsid w:val="00687988"/>
    <w:rsid w:val="00687D83"/>
    <w:rsid w:val="00687E89"/>
    <w:rsid w:val="0069010E"/>
    <w:rsid w:val="00690BF5"/>
    <w:rsid w:val="006912DD"/>
    <w:rsid w:val="006915E0"/>
    <w:rsid w:val="006919A3"/>
    <w:rsid w:val="00692366"/>
    <w:rsid w:val="00692793"/>
    <w:rsid w:val="00692FAE"/>
    <w:rsid w:val="006939F6"/>
    <w:rsid w:val="00694650"/>
    <w:rsid w:val="0069510F"/>
    <w:rsid w:val="00695414"/>
    <w:rsid w:val="00695AFD"/>
    <w:rsid w:val="00696A58"/>
    <w:rsid w:val="00696F01"/>
    <w:rsid w:val="006A22B9"/>
    <w:rsid w:val="006A2378"/>
    <w:rsid w:val="006A2DC0"/>
    <w:rsid w:val="006A3963"/>
    <w:rsid w:val="006A3A47"/>
    <w:rsid w:val="006A3BD9"/>
    <w:rsid w:val="006A52B3"/>
    <w:rsid w:val="006A5B0B"/>
    <w:rsid w:val="006A6F4F"/>
    <w:rsid w:val="006A6F54"/>
    <w:rsid w:val="006A7EAA"/>
    <w:rsid w:val="006B0B70"/>
    <w:rsid w:val="006B1205"/>
    <w:rsid w:val="006B13DD"/>
    <w:rsid w:val="006B163B"/>
    <w:rsid w:val="006B16A1"/>
    <w:rsid w:val="006B20DB"/>
    <w:rsid w:val="006B2B8F"/>
    <w:rsid w:val="006B2E4F"/>
    <w:rsid w:val="006B329F"/>
    <w:rsid w:val="006B347C"/>
    <w:rsid w:val="006B3D1F"/>
    <w:rsid w:val="006B4418"/>
    <w:rsid w:val="006B4AA9"/>
    <w:rsid w:val="006B4CFA"/>
    <w:rsid w:val="006B56F0"/>
    <w:rsid w:val="006B622A"/>
    <w:rsid w:val="006B664C"/>
    <w:rsid w:val="006B6B13"/>
    <w:rsid w:val="006B7906"/>
    <w:rsid w:val="006B7A84"/>
    <w:rsid w:val="006B7CCE"/>
    <w:rsid w:val="006C0B27"/>
    <w:rsid w:val="006C0D7B"/>
    <w:rsid w:val="006C126A"/>
    <w:rsid w:val="006C2200"/>
    <w:rsid w:val="006C22DA"/>
    <w:rsid w:val="006C2E43"/>
    <w:rsid w:val="006C3569"/>
    <w:rsid w:val="006C375C"/>
    <w:rsid w:val="006C427B"/>
    <w:rsid w:val="006C4473"/>
    <w:rsid w:val="006C4BE1"/>
    <w:rsid w:val="006C5A43"/>
    <w:rsid w:val="006C6B17"/>
    <w:rsid w:val="006C6ED6"/>
    <w:rsid w:val="006C738A"/>
    <w:rsid w:val="006C74CC"/>
    <w:rsid w:val="006C7513"/>
    <w:rsid w:val="006D098A"/>
    <w:rsid w:val="006D0A79"/>
    <w:rsid w:val="006D0D03"/>
    <w:rsid w:val="006D0D12"/>
    <w:rsid w:val="006D1276"/>
    <w:rsid w:val="006D1970"/>
    <w:rsid w:val="006D222D"/>
    <w:rsid w:val="006D2552"/>
    <w:rsid w:val="006D2C11"/>
    <w:rsid w:val="006D34F6"/>
    <w:rsid w:val="006D358C"/>
    <w:rsid w:val="006D3BFE"/>
    <w:rsid w:val="006D40BD"/>
    <w:rsid w:val="006D40FA"/>
    <w:rsid w:val="006D4349"/>
    <w:rsid w:val="006D4437"/>
    <w:rsid w:val="006D47EA"/>
    <w:rsid w:val="006D52F4"/>
    <w:rsid w:val="006D55FB"/>
    <w:rsid w:val="006D5A15"/>
    <w:rsid w:val="006D5BB4"/>
    <w:rsid w:val="006D6B00"/>
    <w:rsid w:val="006D6E79"/>
    <w:rsid w:val="006D70C9"/>
    <w:rsid w:val="006D76DE"/>
    <w:rsid w:val="006E01C9"/>
    <w:rsid w:val="006E06DD"/>
    <w:rsid w:val="006E07A9"/>
    <w:rsid w:val="006E0AA9"/>
    <w:rsid w:val="006E0D0C"/>
    <w:rsid w:val="006E0D58"/>
    <w:rsid w:val="006E0E07"/>
    <w:rsid w:val="006E25B8"/>
    <w:rsid w:val="006E28B5"/>
    <w:rsid w:val="006E2B13"/>
    <w:rsid w:val="006E3ADC"/>
    <w:rsid w:val="006E3B7B"/>
    <w:rsid w:val="006E435E"/>
    <w:rsid w:val="006E4747"/>
    <w:rsid w:val="006E48B3"/>
    <w:rsid w:val="006E574E"/>
    <w:rsid w:val="006E5789"/>
    <w:rsid w:val="006E5C16"/>
    <w:rsid w:val="006E6153"/>
    <w:rsid w:val="006E6923"/>
    <w:rsid w:val="006E6F86"/>
    <w:rsid w:val="006E799A"/>
    <w:rsid w:val="006F0126"/>
    <w:rsid w:val="006F0A4F"/>
    <w:rsid w:val="006F16C4"/>
    <w:rsid w:val="006F1CFC"/>
    <w:rsid w:val="006F1D09"/>
    <w:rsid w:val="006F1D13"/>
    <w:rsid w:val="006F3A56"/>
    <w:rsid w:val="006F3EAC"/>
    <w:rsid w:val="006F4105"/>
    <w:rsid w:val="006F4E98"/>
    <w:rsid w:val="006F5112"/>
    <w:rsid w:val="006F5E4D"/>
    <w:rsid w:val="006F65B4"/>
    <w:rsid w:val="006F7324"/>
    <w:rsid w:val="006F7563"/>
    <w:rsid w:val="006F7C0E"/>
    <w:rsid w:val="0070010C"/>
    <w:rsid w:val="00700B25"/>
    <w:rsid w:val="00700C67"/>
    <w:rsid w:val="00701B13"/>
    <w:rsid w:val="007028D6"/>
    <w:rsid w:val="00702D5A"/>
    <w:rsid w:val="007041FC"/>
    <w:rsid w:val="00704322"/>
    <w:rsid w:val="007044B2"/>
    <w:rsid w:val="00704E31"/>
    <w:rsid w:val="00705000"/>
    <w:rsid w:val="007053C0"/>
    <w:rsid w:val="0070545D"/>
    <w:rsid w:val="00705BC1"/>
    <w:rsid w:val="00705ED4"/>
    <w:rsid w:val="00705EF7"/>
    <w:rsid w:val="00705F00"/>
    <w:rsid w:val="0070628D"/>
    <w:rsid w:val="007067A5"/>
    <w:rsid w:val="007070B9"/>
    <w:rsid w:val="00707945"/>
    <w:rsid w:val="00707BDB"/>
    <w:rsid w:val="00707E5F"/>
    <w:rsid w:val="00710680"/>
    <w:rsid w:val="00712187"/>
    <w:rsid w:val="007124EA"/>
    <w:rsid w:val="00713345"/>
    <w:rsid w:val="0071364A"/>
    <w:rsid w:val="0071407D"/>
    <w:rsid w:val="0071428C"/>
    <w:rsid w:val="0071486B"/>
    <w:rsid w:val="00714925"/>
    <w:rsid w:val="00714D72"/>
    <w:rsid w:val="00715B87"/>
    <w:rsid w:val="00715D5E"/>
    <w:rsid w:val="00715EA6"/>
    <w:rsid w:val="00716E7B"/>
    <w:rsid w:val="00716E89"/>
    <w:rsid w:val="00717DC1"/>
    <w:rsid w:val="00720E05"/>
    <w:rsid w:val="00721499"/>
    <w:rsid w:val="007224C2"/>
    <w:rsid w:val="007237DF"/>
    <w:rsid w:val="00723B25"/>
    <w:rsid w:val="007242A6"/>
    <w:rsid w:val="007246FF"/>
    <w:rsid w:val="00725251"/>
    <w:rsid w:val="0072568B"/>
    <w:rsid w:val="00726113"/>
    <w:rsid w:val="0072663A"/>
    <w:rsid w:val="0072678B"/>
    <w:rsid w:val="007274F7"/>
    <w:rsid w:val="00727553"/>
    <w:rsid w:val="0072770D"/>
    <w:rsid w:val="007279DB"/>
    <w:rsid w:val="00730924"/>
    <w:rsid w:val="00730A78"/>
    <w:rsid w:val="00730C20"/>
    <w:rsid w:val="00730E14"/>
    <w:rsid w:val="00730EEA"/>
    <w:rsid w:val="0073115E"/>
    <w:rsid w:val="007311A4"/>
    <w:rsid w:val="0073185F"/>
    <w:rsid w:val="00731AC8"/>
    <w:rsid w:val="00732664"/>
    <w:rsid w:val="00732BC5"/>
    <w:rsid w:val="00733131"/>
    <w:rsid w:val="007365D5"/>
    <w:rsid w:val="007368C7"/>
    <w:rsid w:val="00737AFD"/>
    <w:rsid w:val="007416ED"/>
    <w:rsid w:val="00741A3D"/>
    <w:rsid w:val="00742474"/>
    <w:rsid w:val="007435D4"/>
    <w:rsid w:val="00743C5E"/>
    <w:rsid w:val="00745AAA"/>
    <w:rsid w:val="00745C0D"/>
    <w:rsid w:val="00746404"/>
    <w:rsid w:val="0074658B"/>
    <w:rsid w:val="00746BEF"/>
    <w:rsid w:val="007479E3"/>
    <w:rsid w:val="00750080"/>
    <w:rsid w:val="00750407"/>
    <w:rsid w:val="007504CA"/>
    <w:rsid w:val="007505B5"/>
    <w:rsid w:val="007507F0"/>
    <w:rsid w:val="00750B7D"/>
    <w:rsid w:val="00750D4D"/>
    <w:rsid w:val="0075100A"/>
    <w:rsid w:val="0075110B"/>
    <w:rsid w:val="007519EB"/>
    <w:rsid w:val="00752642"/>
    <w:rsid w:val="007529C8"/>
    <w:rsid w:val="00753258"/>
    <w:rsid w:val="00753C6F"/>
    <w:rsid w:val="00753FC5"/>
    <w:rsid w:val="00754BFD"/>
    <w:rsid w:val="00755803"/>
    <w:rsid w:val="00755C5B"/>
    <w:rsid w:val="0075610F"/>
    <w:rsid w:val="00756C28"/>
    <w:rsid w:val="00757686"/>
    <w:rsid w:val="007576B6"/>
    <w:rsid w:val="00757953"/>
    <w:rsid w:val="007604E3"/>
    <w:rsid w:val="007605C4"/>
    <w:rsid w:val="00760AC3"/>
    <w:rsid w:val="00761278"/>
    <w:rsid w:val="00761861"/>
    <w:rsid w:val="00761BCD"/>
    <w:rsid w:val="007626CA"/>
    <w:rsid w:val="007639E6"/>
    <w:rsid w:val="007644C4"/>
    <w:rsid w:val="007651CC"/>
    <w:rsid w:val="00766031"/>
    <w:rsid w:val="007660C3"/>
    <w:rsid w:val="00766A6B"/>
    <w:rsid w:val="00766A6F"/>
    <w:rsid w:val="00766C72"/>
    <w:rsid w:val="00770016"/>
    <w:rsid w:val="0077044A"/>
    <w:rsid w:val="0077087C"/>
    <w:rsid w:val="00770A33"/>
    <w:rsid w:val="00771FEB"/>
    <w:rsid w:val="007723B3"/>
    <w:rsid w:val="00773286"/>
    <w:rsid w:val="00773688"/>
    <w:rsid w:val="00773A53"/>
    <w:rsid w:val="00773DED"/>
    <w:rsid w:val="00773F50"/>
    <w:rsid w:val="007743DF"/>
    <w:rsid w:val="00774445"/>
    <w:rsid w:val="00774758"/>
    <w:rsid w:val="00774900"/>
    <w:rsid w:val="0077490D"/>
    <w:rsid w:val="00774A68"/>
    <w:rsid w:val="00774FCE"/>
    <w:rsid w:val="007754F3"/>
    <w:rsid w:val="00775A51"/>
    <w:rsid w:val="00776039"/>
    <w:rsid w:val="00776676"/>
    <w:rsid w:val="00776780"/>
    <w:rsid w:val="00776E3B"/>
    <w:rsid w:val="0077729D"/>
    <w:rsid w:val="007779C5"/>
    <w:rsid w:val="0078070A"/>
    <w:rsid w:val="00780DA7"/>
    <w:rsid w:val="00782089"/>
    <w:rsid w:val="00782139"/>
    <w:rsid w:val="00782233"/>
    <w:rsid w:val="00782C2A"/>
    <w:rsid w:val="00782FE9"/>
    <w:rsid w:val="00783A88"/>
    <w:rsid w:val="00783B99"/>
    <w:rsid w:val="00785C72"/>
    <w:rsid w:val="0078647E"/>
    <w:rsid w:val="00786F31"/>
    <w:rsid w:val="00787C29"/>
    <w:rsid w:val="00787D8C"/>
    <w:rsid w:val="00791509"/>
    <w:rsid w:val="00791D6E"/>
    <w:rsid w:val="00792832"/>
    <w:rsid w:val="007930EE"/>
    <w:rsid w:val="007937E9"/>
    <w:rsid w:val="00793803"/>
    <w:rsid w:val="0079536F"/>
    <w:rsid w:val="0079540E"/>
    <w:rsid w:val="00795C61"/>
    <w:rsid w:val="00795C9B"/>
    <w:rsid w:val="00795EB3"/>
    <w:rsid w:val="00796800"/>
    <w:rsid w:val="00796EC7"/>
    <w:rsid w:val="007A0330"/>
    <w:rsid w:val="007A05FB"/>
    <w:rsid w:val="007A0729"/>
    <w:rsid w:val="007A0737"/>
    <w:rsid w:val="007A07B3"/>
    <w:rsid w:val="007A2520"/>
    <w:rsid w:val="007A387C"/>
    <w:rsid w:val="007A3C7C"/>
    <w:rsid w:val="007A3CC0"/>
    <w:rsid w:val="007A3E0E"/>
    <w:rsid w:val="007A404E"/>
    <w:rsid w:val="007A494C"/>
    <w:rsid w:val="007A4A95"/>
    <w:rsid w:val="007A4DB4"/>
    <w:rsid w:val="007A545A"/>
    <w:rsid w:val="007A5992"/>
    <w:rsid w:val="007A6C38"/>
    <w:rsid w:val="007A71FC"/>
    <w:rsid w:val="007A7C74"/>
    <w:rsid w:val="007B017D"/>
    <w:rsid w:val="007B060D"/>
    <w:rsid w:val="007B119A"/>
    <w:rsid w:val="007B14E9"/>
    <w:rsid w:val="007B1C78"/>
    <w:rsid w:val="007B2019"/>
    <w:rsid w:val="007B292F"/>
    <w:rsid w:val="007B4245"/>
    <w:rsid w:val="007B487E"/>
    <w:rsid w:val="007B4A46"/>
    <w:rsid w:val="007B4B58"/>
    <w:rsid w:val="007B6A85"/>
    <w:rsid w:val="007B6BB1"/>
    <w:rsid w:val="007C13AF"/>
    <w:rsid w:val="007C18AD"/>
    <w:rsid w:val="007C22C0"/>
    <w:rsid w:val="007C28C7"/>
    <w:rsid w:val="007C2911"/>
    <w:rsid w:val="007C3B19"/>
    <w:rsid w:val="007C44D2"/>
    <w:rsid w:val="007C4A65"/>
    <w:rsid w:val="007C4C02"/>
    <w:rsid w:val="007C6689"/>
    <w:rsid w:val="007C7187"/>
    <w:rsid w:val="007C722C"/>
    <w:rsid w:val="007C7A39"/>
    <w:rsid w:val="007D010D"/>
    <w:rsid w:val="007D02F4"/>
    <w:rsid w:val="007D0737"/>
    <w:rsid w:val="007D076B"/>
    <w:rsid w:val="007D2307"/>
    <w:rsid w:val="007D270C"/>
    <w:rsid w:val="007D408D"/>
    <w:rsid w:val="007D50E7"/>
    <w:rsid w:val="007D5A7F"/>
    <w:rsid w:val="007D5B75"/>
    <w:rsid w:val="007D5CEC"/>
    <w:rsid w:val="007D67FE"/>
    <w:rsid w:val="007D6837"/>
    <w:rsid w:val="007E0099"/>
    <w:rsid w:val="007E0D94"/>
    <w:rsid w:val="007E2043"/>
    <w:rsid w:val="007E2081"/>
    <w:rsid w:val="007E25EF"/>
    <w:rsid w:val="007E2871"/>
    <w:rsid w:val="007E303C"/>
    <w:rsid w:val="007E3AE2"/>
    <w:rsid w:val="007E4489"/>
    <w:rsid w:val="007E465C"/>
    <w:rsid w:val="007E4986"/>
    <w:rsid w:val="007E5555"/>
    <w:rsid w:val="007E5700"/>
    <w:rsid w:val="007E5DBB"/>
    <w:rsid w:val="007E5DBC"/>
    <w:rsid w:val="007E5EA3"/>
    <w:rsid w:val="007E69AA"/>
    <w:rsid w:val="007E6A15"/>
    <w:rsid w:val="007E760A"/>
    <w:rsid w:val="007E7B7E"/>
    <w:rsid w:val="007F0753"/>
    <w:rsid w:val="007F11A5"/>
    <w:rsid w:val="007F1446"/>
    <w:rsid w:val="007F1E6E"/>
    <w:rsid w:val="007F2AD6"/>
    <w:rsid w:val="007F2D86"/>
    <w:rsid w:val="007F362F"/>
    <w:rsid w:val="007F38D6"/>
    <w:rsid w:val="007F3B9D"/>
    <w:rsid w:val="007F5553"/>
    <w:rsid w:val="007F55D6"/>
    <w:rsid w:val="007F5A75"/>
    <w:rsid w:val="007F5C83"/>
    <w:rsid w:val="007F5F49"/>
    <w:rsid w:val="007F6306"/>
    <w:rsid w:val="007F705B"/>
    <w:rsid w:val="0080039A"/>
    <w:rsid w:val="00800CAE"/>
    <w:rsid w:val="0080192C"/>
    <w:rsid w:val="00801CB3"/>
    <w:rsid w:val="00801D06"/>
    <w:rsid w:val="00801F6B"/>
    <w:rsid w:val="00802104"/>
    <w:rsid w:val="008021A4"/>
    <w:rsid w:val="00802CCE"/>
    <w:rsid w:val="00802D74"/>
    <w:rsid w:val="00802EC7"/>
    <w:rsid w:val="00803265"/>
    <w:rsid w:val="00804D36"/>
    <w:rsid w:val="00804E31"/>
    <w:rsid w:val="0080501D"/>
    <w:rsid w:val="0080664D"/>
    <w:rsid w:val="00806C14"/>
    <w:rsid w:val="008070C1"/>
    <w:rsid w:val="0081054D"/>
    <w:rsid w:val="00810759"/>
    <w:rsid w:val="008111A4"/>
    <w:rsid w:val="008111CD"/>
    <w:rsid w:val="008113F8"/>
    <w:rsid w:val="0081148E"/>
    <w:rsid w:val="0081149A"/>
    <w:rsid w:val="00811E54"/>
    <w:rsid w:val="00811E8B"/>
    <w:rsid w:val="008124CC"/>
    <w:rsid w:val="00813D0D"/>
    <w:rsid w:val="008141E4"/>
    <w:rsid w:val="008147B1"/>
    <w:rsid w:val="00814C7C"/>
    <w:rsid w:val="0081542F"/>
    <w:rsid w:val="00815DE6"/>
    <w:rsid w:val="00816930"/>
    <w:rsid w:val="0081791B"/>
    <w:rsid w:val="00817B9A"/>
    <w:rsid w:val="00817FC1"/>
    <w:rsid w:val="0082065A"/>
    <w:rsid w:val="00820BCD"/>
    <w:rsid w:val="00820C98"/>
    <w:rsid w:val="008212DA"/>
    <w:rsid w:val="00821869"/>
    <w:rsid w:val="00822005"/>
    <w:rsid w:val="00822438"/>
    <w:rsid w:val="00822934"/>
    <w:rsid w:val="00822B79"/>
    <w:rsid w:val="00822E04"/>
    <w:rsid w:val="008231EF"/>
    <w:rsid w:val="00823EEB"/>
    <w:rsid w:val="00824251"/>
    <w:rsid w:val="008244FB"/>
    <w:rsid w:val="00825C42"/>
    <w:rsid w:val="00825CDA"/>
    <w:rsid w:val="00826154"/>
    <w:rsid w:val="008267D6"/>
    <w:rsid w:val="00826B23"/>
    <w:rsid w:val="00826B67"/>
    <w:rsid w:val="00827188"/>
    <w:rsid w:val="00832948"/>
    <w:rsid w:val="00832BBF"/>
    <w:rsid w:val="00832CF4"/>
    <w:rsid w:val="00832FE8"/>
    <w:rsid w:val="00833AE2"/>
    <w:rsid w:val="00834213"/>
    <w:rsid w:val="00834591"/>
    <w:rsid w:val="0083488F"/>
    <w:rsid w:val="00834E20"/>
    <w:rsid w:val="00835073"/>
    <w:rsid w:val="00835592"/>
    <w:rsid w:val="00835904"/>
    <w:rsid w:val="00835FBA"/>
    <w:rsid w:val="00836091"/>
    <w:rsid w:val="00836DB9"/>
    <w:rsid w:val="00837322"/>
    <w:rsid w:val="008376FA"/>
    <w:rsid w:val="008378C3"/>
    <w:rsid w:val="00840366"/>
    <w:rsid w:val="00841705"/>
    <w:rsid w:val="00842802"/>
    <w:rsid w:val="008430B1"/>
    <w:rsid w:val="008433BF"/>
    <w:rsid w:val="0084390B"/>
    <w:rsid w:val="0084394F"/>
    <w:rsid w:val="00843B2E"/>
    <w:rsid w:val="0084534C"/>
    <w:rsid w:val="00845466"/>
    <w:rsid w:val="008464ED"/>
    <w:rsid w:val="00846B9A"/>
    <w:rsid w:val="00847070"/>
    <w:rsid w:val="0084738E"/>
    <w:rsid w:val="00847992"/>
    <w:rsid w:val="008501B1"/>
    <w:rsid w:val="00850D50"/>
    <w:rsid w:val="00850DAC"/>
    <w:rsid w:val="008513DB"/>
    <w:rsid w:val="00852055"/>
    <w:rsid w:val="00852350"/>
    <w:rsid w:val="00852399"/>
    <w:rsid w:val="00852658"/>
    <w:rsid w:val="0085308A"/>
    <w:rsid w:val="0085350F"/>
    <w:rsid w:val="008539A7"/>
    <w:rsid w:val="00853B92"/>
    <w:rsid w:val="00854287"/>
    <w:rsid w:val="008554F2"/>
    <w:rsid w:val="00855501"/>
    <w:rsid w:val="0085555D"/>
    <w:rsid w:val="00855ABD"/>
    <w:rsid w:val="00855FA3"/>
    <w:rsid w:val="0085607D"/>
    <w:rsid w:val="00856B29"/>
    <w:rsid w:val="00856D63"/>
    <w:rsid w:val="008574ED"/>
    <w:rsid w:val="00861183"/>
    <w:rsid w:val="00861421"/>
    <w:rsid w:val="00861589"/>
    <w:rsid w:val="0086198D"/>
    <w:rsid w:val="00862763"/>
    <w:rsid w:val="008629B1"/>
    <w:rsid w:val="00862BFD"/>
    <w:rsid w:val="00862F5F"/>
    <w:rsid w:val="008635CB"/>
    <w:rsid w:val="008644EC"/>
    <w:rsid w:val="00864E44"/>
    <w:rsid w:val="0086509A"/>
    <w:rsid w:val="00865197"/>
    <w:rsid w:val="00866235"/>
    <w:rsid w:val="0086680C"/>
    <w:rsid w:val="00867187"/>
    <w:rsid w:val="008671E0"/>
    <w:rsid w:val="00867B12"/>
    <w:rsid w:val="00867C2E"/>
    <w:rsid w:val="00870404"/>
    <w:rsid w:val="00870AE9"/>
    <w:rsid w:val="00870F52"/>
    <w:rsid w:val="00871B68"/>
    <w:rsid w:val="00872954"/>
    <w:rsid w:val="00873607"/>
    <w:rsid w:val="00873796"/>
    <w:rsid w:val="00873B2D"/>
    <w:rsid w:val="00874A78"/>
    <w:rsid w:val="00874ADF"/>
    <w:rsid w:val="00874E46"/>
    <w:rsid w:val="0087596F"/>
    <w:rsid w:val="00876248"/>
    <w:rsid w:val="0087680F"/>
    <w:rsid w:val="008769EF"/>
    <w:rsid w:val="008776C9"/>
    <w:rsid w:val="00880BC0"/>
    <w:rsid w:val="00880CBA"/>
    <w:rsid w:val="00880D95"/>
    <w:rsid w:val="00881270"/>
    <w:rsid w:val="00881915"/>
    <w:rsid w:val="00881C35"/>
    <w:rsid w:val="008829D8"/>
    <w:rsid w:val="008836A6"/>
    <w:rsid w:val="00883A55"/>
    <w:rsid w:val="00883DBC"/>
    <w:rsid w:val="00883F08"/>
    <w:rsid w:val="008847B1"/>
    <w:rsid w:val="008847D6"/>
    <w:rsid w:val="00884DC3"/>
    <w:rsid w:val="00885B23"/>
    <w:rsid w:val="00886317"/>
    <w:rsid w:val="008868EF"/>
    <w:rsid w:val="008870C1"/>
    <w:rsid w:val="0088769C"/>
    <w:rsid w:val="00887874"/>
    <w:rsid w:val="00887D82"/>
    <w:rsid w:val="00890704"/>
    <w:rsid w:val="00890CD9"/>
    <w:rsid w:val="00891246"/>
    <w:rsid w:val="00891768"/>
    <w:rsid w:val="008921CA"/>
    <w:rsid w:val="008925D1"/>
    <w:rsid w:val="008925EB"/>
    <w:rsid w:val="0089314C"/>
    <w:rsid w:val="00893606"/>
    <w:rsid w:val="00894369"/>
    <w:rsid w:val="00894AD3"/>
    <w:rsid w:val="00895697"/>
    <w:rsid w:val="00895DAB"/>
    <w:rsid w:val="008960CC"/>
    <w:rsid w:val="0089661B"/>
    <w:rsid w:val="008970AB"/>
    <w:rsid w:val="0089713D"/>
    <w:rsid w:val="008973D9"/>
    <w:rsid w:val="008974F0"/>
    <w:rsid w:val="008A0986"/>
    <w:rsid w:val="008A0C69"/>
    <w:rsid w:val="008A0D6A"/>
    <w:rsid w:val="008A2E37"/>
    <w:rsid w:val="008A2FEA"/>
    <w:rsid w:val="008A30C6"/>
    <w:rsid w:val="008A3EE7"/>
    <w:rsid w:val="008A3F50"/>
    <w:rsid w:val="008A41EF"/>
    <w:rsid w:val="008A4780"/>
    <w:rsid w:val="008A4F23"/>
    <w:rsid w:val="008A5046"/>
    <w:rsid w:val="008A69D5"/>
    <w:rsid w:val="008A6F4D"/>
    <w:rsid w:val="008A7354"/>
    <w:rsid w:val="008A7874"/>
    <w:rsid w:val="008A78A6"/>
    <w:rsid w:val="008B0CA4"/>
    <w:rsid w:val="008B10AE"/>
    <w:rsid w:val="008B1693"/>
    <w:rsid w:val="008B1E76"/>
    <w:rsid w:val="008B2365"/>
    <w:rsid w:val="008B269D"/>
    <w:rsid w:val="008B3453"/>
    <w:rsid w:val="008B35D3"/>
    <w:rsid w:val="008B43E2"/>
    <w:rsid w:val="008B4522"/>
    <w:rsid w:val="008B4673"/>
    <w:rsid w:val="008B5563"/>
    <w:rsid w:val="008B796E"/>
    <w:rsid w:val="008B7F11"/>
    <w:rsid w:val="008C06A4"/>
    <w:rsid w:val="008C0B04"/>
    <w:rsid w:val="008C0D76"/>
    <w:rsid w:val="008C183E"/>
    <w:rsid w:val="008C1AF9"/>
    <w:rsid w:val="008C1E60"/>
    <w:rsid w:val="008C2329"/>
    <w:rsid w:val="008C3C82"/>
    <w:rsid w:val="008C4146"/>
    <w:rsid w:val="008C47CD"/>
    <w:rsid w:val="008C4811"/>
    <w:rsid w:val="008C59F4"/>
    <w:rsid w:val="008C5C76"/>
    <w:rsid w:val="008C613F"/>
    <w:rsid w:val="008C69C8"/>
    <w:rsid w:val="008C6E41"/>
    <w:rsid w:val="008C7CE2"/>
    <w:rsid w:val="008D00F7"/>
    <w:rsid w:val="008D0DAE"/>
    <w:rsid w:val="008D1727"/>
    <w:rsid w:val="008D18AA"/>
    <w:rsid w:val="008D1F6C"/>
    <w:rsid w:val="008D3158"/>
    <w:rsid w:val="008D407E"/>
    <w:rsid w:val="008D40C7"/>
    <w:rsid w:val="008D4192"/>
    <w:rsid w:val="008D5624"/>
    <w:rsid w:val="008D6C80"/>
    <w:rsid w:val="008D7273"/>
    <w:rsid w:val="008D72F0"/>
    <w:rsid w:val="008D75B6"/>
    <w:rsid w:val="008D79C2"/>
    <w:rsid w:val="008E01AF"/>
    <w:rsid w:val="008E04DA"/>
    <w:rsid w:val="008E07BE"/>
    <w:rsid w:val="008E1244"/>
    <w:rsid w:val="008E2697"/>
    <w:rsid w:val="008E29A0"/>
    <w:rsid w:val="008E311D"/>
    <w:rsid w:val="008E3ED4"/>
    <w:rsid w:val="008E3F02"/>
    <w:rsid w:val="008E40EE"/>
    <w:rsid w:val="008E4C8D"/>
    <w:rsid w:val="008E549E"/>
    <w:rsid w:val="008E54C1"/>
    <w:rsid w:val="008E55C8"/>
    <w:rsid w:val="008E576E"/>
    <w:rsid w:val="008E6E2D"/>
    <w:rsid w:val="008E72C3"/>
    <w:rsid w:val="008E7389"/>
    <w:rsid w:val="008E73F5"/>
    <w:rsid w:val="008E7769"/>
    <w:rsid w:val="008E7B02"/>
    <w:rsid w:val="008F06C2"/>
    <w:rsid w:val="008F06D4"/>
    <w:rsid w:val="008F0A41"/>
    <w:rsid w:val="008F0D0A"/>
    <w:rsid w:val="008F1416"/>
    <w:rsid w:val="008F188D"/>
    <w:rsid w:val="008F1997"/>
    <w:rsid w:val="008F1B0C"/>
    <w:rsid w:val="008F39C0"/>
    <w:rsid w:val="008F4D25"/>
    <w:rsid w:val="008F52EA"/>
    <w:rsid w:val="008F5922"/>
    <w:rsid w:val="008F59F8"/>
    <w:rsid w:val="008F6209"/>
    <w:rsid w:val="008F6373"/>
    <w:rsid w:val="008F6EC4"/>
    <w:rsid w:val="00900074"/>
    <w:rsid w:val="009021A4"/>
    <w:rsid w:val="00902CD9"/>
    <w:rsid w:val="00902F27"/>
    <w:rsid w:val="00902F91"/>
    <w:rsid w:val="009032E9"/>
    <w:rsid w:val="00903807"/>
    <w:rsid w:val="00903974"/>
    <w:rsid w:val="0090444F"/>
    <w:rsid w:val="0090457F"/>
    <w:rsid w:val="00904ADA"/>
    <w:rsid w:val="0090583D"/>
    <w:rsid w:val="00905A86"/>
    <w:rsid w:val="00905C6C"/>
    <w:rsid w:val="00906004"/>
    <w:rsid w:val="00906032"/>
    <w:rsid w:val="00906683"/>
    <w:rsid w:val="009066BC"/>
    <w:rsid w:val="00906AA3"/>
    <w:rsid w:val="00906CC2"/>
    <w:rsid w:val="00906F02"/>
    <w:rsid w:val="00907A5F"/>
    <w:rsid w:val="00907A98"/>
    <w:rsid w:val="00907F93"/>
    <w:rsid w:val="009101F2"/>
    <w:rsid w:val="009105BB"/>
    <w:rsid w:val="00910BBF"/>
    <w:rsid w:val="0091146C"/>
    <w:rsid w:val="009122A8"/>
    <w:rsid w:val="00913059"/>
    <w:rsid w:val="00913BCA"/>
    <w:rsid w:val="009142C5"/>
    <w:rsid w:val="00914709"/>
    <w:rsid w:val="00914B9D"/>
    <w:rsid w:val="00914D76"/>
    <w:rsid w:val="00915874"/>
    <w:rsid w:val="00915D32"/>
    <w:rsid w:val="009160C3"/>
    <w:rsid w:val="00916464"/>
    <w:rsid w:val="00916DFD"/>
    <w:rsid w:val="009171A9"/>
    <w:rsid w:val="009171C2"/>
    <w:rsid w:val="0091726A"/>
    <w:rsid w:val="00920696"/>
    <w:rsid w:val="00920A67"/>
    <w:rsid w:val="00920C82"/>
    <w:rsid w:val="00923861"/>
    <w:rsid w:val="00923DB2"/>
    <w:rsid w:val="009241A4"/>
    <w:rsid w:val="00924729"/>
    <w:rsid w:val="00924A1F"/>
    <w:rsid w:val="009252FF"/>
    <w:rsid w:val="0092546F"/>
    <w:rsid w:val="0092644F"/>
    <w:rsid w:val="009278B4"/>
    <w:rsid w:val="00927A88"/>
    <w:rsid w:val="00930B39"/>
    <w:rsid w:val="00931283"/>
    <w:rsid w:val="0093174C"/>
    <w:rsid w:val="009347F9"/>
    <w:rsid w:val="00934AE3"/>
    <w:rsid w:val="009351B7"/>
    <w:rsid w:val="009357D5"/>
    <w:rsid w:val="00935AEA"/>
    <w:rsid w:val="00935B2A"/>
    <w:rsid w:val="00936271"/>
    <w:rsid w:val="0093698A"/>
    <w:rsid w:val="00936D8F"/>
    <w:rsid w:val="00936F2B"/>
    <w:rsid w:val="00936FA5"/>
    <w:rsid w:val="00936FFD"/>
    <w:rsid w:val="0093700E"/>
    <w:rsid w:val="0093793B"/>
    <w:rsid w:val="009402EF"/>
    <w:rsid w:val="0094115A"/>
    <w:rsid w:val="00941C12"/>
    <w:rsid w:val="009420E5"/>
    <w:rsid w:val="009429BB"/>
    <w:rsid w:val="00942D50"/>
    <w:rsid w:val="00943371"/>
    <w:rsid w:val="009447A1"/>
    <w:rsid w:val="009454F8"/>
    <w:rsid w:val="0094557A"/>
    <w:rsid w:val="00945EDB"/>
    <w:rsid w:val="00946252"/>
    <w:rsid w:val="009500F7"/>
    <w:rsid w:val="009512BF"/>
    <w:rsid w:val="009520CE"/>
    <w:rsid w:val="00952331"/>
    <w:rsid w:val="0095313E"/>
    <w:rsid w:val="009548EB"/>
    <w:rsid w:val="0095490C"/>
    <w:rsid w:val="00954E14"/>
    <w:rsid w:val="00954E39"/>
    <w:rsid w:val="009554B0"/>
    <w:rsid w:val="00955EDB"/>
    <w:rsid w:val="00956103"/>
    <w:rsid w:val="009568C8"/>
    <w:rsid w:val="00956CB6"/>
    <w:rsid w:val="009570A4"/>
    <w:rsid w:val="009571C2"/>
    <w:rsid w:val="00960591"/>
    <w:rsid w:val="00960F24"/>
    <w:rsid w:val="00960FFA"/>
    <w:rsid w:val="0096223A"/>
    <w:rsid w:val="0096255D"/>
    <w:rsid w:val="00963067"/>
    <w:rsid w:val="009632D8"/>
    <w:rsid w:val="00963D31"/>
    <w:rsid w:val="009642AA"/>
    <w:rsid w:val="00964DEE"/>
    <w:rsid w:val="00964F8F"/>
    <w:rsid w:val="009656BB"/>
    <w:rsid w:val="00965FF3"/>
    <w:rsid w:val="00967620"/>
    <w:rsid w:val="00967BE4"/>
    <w:rsid w:val="00967ED0"/>
    <w:rsid w:val="009703A1"/>
    <w:rsid w:val="00970951"/>
    <w:rsid w:val="00970F32"/>
    <w:rsid w:val="00970FBE"/>
    <w:rsid w:val="00972557"/>
    <w:rsid w:val="0097295F"/>
    <w:rsid w:val="00972985"/>
    <w:rsid w:val="00972DA9"/>
    <w:rsid w:val="009738AB"/>
    <w:rsid w:val="00973CD7"/>
    <w:rsid w:val="00973F57"/>
    <w:rsid w:val="009744D9"/>
    <w:rsid w:val="00975574"/>
    <w:rsid w:val="00976461"/>
    <w:rsid w:val="00976711"/>
    <w:rsid w:val="00976F9E"/>
    <w:rsid w:val="0097773E"/>
    <w:rsid w:val="00980F21"/>
    <w:rsid w:val="00981B0E"/>
    <w:rsid w:val="00981B83"/>
    <w:rsid w:val="00981BA4"/>
    <w:rsid w:val="009824F7"/>
    <w:rsid w:val="00983957"/>
    <w:rsid w:val="00984084"/>
    <w:rsid w:val="00984C5D"/>
    <w:rsid w:val="00984F18"/>
    <w:rsid w:val="0098534D"/>
    <w:rsid w:val="00985436"/>
    <w:rsid w:val="00985486"/>
    <w:rsid w:val="00985557"/>
    <w:rsid w:val="009855C0"/>
    <w:rsid w:val="00985716"/>
    <w:rsid w:val="00985832"/>
    <w:rsid w:val="00985AC2"/>
    <w:rsid w:val="00987304"/>
    <w:rsid w:val="00987546"/>
    <w:rsid w:val="009877FF"/>
    <w:rsid w:val="00987BA0"/>
    <w:rsid w:val="0099062E"/>
    <w:rsid w:val="00990C07"/>
    <w:rsid w:val="0099156F"/>
    <w:rsid w:val="0099175C"/>
    <w:rsid w:val="009926C2"/>
    <w:rsid w:val="00992F7B"/>
    <w:rsid w:val="00993324"/>
    <w:rsid w:val="00993406"/>
    <w:rsid w:val="0099419A"/>
    <w:rsid w:val="0099429B"/>
    <w:rsid w:val="00994A2E"/>
    <w:rsid w:val="00994A72"/>
    <w:rsid w:val="0099650A"/>
    <w:rsid w:val="00996AC5"/>
    <w:rsid w:val="00997769"/>
    <w:rsid w:val="009978F8"/>
    <w:rsid w:val="009A0338"/>
    <w:rsid w:val="009A1724"/>
    <w:rsid w:val="009A37F3"/>
    <w:rsid w:val="009A3EAD"/>
    <w:rsid w:val="009A47D1"/>
    <w:rsid w:val="009A4EF9"/>
    <w:rsid w:val="009A541C"/>
    <w:rsid w:val="009A5FB3"/>
    <w:rsid w:val="009A6C7A"/>
    <w:rsid w:val="009A7F42"/>
    <w:rsid w:val="009B0CFD"/>
    <w:rsid w:val="009B109F"/>
    <w:rsid w:val="009B1A4C"/>
    <w:rsid w:val="009B25AE"/>
    <w:rsid w:val="009B29D4"/>
    <w:rsid w:val="009B2B73"/>
    <w:rsid w:val="009B2B7E"/>
    <w:rsid w:val="009B2C62"/>
    <w:rsid w:val="009B38B6"/>
    <w:rsid w:val="009B4175"/>
    <w:rsid w:val="009B46D5"/>
    <w:rsid w:val="009B4FB4"/>
    <w:rsid w:val="009B5814"/>
    <w:rsid w:val="009B5F6F"/>
    <w:rsid w:val="009B6038"/>
    <w:rsid w:val="009B6565"/>
    <w:rsid w:val="009B6A76"/>
    <w:rsid w:val="009B6C6C"/>
    <w:rsid w:val="009B711B"/>
    <w:rsid w:val="009B7A64"/>
    <w:rsid w:val="009C0634"/>
    <w:rsid w:val="009C07A7"/>
    <w:rsid w:val="009C09D0"/>
    <w:rsid w:val="009C0A12"/>
    <w:rsid w:val="009C0DE5"/>
    <w:rsid w:val="009C1300"/>
    <w:rsid w:val="009C1494"/>
    <w:rsid w:val="009C1623"/>
    <w:rsid w:val="009C1FDF"/>
    <w:rsid w:val="009C2028"/>
    <w:rsid w:val="009C29D7"/>
    <w:rsid w:val="009C2AA8"/>
    <w:rsid w:val="009C337D"/>
    <w:rsid w:val="009C34C0"/>
    <w:rsid w:val="009C39B7"/>
    <w:rsid w:val="009C3AF5"/>
    <w:rsid w:val="009C430B"/>
    <w:rsid w:val="009C56BF"/>
    <w:rsid w:val="009C5F8A"/>
    <w:rsid w:val="009C660C"/>
    <w:rsid w:val="009C66C1"/>
    <w:rsid w:val="009C7188"/>
    <w:rsid w:val="009C734E"/>
    <w:rsid w:val="009C75E4"/>
    <w:rsid w:val="009C78D7"/>
    <w:rsid w:val="009C7C42"/>
    <w:rsid w:val="009D0A7D"/>
    <w:rsid w:val="009D1A21"/>
    <w:rsid w:val="009D1F44"/>
    <w:rsid w:val="009D2B1C"/>
    <w:rsid w:val="009D2F0A"/>
    <w:rsid w:val="009D34B7"/>
    <w:rsid w:val="009D3A52"/>
    <w:rsid w:val="009D3ADC"/>
    <w:rsid w:val="009D573A"/>
    <w:rsid w:val="009D6165"/>
    <w:rsid w:val="009D631C"/>
    <w:rsid w:val="009D6398"/>
    <w:rsid w:val="009D66F1"/>
    <w:rsid w:val="009D6732"/>
    <w:rsid w:val="009D7748"/>
    <w:rsid w:val="009D77C8"/>
    <w:rsid w:val="009D7CFB"/>
    <w:rsid w:val="009E113B"/>
    <w:rsid w:val="009E277E"/>
    <w:rsid w:val="009E2FB5"/>
    <w:rsid w:val="009E3521"/>
    <w:rsid w:val="009E3618"/>
    <w:rsid w:val="009E3D5E"/>
    <w:rsid w:val="009E432B"/>
    <w:rsid w:val="009E45ED"/>
    <w:rsid w:val="009E4CF4"/>
    <w:rsid w:val="009E4ED5"/>
    <w:rsid w:val="009E5955"/>
    <w:rsid w:val="009E6467"/>
    <w:rsid w:val="009E6A19"/>
    <w:rsid w:val="009E74ED"/>
    <w:rsid w:val="009E7F6F"/>
    <w:rsid w:val="009F0012"/>
    <w:rsid w:val="009F0558"/>
    <w:rsid w:val="009F0D25"/>
    <w:rsid w:val="009F1086"/>
    <w:rsid w:val="009F12C6"/>
    <w:rsid w:val="009F1AD9"/>
    <w:rsid w:val="009F27CF"/>
    <w:rsid w:val="009F27ED"/>
    <w:rsid w:val="009F37DE"/>
    <w:rsid w:val="009F494C"/>
    <w:rsid w:val="009F52E5"/>
    <w:rsid w:val="009F5F9D"/>
    <w:rsid w:val="009F5FB1"/>
    <w:rsid w:val="009F622B"/>
    <w:rsid w:val="009F68D5"/>
    <w:rsid w:val="009F6E95"/>
    <w:rsid w:val="009F7B28"/>
    <w:rsid w:val="009F7EDC"/>
    <w:rsid w:val="00A002F3"/>
    <w:rsid w:val="00A00737"/>
    <w:rsid w:val="00A019EF"/>
    <w:rsid w:val="00A01EA5"/>
    <w:rsid w:val="00A01EE8"/>
    <w:rsid w:val="00A0254F"/>
    <w:rsid w:val="00A02805"/>
    <w:rsid w:val="00A031CF"/>
    <w:rsid w:val="00A03A4D"/>
    <w:rsid w:val="00A03B5C"/>
    <w:rsid w:val="00A03F27"/>
    <w:rsid w:val="00A067A3"/>
    <w:rsid w:val="00A06D73"/>
    <w:rsid w:val="00A070B8"/>
    <w:rsid w:val="00A07215"/>
    <w:rsid w:val="00A07612"/>
    <w:rsid w:val="00A078B8"/>
    <w:rsid w:val="00A102BE"/>
    <w:rsid w:val="00A110A9"/>
    <w:rsid w:val="00A11192"/>
    <w:rsid w:val="00A11AFE"/>
    <w:rsid w:val="00A11BEB"/>
    <w:rsid w:val="00A11EF1"/>
    <w:rsid w:val="00A12103"/>
    <w:rsid w:val="00A122CC"/>
    <w:rsid w:val="00A124E1"/>
    <w:rsid w:val="00A1257F"/>
    <w:rsid w:val="00A13EEB"/>
    <w:rsid w:val="00A14A83"/>
    <w:rsid w:val="00A151BF"/>
    <w:rsid w:val="00A15750"/>
    <w:rsid w:val="00A16479"/>
    <w:rsid w:val="00A1763C"/>
    <w:rsid w:val="00A17994"/>
    <w:rsid w:val="00A20AFD"/>
    <w:rsid w:val="00A20FF7"/>
    <w:rsid w:val="00A21249"/>
    <w:rsid w:val="00A21AC4"/>
    <w:rsid w:val="00A2204E"/>
    <w:rsid w:val="00A22578"/>
    <w:rsid w:val="00A228FA"/>
    <w:rsid w:val="00A22BDA"/>
    <w:rsid w:val="00A232C8"/>
    <w:rsid w:val="00A23369"/>
    <w:rsid w:val="00A237A6"/>
    <w:rsid w:val="00A24475"/>
    <w:rsid w:val="00A24880"/>
    <w:rsid w:val="00A257E9"/>
    <w:rsid w:val="00A266C1"/>
    <w:rsid w:val="00A26AC7"/>
    <w:rsid w:val="00A26C2A"/>
    <w:rsid w:val="00A27445"/>
    <w:rsid w:val="00A27DAD"/>
    <w:rsid w:val="00A3048E"/>
    <w:rsid w:val="00A310AB"/>
    <w:rsid w:val="00A31657"/>
    <w:rsid w:val="00A3184C"/>
    <w:rsid w:val="00A31E16"/>
    <w:rsid w:val="00A32257"/>
    <w:rsid w:val="00A323C6"/>
    <w:rsid w:val="00A334F7"/>
    <w:rsid w:val="00A33845"/>
    <w:rsid w:val="00A338BC"/>
    <w:rsid w:val="00A34BEA"/>
    <w:rsid w:val="00A364B4"/>
    <w:rsid w:val="00A3747F"/>
    <w:rsid w:val="00A378FB"/>
    <w:rsid w:val="00A40344"/>
    <w:rsid w:val="00A40DE6"/>
    <w:rsid w:val="00A41472"/>
    <w:rsid w:val="00A418FD"/>
    <w:rsid w:val="00A423CE"/>
    <w:rsid w:val="00A42E1A"/>
    <w:rsid w:val="00A42EEA"/>
    <w:rsid w:val="00A43352"/>
    <w:rsid w:val="00A449D3"/>
    <w:rsid w:val="00A45590"/>
    <w:rsid w:val="00A45BF6"/>
    <w:rsid w:val="00A45C03"/>
    <w:rsid w:val="00A461BA"/>
    <w:rsid w:val="00A46597"/>
    <w:rsid w:val="00A46C3A"/>
    <w:rsid w:val="00A47187"/>
    <w:rsid w:val="00A47B0A"/>
    <w:rsid w:val="00A50990"/>
    <w:rsid w:val="00A50B42"/>
    <w:rsid w:val="00A50E6D"/>
    <w:rsid w:val="00A5206C"/>
    <w:rsid w:val="00A52118"/>
    <w:rsid w:val="00A527E6"/>
    <w:rsid w:val="00A53548"/>
    <w:rsid w:val="00A53670"/>
    <w:rsid w:val="00A5402B"/>
    <w:rsid w:val="00A54545"/>
    <w:rsid w:val="00A54BFE"/>
    <w:rsid w:val="00A55306"/>
    <w:rsid w:val="00A55349"/>
    <w:rsid w:val="00A55475"/>
    <w:rsid w:val="00A56B92"/>
    <w:rsid w:val="00A572C0"/>
    <w:rsid w:val="00A57E2A"/>
    <w:rsid w:val="00A601C3"/>
    <w:rsid w:val="00A60952"/>
    <w:rsid w:val="00A61704"/>
    <w:rsid w:val="00A61CEE"/>
    <w:rsid w:val="00A62427"/>
    <w:rsid w:val="00A63E01"/>
    <w:rsid w:val="00A6431B"/>
    <w:rsid w:val="00A64D4F"/>
    <w:rsid w:val="00A65206"/>
    <w:rsid w:val="00A65653"/>
    <w:rsid w:val="00A65714"/>
    <w:rsid w:val="00A65A26"/>
    <w:rsid w:val="00A65BA7"/>
    <w:rsid w:val="00A65D0B"/>
    <w:rsid w:val="00A66582"/>
    <w:rsid w:val="00A668FF"/>
    <w:rsid w:val="00A66AFD"/>
    <w:rsid w:val="00A66FB2"/>
    <w:rsid w:val="00A67D01"/>
    <w:rsid w:val="00A67E14"/>
    <w:rsid w:val="00A67E18"/>
    <w:rsid w:val="00A67EAC"/>
    <w:rsid w:val="00A7037E"/>
    <w:rsid w:val="00A70C55"/>
    <w:rsid w:val="00A71334"/>
    <w:rsid w:val="00A717E6"/>
    <w:rsid w:val="00A71924"/>
    <w:rsid w:val="00A71BCC"/>
    <w:rsid w:val="00A722D5"/>
    <w:rsid w:val="00A72870"/>
    <w:rsid w:val="00A72FA3"/>
    <w:rsid w:val="00A73DAA"/>
    <w:rsid w:val="00A73DEF"/>
    <w:rsid w:val="00A7427E"/>
    <w:rsid w:val="00A7686B"/>
    <w:rsid w:val="00A76D00"/>
    <w:rsid w:val="00A77018"/>
    <w:rsid w:val="00A800A7"/>
    <w:rsid w:val="00A8082E"/>
    <w:rsid w:val="00A809D7"/>
    <w:rsid w:val="00A80FAD"/>
    <w:rsid w:val="00A8263A"/>
    <w:rsid w:val="00A837EE"/>
    <w:rsid w:val="00A838AD"/>
    <w:rsid w:val="00A840B0"/>
    <w:rsid w:val="00A84731"/>
    <w:rsid w:val="00A84764"/>
    <w:rsid w:val="00A84CCD"/>
    <w:rsid w:val="00A85623"/>
    <w:rsid w:val="00A8576B"/>
    <w:rsid w:val="00A859BC"/>
    <w:rsid w:val="00A859D7"/>
    <w:rsid w:val="00A859E6"/>
    <w:rsid w:val="00A865FB"/>
    <w:rsid w:val="00A8686C"/>
    <w:rsid w:val="00A873BF"/>
    <w:rsid w:val="00A90808"/>
    <w:rsid w:val="00A91ADF"/>
    <w:rsid w:val="00A92494"/>
    <w:rsid w:val="00A928CC"/>
    <w:rsid w:val="00A933F4"/>
    <w:rsid w:val="00A943DA"/>
    <w:rsid w:val="00A9445D"/>
    <w:rsid w:val="00A94934"/>
    <w:rsid w:val="00A94A0E"/>
    <w:rsid w:val="00A95100"/>
    <w:rsid w:val="00A9569E"/>
    <w:rsid w:val="00A963C8"/>
    <w:rsid w:val="00A9712A"/>
    <w:rsid w:val="00A972E1"/>
    <w:rsid w:val="00A9734F"/>
    <w:rsid w:val="00AA113D"/>
    <w:rsid w:val="00AA182A"/>
    <w:rsid w:val="00AA220A"/>
    <w:rsid w:val="00AA2830"/>
    <w:rsid w:val="00AA2D9F"/>
    <w:rsid w:val="00AA3380"/>
    <w:rsid w:val="00AA3BE9"/>
    <w:rsid w:val="00AA3C95"/>
    <w:rsid w:val="00AA49B7"/>
    <w:rsid w:val="00AA6249"/>
    <w:rsid w:val="00AA6291"/>
    <w:rsid w:val="00AA7C95"/>
    <w:rsid w:val="00AB068D"/>
    <w:rsid w:val="00AB0796"/>
    <w:rsid w:val="00AB1FD2"/>
    <w:rsid w:val="00AB26AA"/>
    <w:rsid w:val="00AB2F52"/>
    <w:rsid w:val="00AB31B5"/>
    <w:rsid w:val="00AB3228"/>
    <w:rsid w:val="00AB3A96"/>
    <w:rsid w:val="00AB3FC2"/>
    <w:rsid w:val="00AB44C6"/>
    <w:rsid w:val="00AB4BF7"/>
    <w:rsid w:val="00AB5BE5"/>
    <w:rsid w:val="00AB7834"/>
    <w:rsid w:val="00AB7847"/>
    <w:rsid w:val="00AB7908"/>
    <w:rsid w:val="00AB7C06"/>
    <w:rsid w:val="00AB7E40"/>
    <w:rsid w:val="00AC0332"/>
    <w:rsid w:val="00AC1BE1"/>
    <w:rsid w:val="00AC2A31"/>
    <w:rsid w:val="00AC35D6"/>
    <w:rsid w:val="00AC3CDF"/>
    <w:rsid w:val="00AC3D8D"/>
    <w:rsid w:val="00AC3DA1"/>
    <w:rsid w:val="00AC3E74"/>
    <w:rsid w:val="00AC3F91"/>
    <w:rsid w:val="00AC60BC"/>
    <w:rsid w:val="00AC6206"/>
    <w:rsid w:val="00AC7251"/>
    <w:rsid w:val="00AD007D"/>
    <w:rsid w:val="00AD02DA"/>
    <w:rsid w:val="00AD0379"/>
    <w:rsid w:val="00AD0407"/>
    <w:rsid w:val="00AD0A77"/>
    <w:rsid w:val="00AD0E0F"/>
    <w:rsid w:val="00AD10AF"/>
    <w:rsid w:val="00AD1235"/>
    <w:rsid w:val="00AD1F9C"/>
    <w:rsid w:val="00AD2A12"/>
    <w:rsid w:val="00AD323E"/>
    <w:rsid w:val="00AD3803"/>
    <w:rsid w:val="00AD40E4"/>
    <w:rsid w:val="00AD40F2"/>
    <w:rsid w:val="00AD457A"/>
    <w:rsid w:val="00AD5660"/>
    <w:rsid w:val="00AD57A3"/>
    <w:rsid w:val="00AD5857"/>
    <w:rsid w:val="00AD5A7D"/>
    <w:rsid w:val="00AD6339"/>
    <w:rsid w:val="00AD6656"/>
    <w:rsid w:val="00AD776F"/>
    <w:rsid w:val="00AD7D12"/>
    <w:rsid w:val="00AE0569"/>
    <w:rsid w:val="00AE0624"/>
    <w:rsid w:val="00AE0918"/>
    <w:rsid w:val="00AE297C"/>
    <w:rsid w:val="00AE2A38"/>
    <w:rsid w:val="00AE2B25"/>
    <w:rsid w:val="00AE2CF8"/>
    <w:rsid w:val="00AE3488"/>
    <w:rsid w:val="00AE411C"/>
    <w:rsid w:val="00AE4578"/>
    <w:rsid w:val="00AE4A62"/>
    <w:rsid w:val="00AE4C68"/>
    <w:rsid w:val="00AE5169"/>
    <w:rsid w:val="00AE538C"/>
    <w:rsid w:val="00AE56BF"/>
    <w:rsid w:val="00AE5B87"/>
    <w:rsid w:val="00AE6320"/>
    <w:rsid w:val="00AE704D"/>
    <w:rsid w:val="00AE73F2"/>
    <w:rsid w:val="00AE74A4"/>
    <w:rsid w:val="00AE794F"/>
    <w:rsid w:val="00AE7D19"/>
    <w:rsid w:val="00AF090E"/>
    <w:rsid w:val="00AF2132"/>
    <w:rsid w:val="00AF2690"/>
    <w:rsid w:val="00AF2CAF"/>
    <w:rsid w:val="00AF3BF7"/>
    <w:rsid w:val="00AF4461"/>
    <w:rsid w:val="00AF4476"/>
    <w:rsid w:val="00AF5067"/>
    <w:rsid w:val="00AF6869"/>
    <w:rsid w:val="00AF6C69"/>
    <w:rsid w:val="00AF6F40"/>
    <w:rsid w:val="00AF772C"/>
    <w:rsid w:val="00AF7A96"/>
    <w:rsid w:val="00B00CCB"/>
    <w:rsid w:val="00B01BF5"/>
    <w:rsid w:val="00B0386F"/>
    <w:rsid w:val="00B03ED3"/>
    <w:rsid w:val="00B04726"/>
    <w:rsid w:val="00B04C0C"/>
    <w:rsid w:val="00B05747"/>
    <w:rsid w:val="00B05F59"/>
    <w:rsid w:val="00B062AF"/>
    <w:rsid w:val="00B06470"/>
    <w:rsid w:val="00B0717B"/>
    <w:rsid w:val="00B07EA3"/>
    <w:rsid w:val="00B10322"/>
    <w:rsid w:val="00B103BD"/>
    <w:rsid w:val="00B1068A"/>
    <w:rsid w:val="00B10984"/>
    <w:rsid w:val="00B10B1C"/>
    <w:rsid w:val="00B10CF4"/>
    <w:rsid w:val="00B11352"/>
    <w:rsid w:val="00B117FD"/>
    <w:rsid w:val="00B11CE4"/>
    <w:rsid w:val="00B11E2D"/>
    <w:rsid w:val="00B12157"/>
    <w:rsid w:val="00B1352B"/>
    <w:rsid w:val="00B1428F"/>
    <w:rsid w:val="00B1475B"/>
    <w:rsid w:val="00B14A53"/>
    <w:rsid w:val="00B1527D"/>
    <w:rsid w:val="00B153A4"/>
    <w:rsid w:val="00B16230"/>
    <w:rsid w:val="00B1656B"/>
    <w:rsid w:val="00B167E4"/>
    <w:rsid w:val="00B16CAF"/>
    <w:rsid w:val="00B16DAD"/>
    <w:rsid w:val="00B16F71"/>
    <w:rsid w:val="00B20C68"/>
    <w:rsid w:val="00B22325"/>
    <w:rsid w:val="00B2339B"/>
    <w:rsid w:val="00B23C84"/>
    <w:rsid w:val="00B242E2"/>
    <w:rsid w:val="00B24819"/>
    <w:rsid w:val="00B2494F"/>
    <w:rsid w:val="00B25093"/>
    <w:rsid w:val="00B25C97"/>
    <w:rsid w:val="00B25CB7"/>
    <w:rsid w:val="00B26202"/>
    <w:rsid w:val="00B26216"/>
    <w:rsid w:val="00B2658B"/>
    <w:rsid w:val="00B26F54"/>
    <w:rsid w:val="00B27012"/>
    <w:rsid w:val="00B27068"/>
    <w:rsid w:val="00B27336"/>
    <w:rsid w:val="00B2786F"/>
    <w:rsid w:val="00B300BD"/>
    <w:rsid w:val="00B3068F"/>
    <w:rsid w:val="00B30B49"/>
    <w:rsid w:val="00B32007"/>
    <w:rsid w:val="00B32206"/>
    <w:rsid w:val="00B32474"/>
    <w:rsid w:val="00B32641"/>
    <w:rsid w:val="00B3299C"/>
    <w:rsid w:val="00B3325F"/>
    <w:rsid w:val="00B340DE"/>
    <w:rsid w:val="00B34B50"/>
    <w:rsid w:val="00B34F99"/>
    <w:rsid w:val="00B35197"/>
    <w:rsid w:val="00B356B0"/>
    <w:rsid w:val="00B35E31"/>
    <w:rsid w:val="00B403B4"/>
    <w:rsid w:val="00B40B62"/>
    <w:rsid w:val="00B40D0B"/>
    <w:rsid w:val="00B41158"/>
    <w:rsid w:val="00B41349"/>
    <w:rsid w:val="00B4139A"/>
    <w:rsid w:val="00B41678"/>
    <w:rsid w:val="00B41C4D"/>
    <w:rsid w:val="00B4219E"/>
    <w:rsid w:val="00B4247C"/>
    <w:rsid w:val="00B42D4D"/>
    <w:rsid w:val="00B42EF8"/>
    <w:rsid w:val="00B431CE"/>
    <w:rsid w:val="00B4371C"/>
    <w:rsid w:val="00B43BE9"/>
    <w:rsid w:val="00B443FD"/>
    <w:rsid w:val="00B46BF2"/>
    <w:rsid w:val="00B471DD"/>
    <w:rsid w:val="00B4782B"/>
    <w:rsid w:val="00B50184"/>
    <w:rsid w:val="00B5020F"/>
    <w:rsid w:val="00B50705"/>
    <w:rsid w:val="00B5103E"/>
    <w:rsid w:val="00B51BD2"/>
    <w:rsid w:val="00B51E91"/>
    <w:rsid w:val="00B527E4"/>
    <w:rsid w:val="00B529D5"/>
    <w:rsid w:val="00B53103"/>
    <w:rsid w:val="00B53119"/>
    <w:rsid w:val="00B534C4"/>
    <w:rsid w:val="00B5378F"/>
    <w:rsid w:val="00B53952"/>
    <w:rsid w:val="00B549D3"/>
    <w:rsid w:val="00B54D0A"/>
    <w:rsid w:val="00B5512D"/>
    <w:rsid w:val="00B56D2D"/>
    <w:rsid w:val="00B57713"/>
    <w:rsid w:val="00B57A04"/>
    <w:rsid w:val="00B57F5A"/>
    <w:rsid w:val="00B60D0D"/>
    <w:rsid w:val="00B60EA6"/>
    <w:rsid w:val="00B61EEF"/>
    <w:rsid w:val="00B62426"/>
    <w:rsid w:val="00B6299F"/>
    <w:rsid w:val="00B638CA"/>
    <w:rsid w:val="00B639B0"/>
    <w:rsid w:val="00B64599"/>
    <w:rsid w:val="00B64B72"/>
    <w:rsid w:val="00B65EF3"/>
    <w:rsid w:val="00B66361"/>
    <w:rsid w:val="00B66438"/>
    <w:rsid w:val="00B665ED"/>
    <w:rsid w:val="00B6686C"/>
    <w:rsid w:val="00B6694D"/>
    <w:rsid w:val="00B66967"/>
    <w:rsid w:val="00B66EBA"/>
    <w:rsid w:val="00B67617"/>
    <w:rsid w:val="00B6788F"/>
    <w:rsid w:val="00B678CE"/>
    <w:rsid w:val="00B70B0E"/>
    <w:rsid w:val="00B71156"/>
    <w:rsid w:val="00B71B10"/>
    <w:rsid w:val="00B71B85"/>
    <w:rsid w:val="00B7221A"/>
    <w:rsid w:val="00B726F6"/>
    <w:rsid w:val="00B729AD"/>
    <w:rsid w:val="00B72E2D"/>
    <w:rsid w:val="00B73032"/>
    <w:rsid w:val="00B741BB"/>
    <w:rsid w:val="00B74420"/>
    <w:rsid w:val="00B74B7C"/>
    <w:rsid w:val="00B74C53"/>
    <w:rsid w:val="00B74FF0"/>
    <w:rsid w:val="00B7508F"/>
    <w:rsid w:val="00B75214"/>
    <w:rsid w:val="00B75B85"/>
    <w:rsid w:val="00B7627A"/>
    <w:rsid w:val="00B76C15"/>
    <w:rsid w:val="00B76D4E"/>
    <w:rsid w:val="00B771DD"/>
    <w:rsid w:val="00B77883"/>
    <w:rsid w:val="00B77B9A"/>
    <w:rsid w:val="00B80EAA"/>
    <w:rsid w:val="00B828B7"/>
    <w:rsid w:val="00B82A42"/>
    <w:rsid w:val="00B82C86"/>
    <w:rsid w:val="00B8335D"/>
    <w:rsid w:val="00B83779"/>
    <w:rsid w:val="00B83BCB"/>
    <w:rsid w:val="00B83F54"/>
    <w:rsid w:val="00B84AF0"/>
    <w:rsid w:val="00B84E4F"/>
    <w:rsid w:val="00B84F50"/>
    <w:rsid w:val="00B8501F"/>
    <w:rsid w:val="00B860DA"/>
    <w:rsid w:val="00B868E3"/>
    <w:rsid w:val="00B86C9B"/>
    <w:rsid w:val="00B878D2"/>
    <w:rsid w:val="00B87BD1"/>
    <w:rsid w:val="00B87EA7"/>
    <w:rsid w:val="00B90050"/>
    <w:rsid w:val="00B90058"/>
    <w:rsid w:val="00B90AD5"/>
    <w:rsid w:val="00B90BD0"/>
    <w:rsid w:val="00B917E2"/>
    <w:rsid w:val="00B93291"/>
    <w:rsid w:val="00B934F7"/>
    <w:rsid w:val="00B93EE7"/>
    <w:rsid w:val="00B94145"/>
    <w:rsid w:val="00B9460F"/>
    <w:rsid w:val="00B95228"/>
    <w:rsid w:val="00B95247"/>
    <w:rsid w:val="00B953FA"/>
    <w:rsid w:val="00B95794"/>
    <w:rsid w:val="00B958AA"/>
    <w:rsid w:val="00B95950"/>
    <w:rsid w:val="00B95A18"/>
    <w:rsid w:val="00B969C4"/>
    <w:rsid w:val="00B96BFD"/>
    <w:rsid w:val="00B96FAC"/>
    <w:rsid w:val="00B97564"/>
    <w:rsid w:val="00B97F86"/>
    <w:rsid w:val="00BA0BD2"/>
    <w:rsid w:val="00BA0E2B"/>
    <w:rsid w:val="00BA23FA"/>
    <w:rsid w:val="00BA26F6"/>
    <w:rsid w:val="00BA2D00"/>
    <w:rsid w:val="00BA33D5"/>
    <w:rsid w:val="00BA4ECC"/>
    <w:rsid w:val="00BA5C32"/>
    <w:rsid w:val="00BA5DC2"/>
    <w:rsid w:val="00BA6349"/>
    <w:rsid w:val="00BA6437"/>
    <w:rsid w:val="00BA66A1"/>
    <w:rsid w:val="00BA744D"/>
    <w:rsid w:val="00BB0390"/>
    <w:rsid w:val="00BB0999"/>
    <w:rsid w:val="00BB1899"/>
    <w:rsid w:val="00BB1EE6"/>
    <w:rsid w:val="00BB25DE"/>
    <w:rsid w:val="00BB296D"/>
    <w:rsid w:val="00BB2C45"/>
    <w:rsid w:val="00BB309D"/>
    <w:rsid w:val="00BB33D1"/>
    <w:rsid w:val="00BB3BC0"/>
    <w:rsid w:val="00BB4122"/>
    <w:rsid w:val="00BB41E5"/>
    <w:rsid w:val="00BB546D"/>
    <w:rsid w:val="00BB613F"/>
    <w:rsid w:val="00BB69B7"/>
    <w:rsid w:val="00BB7DDB"/>
    <w:rsid w:val="00BB7E33"/>
    <w:rsid w:val="00BC0453"/>
    <w:rsid w:val="00BC04A0"/>
    <w:rsid w:val="00BC06B2"/>
    <w:rsid w:val="00BC0922"/>
    <w:rsid w:val="00BC0CCE"/>
    <w:rsid w:val="00BC3067"/>
    <w:rsid w:val="00BC380C"/>
    <w:rsid w:val="00BC4949"/>
    <w:rsid w:val="00BC62E4"/>
    <w:rsid w:val="00BC62E8"/>
    <w:rsid w:val="00BC6665"/>
    <w:rsid w:val="00BC699E"/>
    <w:rsid w:val="00BC7055"/>
    <w:rsid w:val="00BD0B44"/>
    <w:rsid w:val="00BD2987"/>
    <w:rsid w:val="00BD3433"/>
    <w:rsid w:val="00BD3456"/>
    <w:rsid w:val="00BD371B"/>
    <w:rsid w:val="00BD3F88"/>
    <w:rsid w:val="00BD5706"/>
    <w:rsid w:val="00BD5838"/>
    <w:rsid w:val="00BD5EAA"/>
    <w:rsid w:val="00BD60B7"/>
    <w:rsid w:val="00BD62B2"/>
    <w:rsid w:val="00BD6D95"/>
    <w:rsid w:val="00BD74CB"/>
    <w:rsid w:val="00BD7832"/>
    <w:rsid w:val="00BD7904"/>
    <w:rsid w:val="00BD79A6"/>
    <w:rsid w:val="00BD79CB"/>
    <w:rsid w:val="00BE1237"/>
    <w:rsid w:val="00BE1427"/>
    <w:rsid w:val="00BE1A36"/>
    <w:rsid w:val="00BE1F55"/>
    <w:rsid w:val="00BE2B5B"/>
    <w:rsid w:val="00BE305F"/>
    <w:rsid w:val="00BE3199"/>
    <w:rsid w:val="00BE3BD6"/>
    <w:rsid w:val="00BE3F5D"/>
    <w:rsid w:val="00BE453A"/>
    <w:rsid w:val="00BE472B"/>
    <w:rsid w:val="00BE4773"/>
    <w:rsid w:val="00BE4E9F"/>
    <w:rsid w:val="00BE522D"/>
    <w:rsid w:val="00BE551E"/>
    <w:rsid w:val="00BE5B97"/>
    <w:rsid w:val="00BE5C7F"/>
    <w:rsid w:val="00BE5D33"/>
    <w:rsid w:val="00BE64E3"/>
    <w:rsid w:val="00BE6607"/>
    <w:rsid w:val="00BE683D"/>
    <w:rsid w:val="00BE76ED"/>
    <w:rsid w:val="00BE7A7E"/>
    <w:rsid w:val="00BE7EC9"/>
    <w:rsid w:val="00BF0048"/>
    <w:rsid w:val="00BF08F2"/>
    <w:rsid w:val="00BF0DE9"/>
    <w:rsid w:val="00BF1AE5"/>
    <w:rsid w:val="00BF1B1D"/>
    <w:rsid w:val="00BF1E34"/>
    <w:rsid w:val="00BF23BC"/>
    <w:rsid w:val="00BF2E09"/>
    <w:rsid w:val="00BF34C3"/>
    <w:rsid w:val="00BF36C2"/>
    <w:rsid w:val="00BF3A4F"/>
    <w:rsid w:val="00BF4407"/>
    <w:rsid w:val="00BF44BB"/>
    <w:rsid w:val="00BF5305"/>
    <w:rsid w:val="00BF555B"/>
    <w:rsid w:val="00BF6308"/>
    <w:rsid w:val="00BF631F"/>
    <w:rsid w:val="00BF65B6"/>
    <w:rsid w:val="00BF6735"/>
    <w:rsid w:val="00C00A4B"/>
    <w:rsid w:val="00C00D09"/>
    <w:rsid w:val="00C00EB2"/>
    <w:rsid w:val="00C018DB"/>
    <w:rsid w:val="00C02195"/>
    <w:rsid w:val="00C02E07"/>
    <w:rsid w:val="00C03259"/>
    <w:rsid w:val="00C03E52"/>
    <w:rsid w:val="00C04F5C"/>
    <w:rsid w:val="00C053C7"/>
    <w:rsid w:val="00C05EF3"/>
    <w:rsid w:val="00C05F53"/>
    <w:rsid w:val="00C06AFF"/>
    <w:rsid w:val="00C06C58"/>
    <w:rsid w:val="00C06F17"/>
    <w:rsid w:val="00C075A5"/>
    <w:rsid w:val="00C076F4"/>
    <w:rsid w:val="00C07775"/>
    <w:rsid w:val="00C10322"/>
    <w:rsid w:val="00C116BD"/>
    <w:rsid w:val="00C116F5"/>
    <w:rsid w:val="00C124D9"/>
    <w:rsid w:val="00C13263"/>
    <w:rsid w:val="00C138DC"/>
    <w:rsid w:val="00C14B8A"/>
    <w:rsid w:val="00C14EA8"/>
    <w:rsid w:val="00C1562F"/>
    <w:rsid w:val="00C16202"/>
    <w:rsid w:val="00C164DC"/>
    <w:rsid w:val="00C166C3"/>
    <w:rsid w:val="00C166FE"/>
    <w:rsid w:val="00C175A8"/>
    <w:rsid w:val="00C17B6B"/>
    <w:rsid w:val="00C21479"/>
    <w:rsid w:val="00C219A7"/>
    <w:rsid w:val="00C22374"/>
    <w:rsid w:val="00C2290F"/>
    <w:rsid w:val="00C22C3E"/>
    <w:rsid w:val="00C22FE7"/>
    <w:rsid w:val="00C2384F"/>
    <w:rsid w:val="00C23ED7"/>
    <w:rsid w:val="00C249D5"/>
    <w:rsid w:val="00C254D9"/>
    <w:rsid w:val="00C266CF"/>
    <w:rsid w:val="00C267E0"/>
    <w:rsid w:val="00C26A6D"/>
    <w:rsid w:val="00C26B3A"/>
    <w:rsid w:val="00C26DFA"/>
    <w:rsid w:val="00C26E25"/>
    <w:rsid w:val="00C27021"/>
    <w:rsid w:val="00C270FC"/>
    <w:rsid w:val="00C275D8"/>
    <w:rsid w:val="00C27B2C"/>
    <w:rsid w:val="00C302DD"/>
    <w:rsid w:val="00C3056A"/>
    <w:rsid w:val="00C3134A"/>
    <w:rsid w:val="00C31D85"/>
    <w:rsid w:val="00C34E50"/>
    <w:rsid w:val="00C34EA3"/>
    <w:rsid w:val="00C357DB"/>
    <w:rsid w:val="00C3615A"/>
    <w:rsid w:val="00C3647A"/>
    <w:rsid w:val="00C3697B"/>
    <w:rsid w:val="00C36E07"/>
    <w:rsid w:val="00C37079"/>
    <w:rsid w:val="00C37754"/>
    <w:rsid w:val="00C378E8"/>
    <w:rsid w:val="00C37C27"/>
    <w:rsid w:val="00C401BD"/>
    <w:rsid w:val="00C42851"/>
    <w:rsid w:val="00C4390F"/>
    <w:rsid w:val="00C457BA"/>
    <w:rsid w:val="00C45A23"/>
    <w:rsid w:val="00C46A81"/>
    <w:rsid w:val="00C47583"/>
    <w:rsid w:val="00C50376"/>
    <w:rsid w:val="00C509B8"/>
    <w:rsid w:val="00C50B8B"/>
    <w:rsid w:val="00C50DE7"/>
    <w:rsid w:val="00C50FAE"/>
    <w:rsid w:val="00C5174D"/>
    <w:rsid w:val="00C517EA"/>
    <w:rsid w:val="00C519F7"/>
    <w:rsid w:val="00C51A1C"/>
    <w:rsid w:val="00C51EB0"/>
    <w:rsid w:val="00C52154"/>
    <w:rsid w:val="00C5232C"/>
    <w:rsid w:val="00C526E8"/>
    <w:rsid w:val="00C52A8A"/>
    <w:rsid w:val="00C53122"/>
    <w:rsid w:val="00C534D7"/>
    <w:rsid w:val="00C53DE9"/>
    <w:rsid w:val="00C54C28"/>
    <w:rsid w:val="00C552F8"/>
    <w:rsid w:val="00C55B36"/>
    <w:rsid w:val="00C55E0E"/>
    <w:rsid w:val="00C570DD"/>
    <w:rsid w:val="00C57EBB"/>
    <w:rsid w:val="00C611FB"/>
    <w:rsid w:val="00C613A2"/>
    <w:rsid w:val="00C616E7"/>
    <w:rsid w:val="00C61D2A"/>
    <w:rsid w:val="00C62558"/>
    <w:rsid w:val="00C63421"/>
    <w:rsid w:val="00C6356D"/>
    <w:rsid w:val="00C63E22"/>
    <w:rsid w:val="00C647F3"/>
    <w:rsid w:val="00C64DC9"/>
    <w:rsid w:val="00C656DC"/>
    <w:rsid w:val="00C65AB7"/>
    <w:rsid w:val="00C65E2C"/>
    <w:rsid w:val="00C666F9"/>
    <w:rsid w:val="00C66E74"/>
    <w:rsid w:val="00C671A2"/>
    <w:rsid w:val="00C67655"/>
    <w:rsid w:val="00C67DFF"/>
    <w:rsid w:val="00C70A68"/>
    <w:rsid w:val="00C70C6E"/>
    <w:rsid w:val="00C7187B"/>
    <w:rsid w:val="00C71A42"/>
    <w:rsid w:val="00C72C09"/>
    <w:rsid w:val="00C72C4F"/>
    <w:rsid w:val="00C72CB9"/>
    <w:rsid w:val="00C74355"/>
    <w:rsid w:val="00C750D0"/>
    <w:rsid w:val="00C75679"/>
    <w:rsid w:val="00C75919"/>
    <w:rsid w:val="00C75DDE"/>
    <w:rsid w:val="00C75F0F"/>
    <w:rsid w:val="00C76674"/>
    <w:rsid w:val="00C76751"/>
    <w:rsid w:val="00C76FC5"/>
    <w:rsid w:val="00C775C1"/>
    <w:rsid w:val="00C77B75"/>
    <w:rsid w:val="00C77E2B"/>
    <w:rsid w:val="00C8033F"/>
    <w:rsid w:val="00C8054A"/>
    <w:rsid w:val="00C805EF"/>
    <w:rsid w:val="00C807A5"/>
    <w:rsid w:val="00C80F82"/>
    <w:rsid w:val="00C81840"/>
    <w:rsid w:val="00C81A4E"/>
    <w:rsid w:val="00C82B5D"/>
    <w:rsid w:val="00C82DE4"/>
    <w:rsid w:val="00C831F6"/>
    <w:rsid w:val="00C83383"/>
    <w:rsid w:val="00C834BE"/>
    <w:rsid w:val="00C838A9"/>
    <w:rsid w:val="00C838B4"/>
    <w:rsid w:val="00C84621"/>
    <w:rsid w:val="00C853FB"/>
    <w:rsid w:val="00C8615F"/>
    <w:rsid w:val="00C864FF"/>
    <w:rsid w:val="00C86914"/>
    <w:rsid w:val="00C86B83"/>
    <w:rsid w:val="00C879C1"/>
    <w:rsid w:val="00C87EC3"/>
    <w:rsid w:val="00C90072"/>
    <w:rsid w:val="00C90115"/>
    <w:rsid w:val="00C9112D"/>
    <w:rsid w:val="00C92554"/>
    <w:rsid w:val="00C9266E"/>
    <w:rsid w:val="00C9349A"/>
    <w:rsid w:val="00C9372D"/>
    <w:rsid w:val="00C9381F"/>
    <w:rsid w:val="00C93CDD"/>
    <w:rsid w:val="00C93D7C"/>
    <w:rsid w:val="00C94E99"/>
    <w:rsid w:val="00C957FB"/>
    <w:rsid w:val="00C95E78"/>
    <w:rsid w:val="00C96C8A"/>
    <w:rsid w:val="00C97A73"/>
    <w:rsid w:val="00CA01F8"/>
    <w:rsid w:val="00CA1447"/>
    <w:rsid w:val="00CA2653"/>
    <w:rsid w:val="00CA2F0B"/>
    <w:rsid w:val="00CA3631"/>
    <w:rsid w:val="00CA46D5"/>
    <w:rsid w:val="00CA48D7"/>
    <w:rsid w:val="00CA533D"/>
    <w:rsid w:val="00CA53FA"/>
    <w:rsid w:val="00CA587F"/>
    <w:rsid w:val="00CA6569"/>
    <w:rsid w:val="00CA673B"/>
    <w:rsid w:val="00CA7A80"/>
    <w:rsid w:val="00CA7F4E"/>
    <w:rsid w:val="00CB0646"/>
    <w:rsid w:val="00CB06EB"/>
    <w:rsid w:val="00CB0EBE"/>
    <w:rsid w:val="00CB1C39"/>
    <w:rsid w:val="00CB1EF5"/>
    <w:rsid w:val="00CB1F72"/>
    <w:rsid w:val="00CB2CDE"/>
    <w:rsid w:val="00CB2E5A"/>
    <w:rsid w:val="00CB3487"/>
    <w:rsid w:val="00CB3B34"/>
    <w:rsid w:val="00CB4555"/>
    <w:rsid w:val="00CB4726"/>
    <w:rsid w:val="00CB5869"/>
    <w:rsid w:val="00CB5E45"/>
    <w:rsid w:val="00CB6900"/>
    <w:rsid w:val="00CB6C20"/>
    <w:rsid w:val="00CC0442"/>
    <w:rsid w:val="00CC19CC"/>
    <w:rsid w:val="00CC1F8F"/>
    <w:rsid w:val="00CC215A"/>
    <w:rsid w:val="00CC2860"/>
    <w:rsid w:val="00CC2AC5"/>
    <w:rsid w:val="00CC2BE0"/>
    <w:rsid w:val="00CC3E60"/>
    <w:rsid w:val="00CC3E96"/>
    <w:rsid w:val="00CC3F16"/>
    <w:rsid w:val="00CC4C71"/>
    <w:rsid w:val="00CC4CA8"/>
    <w:rsid w:val="00CC54FF"/>
    <w:rsid w:val="00CC6290"/>
    <w:rsid w:val="00CC6DA0"/>
    <w:rsid w:val="00CC7208"/>
    <w:rsid w:val="00CD04E2"/>
    <w:rsid w:val="00CD1286"/>
    <w:rsid w:val="00CD13AB"/>
    <w:rsid w:val="00CD23C2"/>
    <w:rsid w:val="00CD2D55"/>
    <w:rsid w:val="00CD3536"/>
    <w:rsid w:val="00CD391C"/>
    <w:rsid w:val="00CD3F5C"/>
    <w:rsid w:val="00CD51B4"/>
    <w:rsid w:val="00CD598F"/>
    <w:rsid w:val="00CD63E5"/>
    <w:rsid w:val="00CD6523"/>
    <w:rsid w:val="00CD6BFF"/>
    <w:rsid w:val="00CD720D"/>
    <w:rsid w:val="00CE0510"/>
    <w:rsid w:val="00CE0513"/>
    <w:rsid w:val="00CE0CD5"/>
    <w:rsid w:val="00CE0DD1"/>
    <w:rsid w:val="00CE1367"/>
    <w:rsid w:val="00CE1738"/>
    <w:rsid w:val="00CE1B1A"/>
    <w:rsid w:val="00CE1EDE"/>
    <w:rsid w:val="00CE2570"/>
    <w:rsid w:val="00CE28F4"/>
    <w:rsid w:val="00CE2AF5"/>
    <w:rsid w:val="00CE2D97"/>
    <w:rsid w:val="00CE2DC8"/>
    <w:rsid w:val="00CE3259"/>
    <w:rsid w:val="00CE34F4"/>
    <w:rsid w:val="00CE358E"/>
    <w:rsid w:val="00CE3B46"/>
    <w:rsid w:val="00CE4749"/>
    <w:rsid w:val="00CE5E92"/>
    <w:rsid w:val="00CE6970"/>
    <w:rsid w:val="00CE7DF8"/>
    <w:rsid w:val="00CE7F84"/>
    <w:rsid w:val="00CF016B"/>
    <w:rsid w:val="00CF04B2"/>
    <w:rsid w:val="00CF07E1"/>
    <w:rsid w:val="00CF14CD"/>
    <w:rsid w:val="00CF21B4"/>
    <w:rsid w:val="00CF3EEF"/>
    <w:rsid w:val="00CF4D52"/>
    <w:rsid w:val="00CF4F9A"/>
    <w:rsid w:val="00CF5815"/>
    <w:rsid w:val="00CF5956"/>
    <w:rsid w:val="00CF5F00"/>
    <w:rsid w:val="00CF614D"/>
    <w:rsid w:val="00CF7917"/>
    <w:rsid w:val="00CF7F4E"/>
    <w:rsid w:val="00D00059"/>
    <w:rsid w:val="00D00593"/>
    <w:rsid w:val="00D0089A"/>
    <w:rsid w:val="00D00C25"/>
    <w:rsid w:val="00D0114C"/>
    <w:rsid w:val="00D01628"/>
    <w:rsid w:val="00D01884"/>
    <w:rsid w:val="00D01ED4"/>
    <w:rsid w:val="00D0370B"/>
    <w:rsid w:val="00D03751"/>
    <w:rsid w:val="00D03C4C"/>
    <w:rsid w:val="00D04436"/>
    <w:rsid w:val="00D047B1"/>
    <w:rsid w:val="00D057F1"/>
    <w:rsid w:val="00D058DA"/>
    <w:rsid w:val="00D0594B"/>
    <w:rsid w:val="00D05F8B"/>
    <w:rsid w:val="00D061C0"/>
    <w:rsid w:val="00D062F3"/>
    <w:rsid w:val="00D06688"/>
    <w:rsid w:val="00D067A3"/>
    <w:rsid w:val="00D06808"/>
    <w:rsid w:val="00D06907"/>
    <w:rsid w:val="00D06D42"/>
    <w:rsid w:val="00D0707B"/>
    <w:rsid w:val="00D07C3A"/>
    <w:rsid w:val="00D102A8"/>
    <w:rsid w:val="00D10ED7"/>
    <w:rsid w:val="00D11181"/>
    <w:rsid w:val="00D11592"/>
    <w:rsid w:val="00D11635"/>
    <w:rsid w:val="00D12720"/>
    <w:rsid w:val="00D1283D"/>
    <w:rsid w:val="00D12B04"/>
    <w:rsid w:val="00D14A3A"/>
    <w:rsid w:val="00D15097"/>
    <w:rsid w:val="00D15801"/>
    <w:rsid w:val="00D15819"/>
    <w:rsid w:val="00D158E6"/>
    <w:rsid w:val="00D16003"/>
    <w:rsid w:val="00D163E3"/>
    <w:rsid w:val="00D164DC"/>
    <w:rsid w:val="00D17967"/>
    <w:rsid w:val="00D17C98"/>
    <w:rsid w:val="00D20BF1"/>
    <w:rsid w:val="00D21CF3"/>
    <w:rsid w:val="00D22A6C"/>
    <w:rsid w:val="00D23ACC"/>
    <w:rsid w:val="00D2457A"/>
    <w:rsid w:val="00D24817"/>
    <w:rsid w:val="00D24F61"/>
    <w:rsid w:val="00D27417"/>
    <w:rsid w:val="00D27765"/>
    <w:rsid w:val="00D27A90"/>
    <w:rsid w:val="00D27CA5"/>
    <w:rsid w:val="00D303BA"/>
    <w:rsid w:val="00D3043C"/>
    <w:rsid w:val="00D3243F"/>
    <w:rsid w:val="00D32C8F"/>
    <w:rsid w:val="00D32D00"/>
    <w:rsid w:val="00D33713"/>
    <w:rsid w:val="00D33C9C"/>
    <w:rsid w:val="00D3441E"/>
    <w:rsid w:val="00D34447"/>
    <w:rsid w:val="00D34F84"/>
    <w:rsid w:val="00D36198"/>
    <w:rsid w:val="00D3659D"/>
    <w:rsid w:val="00D3712D"/>
    <w:rsid w:val="00D40031"/>
    <w:rsid w:val="00D404C0"/>
    <w:rsid w:val="00D4175E"/>
    <w:rsid w:val="00D41C28"/>
    <w:rsid w:val="00D41CF9"/>
    <w:rsid w:val="00D43902"/>
    <w:rsid w:val="00D43A2A"/>
    <w:rsid w:val="00D44DE1"/>
    <w:rsid w:val="00D4537D"/>
    <w:rsid w:val="00D45489"/>
    <w:rsid w:val="00D462DD"/>
    <w:rsid w:val="00D4658F"/>
    <w:rsid w:val="00D46F1B"/>
    <w:rsid w:val="00D47361"/>
    <w:rsid w:val="00D5092D"/>
    <w:rsid w:val="00D5223A"/>
    <w:rsid w:val="00D523BA"/>
    <w:rsid w:val="00D52D1C"/>
    <w:rsid w:val="00D53832"/>
    <w:rsid w:val="00D54983"/>
    <w:rsid w:val="00D54998"/>
    <w:rsid w:val="00D552AC"/>
    <w:rsid w:val="00D5631E"/>
    <w:rsid w:val="00D56472"/>
    <w:rsid w:val="00D56482"/>
    <w:rsid w:val="00D56C38"/>
    <w:rsid w:val="00D57601"/>
    <w:rsid w:val="00D57AB2"/>
    <w:rsid w:val="00D57C46"/>
    <w:rsid w:val="00D60ED0"/>
    <w:rsid w:val="00D62B29"/>
    <w:rsid w:val="00D62D44"/>
    <w:rsid w:val="00D62E10"/>
    <w:rsid w:val="00D63096"/>
    <w:rsid w:val="00D63138"/>
    <w:rsid w:val="00D63B2F"/>
    <w:rsid w:val="00D63DE0"/>
    <w:rsid w:val="00D64E49"/>
    <w:rsid w:val="00D652F2"/>
    <w:rsid w:val="00D654FD"/>
    <w:rsid w:val="00D66775"/>
    <w:rsid w:val="00D66F95"/>
    <w:rsid w:val="00D67CF3"/>
    <w:rsid w:val="00D7031D"/>
    <w:rsid w:val="00D704D6"/>
    <w:rsid w:val="00D70E39"/>
    <w:rsid w:val="00D70EEE"/>
    <w:rsid w:val="00D71831"/>
    <w:rsid w:val="00D71922"/>
    <w:rsid w:val="00D719BA"/>
    <w:rsid w:val="00D72D80"/>
    <w:rsid w:val="00D73051"/>
    <w:rsid w:val="00D7343A"/>
    <w:rsid w:val="00D7394D"/>
    <w:rsid w:val="00D74487"/>
    <w:rsid w:val="00D7466A"/>
    <w:rsid w:val="00D74E88"/>
    <w:rsid w:val="00D75711"/>
    <w:rsid w:val="00D76EE5"/>
    <w:rsid w:val="00D77F4E"/>
    <w:rsid w:val="00D80267"/>
    <w:rsid w:val="00D80464"/>
    <w:rsid w:val="00D80EAA"/>
    <w:rsid w:val="00D81B1E"/>
    <w:rsid w:val="00D82739"/>
    <w:rsid w:val="00D8464C"/>
    <w:rsid w:val="00D8488A"/>
    <w:rsid w:val="00D8488D"/>
    <w:rsid w:val="00D84C5F"/>
    <w:rsid w:val="00D853CE"/>
    <w:rsid w:val="00D858CD"/>
    <w:rsid w:val="00D85A1C"/>
    <w:rsid w:val="00D85E89"/>
    <w:rsid w:val="00D86CC6"/>
    <w:rsid w:val="00D87B3D"/>
    <w:rsid w:val="00D90B99"/>
    <w:rsid w:val="00D9134C"/>
    <w:rsid w:val="00D914AB"/>
    <w:rsid w:val="00D91953"/>
    <w:rsid w:val="00D91AC7"/>
    <w:rsid w:val="00D92CA5"/>
    <w:rsid w:val="00D93A06"/>
    <w:rsid w:val="00D93E57"/>
    <w:rsid w:val="00D94850"/>
    <w:rsid w:val="00D94CE7"/>
    <w:rsid w:val="00D95105"/>
    <w:rsid w:val="00D95212"/>
    <w:rsid w:val="00D95267"/>
    <w:rsid w:val="00D95488"/>
    <w:rsid w:val="00D9591E"/>
    <w:rsid w:val="00D959C8"/>
    <w:rsid w:val="00D97F6A"/>
    <w:rsid w:val="00DA09DF"/>
    <w:rsid w:val="00DA17A7"/>
    <w:rsid w:val="00DA2156"/>
    <w:rsid w:val="00DA2380"/>
    <w:rsid w:val="00DA36CD"/>
    <w:rsid w:val="00DA3A75"/>
    <w:rsid w:val="00DA4BFB"/>
    <w:rsid w:val="00DA4E4F"/>
    <w:rsid w:val="00DA5252"/>
    <w:rsid w:val="00DA57A8"/>
    <w:rsid w:val="00DA5A1E"/>
    <w:rsid w:val="00DA5F4A"/>
    <w:rsid w:val="00DA6956"/>
    <w:rsid w:val="00DA7EFF"/>
    <w:rsid w:val="00DB0523"/>
    <w:rsid w:val="00DB0F20"/>
    <w:rsid w:val="00DB10A6"/>
    <w:rsid w:val="00DB15DA"/>
    <w:rsid w:val="00DB15F3"/>
    <w:rsid w:val="00DB1CE5"/>
    <w:rsid w:val="00DB2B8F"/>
    <w:rsid w:val="00DB3162"/>
    <w:rsid w:val="00DB4235"/>
    <w:rsid w:val="00DB4A96"/>
    <w:rsid w:val="00DB5958"/>
    <w:rsid w:val="00DB5C33"/>
    <w:rsid w:val="00DB673C"/>
    <w:rsid w:val="00DC0053"/>
    <w:rsid w:val="00DC08E9"/>
    <w:rsid w:val="00DC1E7D"/>
    <w:rsid w:val="00DC1F8A"/>
    <w:rsid w:val="00DC21AC"/>
    <w:rsid w:val="00DC297A"/>
    <w:rsid w:val="00DC3910"/>
    <w:rsid w:val="00DC3A92"/>
    <w:rsid w:val="00DC3C19"/>
    <w:rsid w:val="00DC4E12"/>
    <w:rsid w:val="00DC624E"/>
    <w:rsid w:val="00DC6700"/>
    <w:rsid w:val="00DC6DDE"/>
    <w:rsid w:val="00DC7FB5"/>
    <w:rsid w:val="00DD088A"/>
    <w:rsid w:val="00DD0B12"/>
    <w:rsid w:val="00DD0ECA"/>
    <w:rsid w:val="00DD143F"/>
    <w:rsid w:val="00DD180D"/>
    <w:rsid w:val="00DD1CE4"/>
    <w:rsid w:val="00DD1D2F"/>
    <w:rsid w:val="00DD2317"/>
    <w:rsid w:val="00DD238F"/>
    <w:rsid w:val="00DD2419"/>
    <w:rsid w:val="00DD2A76"/>
    <w:rsid w:val="00DD35EF"/>
    <w:rsid w:val="00DD3C60"/>
    <w:rsid w:val="00DD3CD8"/>
    <w:rsid w:val="00DD5024"/>
    <w:rsid w:val="00DD50E7"/>
    <w:rsid w:val="00DD5422"/>
    <w:rsid w:val="00DD5C0A"/>
    <w:rsid w:val="00DD5F5B"/>
    <w:rsid w:val="00DE01A1"/>
    <w:rsid w:val="00DE10AF"/>
    <w:rsid w:val="00DE126F"/>
    <w:rsid w:val="00DE1894"/>
    <w:rsid w:val="00DE1958"/>
    <w:rsid w:val="00DE2954"/>
    <w:rsid w:val="00DE2DC3"/>
    <w:rsid w:val="00DE304D"/>
    <w:rsid w:val="00DE4097"/>
    <w:rsid w:val="00DE43FA"/>
    <w:rsid w:val="00DE4F6B"/>
    <w:rsid w:val="00DE502A"/>
    <w:rsid w:val="00DE5112"/>
    <w:rsid w:val="00DE5A51"/>
    <w:rsid w:val="00DE5FDC"/>
    <w:rsid w:val="00DE6429"/>
    <w:rsid w:val="00DE7A8D"/>
    <w:rsid w:val="00DE7A9F"/>
    <w:rsid w:val="00DE7DC4"/>
    <w:rsid w:val="00DF034E"/>
    <w:rsid w:val="00DF210A"/>
    <w:rsid w:val="00DF22F2"/>
    <w:rsid w:val="00DF2E44"/>
    <w:rsid w:val="00DF3EFD"/>
    <w:rsid w:val="00DF4082"/>
    <w:rsid w:val="00DF4E8B"/>
    <w:rsid w:val="00DF7C9B"/>
    <w:rsid w:val="00E001B1"/>
    <w:rsid w:val="00E00857"/>
    <w:rsid w:val="00E0157F"/>
    <w:rsid w:val="00E0190A"/>
    <w:rsid w:val="00E01AD6"/>
    <w:rsid w:val="00E022CB"/>
    <w:rsid w:val="00E028FC"/>
    <w:rsid w:val="00E02F90"/>
    <w:rsid w:val="00E03B18"/>
    <w:rsid w:val="00E03FFA"/>
    <w:rsid w:val="00E05165"/>
    <w:rsid w:val="00E07320"/>
    <w:rsid w:val="00E07409"/>
    <w:rsid w:val="00E1008E"/>
    <w:rsid w:val="00E103FD"/>
    <w:rsid w:val="00E106AC"/>
    <w:rsid w:val="00E11A01"/>
    <w:rsid w:val="00E12C1B"/>
    <w:rsid w:val="00E13868"/>
    <w:rsid w:val="00E14767"/>
    <w:rsid w:val="00E15EE7"/>
    <w:rsid w:val="00E166A7"/>
    <w:rsid w:val="00E166CF"/>
    <w:rsid w:val="00E16827"/>
    <w:rsid w:val="00E16EE1"/>
    <w:rsid w:val="00E17070"/>
    <w:rsid w:val="00E2056D"/>
    <w:rsid w:val="00E21607"/>
    <w:rsid w:val="00E22E00"/>
    <w:rsid w:val="00E23584"/>
    <w:rsid w:val="00E24357"/>
    <w:rsid w:val="00E24846"/>
    <w:rsid w:val="00E249DC"/>
    <w:rsid w:val="00E24B7A"/>
    <w:rsid w:val="00E24DB4"/>
    <w:rsid w:val="00E25020"/>
    <w:rsid w:val="00E25109"/>
    <w:rsid w:val="00E253E7"/>
    <w:rsid w:val="00E26799"/>
    <w:rsid w:val="00E267CA"/>
    <w:rsid w:val="00E2701B"/>
    <w:rsid w:val="00E272E1"/>
    <w:rsid w:val="00E279D6"/>
    <w:rsid w:val="00E27D3D"/>
    <w:rsid w:val="00E27D8F"/>
    <w:rsid w:val="00E30B56"/>
    <w:rsid w:val="00E30BD0"/>
    <w:rsid w:val="00E30E9B"/>
    <w:rsid w:val="00E310A8"/>
    <w:rsid w:val="00E31230"/>
    <w:rsid w:val="00E312E1"/>
    <w:rsid w:val="00E31415"/>
    <w:rsid w:val="00E3147B"/>
    <w:rsid w:val="00E317B5"/>
    <w:rsid w:val="00E318F9"/>
    <w:rsid w:val="00E31B7C"/>
    <w:rsid w:val="00E322E9"/>
    <w:rsid w:val="00E32587"/>
    <w:rsid w:val="00E32A7A"/>
    <w:rsid w:val="00E32BC2"/>
    <w:rsid w:val="00E3301B"/>
    <w:rsid w:val="00E34508"/>
    <w:rsid w:val="00E34D61"/>
    <w:rsid w:val="00E35B9A"/>
    <w:rsid w:val="00E36440"/>
    <w:rsid w:val="00E368A2"/>
    <w:rsid w:val="00E36AB3"/>
    <w:rsid w:val="00E36AE2"/>
    <w:rsid w:val="00E37842"/>
    <w:rsid w:val="00E3791A"/>
    <w:rsid w:val="00E37CFF"/>
    <w:rsid w:val="00E37D7F"/>
    <w:rsid w:val="00E403CC"/>
    <w:rsid w:val="00E40672"/>
    <w:rsid w:val="00E408CE"/>
    <w:rsid w:val="00E4126D"/>
    <w:rsid w:val="00E41C13"/>
    <w:rsid w:val="00E41C2C"/>
    <w:rsid w:val="00E42A6E"/>
    <w:rsid w:val="00E42E37"/>
    <w:rsid w:val="00E43505"/>
    <w:rsid w:val="00E437C6"/>
    <w:rsid w:val="00E43EEB"/>
    <w:rsid w:val="00E442BE"/>
    <w:rsid w:val="00E44D47"/>
    <w:rsid w:val="00E455C8"/>
    <w:rsid w:val="00E4718C"/>
    <w:rsid w:val="00E47AC9"/>
    <w:rsid w:val="00E47EDE"/>
    <w:rsid w:val="00E500A2"/>
    <w:rsid w:val="00E50428"/>
    <w:rsid w:val="00E50429"/>
    <w:rsid w:val="00E51035"/>
    <w:rsid w:val="00E51EC0"/>
    <w:rsid w:val="00E53483"/>
    <w:rsid w:val="00E53A6C"/>
    <w:rsid w:val="00E53AE9"/>
    <w:rsid w:val="00E53BA4"/>
    <w:rsid w:val="00E54047"/>
    <w:rsid w:val="00E54214"/>
    <w:rsid w:val="00E545F5"/>
    <w:rsid w:val="00E5488B"/>
    <w:rsid w:val="00E555C1"/>
    <w:rsid w:val="00E55886"/>
    <w:rsid w:val="00E55CFC"/>
    <w:rsid w:val="00E57726"/>
    <w:rsid w:val="00E57FD3"/>
    <w:rsid w:val="00E60AAD"/>
    <w:rsid w:val="00E60AEA"/>
    <w:rsid w:val="00E60E61"/>
    <w:rsid w:val="00E62C6A"/>
    <w:rsid w:val="00E62D32"/>
    <w:rsid w:val="00E63273"/>
    <w:rsid w:val="00E634C8"/>
    <w:rsid w:val="00E6427C"/>
    <w:rsid w:val="00E64B8F"/>
    <w:rsid w:val="00E65204"/>
    <w:rsid w:val="00E65208"/>
    <w:rsid w:val="00E6574F"/>
    <w:rsid w:val="00E66AC5"/>
    <w:rsid w:val="00E6718A"/>
    <w:rsid w:val="00E67199"/>
    <w:rsid w:val="00E72637"/>
    <w:rsid w:val="00E7284F"/>
    <w:rsid w:val="00E72FE6"/>
    <w:rsid w:val="00E7318A"/>
    <w:rsid w:val="00E73CA3"/>
    <w:rsid w:val="00E7447D"/>
    <w:rsid w:val="00E747A5"/>
    <w:rsid w:val="00E74967"/>
    <w:rsid w:val="00E768A2"/>
    <w:rsid w:val="00E772B1"/>
    <w:rsid w:val="00E776A3"/>
    <w:rsid w:val="00E77C52"/>
    <w:rsid w:val="00E77EDB"/>
    <w:rsid w:val="00E805F3"/>
    <w:rsid w:val="00E80C76"/>
    <w:rsid w:val="00E81722"/>
    <w:rsid w:val="00E81DF5"/>
    <w:rsid w:val="00E827DB"/>
    <w:rsid w:val="00E8456D"/>
    <w:rsid w:val="00E84707"/>
    <w:rsid w:val="00E849B6"/>
    <w:rsid w:val="00E84D3B"/>
    <w:rsid w:val="00E85CA8"/>
    <w:rsid w:val="00E85D7B"/>
    <w:rsid w:val="00E867FB"/>
    <w:rsid w:val="00E870DE"/>
    <w:rsid w:val="00E87F76"/>
    <w:rsid w:val="00E901FD"/>
    <w:rsid w:val="00E9142C"/>
    <w:rsid w:val="00E91A01"/>
    <w:rsid w:val="00E927CD"/>
    <w:rsid w:val="00E92D04"/>
    <w:rsid w:val="00E92EB0"/>
    <w:rsid w:val="00E932D1"/>
    <w:rsid w:val="00E935BB"/>
    <w:rsid w:val="00E946CE"/>
    <w:rsid w:val="00E94A9A"/>
    <w:rsid w:val="00E94B31"/>
    <w:rsid w:val="00E95341"/>
    <w:rsid w:val="00E95832"/>
    <w:rsid w:val="00E95956"/>
    <w:rsid w:val="00E95D80"/>
    <w:rsid w:val="00E9625E"/>
    <w:rsid w:val="00E963D2"/>
    <w:rsid w:val="00E9677B"/>
    <w:rsid w:val="00E9745E"/>
    <w:rsid w:val="00E97C89"/>
    <w:rsid w:val="00EA0106"/>
    <w:rsid w:val="00EA0530"/>
    <w:rsid w:val="00EA244D"/>
    <w:rsid w:val="00EA2A56"/>
    <w:rsid w:val="00EA38A4"/>
    <w:rsid w:val="00EA3F98"/>
    <w:rsid w:val="00EA45AB"/>
    <w:rsid w:val="00EA4892"/>
    <w:rsid w:val="00EA4E53"/>
    <w:rsid w:val="00EA5145"/>
    <w:rsid w:val="00EA5227"/>
    <w:rsid w:val="00EA646A"/>
    <w:rsid w:val="00EA69B4"/>
    <w:rsid w:val="00EA7CD5"/>
    <w:rsid w:val="00EB0B07"/>
    <w:rsid w:val="00EB0E97"/>
    <w:rsid w:val="00EB1587"/>
    <w:rsid w:val="00EB2277"/>
    <w:rsid w:val="00EB2D11"/>
    <w:rsid w:val="00EB3005"/>
    <w:rsid w:val="00EB498E"/>
    <w:rsid w:val="00EB5175"/>
    <w:rsid w:val="00EB520F"/>
    <w:rsid w:val="00EB59FF"/>
    <w:rsid w:val="00EB6EC6"/>
    <w:rsid w:val="00EC0A08"/>
    <w:rsid w:val="00EC2D2A"/>
    <w:rsid w:val="00EC3578"/>
    <w:rsid w:val="00EC3B07"/>
    <w:rsid w:val="00EC3C06"/>
    <w:rsid w:val="00EC3FBF"/>
    <w:rsid w:val="00EC4506"/>
    <w:rsid w:val="00EC4FCF"/>
    <w:rsid w:val="00EC53FD"/>
    <w:rsid w:val="00EC5613"/>
    <w:rsid w:val="00EC5B94"/>
    <w:rsid w:val="00EC5C11"/>
    <w:rsid w:val="00EC5C78"/>
    <w:rsid w:val="00EC63DF"/>
    <w:rsid w:val="00EC650D"/>
    <w:rsid w:val="00EC6778"/>
    <w:rsid w:val="00EC682D"/>
    <w:rsid w:val="00EC683C"/>
    <w:rsid w:val="00EC753F"/>
    <w:rsid w:val="00EC77EC"/>
    <w:rsid w:val="00EC7C1B"/>
    <w:rsid w:val="00ED03B3"/>
    <w:rsid w:val="00ED0408"/>
    <w:rsid w:val="00ED0A39"/>
    <w:rsid w:val="00ED0CC2"/>
    <w:rsid w:val="00ED12DC"/>
    <w:rsid w:val="00ED1308"/>
    <w:rsid w:val="00ED19A5"/>
    <w:rsid w:val="00ED1A2A"/>
    <w:rsid w:val="00ED1D9C"/>
    <w:rsid w:val="00ED1E17"/>
    <w:rsid w:val="00ED2258"/>
    <w:rsid w:val="00ED29A3"/>
    <w:rsid w:val="00ED29F7"/>
    <w:rsid w:val="00ED2D0A"/>
    <w:rsid w:val="00ED378D"/>
    <w:rsid w:val="00ED3CF1"/>
    <w:rsid w:val="00ED466E"/>
    <w:rsid w:val="00ED46C5"/>
    <w:rsid w:val="00ED49E7"/>
    <w:rsid w:val="00ED57D3"/>
    <w:rsid w:val="00ED5AD1"/>
    <w:rsid w:val="00ED6B2C"/>
    <w:rsid w:val="00ED6C4C"/>
    <w:rsid w:val="00EE070C"/>
    <w:rsid w:val="00EE08E1"/>
    <w:rsid w:val="00EE0C41"/>
    <w:rsid w:val="00EE185B"/>
    <w:rsid w:val="00EE1E95"/>
    <w:rsid w:val="00EE3E9E"/>
    <w:rsid w:val="00EE4618"/>
    <w:rsid w:val="00EE4C7E"/>
    <w:rsid w:val="00EE4E4A"/>
    <w:rsid w:val="00EE4E72"/>
    <w:rsid w:val="00EE5306"/>
    <w:rsid w:val="00EE5BB2"/>
    <w:rsid w:val="00EE5D4B"/>
    <w:rsid w:val="00EE6079"/>
    <w:rsid w:val="00EE64DF"/>
    <w:rsid w:val="00EE6BFD"/>
    <w:rsid w:val="00EE72C6"/>
    <w:rsid w:val="00EE7553"/>
    <w:rsid w:val="00EE7C1D"/>
    <w:rsid w:val="00EF0AEA"/>
    <w:rsid w:val="00EF1694"/>
    <w:rsid w:val="00EF20E0"/>
    <w:rsid w:val="00EF221E"/>
    <w:rsid w:val="00EF229E"/>
    <w:rsid w:val="00EF32BC"/>
    <w:rsid w:val="00EF4BD5"/>
    <w:rsid w:val="00EF5525"/>
    <w:rsid w:val="00EF5B44"/>
    <w:rsid w:val="00EF5F1D"/>
    <w:rsid w:val="00EF6279"/>
    <w:rsid w:val="00EF66B7"/>
    <w:rsid w:val="00EF6FC9"/>
    <w:rsid w:val="00EF7631"/>
    <w:rsid w:val="00EF79B6"/>
    <w:rsid w:val="00EF7B8B"/>
    <w:rsid w:val="00EF7FFB"/>
    <w:rsid w:val="00F01330"/>
    <w:rsid w:val="00F015AF"/>
    <w:rsid w:val="00F0171F"/>
    <w:rsid w:val="00F01904"/>
    <w:rsid w:val="00F01D44"/>
    <w:rsid w:val="00F01F67"/>
    <w:rsid w:val="00F025D5"/>
    <w:rsid w:val="00F02AA4"/>
    <w:rsid w:val="00F037AE"/>
    <w:rsid w:val="00F04F40"/>
    <w:rsid w:val="00F05347"/>
    <w:rsid w:val="00F059A8"/>
    <w:rsid w:val="00F079DD"/>
    <w:rsid w:val="00F07E21"/>
    <w:rsid w:val="00F100AA"/>
    <w:rsid w:val="00F103CD"/>
    <w:rsid w:val="00F11A19"/>
    <w:rsid w:val="00F12752"/>
    <w:rsid w:val="00F12AA5"/>
    <w:rsid w:val="00F1316F"/>
    <w:rsid w:val="00F1335C"/>
    <w:rsid w:val="00F137AC"/>
    <w:rsid w:val="00F13FDD"/>
    <w:rsid w:val="00F1443B"/>
    <w:rsid w:val="00F1551D"/>
    <w:rsid w:val="00F159BC"/>
    <w:rsid w:val="00F15A73"/>
    <w:rsid w:val="00F15F39"/>
    <w:rsid w:val="00F16231"/>
    <w:rsid w:val="00F16457"/>
    <w:rsid w:val="00F203B1"/>
    <w:rsid w:val="00F20571"/>
    <w:rsid w:val="00F20A1A"/>
    <w:rsid w:val="00F20B28"/>
    <w:rsid w:val="00F20C74"/>
    <w:rsid w:val="00F20FFB"/>
    <w:rsid w:val="00F2190F"/>
    <w:rsid w:val="00F21C61"/>
    <w:rsid w:val="00F22058"/>
    <w:rsid w:val="00F236E4"/>
    <w:rsid w:val="00F23D62"/>
    <w:rsid w:val="00F23FA8"/>
    <w:rsid w:val="00F24233"/>
    <w:rsid w:val="00F24C5F"/>
    <w:rsid w:val="00F24EA8"/>
    <w:rsid w:val="00F25968"/>
    <w:rsid w:val="00F25C28"/>
    <w:rsid w:val="00F2685D"/>
    <w:rsid w:val="00F306CE"/>
    <w:rsid w:val="00F308FA"/>
    <w:rsid w:val="00F30DD4"/>
    <w:rsid w:val="00F30E53"/>
    <w:rsid w:val="00F316E3"/>
    <w:rsid w:val="00F32154"/>
    <w:rsid w:val="00F3264C"/>
    <w:rsid w:val="00F326AB"/>
    <w:rsid w:val="00F32A25"/>
    <w:rsid w:val="00F32C7F"/>
    <w:rsid w:val="00F32F50"/>
    <w:rsid w:val="00F3353A"/>
    <w:rsid w:val="00F33C2F"/>
    <w:rsid w:val="00F33EB2"/>
    <w:rsid w:val="00F344D0"/>
    <w:rsid w:val="00F347AB"/>
    <w:rsid w:val="00F350CE"/>
    <w:rsid w:val="00F355CF"/>
    <w:rsid w:val="00F36C48"/>
    <w:rsid w:val="00F3738C"/>
    <w:rsid w:val="00F37E2E"/>
    <w:rsid w:val="00F37F9D"/>
    <w:rsid w:val="00F4062A"/>
    <w:rsid w:val="00F408F6"/>
    <w:rsid w:val="00F415FF"/>
    <w:rsid w:val="00F41663"/>
    <w:rsid w:val="00F420F8"/>
    <w:rsid w:val="00F425A4"/>
    <w:rsid w:val="00F436C5"/>
    <w:rsid w:val="00F43F43"/>
    <w:rsid w:val="00F44525"/>
    <w:rsid w:val="00F44F01"/>
    <w:rsid w:val="00F45A39"/>
    <w:rsid w:val="00F47176"/>
    <w:rsid w:val="00F47B35"/>
    <w:rsid w:val="00F47C2E"/>
    <w:rsid w:val="00F50517"/>
    <w:rsid w:val="00F509D9"/>
    <w:rsid w:val="00F50A39"/>
    <w:rsid w:val="00F50F5C"/>
    <w:rsid w:val="00F512BA"/>
    <w:rsid w:val="00F51BB4"/>
    <w:rsid w:val="00F528A9"/>
    <w:rsid w:val="00F540E2"/>
    <w:rsid w:val="00F55F6E"/>
    <w:rsid w:val="00F56B8B"/>
    <w:rsid w:val="00F56D3E"/>
    <w:rsid w:val="00F57846"/>
    <w:rsid w:val="00F57C61"/>
    <w:rsid w:val="00F57FE6"/>
    <w:rsid w:val="00F60005"/>
    <w:rsid w:val="00F601D0"/>
    <w:rsid w:val="00F60BD8"/>
    <w:rsid w:val="00F61F53"/>
    <w:rsid w:val="00F62172"/>
    <w:rsid w:val="00F62913"/>
    <w:rsid w:val="00F6311C"/>
    <w:rsid w:val="00F639CE"/>
    <w:rsid w:val="00F63A55"/>
    <w:rsid w:val="00F64D4C"/>
    <w:rsid w:val="00F66C05"/>
    <w:rsid w:val="00F7036D"/>
    <w:rsid w:val="00F703D7"/>
    <w:rsid w:val="00F70768"/>
    <w:rsid w:val="00F70C5F"/>
    <w:rsid w:val="00F70F7E"/>
    <w:rsid w:val="00F70FBB"/>
    <w:rsid w:val="00F710C5"/>
    <w:rsid w:val="00F72958"/>
    <w:rsid w:val="00F73D67"/>
    <w:rsid w:val="00F743C3"/>
    <w:rsid w:val="00F74884"/>
    <w:rsid w:val="00F74D61"/>
    <w:rsid w:val="00F7548C"/>
    <w:rsid w:val="00F76418"/>
    <w:rsid w:val="00F76486"/>
    <w:rsid w:val="00F76A5B"/>
    <w:rsid w:val="00F80147"/>
    <w:rsid w:val="00F80DA6"/>
    <w:rsid w:val="00F81094"/>
    <w:rsid w:val="00F81470"/>
    <w:rsid w:val="00F817A7"/>
    <w:rsid w:val="00F81900"/>
    <w:rsid w:val="00F81B09"/>
    <w:rsid w:val="00F827FB"/>
    <w:rsid w:val="00F831AB"/>
    <w:rsid w:val="00F83A59"/>
    <w:rsid w:val="00F83A6A"/>
    <w:rsid w:val="00F83C5D"/>
    <w:rsid w:val="00F841E9"/>
    <w:rsid w:val="00F84273"/>
    <w:rsid w:val="00F8486B"/>
    <w:rsid w:val="00F84C5D"/>
    <w:rsid w:val="00F850C4"/>
    <w:rsid w:val="00F856D7"/>
    <w:rsid w:val="00F8585C"/>
    <w:rsid w:val="00F85865"/>
    <w:rsid w:val="00F8631D"/>
    <w:rsid w:val="00F86372"/>
    <w:rsid w:val="00F8679F"/>
    <w:rsid w:val="00F871F9"/>
    <w:rsid w:val="00F8732E"/>
    <w:rsid w:val="00F87334"/>
    <w:rsid w:val="00F874C1"/>
    <w:rsid w:val="00F90683"/>
    <w:rsid w:val="00F9097D"/>
    <w:rsid w:val="00F90D70"/>
    <w:rsid w:val="00F91ACC"/>
    <w:rsid w:val="00F92466"/>
    <w:rsid w:val="00F924CA"/>
    <w:rsid w:val="00F92603"/>
    <w:rsid w:val="00F9285A"/>
    <w:rsid w:val="00F92AEE"/>
    <w:rsid w:val="00F92BCC"/>
    <w:rsid w:val="00F9343F"/>
    <w:rsid w:val="00F936E7"/>
    <w:rsid w:val="00F938C9"/>
    <w:rsid w:val="00F95380"/>
    <w:rsid w:val="00F95C84"/>
    <w:rsid w:val="00F96AA8"/>
    <w:rsid w:val="00F96F52"/>
    <w:rsid w:val="00FA0139"/>
    <w:rsid w:val="00FA03C2"/>
    <w:rsid w:val="00FA1798"/>
    <w:rsid w:val="00FA1D00"/>
    <w:rsid w:val="00FA2908"/>
    <w:rsid w:val="00FA2977"/>
    <w:rsid w:val="00FA2AD7"/>
    <w:rsid w:val="00FA2B9E"/>
    <w:rsid w:val="00FA2D88"/>
    <w:rsid w:val="00FA34DD"/>
    <w:rsid w:val="00FA40DB"/>
    <w:rsid w:val="00FA476C"/>
    <w:rsid w:val="00FA4F77"/>
    <w:rsid w:val="00FA51A2"/>
    <w:rsid w:val="00FA5B48"/>
    <w:rsid w:val="00FA6720"/>
    <w:rsid w:val="00FA6E23"/>
    <w:rsid w:val="00FA7121"/>
    <w:rsid w:val="00FA713A"/>
    <w:rsid w:val="00FA75D7"/>
    <w:rsid w:val="00FA7870"/>
    <w:rsid w:val="00FB00E1"/>
    <w:rsid w:val="00FB05C0"/>
    <w:rsid w:val="00FB14BA"/>
    <w:rsid w:val="00FB2717"/>
    <w:rsid w:val="00FB2777"/>
    <w:rsid w:val="00FB2A31"/>
    <w:rsid w:val="00FB2DA2"/>
    <w:rsid w:val="00FB4395"/>
    <w:rsid w:val="00FB58A7"/>
    <w:rsid w:val="00FB58D4"/>
    <w:rsid w:val="00FB5C9C"/>
    <w:rsid w:val="00FB5CF8"/>
    <w:rsid w:val="00FB6259"/>
    <w:rsid w:val="00FB7B77"/>
    <w:rsid w:val="00FB7E56"/>
    <w:rsid w:val="00FC0176"/>
    <w:rsid w:val="00FC0318"/>
    <w:rsid w:val="00FC058B"/>
    <w:rsid w:val="00FC0D73"/>
    <w:rsid w:val="00FC1A6B"/>
    <w:rsid w:val="00FC1CD1"/>
    <w:rsid w:val="00FC22BB"/>
    <w:rsid w:val="00FC38C4"/>
    <w:rsid w:val="00FC38CC"/>
    <w:rsid w:val="00FC3C58"/>
    <w:rsid w:val="00FC3CCA"/>
    <w:rsid w:val="00FC49F5"/>
    <w:rsid w:val="00FC5FD9"/>
    <w:rsid w:val="00FC675D"/>
    <w:rsid w:val="00FC7876"/>
    <w:rsid w:val="00FD004C"/>
    <w:rsid w:val="00FD02F7"/>
    <w:rsid w:val="00FD0834"/>
    <w:rsid w:val="00FD09A1"/>
    <w:rsid w:val="00FD0F73"/>
    <w:rsid w:val="00FD108C"/>
    <w:rsid w:val="00FD1213"/>
    <w:rsid w:val="00FD1E1A"/>
    <w:rsid w:val="00FD2112"/>
    <w:rsid w:val="00FD21CD"/>
    <w:rsid w:val="00FD2441"/>
    <w:rsid w:val="00FD2558"/>
    <w:rsid w:val="00FD3961"/>
    <w:rsid w:val="00FD3F58"/>
    <w:rsid w:val="00FD5428"/>
    <w:rsid w:val="00FD5B82"/>
    <w:rsid w:val="00FD5D71"/>
    <w:rsid w:val="00FD5DA0"/>
    <w:rsid w:val="00FD5DD6"/>
    <w:rsid w:val="00FD7590"/>
    <w:rsid w:val="00FD7C59"/>
    <w:rsid w:val="00FE0BA0"/>
    <w:rsid w:val="00FE11B9"/>
    <w:rsid w:val="00FE1623"/>
    <w:rsid w:val="00FE201E"/>
    <w:rsid w:val="00FE28F2"/>
    <w:rsid w:val="00FE3570"/>
    <w:rsid w:val="00FE4D15"/>
    <w:rsid w:val="00FE4DD6"/>
    <w:rsid w:val="00FE506B"/>
    <w:rsid w:val="00FE51DC"/>
    <w:rsid w:val="00FE5742"/>
    <w:rsid w:val="00FE59DC"/>
    <w:rsid w:val="00FE6014"/>
    <w:rsid w:val="00FE6B45"/>
    <w:rsid w:val="00FE6D92"/>
    <w:rsid w:val="00FE78E9"/>
    <w:rsid w:val="00FE7ACF"/>
    <w:rsid w:val="00FE7FC6"/>
    <w:rsid w:val="00FF0099"/>
    <w:rsid w:val="00FF030B"/>
    <w:rsid w:val="00FF05B2"/>
    <w:rsid w:val="00FF169F"/>
    <w:rsid w:val="00FF1E1E"/>
    <w:rsid w:val="00FF1EF3"/>
    <w:rsid w:val="00FF1FFF"/>
    <w:rsid w:val="00FF2006"/>
    <w:rsid w:val="00FF22BA"/>
    <w:rsid w:val="00FF28D8"/>
    <w:rsid w:val="00FF3932"/>
    <w:rsid w:val="00FF3FE5"/>
    <w:rsid w:val="00FF4A1D"/>
    <w:rsid w:val="00FF524E"/>
    <w:rsid w:val="00FF713E"/>
    <w:rsid w:val="00FF7B89"/>
    <w:rsid w:val="0110451A"/>
    <w:rsid w:val="011176EC"/>
    <w:rsid w:val="01140D0F"/>
    <w:rsid w:val="01294363"/>
    <w:rsid w:val="01323995"/>
    <w:rsid w:val="01393ECC"/>
    <w:rsid w:val="01415CD2"/>
    <w:rsid w:val="01437C9C"/>
    <w:rsid w:val="01464D0B"/>
    <w:rsid w:val="015B2567"/>
    <w:rsid w:val="015B5A28"/>
    <w:rsid w:val="01650D7E"/>
    <w:rsid w:val="01696FA9"/>
    <w:rsid w:val="017165B7"/>
    <w:rsid w:val="017E274F"/>
    <w:rsid w:val="01840D23"/>
    <w:rsid w:val="01893669"/>
    <w:rsid w:val="0191060D"/>
    <w:rsid w:val="019B792D"/>
    <w:rsid w:val="019F5EE2"/>
    <w:rsid w:val="01A66FAC"/>
    <w:rsid w:val="01B7120F"/>
    <w:rsid w:val="01B83889"/>
    <w:rsid w:val="01C0753F"/>
    <w:rsid w:val="01C53B2B"/>
    <w:rsid w:val="01D322E5"/>
    <w:rsid w:val="01D5487A"/>
    <w:rsid w:val="01E6152D"/>
    <w:rsid w:val="01ED55B0"/>
    <w:rsid w:val="01F1255F"/>
    <w:rsid w:val="0200793B"/>
    <w:rsid w:val="020626AB"/>
    <w:rsid w:val="02087BC4"/>
    <w:rsid w:val="02112328"/>
    <w:rsid w:val="02114113"/>
    <w:rsid w:val="021A27AB"/>
    <w:rsid w:val="021E51CE"/>
    <w:rsid w:val="023A1FA1"/>
    <w:rsid w:val="02551A35"/>
    <w:rsid w:val="025F28B4"/>
    <w:rsid w:val="026305F6"/>
    <w:rsid w:val="02657257"/>
    <w:rsid w:val="026678D0"/>
    <w:rsid w:val="026C0C67"/>
    <w:rsid w:val="027F71A2"/>
    <w:rsid w:val="02862505"/>
    <w:rsid w:val="028E1E2B"/>
    <w:rsid w:val="02AA13E5"/>
    <w:rsid w:val="02C82A28"/>
    <w:rsid w:val="02DE5ECF"/>
    <w:rsid w:val="02ED18ED"/>
    <w:rsid w:val="02F374E4"/>
    <w:rsid w:val="02F72AEC"/>
    <w:rsid w:val="02FF4E80"/>
    <w:rsid w:val="03060F81"/>
    <w:rsid w:val="03084CFA"/>
    <w:rsid w:val="031756AA"/>
    <w:rsid w:val="0329798B"/>
    <w:rsid w:val="032B6D3E"/>
    <w:rsid w:val="03306F17"/>
    <w:rsid w:val="03465257"/>
    <w:rsid w:val="035148F2"/>
    <w:rsid w:val="03584049"/>
    <w:rsid w:val="035C13EF"/>
    <w:rsid w:val="035E2B6B"/>
    <w:rsid w:val="03747AF8"/>
    <w:rsid w:val="039577EB"/>
    <w:rsid w:val="03BF2BA2"/>
    <w:rsid w:val="03C249D5"/>
    <w:rsid w:val="03D60954"/>
    <w:rsid w:val="03DB0660"/>
    <w:rsid w:val="03F70747"/>
    <w:rsid w:val="03FA52EB"/>
    <w:rsid w:val="03FB453F"/>
    <w:rsid w:val="04197B8D"/>
    <w:rsid w:val="041C3B0E"/>
    <w:rsid w:val="041F679F"/>
    <w:rsid w:val="042E54AD"/>
    <w:rsid w:val="04565254"/>
    <w:rsid w:val="045D2E23"/>
    <w:rsid w:val="04624C70"/>
    <w:rsid w:val="04677ABA"/>
    <w:rsid w:val="048819C4"/>
    <w:rsid w:val="049571A1"/>
    <w:rsid w:val="04B4654D"/>
    <w:rsid w:val="04C613C5"/>
    <w:rsid w:val="04D806FC"/>
    <w:rsid w:val="04EC5D82"/>
    <w:rsid w:val="04EE7F1F"/>
    <w:rsid w:val="05163953"/>
    <w:rsid w:val="051B0BD8"/>
    <w:rsid w:val="054705A3"/>
    <w:rsid w:val="054D071D"/>
    <w:rsid w:val="055514B7"/>
    <w:rsid w:val="055646E8"/>
    <w:rsid w:val="0576033A"/>
    <w:rsid w:val="057D377D"/>
    <w:rsid w:val="05832D5D"/>
    <w:rsid w:val="05A32EFA"/>
    <w:rsid w:val="05A91830"/>
    <w:rsid w:val="05AA53DA"/>
    <w:rsid w:val="05B13578"/>
    <w:rsid w:val="05B9052D"/>
    <w:rsid w:val="05C96278"/>
    <w:rsid w:val="05CE3413"/>
    <w:rsid w:val="05CE5853"/>
    <w:rsid w:val="05D0030C"/>
    <w:rsid w:val="05E57574"/>
    <w:rsid w:val="05EC00AC"/>
    <w:rsid w:val="05ED2AE2"/>
    <w:rsid w:val="05FC4EA3"/>
    <w:rsid w:val="060043AE"/>
    <w:rsid w:val="06105D50"/>
    <w:rsid w:val="061C6C31"/>
    <w:rsid w:val="062740B7"/>
    <w:rsid w:val="062F3250"/>
    <w:rsid w:val="06303EAB"/>
    <w:rsid w:val="064B6477"/>
    <w:rsid w:val="06545855"/>
    <w:rsid w:val="065674F3"/>
    <w:rsid w:val="06655F46"/>
    <w:rsid w:val="0684289B"/>
    <w:rsid w:val="0686479E"/>
    <w:rsid w:val="068808C1"/>
    <w:rsid w:val="069E5C46"/>
    <w:rsid w:val="06A51EF3"/>
    <w:rsid w:val="06B04DB5"/>
    <w:rsid w:val="06C118B6"/>
    <w:rsid w:val="06C249F8"/>
    <w:rsid w:val="06C4362D"/>
    <w:rsid w:val="06C453DB"/>
    <w:rsid w:val="06C60E7B"/>
    <w:rsid w:val="06C743CC"/>
    <w:rsid w:val="06CE4CE4"/>
    <w:rsid w:val="06E36D20"/>
    <w:rsid w:val="06F86B11"/>
    <w:rsid w:val="06FD6A9C"/>
    <w:rsid w:val="071E7895"/>
    <w:rsid w:val="07277371"/>
    <w:rsid w:val="073216DD"/>
    <w:rsid w:val="07351E35"/>
    <w:rsid w:val="07391DBB"/>
    <w:rsid w:val="073D07B2"/>
    <w:rsid w:val="07442078"/>
    <w:rsid w:val="074B07B5"/>
    <w:rsid w:val="07554508"/>
    <w:rsid w:val="076176A3"/>
    <w:rsid w:val="076646E5"/>
    <w:rsid w:val="07764EA6"/>
    <w:rsid w:val="077C5CB6"/>
    <w:rsid w:val="077C7A64"/>
    <w:rsid w:val="07A71166"/>
    <w:rsid w:val="07EE033A"/>
    <w:rsid w:val="07FD1AA5"/>
    <w:rsid w:val="08053EFD"/>
    <w:rsid w:val="08055667"/>
    <w:rsid w:val="08346591"/>
    <w:rsid w:val="0836554F"/>
    <w:rsid w:val="0845254C"/>
    <w:rsid w:val="0850267F"/>
    <w:rsid w:val="08513216"/>
    <w:rsid w:val="08556A64"/>
    <w:rsid w:val="08580887"/>
    <w:rsid w:val="08724F65"/>
    <w:rsid w:val="087D2FBC"/>
    <w:rsid w:val="08850B9A"/>
    <w:rsid w:val="08970701"/>
    <w:rsid w:val="08AC6127"/>
    <w:rsid w:val="08B71BA9"/>
    <w:rsid w:val="08CF45C4"/>
    <w:rsid w:val="08D50FE1"/>
    <w:rsid w:val="08E01988"/>
    <w:rsid w:val="08E27CBD"/>
    <w:rsid w:val="08EF7874"/>
    <w:rsid w:val="08F11903"/>
    <w:rsid w:val="08F40A40"/>
    <w:rsid w:val="09120581"/>
    <w:rsid w:val="09242161"/>
    <w:rsid w:val="0937582A"/>
    <w:rsid w:val="09376242"/>
    <w:rsid w:val="093B1FEA"/>
    <w:rsid w:val="093C2558"/>
    <w:rsid w:val="093C6557"/>
    <w:rsid w:val="09414AC1"/>
    <w:rsid w:val="09433C67"/>
    <w:rsid w:val="094B3B92"/>
    <w:rsid w:val="09524F20"/>
    <w:rsid w:val="0953333F"/>
    <w:rsid w:val="095F2253"/>
    <w:rsid w:val="09691920"/>
    <w:rsid w:val="096D4E64"/>
    <w:rsid w:val="09775807"/>
    <w:rsid w:val="09835760"/>
    <w:rsid w:val="098B3D73"/>
    <w:rsid w:val="099A2423"/>
    <w:rsid w:val="09A137B2"/>
    <w:rsid w:val="09A92587"/>
    <w:rsid w:val="09AA7042"/>
    <w:rsid w:val="09B04A7F"/>
    <w:rsid w:val="09B66248"/>
    <w:rsid w:val="09C22F8F"/>
    <w:rsid w:val="09C965B9"/>
    <w:rsid w:val="09CD0A4B"/>
    <w:rsid w:val="09D61438"/>
    <w:rsid w:val="09D8054E"/>
    <w:rsid w:val="09E55D95"/>
    <w:rsid w:val="09EA22D5"/>
    <w:rsid w:val="09EB2C7F"/>
    <w:rsid w:val="09F7477E"/>
    <w:rsid w:val="09FA09BE"/>
    <w:rsid w:val="0A0D7099"/>
    <w:rsid w:val="0A1B7A08"/>
    <w:rsid w:val="0A1E3829"/>
    <w:rsid w:val="0A1F3DF0"/>
    <w:rsid w:val="0A291B69"/>
    <w:rsid w:val="0A36039E"/>
    <w:rsid w:val="0A38067D"/>
    <w:rsid w:val="0A3C329E"/>
    <w:rsid w:val="0A3E6EDA"/>
    <w:rsid w:val="0A4A6AD9"/>
    <w:rsid w:val="0A610DDC"/>
    <w:rsid w:val="0A6932D7"/>
    <w:rsid w:val="0A740EC6"/>
    <w:rsid w:val="0A75027B"/>
    <w:rsid w:val="0A774B18"/>
    <w:rsid w:val="0A796D34"/>
    <w:rsid w:val="0A8475F5"/>
    <w:rsid w:val="0A8531A7"/>
    <w:rsid w:val="0A8C6210"/>
    <w:rsid w:val="0AAA2BFC"/>
    <w:rsid w:val="0ACB651F"/>
    <w:rsid w:val="0AD416CD"/>
    <w:rsid w:val="0AD92E29"/>
    <w:rsid w:val="0AEB30B8"/>
    <w:rsid w:val="0AF33A92"/>
    <w:rsid w:val="0AFC616A"/>
    <w:rsid w:val="0B095AB3"/>
    <w:rsid w:val="0B1316BA"/>
    <w:rsid w:val="0B1A381C"/>
    <w:rsid w:val="0B2A04B9"/>
    <w:rsid w:val="0B2B391F"/>
    <w:rsid w:val="0B343297"/>
    <w:rsid w:val="0B3C7C36"/>
    <w:rsid w:val="0B460A68"/>
    <w:rsid w:val="0B497A25"/>
    <w:rsid w:val="0B4E532A"/>
    <w:rsid w:val="0B543367"/>
    <w:rsid w:val="0B674587"/>
    <w:rsid w:val="0B7A6FA6"/>
    <w:rsid w:val="0B815649"/>
    <w:rsid w:val="0B855629"/>
    <w:rsid w:val="0B9171B9"/>
    <w:rsid w:val="0BA37CB5"/>
    <w:rsid w:val="0BA61553"/>
    <w:rsid w:val="0BA73D42"/>
    <w:rsid w:val="0BCA265D"/>
    <w:rsid w:val="0BD61435"/>
    <w:rsid w:val="0BDF754C"/>
    <w:rsid w:val="0BF07D4C"/>
    <w:rsid w:val="0BFA364D"/>
    <w:rsid w:val="0C000C64"/>
    <w:rsid w:val="0C02028D"/>
    <w:rsid w:val="0C084B34"/>
    <w:rsid w:val="0C0A65F6"/>
    <w:rsid w:val="0C232BA4"/>
    <w:rsid w:val="0C264D31"/>
    <w:rsid w:val="0C396B92"/>
    <w:rsid w:val="0C41225F"/>
    <w:rsid w:val="0C435B5C"/>
    <w:rsid w:val="0C4D5E73"/>
    <w:rsid w:val="0C5069E0"/>
    <w:rsid w:val="0C7E7DDA"/>
    <w:rsid w:val="0C803B53"/>
    <w:rsid w:val="0C8A2DDA"/>
    <w:rsid w:val="0C992E66"/>
    <w:rsid w:val="0CC630A4"/>
    <w:rsid w:val="0CE967E8"/>
    <w:rsid w:val="0CEF4436"/>
    <w:rsid w:val="0CEF72A3"/>
    <w:rsid w:val="0CF718B4"/>
    <w:rsid w:val="0CF96E6A"/>
    <w:rsid w:val="0D10137A"/>
    <w:rsid w:val="0D253568"/>
    <w:rsid w:val="0D2941EA"/>
    <w:rsid w:val="0D306CF4"/>
    <w:rsid w:val="0D474F66"/>
    <w:rsid w:val="0D482BB1"/>
    <w:rsid w:val="0D49663A"/>
    <w:rsid w:val="0D517059"/>
    <w:rsid w:val="0D5C636E"/>
    <w:rsid w:val="0D8301BA"/>
    <w:rsid w:val="0D8C6E04"/>
    <w:rsid w:val="0D9A02C7"/>
    <w:rsid w:val="0DA60738"/>
    <w:rsid w:val="0DAB10A3"/>
    <w:rsid w:val="0DAC2143"/>
    <w:rsid w:val="0DBA45FA"/>
    <w:rsid w:val="0DCE6B40"/>
    <w:rsid w:val="0DDC4C8D"/>
    <w:rsid w:val="0DDC70E0"/>
    <w:rsid w:val="0DE018AD"/>
    <w:rsid w:val="0DEF71B1"/>
    <w:rsid w:val="0DF34163"/>
    <w:rsid w:val="0DFB11D0"/>
    <w:rsid w:val="0DFE25EA"/>
    <w:rsid w:val="0DFE78E9"/>
    <w:rsid w:val="0E1704E7"/>
    <w:rsid w:val="0E181CA3"/>
    <w:rsid w:val="0E197DBB"/>
    <w:rsid w:val="0E26741B"/>
    <w:rsid w:val="0E361191"/>
    <w:rsid w:val="0E3F3599"/>
    <w:rsid w:val="0E40546E"/>
    <w:rsid w:val="0E504E10"/>
    <w:rsid w:val="0E565000"/>
    <w:rsid w:val="0E5E4047"/>
    <w:rsid w:val="0E720C17"/>
    <w:rsid w:val="0E7312E8"/>
    <w:rsid w:val="0E974791"/>
    <w:rsid w:val="0E97693A"/>
    <w:rsid w:val="0EA21814"/>
    <w:rsid w:val="0EA62DDA"/>
    <w:rsid w:val="0EAA7D9B"/>
    <w:rsid w:val="0EAC50D3"/>
    <w:rsid w:val="0EB421D9"/>
    <w:rsid w:val="0EB95F13"/>
    <w:rsid w:val="0EC86D86"/>
    <w:rsid w:val="0ED31344"/>
    <w:rsid w:val="0EDB31E4"/>
    <w:rsid w:val="0EE501B8"/>
    <w:rsid w:val="0EF13552"/>
    <w:rsid w:val="0F0B2EEC"/>
    <w:rsid w:val="0F0F7410"/>
    <w:rsid w:val="0F1748FB"/>
    <w:rsid w:val="0F1D086C"/>
    <w:rsid w:val="0F295AC8"/>
    <w:rsid w:val="0F2E3D3A"/>
    <w:rsid w:val="0F314BEF"/>
    <w:rsid w:val="0F3B6457"/>
    <w:rsid w:val="0F420BE6"/>
    <w:rsid w:val="0F5C4890"/>
    <w:rsid w:val="0F64775C"/>
    <w:rsid w:val="0F6F0E3D"/>
    <w:rsid w:val="0F763231"/>
    <w:rsid w:val="0F790E4C"/>
    <w:rsid w:val="0F84395A"/>
    <w:rsid w:val="0F8611CB"/>
    <w:rsid w:val="0F8B2AE0"/>
    <w:rsid w:val="0F8E5CA3"/>
    <w:rsid w:val="0F92757E"/>
    <w:rsid w:val="0FA45D88"/>
    <w:rsid w:val="0FA4776F"/>
    <w:rsid w:val="0FB2599E"/>
    <w:rsid w:val="0FC622CE"/>
    <w:rsid w:val="0FCA516C"/>
    <w:rsid w:val="0FE24389"/>
    <w:rsid w:val="0FE93208"/>
    <w:rsid w:val="0FEA7E35"/>
    <w:rsid w:val="0FF70686"/>
    <w:rsid w:val="10031D39"/>
    <w:rsid w:val="10051A3A"/>
    <w:rsid w:val="100558C9"/>
    <w:rsid w:val="100A219C"/>
    <w:rsid w:val="10246863"/>
    <w:rsid w:val="10264659"/>
    <w:rsid w:val="1029377C"/>
    <w:rsid w:val="10404163"/>
    <w:rsid w:val="10572BDA"/>
    <w:rsid w:val="10664056"/>
    <w:rsid w:val="106F045E"/>
    <w:rsid w:val="107C156C"/>
    <w:rsid w:val="10803ABE"/>
    <w:rsid w:val="10816C46"/>
    <w:rsid w:val="108279E0"/>
    <w:rsid w:val="10A7652D"/>
    <w:rsid w:val="10AA5642"/>
    <w:rsid w:val="10BB784F"/>
    <w:rsid w:val="10C24950"/>
    <w:rsid w:val="10C62793"/>
    <w:rsid w:val="10C754C8"/>
    <w:rsid w:val="10D66437"/>
    <w:rsid w:val="10E424D5"/>
    <w:rsid w:val="10ED6ADA"/>
    <w:rsid w:val="10F3319D"/>
    <w:rsid w:val="10F60887"/>
    <w:rsid w:val="10F84C11"/>
    <w:rsid w:val="11062655"/>
    <w:rsid w:val="111451B1"/>
    <w:rsid w:val="1116598F"/>
    <w:rsid w:val="112C24FB"/>
    <w:rsid w:val="11350189"/>
    <w:rsid w:val="11380B10"/>
    <w:rsid w:val="11380EA0"/>
    <w:rsid w:val="11383042"/>
    <w:rsid w:val="11597AD2"/>
    <w:rsid w:val="116E2920"/>
    <w:rsid w:val="117440EB"/>
    <w:rsid w:val="11A2081E"/>
    <w:rsid w:val="11BD13A5"/>
    <w:rsid w:val="11E42E5B"/>
    <w:rsid w:val="11E4732B"/>
    <w:rsid w:val="11F31B02"/>
    <w:rsid w:val="11F40315"/>
    <w:rsid w:val="12196676"/>
    <w:rsid w:val="122D3564"/>
    <w:rsid w:val="123012EA"/>
    <w:rsid w:val="1245034F"/>
    <w:rsid w:val="124D605F"/>
    <w:rsid w:val="124E7CB8"/>
    <w:rsid w:val="12502EC6"/>
    <w:rsid w:val="1293358D"/>
    <w:rsid w:val="129939C8"/>
    <w:rsid w:val="129A110C"/>
    <w:rsid w:val="12A56CDC"/>
    <w:rsid w:val="12A816D5"/>
    <w:rsid w:val="12B62596"/>
    <w:rsid w:val="12B91F32"/>
    <w:rsid w:val="12C77C8A"/>
    <w:rsid w:val="12C86EE5"/>
    <w:rsid w:val="12D70244"/>
    <w:rsid w:val="12F45998"/>
    <w:rsid w:val="12F6691D"/>
    <w:rsid w:val="12FC5EFD"/>
    <w:rsid w:val="12FC6E20"/>
    <w:rsid w:val="12FE5532"/>
    <w:rsid w:val="13005353"/>
    <w:rsid w:val="1329591A"/>
    <w:rsid w:val="1336171B"/>
    <w:rsid w:val="134C70EB"/>
    <w:rsid w:val="136046DE"/>
    <w:rsid w:val="13687A68"/>
    <w:rsid w:val="13720D8D"/>
    <w:rsid w:val="1372190E"/>
    <w:rsid w:val="13767A5D"/>
    <w:rsid w:val="1383530C"/>
    <w:rsid w:val="138F634F"/>
    <w:rsid w:val="13AE2631"/>
    <w:rsid w:val="13BD1A31"/>
    <w:rsid w:val="13BE2DAF"/>
    <w:rsid w:val="13BF3E5D"/>
    <w:rsid w:val="13C0517C"/>
    <w:rsid w:val="13C75E95"/>
    <w:rsid w:val="13CB5FFB"/>
    <w:rsid w:val="13D4559F"/>
    <w:rsid w:val="13DB18D7"/>
    <w:rsid w:val="13EF5009"/>
    <w:rsid w:val="13F11F07"/>
    <w:rsid w:val="14154F63"/>
    <w:rsid w:val="141A0205"/>
    <w:rsid w:val="14237BE5"/>
    <w:rsid w:val="142B0848"/>
    <w:rsid w:val="143811B7"/>
    <w:rsid w:val="143D2250"/>
    <w:rsid w:val="144E60BD"/>
    <w:rsid w:val="14515DD5"/>
    <w:rsid w:val="1461203E"/>
    <w:rsid w:val="14755593"/>
    <w:rsid w:val="14767D41"/>
    <w:rsid w:val="147F6DE6"/>
    <w:rsid w:val="14807700"/>
    <w:rsid w:val="14981B95"/>
    <w:rsid w:val="14A9516D"/>
    <w:rsid w:val="14AA5A9E"/>
    <w:rsid w:val="14EE60F2"/>
    <w:rsid w:val="14F92EBE"/>
    <w:rsid w:val="150502AC"/>
    <w:rsid w:val="1505553D"/>
    <w:rsid w:val="1509149A"/>
    <w:rsid w:val="150A4645"/>
    <w:rsid w:val="150C091F"/>
    <w:rsid w:val="152025D8"/>
    <w:rsid w:val="15304812"/>
    <w:rsid w:val="15307872"/>
    <w:rsid w:val="15323AE3"/>
    <w:rsid w:val="15332680"/>
    <w:rsid w:val="153B777B"/>
    <w:rsid w:val="153D54B7"/>
    <w:rsid w:val="15437E13"/>
    <w:rsid w:val="154F4A0A"/>
    <w:rsid w:val="155344FA"/>
    <w:rsid w:val="15715D33"/>
    <w:rsid w:val="15757273"/>
    <w:rsid w:val="15793835"/>
    <w:rsid w:val="157B2064"/>
    <w:rsid w:val="158D1021"/>
    <w:rsid w:val="1595314A"/>
    <w:rsid w:val="159A3ED7"/>
    <w:rsid w:val="15A24750"/>
    <w:rsid w:val="15A5083B"/>
    <w:rsid w:val="15B675B0"/>
    <w:rsid w:val="15BC1CA8"/>
    <w:rsid w:val="15DB004C"/>
    <w:rsid w:val="15E07713"/>
    <w:rsid w:val="15FD705D"/>
    <w:rsid w:val="160473D1"/>
    <w:rsid w:val="16174E60"/>
    <w:rsid w:val="16176B0C"/>
    <w:rsid w:val="16282F80"/>
    <w:rsid w:val="162C76C0"/>
    <w:rsid w:val="16315D35"/>
    <w:rsid w:val="163F6E10"/>
    <w:rsid w:val="164A65E1"/>
    <w:rsid w:val="16615306"/>
    <w:rsid w:val="166D25E4"/>
    <w:rsid w:val="167A1EDE"/>
    <w:rsid w:val="168409CA"/>
    <w:rsid w:val="16901E4C"/>
    <w:rsid w:val="16995913"/>
    <w:rsid w:val="169B1FB5"/>
    <w:rsid w:val="16A53A7D"/>
    <w:rsid w:val="16A703C8"/>
    <w:rsid w:val="16B359EB"/>
    <w:rsid w:val="16B62EE0"/>
    <w:rsid w:val="16C84A74"/>
    <w:rsid w:val="16C97356"/>
    <w:rsid w:val="16DF2374"/>
    <w:rsid w:val="16EB72C3"/>
    <w:rsid w:val="16EE45E1"/>
    <w:rsid w:val="16F13FCB"/>
    <w:rsid w:val="16F44F42"/>
    <w:rsid w:val="16F5338F"/>
    <w:rsid w:val="17185066"/>
    <w:rsid w:val="171E2686"/>
    <w:rsid w:val="172F68A1"/>
    <w:rsid w:val="17377504"/>
    <w:rsid w:val="174C1299"/>
    <w:rsid w:val="17551E34"/>
    <w:rsid w:val="175F37DC"/>
    <w:rsid w:val="17681DB3"/>
    <w:rsid w:val="17683B61"/>
    <w:rsid w:val="17716EB9"/>
    <w:rsid w:val="179853E5"/>
    <w:rsid w:val="17996329"/>
    <w:rsid w:val="179F6914"/>
    <w:rsid w:val="17A67E3B"/>
    <w:rsid w:val="17AA13D1"/>
    <w:rsid w:val="17BC71D1"/>
    <w:rsid w:val="17CF488E"/>
    <w:rsid w:val="17E939BF"/>
    <w:rsid w:val="17EE462E"/>
    <w:rsid w:val="17F13B56"/>
    <w:rsid w:val="180C0917"/>
    <w:rsid w:val="18152563"/>
    <w:rsid w:val="18353621"/>
    <w:rsid w:val="183830CA"/>
    <w:rsid w:val="1846371D"/>
    <w:rsid w:val="18522C23"/>
    <w:rsid w:val="187345EE"/>
    <w:rsid w:val="187B075B"/>
    <w:rsid w:val="1885001A"/>
    <w:rsid w:val="1885498D"/>
    <w:rsid w:val="1896229A"/>
    <w:rsid w:val="18A32E5C"/>
    <w:rsid w:val="18B77C98"/>
    <w:rsid w:val="18C14BB1"/>
    <w:rsid w:val="18CA168D"/>
    <w:rsid w:val="18D55226"/>
    <w:rsid w:val="18DF6E59"/>
    <w:rsid w:val="18EF593B"/>
    <w:rsid w:val="18F83D2D"/>
    <w:rsid w:val="1901538D"/>
    <w:rsid w:val="190E24E6"/>
    <w:rsid w:val="19342526"/>
    <w:rsid w:val="193D3602"/>
    <w:rsid w:val="194567BF"/>
    <w:rsid w:val="19491C73"/>
    <w:rsid w:val="194B0B18"/>
    <w:rsid w:val="195B3A6D"/>
    <w:rsid w:val="197728C3"/>
    <w:rsid w:val="1979423D"/>
    <w:rsid w:val="198C68C3"/>
    <w:rsid w:val="19A31984"/>
    <w:rsid w:val="19A3496B"/>
    <w:rsid w:val="19A87ACC"/>
    <w:rsid w:val="19B861ED"/>
    <w:rsid w:val="19C42CE9"/>
    <w:rsid w:val="19CA69CB"/>
    <w:rsid w:val="19CE23A1"/>
    <w:rsid w:val="19DA1367"/>
    <w:rsid w:val="19DF40F0"/>
    <w:rsid w:val="19E6554B"/>
    <w:rsid w:val="19EB7513"/>
    <w:rsid w:val="19EC6CCB"/>
    <w:rsid w:val="19FD4A34"/>
    <w:rsid w:val="1A0147EF"/>
    <w:rsid w:val="1A145A59"/>
    <w:rsid w:val="1A3505F7"/>
    <w:rsid w:val="1A384566"/>
    <w:rsid w:val="1A474EED"/>
    <w:rsid w:val="1A5244F6"/>
    <w:rsid w:val="1A6525DA"/>
    <w:rsid w:val="1A832632"/>
    <w:rsid w:val="1A864A2A"/>
    <w:rsid w:val="1AA04F46"/>
    <w:rsid w:val="1AA255DC"/>
    <w:rsid w:val="1AAA2DEB"/>
    <w:rsid w:val="1ABB4342"/>
    <w:rsid w:val="1AC21F08"/>
    <w:rsid w:val="1AC741EA"/>
    <w:rsid w:val="1AD11A1D"/>
    <w:rsid w:val="1AD40E20"/>
    <w:rsid w:val="1ADF238C"/>
    <w:rsid w:val="1AE027CB"/>
    <w:rsid w:val="1AE14356"/>
    <w:rsid w:val="1AEE4EA9"/>
    <w:rsid w:val="1AFC235E"/>
    <w:rsid w:val="1B132036"/>
    <w:rsid w:val="1B177D78"/>
    <w:rsid w:val="1B1A7868"/>
    <w:rsid w:val="1B2154BD"/>
    <w:rsid w:val="1B3A5A6B"/>
    <w:rsid w:val="1B4740C2"/>
    <w:rsid w:val="1B4F09B7"/>
    <w:rsid w:val="1B677D16"/>
    <w:rsid w:val="1B716319"/>
    <w:rsid w:val="1B764AA3"/>
    <w:rsid w:val="1B7C3A89"/>
    <w:rsid w:val="1B8F3DB2"/>
    <w:rsid w:val="1BA01B1B"/>
    <w:rsid w:val="1BB61A77"/>
    <w:rsid w:val="1BB964C9"/>
    <w:rsid w:val="1BBC302F"/>
    <w:rsid w:val="1BBC447B"/>
    <w:rsid w:val="1BD95885"/>
    <w:rsid w:val="1BDA108D"/>
    <w:rsid w:val="1BDC6327"/>
    <w:rsid w:val="1BDF0AAE"/>
    <w:rsid w:val="1BF632EC"/>
    <w:rsid w:val="1C204A0A"/>
    <w:rsid w:val="1C206818"/>
    <w:rsid w:val="1C392423"/>
    <w:rsid w:val="1C4E669A"/>
    <w:rsid w:val="1C4F7503"/>
    <w:rsid w:val="1C623973"/>
    <w:rsid w:val="1C6413F5"/>
    <w:rsid w:val="1C832B05"/>
    <w:rsid w:val="1C844F99"/>
    <w:rsid w:val="1C847038"/>
    <w:rsid w:val="1C915908"/>
    <w:rsid w:val="1C9A06EB"/>
    <w:rsid w:val="1CAA0778"/>
    <w:rsid w:val="1CB45DC0"/>
    <w:rsid w:val="1CB773A1"/>
    <w:rsid w:val="1CBD0799"/>
    <w:rsid w:val="1CBE21A3"/>
    <w:rsid w:val="1CC61AE6"/>
    <w:rsid w:val="1CD221A8"/>
    <w:rsid w:val="1CD72B28"/>
    <w:rsid w:val="1CDA671C"/>
    <w:rsid w:val="1CE5165F"/>
    <w:rsid w:val="1CE75528"/>
    <w:rsid w:val="1CE912A0"/>
    <w:rsid w:val="1CEB5B1F"/>
    <w:rsid w:val="1CFB2DA4"/>
    <w:rsid w:val="1D075A1B"/>
    <w:rsid w:val="1D1B0A27"/>
    <w:rsid w:val="1D28626C"/>
    <w:rsid w:val="1D3A5FA0"/>
    <w:rsid w:val="1D3E773E"/>
    <w:rsid w:val="1D513F45"/>
    <w:rsid w:val="1D5744D2"/>
    <w:rsid w:val="1D5F5A06"/>
    <w:rsid w:val="1D837F37"/>
    <w:rsid w:val="1D8B2357"/>
    <w:rsid w:val="1D9778CB"/>
    <w:rsid w:val="1D990F18"/>
    <w:rsid w:val="1DA82F09"/>
    <w:rsid w:val="1DA85CE8"/>
    <w:rsid w:val="1DAE0412"/>
    <w:rsid w:val="1DD56D74"/>
    <w:rsid w:val="1DD85808"/>
    <w:rsid w:val="1DDB32DF"/>
    <w:rsid w:val="1DDE692B"/>
    <w:rsid w:val="1DFE6FCD"/>
    <w:rsid w:val="1E123ECC"/>
    <w:rsid w:val="1E2B2D83"/>
    <w:rsid w:val="1E301175"/>
    <w:rsid w:val="1E377F98"/>
    <w:rsid w:val="1E480C43"/>
    <w:rsid w:val="1E496E6B"/>
    <w:rsid w:val="1E4B54E9"/>
    <w:rsid w:val="1E546BED"/>
    <w:rsid w:val="1E5F5CBE"/>
    <w:rsid w:val="1E8259A5"/>
    <w:rsid w:val="1E89502A"/>
    <w:rsid w:val="1E907DDD"/>
    <w:rsid w:val="1E990C58"/>
    <w:rsid w:val="1EA12B5D"/>
    <w:rsid w:val="1EAC38F4"/>
    <w:rsid w:val="1EAE7AE7"/>
    <w:rsid w:val="1EB45AA9"/>
    <w:rsid w:val="1ECC0E79"/>
    <w:rsid w:val="1ECF3287"/>
    <w:rsid w:val="1ED006EF"/>
    <w:rsid w:val="1ED8781E"/>
    <w:rsid w:val="1EF5000E"/>
    <w:rsid w:val="1EF65EF6"/>
    <w:rsid w:val="1F05212A"/>
    <w:rsid w:val="1F141418"/>
    <w:rsid w:val="1F204D21"/>
    <w:rsid w:val="1F253C23"/>
    <w:rsid w:val="1F2D5FFE"/>
    <w:rsid w:val="1F3B2714"/>
    <w:rsid w:val="1F3E24A5"/>
    <w:rsid w:val="1F4153C3"/>
    <w:rsid w:val="1F4C6CC8"/>
    <w:rsid w:val="1F523FE8"/>
    <w:rsid w:val="1F5B0159"/>
    <w:rsid w:val="1F661CF0"/>
    <w:rsid w:val="1F7E6617"/>
    <w:rsid w:val="1F841754"/>
    <w:rsid w:val="1F8F25D3"/>
    <w:rsid w:val="1FAD01EA"/>
    <w:rsid w:val="1FB878D0"/>
    <w:rsid w:val="1FBD386B"/>
    <w:rsid w:val="1FBF278C"/>
    <w:rsid w:val="1FCD4EA9"/>
    <w:rsid w:val="1FDA394A"/>
    <w:rsid w:val="1FE87F35"/>
    <w:rsid w:val="1FE92C9D"/>
    <w:rsid w:val="20014B53"/>
    <w:rsid w:val="20022529"/>
    <w:rsid w:val="20052895"/>
    <w:rsid w:val="20053838"/>
    <w:rsid w:val="202265E1"/>
    <w:rsid w:val="2023554A"/>
    <w:rsid w:val="20374F4C"/>
    <w:rsid w:val="20391196"/>
    <w:rsid w:val="2040730C"/>
    <w:rsid w:val="20461EEF"/>
    <w:rsid w:val="207258E4"/>
    <w:rsid w:val="20930EAE"/>
    <w:rsid w:val="20955535"/>
    <w:rsid w:val="209854B7"/>
    <w:rsid w:val="20A369BD"/>
    <w:rsid w:val="20AE1EB2"/>
    <w:rsid w:val="20BA42D4"/>
    <w:rsid w:val="20BB2F53"/>
    <w:rsid w:val="20C067BC"/>
    <w:rsid w:val="20CC06EA"/>
    <w:rsid w:val="20CF1DCE"/>
    <w:rsid w:val="20D3449A"/>
    <w:rsid w:val="20D34C23"/>
    <w:rsid w:val="20E42156"/>
    <w:rsid w:val="20FB5A46"/>
    <w:rsid w:val="20FC3C98"/>
    <w:rsid w:val="211751C3"/>
    <w:rsid w:val="211E45C1"/>
    <w:rsid w:val="21254871"/>
    <w:rsid w:val="21303795"/>
    <w:rsid w:val="21487917"/>
    <w:rsid w:val="21582A2A"/>
    <w:rsid w:val="215F7D83"/>
    <w:rsid w:val="216223C9"/>
    <w:rsid w:val="217146A8"/>
    <w:rsid w:val="217E28FF"/>
    <w:rsid w:val="21880119"/>
    <w:rsid w:val="218D2B42"/>
    <w:rsid w:val="21942EF2"/>
    <w:rsid w:val="21B87493"/>
    <w:rsid w:val="21C60546"/>
    <w:rsid w:val="21CB755B"/>
    <w:rsid w:val="21DA565B"/>
    <w:rsid w:val="21DD7B59"/>
    <w:rsid w:val="21F04E7F"/>
    <w:rsid w:val="21F86D1B"/>
    <w:rsid w:val="21F93C22"/>
    <w:rsid w:val="220265D9"/>
    <w:rsid w:val="220E77F0"/>
    <w:rsid w:val="2211329B"/>
    <w:rsid w:val="221269CA"/>
    <w:rsid w:val="221E19EC"/>
    <w:rsid w:val="221F571F"/>
    <w:rsid w:val="22412F79"/>
    <w:rsid w:val="224376A4"/>
    <w:rsid w:val="22443B73"/>
    <w:rsid w:val="22466E83"/>
    <w:rsid w:val="22477A89"/>
    <w:rsid w:val="22596EC8"/>
    <w:rsid w:val="225C1876"/>
    <w:rsid w:val="226B6C64"/>
    <w:rsid w:val="229B14A9"/>
    <w:rsid w:val="22A0365F"/>
    <w:rsid w:val="22A90824"/>
    <w:rsid w:val="22AB1288"/>
    <w:rsid w:val="22B1460E"/>
    <w:rsid w:val="22DB04DA"/>
    <w:rsid w:val="22DD3655"/>
    <w:rsid w:val="22E020CA"/>
    <w:rsid w:val="22E744D4"/>
    <w:rsid w:val="22F55A15"/>
    <w:rsid w:val="22F8048F"/>
    <w:rsid w:val="230157F9"/>
    <w:rsid w:val="2304095B"/>
    <w:rsid w:val="23241284"/>
    <w:rsid w:val="23372F18"/>
    <w:rsid w:val="23530B52"/>
    <w:rsid w:val="236C488E"/>
    <w:rsid w:val="237006B3"/>
    <w:rsid w:val="237176E7"/>
    <w:rsid w:val="23730446"/>
    <w:rsid w:val="23737B60"/>
    <w:rsid w:val="23972545"/>
    <w:rsid w:val="239C4275"/>
    <w:rsid w:val="23BE0A1D"/>
    <w:rsid w:val="23CC4F28"/>
    <w:rsid w:val="23CD36CA"/>
    <w:rsid w:val="23CF23CE"/>
    <w:rsid w:val="23DB55FA"/>
    <w:rsid w:val="23E60031"/>
    <w:rsid w:val="23F9105D"/>
    <w:rsid w:val="24004E02"/>
    <w:rsid w:val="24194B61"/>
    <w:rsid w:val="241A2687"/>
    <w:rsid w:val="24355C33"/>
    <w:rsid w:val="243D3399"/>
    <w:rsid w:val="24482D50"/>
    <w:rsid w:val="24551FE8"/>
    <w:rsid w:val="2460185F"/>
    <w:rsid w:val="246D29E9"/>
    <w:rsid w:val="247104F9"/>
    <w:rsid w:val="24747FE9"/>
    <w:rsid w:val="248E0C9E"/>
    <w:rsid w:val="24A47080"/>
    <w:rsid w:val="24A65CC9"/>
    <w:rsid w:val="24B26C1A"/>
    <w:rsid w:val="24C70B2B"/>
    <w:rsid w:val="24C86BA3"/>
    <w:rsid w:val="24DC16EA"/>
    <w:rsid w:val="24F904EE"/>
    <w:rsid w:val="251142D2"/>
    <w:rsid w:val="251610E2"/>
    <w:rsid w:val="25190E5C"/>
    <w:rsid w:val="25215F42"/>
    <w:rsid w:val="252C6137"/>
    <w:rsid w:val="25442B94"/>
    <w:rsid w:val="254878D3"/>
    <w:rsid w:val="2549425C"/>
    <w:rsid w:val="25526F88"/>
    <w:rsid w:val="25534582"/>
    <w:rsid w:val="25895411"/>
    <w:rsid w:val="25A92EE7"/>
    <w:rsid w:val="25B318F4"/>
    <w:rsid w:val="25BA7ED1"/>
    <w:rsid w:val="25BC7168"/>
    <w:rsid w:val="25C43117"/>
    <w:rsid w:val="25D52757"/>
    <w:rsid w:val="25D83FDE"/>
    <w:rsid w:val="25DF5DAA"/>
    <w:rsid w:val="25F807A6"/>
    <w:rsid w:val="25FA29D1"/>
    <w:rsid w:val="261D1FBA"/>
    <w:rsid w:val="2632244E"/>
    <w:rsid w:val="26354676"/>
    <w:rsid w:val="265005E2"/>
    <w:rsid w:val="26536A8F"/>
    <w:rsid w:val="26562D72"/>
    <w:rsid w:val="26615636"/>
    <w:rsid w:val="2666247C"/>
    <w:rsid w:val="26724A23"/>
    <w:rsid w:val="26760254"/>
    <w:rsid w:val="267778AA"/>
    <w:rsid w:val="267B525B"/>
    <w:rsid w:val="267C12EF"/>
    <w:rsid w:val="267E51F8"/>
    <w:rsid w:val="269B23E5"/>
    <w:rsid w:val="269D3BA8"/>
    <w:rsid w:val="26A11572"/>
    <w:rsid w:val="26A4555B"/>
    <w:rsid w:val="26B02E2F"/>
    <w:rsid w:val="26B04E44"/>
    <w:rsid w:val="26B42A9A"/>
    <w:rsid w:val="26C0321D"/>
    <w:rsid w:val="26C708A4"/>
    <w:rsid w:val="26D01D5A"/>
    <w:rsid w:val="26D85EE3"/>
    <w:rsid w:val="26E50978"/>
    <w:rsid w:val="27211718"/>
    <w:rsid w:val="27227749"/>
    <w:rsid w:val="27294A71"/>
    <w:rsid w:val="272F6449"/>
    <w:rsid w:val="273B4BEA"/>
    <w:rsid w:val="27415C17"/>
    <w:rsid w:val="2748398E"/>
    <w:rsid w:val="2749432A"/>
    <w:rsid w:val="2758774E"/>
    <w:rsid w:val="27662FB4"/>
    <w:rsid w:val="276B60A8"/>
    <w:rsid w:val="27760CC4"/>
    <w:rsid w:val="277A7AFB"/>
    <w:rsid w:val="27894255"/>
    <w:rsid w:val="279A2EEF"/>
    <w:rsid w:val="27AC35F6"/>
    <w:rsid w:val="27AD2B37"/>
    <w:rsid w:val="27B8643F"/>
    <w:rsid w:val="27BC332C"/>
    <w:rsid w:val="27C64907"/>
    <w:rsid w:val="27CB6172"/>
    <w:rsid w:val="27D3302E"/>
    <w:rsid w:val="27D8088F"/>
    <w:rsid w:val="27DB6E05"/>
    <w:rsid w:val="27DD5EA5"/>
    <w:rsid w:val="27E94829"/>
    <w:rsid w:val="27EE1E60"/>
    <w:rsid w:val="27FC3FE7"/>
    <w:rsid w:val="280244E7"/>
    <w:rsid w:val="28177609"/>
    <w:rsid w:val="281E66E3"/>
    <w:rsid w:val="2835385F"/>
    <w:rsid w:val="28522F98"/>
    <w:rsid w:val="286045A8"/>
    <w:rsid w:val="28606E1F"/>
    <w:rsid w:val="286C0546"/>
    <w:rsid w:val="28820E7D"/>
    <w:rsid w:val="288A70A3"/>
    <w:rsid w:val="28926C90"/>
    <w:rsid w:val="289F0F83"/>
    <w:rsid w:val="28AA6F33"/>
    <w:rsid w:val="28AA70EE"/>
    <w:rsid w:val="28AD6199"/>
    <w:rsid w:val="28BA7BCE"/>
    <w:rsid w:val="28BB2431"/>
    <w:rsid w:val="28BF4482"/>
    <w:rsid w:val="28C57065"/>
    <w:rsid w:val="28FC235B"/>
    <w:rsid w:val="29053906"/>
    <w:rsid w:val="290B4B3C"/>
    <w:rsid w:val="290B61E5"/>
    <w:rsid w:val="291B225F"/>
    <w:rsid w:val="2920429C"/>
    <w:rsid w:val="29243911"/>
    <w:rsid w:val="292516C6"/>
    <w:rsid w:val="29333D3E"/>
    <w:rsid w:val="29347D47"/>
    <w:rsid w:val="29350C9A"/>
    <w:rsid w:val="293B79D5"/>
    <w:rsid w:val="2943717A"/>
    <w:rsid w:val="2947617E"/>
    <w:rsid w:val="29477A7A"/>
    <w:rsid w:val="29563878"/>
    <w:rsid w:val="295D0737"/>
    <w:rsid w:val="295F6AE4"/>
    <w:rsid w:val="296F0C6C"/>
    <w:rsid w:val="29727529"/>
    <w:rsid w:val="29847A5A"/>
    <w:rsid w:val="29B37314"/>
    <w:rsid w:val="29B96230"/>
    <w:rsid w:val="29C05768"/>
    <w:rsid w:val="29C410CB"/>
    <w:rsid w:val="29DD3F3B"/>
    <w:rsid w:val="29EE7B3A"/>
    <w:rsid w:val="29FF65A7"/>
    <w:rsid w:val="2A057E10"/>
    <w:rsid w:val="2A1805DE"/>
    <w:rsid w:val="2A1C2CB5"/>
    <w:rsid w:val="2A2B2BD1"/>
    <w:rsid w:val="2A35072F"/>
    <w:rsid w:val="2A412F7E"/>
    <w:rsid w:val="2A457B67"/>
    <w:rsid w:val="2A681556"/>
    <w:rsid w:val="2A695D49"/>
    <w:rsid w:val="2A8B5B78"/>
    <w:rsid w:val="2AAB4039"/>
    <w:rsid w:val="2AAB5DE7"/>
    <w:rsid w:val="2AAB68F3"/>
    <w:rsid w:val="2ABC6246"/>
    <w:rsid w:val="2ABF20FC"/>
    <w:rsid w:val="2AC1665A"/>
    <w:rsid w:val="2AD417E1"/>
    <w:rsid w:val="2ADB2B70"/>
    <w:rsid w:val="2ADC41F2"/>
    <w:rsid w:val="2ADF271A"/>
    <w:rsid w:val="2ADF3CE2"/>
    <w:rsid w:val="2AE8528D"/>
    <w:rsid w:val="2AEB5AB9"/>
    <w:rsid w:val="2AF95272"/>
    <w:rsid w:val="2B0674C1"/>
    <w:rsid w:val="2B0755CD"/>
    <w:rsid w:val="2B0F208E"/>
    <w:rsid w:val="2B111D65"/>
    <w:rsid w:val="2B12230A"/>
    <w:rsid w:val="2B1843B0"/>
    <w:rsid w:val="2B275DB5"/>
    <w:rsid w:val="2B2924BB"/>
    <w:rsid w:val="2B3344AA"/>
    <w:rsid w:val="2B3A3708"/>
    <w:rsid w:val="2B3F3331"/>
    <w:rsid w:val="2B406E77"/>
    <w:rsid w:val="2B4104F9"/>
    <w:rsid w:val="2B451C69"/>
    <w:rsid w:val="2B48426E"/>
    <w:rsid w:val="2B487ADA"/>
    <w:rsid w:val="2B4C2D28"/>
    <w:rsid w:val="2B512E32"/>
    <w:rsid w:val="2B5244B4"/>
    <w:rsid w:val="2B613493"/>
    <w:rsid w:val="2B8A1A07"/>
    <w:rsid w:val="2B8D4404"/>
    <w:rsid w:val="2BA3330B"/>
    <w:rsid w:val="2BAF1907"/>
    <w:rsid w:val="2BC56C16"/>
    <w:rsid w:val="2BC57499"/>
    <w:rsid w:val="2BF462BA"/>
    <w:rsid w:val="2BF57C61"/>
    <w:rsid w:val="2C0F6517"/>
    <w:rsid w:val="2C1005F7"/>
    <w:rsid w:val="2C14164B"/>
    <w:rsid w:val="2C1D06E6"/>
    <w:rsid w:val="2C2374BE"/>
    <w:rsid w:val="2C286950"/>
    <w:rsid w:val="2C45082A"/>
    <w:rsid w:val="2C7B59DB"/>
    <w:rsid w:val="2C8C0C8F"/>
    <w:rsid w:val="2C932FD6"/>
    <w:rsid w:val="2C956D4E"/>
    <w:rsid w:val="2CA03AA3"/>
    <w:rsid w:val="2CAB0FBB"/>
    <w:rsid w:val="2CAD2FB5"/>
    <w:rsid w:val="2CB5119F"/>
    <w:rsid w:val="2CC50B84"/>
    <w:rsid w:val="2CE61358"/>
    <w:rsid w:val="2CEB299B"/>
    <w:rsid w:val="2D040005"/>
    <w:rsid w:val="2D160052"/>
    <w:rsid w:val="2D1F6963"/>
    <w:rsid w:val="2D2554EB"/>
    <w:rsid w:val="2D26209C"/>
    <w:rsid w:val="2D32459D"/>
    <w:rsid w:val="2D39372B"/>
    <w:rsid w:val="2D4527CF"/>
    <w:rsid w:val="2D67693D"/>
    <w:rsid w:val="2D7C0659"/>
    <w:rsid w:val="2D807E3C"/>
    <w:rsid w:val="2D8F19EF"/>
    <w:rsid w:val="2D9161D5"/>
    <w:rsid w:val="2D99137C"/>
    <w:rsid w:val="2DA37E25"/>
    <w:rsid w:val="2DA90D03"/>
    <w:rsid w:val="2DBA7DCA"/>
    <w:rsid w:val="2DD56299"/>
    <w:rsid w:val="2DF729FB"/>
    <w:rsid w:val="2E0221C2"/>
    <w:rsid w:val="2E20690D"/>
    <w:rsid w:val="2E304441"/>
    <w:rsid w:val="2E322A04"/>
    <w:rsid w:val="2E337C21"/>
    <w:rsid w:val="2E351172"/>
    <w:rsid w:val="2E361267"/>
    <w:rsid w:val="2E555DDF"/>
    <w:rsid w:val="2E5927C0"/>
    <w:rsid w:val="2E77681C"/>
    <w:rsid w:val="2EA469BE"/>
    <w:rsid w:val="2EB0439F"/>
    <w:rsid w:val="2EBE7A66"/>
    <w:rsid w:val="2EC540AD"/>
    <w:rsid w:val="2ED02BE1"/>
    <w:rsid w:val="2EDC09EC"/>
    <w:rsid w:val="2EE43FBD"/>
    <w:rsid w:val="2EE61AE3"/>
    <w:rsid w:val="2EF66AF4"/>
    <w:rsid w:val="2EFF6950"/>
    <w:rsid w:val="2F00660B"/>
    <w:rsid w:val="2F0C34E0"/>
    <w:rsid w:val="2F0C6E09"/>
    <w:rsid w:val="2F0F2DE8"/>
    <w:rsid w:val="2F1D595D"/>
    <w:rsid w:val="2F227844"/>
    <w:rsid w:val="2F261490"/>
    <w:rsid w:val="2F271A87"/>
    <w:rsid w:val="2F307E92"/>
    <w:rsid w:val="2F34284F"/>
    <w:rsid w:val="2F3E6094"/>
    <w:rsid w:val="2F4C0B9C"/>
    <w:rsid w:val="2F55792D"/>
    <w:rsid w:val="2F655077"/>
    <w:rsid w:val="2F681C00"/>
    <w:rsid w:val="2F6E1E8D"/>
    <w:rsid w:val="2F710BF0"/>
    <w:rsid w:val="2F7E0CFF"/>
    <w:rsid w:val="2F8A4930"/>
    <w:rsid w:val="2F91706A"/>
    <w:rsid w:val="2F9331D6"/>
    <w:rsid w:val="2F9B563E"/>
    <w:rsid w:val="2FAD44FE"/>
    <w:rsid w:val="2FB5707C"/>
    <w:rsid w:val="2FBA3380"/>
    <w:rsid w:val="2FCE1BD3"/>
    <w:rsid w:val="2FCE6717"/>
    <w:rsid w:val="2FDC6A42"/>
    <w:rsid w:val="2FDF60F5"/>
    <w:rsid w:val="2FE620BA"/>
    <w:rsid w:val="2FFD64DA"/>
    <w:rsid w:val="301270DA"/>
    <w:rsid w:val="301D6998"/>
    <w:rsid w:val="302F07C6"/>
    <w:rsid w:val="30334A05"/>
    <w:rsid w:val="30455FD9"/>
    <w:rsid w:val="3049421C"/>
    <w:rsid w:val="30591CB1"/>
    <w:rsid w:val="305A114A"/>
    <w:rsid w:val="305F7D9F"/>
    <w:rsid w:val="306058C5"/>
    <w:rsid w:val="30790319"/>
    <w:rsid w:val="307A2FC3"/>
    <w:rsid w:val="307C0A59"/>
    <w:rsid w:val="307C24D8"/>
    <w:rsid w:val="308D4BA5"/>
    <w:rsid w:val="30A47560"/>
    <w:rsid w:val="30B12FDC"/>
    <w:rsid w:val="30B60BC9"/>
    <w:rsid w:val="30CC30ED"/>
    <w:rsid w:val="30CC6AB7"/>
    <w:rsid w:val="30CC7D78"/>
    <w:rsid w:val="30CE0A81"/>
    <w:rsid w:val="30D81900"/>
    <w:rsid w:val="30F8209D"/>
    <w:rsid w:val="310B3A83"/>
    <w:rsid w:val="31226852"/>
    <w:rsid w:val="31274283"/>
    <w:rsid w:val="312F6FCA"/>
    <w:rsid w:val="315C0741"/>
    <w:rsid w:val="31684A32"/>
    <w:rsid w:val="316F30DC"/>
    <w:rsid w:val="31796D37"/>
    <w:rsid w:val="31880C30"/>
    <w:rsid w:val="3199108F"/>
    <w:rsid w:val="31A71E36"/>
    <w:rsid w:val="31AC796C"/>
    <w:rsid w:val="31B25CAD"/>
    <w:rsid w:val="31F006AE"/>
    <w:rsid w:val="31F06267"/>
    <w:rsid w:val="31F258B0"/>
    <w:rsid w:val="31F8718A"/>
    <w:rsid w:val="32041760"/>
    <w:rsid w:val="320F75A3"/>
    <w:rsid w:val="321049E4"/>
    <w:rsid w:val="32267A64"/>
    <w:rsid w:val="322A3C7D"/>
    <w:rsid w:val="323A4620"/>
    <w:rsid w:val="323D64AF"/>
    <w:rsid w:val="323E58ED"/>
    <w:rsid w:val="3272726D"/>
    <w:rsid w:val="32764F2C"/>
    <w:rsid w:val="32807EBE"/>
    <w:rsid w:val="328A0AAC"/>
    <w:rsid w:val="328D608E"/>
    <w:rsid w:val="32904175"/>
    <w:rsid w:val="329234F5"/>
    <w:rsid w:val="329A50BF"/>
    <w:rsid w:val="329B4993"/>
    <w:rsid w:val="329C50EF"/>
    <w:rsid w:val="32A26BBE"/>
    <w:rsid w:val="32BE3525"/>
    <w:rsid w:val="32C56BA0"/>
    <w:rsid w:val="32D75F0F"/>
    <w:rsid w:val="32DA370D"/>
    <w:rsid w:val="32EB7D31"/>
    <w:rsid w:val="32ED5C55"/>
    <w:rsid w:val="32EF3524"/>
    <w:rsid w:val="32F72E33"/>
    <w:rsid w:val="3322589D"/>
    <w:rsid w:val="332525B0"/>
    <w:rsid w:val="33286E55"/>
    <w:rsid w:val="3330332D"/>
    <w:rsid w:val="33325A3D"/>
    <w:rsid w:val="33346CC9"/>
    <w:rsid w:val="334123C9"/>
    <w:rsid w:val="33480AB9"/>
    <w:rsid w:val="3352162D"/>
    <w:rsid w:val="33882539"/>
    <w:rsid w:val="33961EE4"/>
    <w:rsid w:val="33A96F3C"/>
    <w:rsid w:val="33B315F8"/>
    <w:rsid w:val="33BC72B7"/>
    <w:rsid w:val="33C36431"/>
    <w:rsid w:val="33C95001"/>
    <w:rsid w:val="33D35D48"/>
    <w:rsid w:val="33D53ED4"/>
    <w:rsid w:val="33DA14EB"/>
    <w:rsid w:val="33E83C08"/>
    <w:rsid w:val="33F47618"/>
    <w:rsid w:val="33FB4E5D"/>
    <w:rsid w:val="33FF48DB"/>
    <w:rsid w:val="34050F42"/>
    <w:rsid w:val="340C246E"/>
    <w:rsid w:val="3414476F"/>
    <w:rsid w:val="34205B4A"/>
    <w:rsid w:val="34337579"/>
    <w:rsid w:val="34677222"/>
    <w:rsid w:val="346A0514"/>
    <w:rsid w:val="348524E3"/>
    <w:rsid w:val="349452E2"/>
    <w:rsid w:val="34A56569"/>
    <w:rsid w:val="34D3208C"/>
    <w:rsid w:val="34DF5D43"/>
    <w:rsid w:val="34EC597A"/>
    <w:rsid w:val="34F678C3"/>
    <w:rsid w:val="34F767AB"/>
    <w:rsid w:val="34F860CC"/>
    <w:rsid w:val="34FD2EE6"/>
    <w:rsid w:val="351112A6"/>
    <w:rsid w:val="35127C1C"/>
    <w:rsid w:val="353547E3"/>
    <w:rsid w:val="355157DD"/>
    <w:rsid w:val="35614F5E"/>
    <w:rsid w:val="359825D2"/>
    <w:rsid w:val="35A23214"/>
    <w:rsid w:val="35B13ADC"/>
    <w:rsid w:val="35B25093"/>
    <w:rsid w:val="35ED19A9"/>
    <w:rsid w:val="35FA5E74"/>
    <w:rsid w:val="35FA7C22"/>
    <w:rsid w:val="35FE629D"/>
    <w:rsid w:val="35FE7713"/>
    <w:rsid w:val="360867E3"/>
    <w:rsid w:val="360A3E4F"/>
    <w:rsid w:val="360B5893"/>
    <w:rsid w:val="360D3DFA"/>
    <w:rsid w:val="361C5CE7"/>
    <w:rsid w:val="36280FDF"/>
    <w:rsid w:val="36286FF1"/>
    <w:rsid w:val="363D182F"/>
    <w:rsid w:val="364A6DFC"/>
    <w:rsid w:val="364F61C0"/>
    <w:rsid w:val="365325D5"/>
    <w:rsid w:val="366616ED"/>
    <w:rsid w:val="3668314D"/>
    <w:rsid w:val="366852D6"/>
    <w:rsid w:val="36715C87"/>
    <w:rsid w:val="36721EAF"/>
    <w:rsid w:val="36767721"/>
    <w:rsid w:val="36846957"/>
    <w:rsid w:val="36945D1B"/>
    <w:rsid w:val="369C59DB"/>
    <w:rsid w:val="36A06834"/>
    <w:rsid w:val="36B56E1C"/>
    <w:rsid w:val="36B84EFE"/>
    <w:rsid w:val="36C35881"/>
    <w:rsid w:val="36C721FA"/>
    <w:rsid w:val="36D54201"/>
    <w:rsid w:val="36E928EE"/>
    <w:rsid w:val="36EE4D00"/>
    <w:rsid w:val="36F05658"/>
    <w:rsid w:val="36F308D9"/>
    <w:rsid w:val="36F83B09"/>
    <w:rsid w:val="36FC2004"/>
    <w:rsid w:val="370152C2"/>
    <w:rsid w:val="371173C2"/>
    <w:rsid w:val="37164509"/>
    <w:rsid w:val="371851E2"/>
    <w:rsid w:val="37214CFF"/>
    <w:rsid w:val="37242A08"/>
    <w:rsid w:val="372810EB"/>
    <w:rsid w:val="373F0F8B"/>
    <w:rsid w:val="37470034"/>
    <w:rsid w:val="37500442"/>
    <w:rsid w:val="375D7B5B"/>
    <w:rsid w:val="37682226"/>
    <w:rsid w:val="376D3494"/>
    <w:rsid w:val="3771016C"/>
    <w:rsid w:val="377A3398"/>
    <w:rsid w:val="378955B8"/>
    <w:rsid w:val="378E4D4F"/>
    <w:rsid w:val="379222F8"/>
    <w:rsid w:val="379E24BF"/>
    <w:rsid w:val="37B25611"/>
    <w:rsid w:val="37B3452D"/>
    <w:rsid w:val="37B45D08"/>
    <w:rsid w:val="37BB4944"/>
    <w:rsid w:val="37C30C14"/>
    <w:rsid w:val="37CF13FA"/>
    <w:rsid w:val="37D4609E"/>
    <w:rsid w:val="37E172EC"/>
    <w:rsid w:val="37EB3CC7"/>
    <w:rsid w:val="37EE502E"/>
    <w:rsid w:val="37F077BF"/>
    <w:rsid w:val="37F65674"/>
    <w:rsid w:val="37F94635"/>
    <w:rsid w:val="38062E76"/>
    <w:rsid w:val="381E75D8"/>
    <w:rsid w:val="381F40A1"/>
    <w:rsid w:val="38262F51"/>
    <w:rsid w:val="384377B7"/>
    <w:rsid w:val="38534F19"/>
    <w:rsid w:val="385E26EA"/>
    <w:rsid w:val="38680113"/>
    <w:rsid w:val="3869535B"/>
    <w:rsid w:val="38733523"/>
    <w:rsid w:val="38750690"/>
    <w:rsid w:val="38767A34"/>
    <w:rsid w:val="38A50E89"/>
    <w:rsid w:val="38A74DA6"/>
    <w:rsid w:val="38AC2D0D"/>
    <w:rsid w:val="38BF4662"/>
    <w:rsid w:val="38C32995"/>
    <w:rsid w:val="38D01806"/>
    <w:rsid w:val="38DD5B77"/>
    <w:rsid w:val="38F26F04"/>
    <w:rsid w:val="38F52C52"/>
    <w:rsid w:val="38F87230"/>
    <w:rsid w:val="390473AF"/>
    <w:rsid w:val="39060B25"/>
    <w:rsid w:val="391875E1"/>
    <w:rsid w:val="39221842"/>
    <w:rsid w:val="39326F05"/>
    <w:rsid w:val="39504729"/>
    <w:rsid w:val="39581A26"/>
    <w:rsid w:val="395F1B47"/>
    <w:rsid w:val="39643D30"/>
    <w:rsid w:val="39671A73"/>
    <w:rsid w:val="39700E94"/>
    <w:rsid w:val="397727CD"/>
    <w:rsid w:val="397A3554"/>
    <w:rsid w:val="398B750F"/>
    <w:rsid w:val="399F5BC4"/>
    <w:rsid w:val="39E430C3"/>
    <w:rsid w:val="39EF340E"/>
    <w:rsid w:val="3A00614F"/>
    <w:rsid w:val="3A094ACB"/>
    <w:rsid w:val="3A115E55"/>
    <w:rsid w:val="3A1415F6"/>
    <w:rsid w:val="3A1B10F1"/>
    <w:rsid w:val="3A213691"/>
    <w:rsid w:val="3A2630EE"/>
    <w:rsid w:val="3A3F7873"/>
    <w:rsid w:val="3A464025"/>
    <w:rsid w:val="3A470F41"/>
    <w:rsid w:val="3A4F2618"/>
    <w:rsid w:val="3A582663"/>
    <w:rsid w:val="3A5A00DD"/>
    <w:rsid w:val="3A6D5AD7"/>
    <w:rsid w:val="3A6E7917"/>
    <w:rsid w:val="3A744569"/>
    <w:rsid w:val="3A79072A"/>
    <w:rsid w:val="3A992100"/>
    <w:rsid w:val="3AB22A15"/>
    <w:rsid w:val="3AC240CF"/>
    <w:rsid w:val="3AE07990"/>
    <w:rsid w:val="3AE8373F"/>
    <w:rsid w:val="3B084B8F"/>
    <w:rsid w:val="3B1C47BA"/>
    <w:rsid w:val="3B45433E"/>
    <w:rsid w:val="3B4B47A2"/>
    <w:rsid w:val="3B5267AE"/>
    <w:rsid w:val="3B5A7F75"/>
    <w:rsid w:val="3B5F4B10"/>
    <w:rsid w:val="3B6A5F40"/>
    <w:rsid w:val="3B844B5E"/>
    <w:rsid w:val="3BA170F1"/>
    <w:rsid w:val="3BD00135"/>
    <w:rsid w:val="3BDA7A57"/>
    <w:rsid w:val="3BF50CD7"/>
    <w:rsid w:val="3C153A08"/>
    <w:rsid w:val="3C265C15"/>
    <w:rsid w:val="3C3245B8"/>
    <w:rsid w:val="3C523DA5"/>
    <w:rsid w:val="3C642C35"/>
    <w:rsid w:val="3C7050E2"/>
    <w:rsid w:val="3C714E73"/>
    <w:rsid w:val="3C7210B2"/>
    <w:rsid w:val="3C7E313B"/>
    <w:rsid w:val="3C850B8E"/>
    <w:rsid w:val="3C8C573F"/>
    <w:rsid w:val="3CC23D07"/>
    <w:rsid w:val="3CF719D1"/>
    <w:rsid w:val="3CFA1AFF"/>
    <w:rsid w:val="3D0D2931"/>
    <w:rsid w:val="3D0F528D"/>
    <w:rsid w:val="3D394439"/>
    <w:rsid w:val="3D4C5207"/>
    <w:rsid w:val="3D5B1C6A"/>
    <w:rsid w:val="3D5B369C"/>
    <w:rsid w:val="3D837083"/>
    <w:rsid w:val="3D8D041F"/>
    <w:rsid w:val="3D9D1767"/>
    <w:rsid w:val="3DB35286"/>
    <w:rsid w:val="3DB6629D"/>
    <w:rsid w:val="3DBD4030"/>
    <w:rsid w:val="3DBF1D25"/>
    <w:rsid w:val="3DC15BF5"/>
    <w:rsid w:val="3DC8302F"/>
    <w:rsid w:val="3DE54A23"/>
    <w:rsid w:val="3DFE0BF8"/>
    <w:rsid w:val="3E1201FF"/>
    <w:rsid w:val="3E2B1CC9"/>
    <w:rsid w:val="3E320C4C"/>
    <w:rsid w:val="3E37478D"/>
    <w:rsid w:val="3E450A3C"/>
    <w:rsid w:val="3E570308"/>
    <w:rsid w:val="3E7013C9"/>
    <w:rsid w:val="3E78745D"/>
    <w:rsid w:val="3E8B6203"/>
    <w:rsid w:val="3EA84A08"/>
    <w:rsid w:val="3EAC283D"/>
    <w:rsid w:val="3EAE744C"/>
    <w:rsid w:val="3EBE0387"/>
    <w:rsid w:val="3EC0188F"/>
    <w:rsid w:val="3EC341BE"/>
    <w:rsid w:val="3EEA69DC"/>
    <w:rsid w:val="3EEC33A9"/>
    <w:rsid w:val="3EEE088F"/>
    <w:rsid w:val="3EF30A36"/>
    <w:rsid w:val="3EFE4C27"/>
    <w:rsid w:val="3F040EA9"/>
    <w:rsid w:val="3F04766D"/>
    <w:rsid w:val="3F1E341D"/>
    <w:rsid w:val="3F3F22AF"/>
    <w:rsid w:val="3F553E3C"/>
    <w:rsid w:val="3F59594A"/>
    <w:rsid w:val="3F600C78"/>
    <w:rsid w:val="3F6811EA"/>
    <w:rsid w:val="3F687B7E"/>
    <w:rsid w:val="3F757858"/>
    <w:rsid w:val="3F820783"/>
    <w:rsid w:val="3F87705E"/>
    <w:rsid w:val="3F977363"/>
    <w:rsid w:val="3FA550A3"/>
    <w:rsid w:val="3FA576C6"/>
    <w:rsid w:val="3FA70E1B"/>
    <w:rsid w:val="3FB22D2E"/>
    <w:rsid w:val="3FB66F3B"/>
    <w:rsid w:val="3FB83028"/>
    <w:rsid w:val="3FDD483D"/>
    <w:rsid w:val="40152726"/>
    <w:rsid w:val="402D429A"/>
    <w:rsid w:val="403326AF"/>
    <w:rsid w:val="40640ABA"/>
    <w:rsid w:val="406E7B8B"/>
    <w:rsid w:val="407836C0"/>
    <w:rsid w:val="4081056B"/>
    <w:rsid w:val="4086376B"/>
    <w:rsid w:val="40922480"/>
    <w:rsid w:val="40967024"/>
    <w:rsid w:val="40976B3B"/>
    <w:rsid w:val="40992DC9"/>
    <w:rsid w:val="409A44DC"/>
    <w:rsid w:val="40A95350"/>
    <w:rsid w:val="40AF3179"/>
    <w:rsid w:val="40B30B18"/>
    <w:rsid w:val="40CA3013"/>
    <w:rsid w:val="40E63BC5"/>
    <w:rsid w:val="40FC00DE"/>
    <w:rsid w:val="41031A28"/>
    <w:rsid w:val="414F04EC"/>
    <w:rsid w:val="415D2DB9"/>
    <w:rsid w:val="41611F09"/>
    <w:rsid w:val="416B4C00"/>
    <w:rsid w:val="417E5BAB"/>
    <w:rsid w:val="41962EF5"/>
    <w:rsid w:val="41963063"/>
    <w:rsid w:val="41A01FC6"/>
    <w:rsid w:val="41B0056A"/>
    <w:rsid w:val="41B873F1"/>
    <w:rsid w:val="41BF58B1"/>
    <w:rsid w:val="41DA3A9C"/>
    <w:rsid w:val="41DF6DBD"/>
    <w:rsid w:val="41E74F39"/>
    <w:rsid w:val="41EE00FD"/>
    <w:rsid w:val="41F63994"/>
    <w:rsid w:val="420A743F"/>
    <w:rsid w:val="42133F79"/>
    <w:rsid w:val="42410707"/>
    <w:rsid w:val="424F5F7C"/>
    <w:rsid w:val="425F1C1D"/>
    <w:rsid w:val="42603AD7"/>
    <w:rsid w:val="42673AA9"/>
    <w:rsid w:val="426F0780"/>
    <w:rsid w:val="42761CB9"/>
    <w:rsid w:val="42766D96"/>
    <w:rsid w:val="427A17F8"/>
    <w:rsid w:val="427C1A83"/>
    <w:rsid w:val="427F7E2D"/>
    <w:rsid w:val="42800759"/>
    <w:rsid w:val="42816BC8"/>
    <w:rsid w:val="4286740D"/>
    <w:rsid w:val="428C5AEB"/>
    <w:rsid w:val="429140A6"/>
    <w:rsid w:val="429945ED"/>
    <w:rsid w:val="429A07C3"/>
    <w:rsid w:val="429C49A5"/>
    <w:rsid w:val="42A20B31"/>
    <w:rsid w:val="42A359F3"/>
    <w:rsid w:val="42B279CF"/>
    <w:rsid w:val="42C23F55"/>
    <w:rsid w:val="42D66B3E"/>
    <w:rsid w:val="42D83CF1"/>
    <w:rsid w:val="42E962AA"/>
    <w:rsid w:val="42ED3D38"/>
    <w:rsid w:val="42F221D8"/>
    <w:rsid w:val="43047D59"/>
    <w:rsid w:val="430635D8"/>
    <w:rsid w:val="4309114B"/>
    <w:rsid w:val="431A1E86"/>
    <w:rsid w:val="431F06D0"/>
    <w:rsid w:val="431F44E6"/>
    <w:rsid w:val="43231541"/>
    <w:rsid w:val="43292C01"/>
    <w:rsid w:val="432A4A19"/>
    <w:rsid w:val="433B01F8"/>
    <w:rsid w:val="433D6D2B"/>
    <w:rsid w:val="434F5A51"/>
    <w:rsid w:val="435A7F52"/>
    <w:rsid w:val="437E1E93"/>
    <w:rsid w:val="438F6F2B"/>
    <w:rsid w:val="439E55F6"/>
    <w:rsid w:val="43AF4742"/>
    <w:rsid w:val="43B763D6"/>
    <w:rsid w:val="43D33F21"/>
    <w:rsid w:val="43E72261"/>
    <w:rsid w:val="43ED030E"/>
    <w:rsid w:val="43EF2D90"/>
    <w:rsid w:val="44115DA3"/>
    <w:rsid w:val="44136A7F"/>
    <w:rsid w:val="441B5933"/>
    <w:rsid w:val="44233CE1"/>
    <w:rsid w:val="442A5B77"/>
    <w:rsid w:val="442C0DCC"/>
    <w:rsid w:val="44485834"/>
    <w:rsid w:val="444E7AB7"/>
    <w:rsid w:val="446D5872"/>
    <w:rsid w:val="448B5125"/>
    <w:rsid w:val="449A6130"/>
    <w:rsid w:val="44A1052F"/>
    <w:rsid w:val="44C15625"/>
    <w:rsid w:val="44C47D79"/>
    <w:rsid w:val="44CE5A6E"/>
    <w:rsid w:val="44D95897"/>
    <w:rsid w:val="44E53515"/>
    <w:rsid w:val="44F2122A"/>
    <w:rsid w:val="44FB02DA"/>
    <w:rsid w:val="45015A7E"/>
    <w:rsid w:val="450B4281"/>
    <w:rsid w:val="451D7EEF"/>
    <w:rsid w:val="451E0AF1"/>
    <w:rsid w:val="452457E1"/>
    <w:rsid w:val="45266544"/>
    <w:rsid w:val="453942C3"/>
    <w:rsid w:val="45592BB7"/>
    <w:rsid w:val="455C4456"/>
    <w:rsid w:val="45723C79"/>
    <w:rsid w:val="457572C5"/>
    <w:rsid w:val="45761CF7"/>
    <w:rsid w:val="457828F6"/>
    <w:rsid w:val="45800144"/>
    <w:rsid w:val="458312F9"/>
    <w:rsid w:val="458319E2"/>
    <w:rsid w:val="45837C34"/>
    <w:rsid w:val="458A242A"/>
    <w:rsid w:val="4594599D"/>
    <w:rsid w:val="459D5D54"/>
    <w:rsid w:val="45A71166"/>
    <w:rsid w:val="45B87758"/>
    <w:rsid w:val="45BD0E90"/>
    <w:rsid w:val="45BF2287"/>
    <w:rsid w:val="45BF3F52"/>
    <w:rsid w:val="45CC63B8"/>
    <w:rsid w:val="45D07B8D"/>
    <w:rsid w:val="45D264C6"/>
    <w:rsid w:val="45E97C6D"/>
    <w:rsid w:val="45F60406"/>
    <w:rsid w:val="4652566B"/>
    <w:rsid w:val="46552541"/>
    <w:rsid w:val="4655317A"/>
    <w:rsid w:val="4662784A"/>
    <w:rsid w:val="467001B9"/>
    <w:rsid w:val="46810731"/>
    <w:rsid w:val="46A97B1A"/>
    <w:rsid w:val="46AE787C"/>
    <w:rsid w:val="46C54731"/>
    <w:rsid w:val="46CC1183"/>
    <w:rsid w:val="46CE4190"/>
    <w:rsid w:val="46D563EF"/>
    <w:rsid w:val="46E41D4C"/>
    <w:rsid w:val="46E636B7"/>
    <w:rsid w:val="46F136F0"/>
    <w:rsid w:val="46FF676A"/>
    <w:rsid w:val="47033A10"/>
    <w:rsid w:val="47046B53"/>
    <w:rsid w:val="47086643"/>
    <w:rsid w:val="470D773D"/>
    <w:rsid w:val="470E7EC6"/>
    <w:rsid w:val="47156371"/>
    <w:rsid w:val="47194F77"/>
    <w:rsid w:val="471C3E9C"/>
    <w:rsid w:val="47393558"/>
    <w:rsid w:val="473962F1"/>
    <w:rsid w:val="47456C05"/>
    <w:rsid w:val="47460F19"/>
    <w:rsid w:val="474A0B8D"/>
    <w:rsid w:val="474D6D13"/>
    <w:rsid w:val="47505EDD"/>
    <w:rsid w:val="47620BC0"/>
    <w:rsid w:val="4763186D"/>
    <w:rsid w:val="47796DD8"/>
    <w:rsid w:val="477A3F4D"/>
    <w:rsid w:val="477A771B"/>
    <w:rsid w:val="477B7200"/>
    <w:rsid w:val="47887784"/>
    <w:rsid w:val="478A66AF"/>
    <w:rsid w:val="47946129"/>
    <w:rsid w:val="47961E2C"/>
    <w:rsid w:val="47A1403E"/>
    <w:rsid w:val="47A3636C"/>
    <w:rsid w:val="47A60B70"/>
    <w:rsid w:val="47B10A89"/>
    <w:rsid w:val="47B64A32"/>
    <w:rsid w:val="47B73BC5"/>
    <w:rsid w:val="47CB5A76"/>
    <w:rsid w:val="47D66E8E"/>
    <w:rsid w:val="47E4775A"/>
    <w:rsid w:val="47ED7073"/>
    <w:rsid w:val="48133CBE"/>
    <w:rsid w:val="48141F25"/>
    <w:rsid w:val="48345EAA"/>
    <w:rsid w:val="4839282C"/>
    <w:rsid w:val="485803B1"/>
    <w:rsid w:val="485E2423"/>
    <w:rsid w:val="486A14B6"/>
    <w:rsid w:val="487151EC"/>
    <w:rsid w:val="487517C3"/>
    <w:rsid w:val="4881060E"/>
    <w:rsid w:val="488315CD"/>
    <w:rsid w:val="488717E9"/>
    <w:rsid w:val="488B5E6F"/>
    <w:rsid w:val="488F069E"/>
    <w:rsid w:val="48912668"/>
    <w:rsid w:val="48973B5E"/>
    <w:rsid w:val="48BC744A"/>
    <w:rsid w:val="48CE0D2A"/>
    <w:rsid w:val="48D67E97"/>
    <w:rsid w:val="48DD0132"/>
    <w:rsid w:val="48E64FA8"/>
    <w:rsid w:val="48ED4076"/>
    <w:rsid w:val="48EF4B66"/>
    <w:rsid w:val="48FF5824"/>
    <w:rsid w:val="4901159C"/>
    <w:rsid w:val="491A1005"/>
    <w:rsid w:val="4929464F"/>
    <w:rsid w:val="49301E81"/>
    <w:rsid w:val="49356826"/>
    <w:rsid w:val="49425522"/>
    <w:rsid w:val="494D766C"/>
    <w:rsid w:val="494F3CF5"/>
    <w:rsid w:val="496B1108"/>
    <w:rsid w:val="4977185E"/>
    <w:rsid w:val="49776FAA"/>
    <w:rsid w:val="497F4BB2"/>
    <w:rsid w:val="49883A05"/>
    <w:rsid w:val="4989196F"/>
    <w:rsid w:val="498973DF"/>
    <w:rsid w:val="498D39FB"/>
    <w:rsid w:val="49C16CD8"/>
    <w:rsid w:val="49C40C88"/>
    <w:rsid w:val="49DF3982"/>
    <w:rsid w:val="49EF48DD"/>
    <w:rsid w:val="49F4637B"/>
    <w:rsid w:val="4A0F2E04"/>
    <w:rsid w:val="4A143551"/>
    <w:rsid w:val="4A2119B0"/>
    <w:rsid w:val="4A2C554D"/>
    <w:rsid w:val="4A3A15F3"/>
    <w:rsid w:val="4A4C6847"/>
    <w:rsid w:val="4A69389D"/>
    <w:rsid w:val="4A736580"/>
    <w:rsid w:val="4A8838B2"/>
    <w:rsid w:val="4A914926"/>
    <w:rsid w:val="4AA0645E"/>
    <w:rsid w:val="4ABF67DA"/>
    <w:rsid w:val="4ACA72FB"/>
    <w:rsid w:val="4ADE3F92"/>
    <w:rsid w:val="4AEC627C"/>
    <w:rsid w:val="4AED5BE5"/>
    <w:rsid w:val="4AEF07E9"/>
    <w:rsid w:val="4AFB557E"/>
    <w:rsid w:val="4AFC26D1"/>
    <w:rsid w:val="4B0B04B0"/>
    <w:rsid w:val="4B0C1690"/>
    <w:rsid w:val="4B0E4861"/>
    <w:rsid w:val="4B143996"/>
    <w:rsid w:val="4B1E4DC7"/>
    <w:rsid w:val="4B296B88"/>
    <w:rsid w:val="4B316D42"/>
    <w:rsid w:val="4B3633D7"/>
    <w:rsid w:val="4B3C7DDD"/>
    <w:rsid w:val="4B603168"/>
    <w:rsid w:val="4B6339BF"/>
    <w:rsid w:val="4B7974AE"/>
    <w:rsid w:val="4B824BA3"/>
    <w:rsid w:val="4B83273C"/>
    <w:rsid w:val="4B88257C"/>
    <w:rsid w:val="4B8B15F1"/>
    <w:rsid w:val="4B8E6140"/>
    <w:rsid w:val="4BA214AA"/>
    <w:rsid w:val="4BAB03CB"/>
    <w:rsid w:val="4BAF1783"/>
    <w:rsid w:val="4BD13A2B"/>
    <w:rsid w:val="4BDC1E4C"/>
    <w:rsid w:val="4BE85B56"/>
    <w:rsid w:val="4BF01508"/>
    <w:rsid w:val="4BFE0421"/>
    <w:rsid w:val="4BFF496C"/>
    <w:rsid w:val="4C0A69B9"/>
    <w:rsid w:val="4C3C2026"/>
    <w:rsid w:val="4C3D0156"/>
    <w:rsid w:val="4C41120B"/>
    <w:rsid w:val="4C545E87"/>
    <w:rsid w:val="4C5916EF"/>
    <w:rsid w:val="4C7160D1"/>
    <w:rsid w:val="4C7174FA"/>
    <w:rsid w:val="4C724F31"/>
    <w:rsid w:val="4C7818BA"/>
    <w:rsid w:val="4CAC449A"/>
    <w:rsid w:val="4CB132D9"/>
    <w:rsid w:val="4CB167D1"/>
    <w:rsid w:val="4CB67A9B"/>
    <w:rsid w:val="4CC528E0"/>
    <w:rsid w:val="4CD82179"/>
    <w:rsid w:val="4CDD12A8"/>
    <w:rsid w:val="4CE05724"/>
    <w:rsid w:val="4CE51DF8"/>
    <w:rsid w:val="4CEF54B0"/>
    <w:rsid w:val="4CFB09F8"/>
    <w:rsid w:val="4D0A2F51"/>
    <w:rsid w:val="4D2766A9"/>
    <w:rsid w:val="4D2B3A58"/>
    <w:rsid w:val="4D2C2AA8"/>
    <w:rsid w:val="4D3A32CE"/>
    <w:rsid w:val="4D5942D2"/>
    <w:rsid w:val="4D63247C"/>
    <w:rsid w:val="4D692624"/>
    <w:rsid w:val="4D7334F5"/>
    <w:rsid w:val="4D7B21E4"/>
    <w:rsid w:val="4D891E52"/>
    <w:rsid w:val="4D8A7CF7"/>
    <w:rsid w:val="4D8B3F74"/>
    <w:rsid w:val="4D95405A"/>
    <w:rsid w:val="4D971F86"/>
    <w:rsid w:val="4DA370C6"/>
    <w:rsid w:val="4DA46549"/>
    <w:rsid w:val="4DB309A6"/>
    <w:rsid w:val="4DB56F33"/>
    <w:rsid w:val="4DB74F29"/>
    <w:rsid w:val="4DC23403"/>
    <w:rsid w:val="4DCC29BB"/>
    <w:rsid w:val="4DDE0026"/>
    <w:rsid w:val="4DDE1EAC"/>
    <w:rsid w:val="4DE25361"/>
    <w:rsid w:val="4E0B6A19"/>
    <w:rsid w:val="4E0F02B7"/>
    <w:rsid w:val="4E141DBD"/>
    <w:rsid w:val="4E171B56"/>
    <w:rsid w:val="4E1C0507"/>
    <w:rsid w:val="4E231FB4"/>
    <w:rsid w:val="4E2E2B54"/>
    <w:rsid w:val="4E3A2B72"/>
    <w:rsid w:val="4E486C7C"/>
    <w:rsid w:val="4E656129"/>
    <w:rsid w:val="4E675BA9"/>
    <w:rsid w:val="4E8017B8"/>
    <w:rsid w:val="4E8C4C3F"/>
    <w:rsid w:val="4E8F0EDA"/>
    <w:rsid w:val="4EC2262B"/>
    <w:rsid w:val="4EC77771"/>
    <w:rsid w:val="4ECD3CCE"/>
    <w:rsid w:val="4EE32473"/>
    <w:rsid w:val="4EEB001F"/>
    <w:rsid w:val="4EF73F52"/>
    <w:rsid w:val="4F2B51B5"/>
    <w:rsid w:val="4F2F09C1"/>
    <w:rsid w:val="4F3268AC"/>
    <w:rsid w:val="4F350BA0"/>
    <w:rsid w:val="4F393CE1"/>
    <w:rsid w:val="4F3A1A7F"/>
    <w:rsid w:val="4F4420B0"/>
    <w:rsid w:val="4F4B22BE"/>
    <w:rsid w:val="4F4F0A39"/>
    <w:rsid w:val="4F6A49CF"/>
    <w:rsid w:val="4F8309A0"/>
    <w:rsid w:val="4F8434BB"/>
    <w:rsid w:val="4F8810DB"/>
    <w:rsid w:val="4F8D2468"/>
    <w:rsid w:val="4F9E4E88"/>
    <w:rsid w:val="4FA107F2"/>
    <w:rsid w:val="4FA17F26"/>
    <w:rsid w:val="4FA23A30"/>
    <w:rsid w:val="4FA42C81"/>
    <w:rsid w:val="4FAE6A0C"/>
    <w:rsid w:val="4FD30162"/>
    <w:rsid w:val="4FD317B8"/>
    <w:rsid w:val="4FDA3D66"/>
    <w:rsid w:val="4FDB3FDD"/>
    <w:rsid w:val="4FE330D2"/>
    <w:rsid w:val="4FF43081"/>
    <w:rsid w:val="4FFD4814"/>
    <w:rsid w:val="500A216D"/>
    <w:rsid w:val="500A3C27"/>
    <w:rsid w:val="5015774E"/>
    <w:rsid w:val="501E005E"/>
    <w:rsid w:val="502913D8"/>
    <w:rsid w:val="50332FF6"/>
    <w:rsid w:val="503353DC"/>
    <w:rsid w:val="50404215"/>
    <w:rsid w:val="504B4C44"/>
    <w:rsid w:val="506643DA"/>
    <w:rsid w:val="50683395"/>
    <w:rsid w:val="50751EBD"/>
    <w:rsid w:val="507E467D"/>
    <w:rsid w:val="5099655E"/>
    <w:rsid w:val="50A200B5"/>
    <w:rsid w:val="50E53551"/>
    <w:rsid w:val="50F20BF5"/>
    <w:rsid w:val="50F47C38"/>
    <w:rsid w:val="50F55C9E"/>
    <w:rsid w:val="51044717"/>
    <w:rsid w:val="51143E36"/>
    <w:rsid w:val="516A3CF7"/>
    <w:rsid w:val="51705511"/>
    <w:rsid w:val="51745856"/>
    <w:rsid w:val="51976930"/>
    <w:rsid w:val="519C7F58"/>
    <w:rsid w:val="51A21442"/>
    <w:rsid w:val="51A92185"/>
    <w:rsid w:val="51B318A1"/>
    <w:rsid w:val="51B86EB8"/>
    <w:rsid w:val="51C575C9"/>
    <w:rsid w:val="51EB2DE9"/>
    <w:rsid w:val="51EE1E62"/>
    <w:rsid w:val="5224454D"/>
    <w:rsid w:val="522F68D9"/>
    <w:rsid w:val="52487919"/>
    <w:rsid w:val="524901E7"/>
    <w:rsid w:val="52526875"/>
    <w:rsid w:val="525C3CE7"/>
    <w:rsid w:val="525D70C2"/>
    <w:rsid w:val="529214B7"/>
    <w:rsid w:val="52A93C69"/>
    <w:rsid w:val="52B5075F"/>
    <w:rsid w:val="52B70144"/>
    <w:rsid w:val="52C00AE8"/>
    <w:rsid w:val="52CF1DCC"/>
    <w:rsid w:val="52CF270B"/>
    <w:rsid w:val="52D528B2"/>
    <w:rsid w:val="52DE6C30"/>
    <w:rsid w:val="52E11EA6"/>
    <w:rsid w:val="52F22FC1"/>
    <w:rsid w:val="52F77D6C"/>
    <w:rsid w:val="532778FC"/>
    <w:rsid w:val="53424C8B"/>
    <w:rsid w:val="53452617"/>
    <w:rsid w:val="53487DC7"/>
    <w:rsid w:val="53525E4C"/>
    <w:rsid w:val="535878E9"/>
    <w:rsid w:val="535A3F54"/>
    <w:rsid w:val="535B3DBD"/>
    <w:rsid w:val="536B6D64"/>
    <w:rsid w:val="53761B3F"/>
    <w:rsid w:val="537710A4"/>
    <w:rsid w:val="53800563"/>
    <w:rsid w:val="53814015"/>
    <w:rsid w:val="538B0A0C"/>
    <w:rsid w:val="538C2B56"/>
    <w:rsid w:val="538F59F6"/>
    <w:rsid w:val="539354E6"/>
    <w:rsid w:val="539B19AE"/>
    <w:rsid w:val="53A77461"/>
    <w:rsid w:val="53BC1873"/>
    <w:rsid w:val="53BC2C8F"/>
    <w:rsid w:val="53EC2E48"/>
    <w:rsid w:val="5400424A"/>
    <w:rsid w:val="54131EC1"/>
    <w:rsid w:val="541C54DC"/>
    <w:rsid w:val="542D0676"/>
    <w:rsid w:val="54322F51"/>
    <w:rsid w:val="54442C85"/>
    <w:rsid w:val="5445433A"/>
    <w:rsid w:val="54612DE1"/>
    <w:rsid w:val="5482715E"/>
    <w:rsid w:val="54827390"/>
    <w:rsid w:val="548378A9"/>
    <w:rsid w:val="54887A09"/>
    <w:rsid w:val="548B2661"/>
    <w:rsid w:val="54A74402"/>
    <w:rsid w:val="54B5302D"/>
    <w:rsid w:val="54C150DF"/>
    <w:rsid w:val="54C34ECC"/>
    <w:rsid w:val="54CA318A"/>
    <w:rsid w:val="54D15BFA"/>
    <w:rsid w:val="552A647C"/>
    <w:rsid w:val="552E750E"/>
    <w:rsid w:val="553B273A"/>
    <w:rsid w:val="55405526"/>
    <w:rsid w:val="5548232F"/>
    <w:rsid w:val="554E7F0C"/>
    <w:rsid w:val="55576452"/>
    <w:rsid w:val="555B311C"/>
    <w:rsid w:val="55705593"/>
    <w:rsid w:val="558508DF"/>
    <w:rsid w:val="558D2E9B"/>
    <w:rsid w:val="559500FC"/>
    <w:rsid w:val="55A31CC2"/>
    <w:rsid w:val="55A468C7"/>
    <w:rsid w:val="55A75A65"/>
    <w:rsid w:val="55B96B6E"/>
    <w:rsid w:val="55C24477"/>
    <w:rsid w:val="55CE642C"/>
    <w:rsid w:val="55D47136"/>
    <w:rsid w:val="55D61E30"/>
    <w:rsid w:val="55E15B38"/>
    <w:rsid w:val="55E46A6F"/>
    <w:rsid w:val="55E6568D"/>
    <w:rsid w:val="55E71702"/>
    <w:rsid w:val="55EF10B1"/>
    <w:rsid w:val="55F122B1"/>
    <w:rsid w:val="56044479"/>
    <w:rsid w:val="56314180"/>
    <w:rsid w:val="56476006"/>
    <w:rsid w:val="564F7C22"/>
    <w:rsid w:val="56574EF1"/>
    <w:rsid w:val="56603D58"/>
    <w:rsid w:val="566B3934"/>
    <w:rsid w:val="56751D49"/>
    <w:rsid w:val="568714C1"/>
    <w:rsid w:val="568A6543"/>
    <w:rsid w:val="568C36B2"/>
    <w:rsid w:val="56995ED8"/>
    <w:rsid w:val="56A932C4"/>
    <w:rsid w:val="56AD6EAA"/>
    <w:rsid w:val="56AE0A32"/>
    <w:rsid w:val="56BD6527"/>
    <w:rsid w:val="56CB4F97"/>
    <w:rsid w:val="56EB0CFF"/>
    <w:rsid w:val="56F74297"/>
    <w:rsid w:val="56FA762A"/>
    <w:rsid w:val="56FC15AA"/>
    <w:rsid w:val="57054576"/>
    <w:rsid w:val="571C41F5"/>
    <w:rsid w:val="57240C19"/>
    <w:rsid w:val="5733320D"/>
    <w:rsid w:val="573375E6"/>
    <w:rsid w:val="57345437"/>
    <w:rsid w:val="57376AD1"/>
    <w:rsid w:val="575161E9"/>
    <w:rsid w:val="5759657D"/>
    <w:rsid w:val="575B6154"/>
    <w:rsid w:val="5761568B"/>
    <w:rsid w:val="57691473"/>
    <w:rsid w:val="577E46FF"/>
    <w:rsid w:val="577F5178"/>
    <w:rsid w:val="578D600F"/>
    <w:rsid w:val="579369E1"/>
    <w:rsid w:val="579D021B"/>
    <w:rsid w:val="57A91FDD"/>
    <w:rsid w:val="57B050E7"/>
    <w:rsid w:val="57B974E6"/>
    <w:rsid w:val="57BB237D"/>
    <w:rsid w:val="57BE4AFC"/>
    <w:rsid w:val="57DF5173"/>
    <w:rsid w:val="57E323DB"/>
    <w:rsid w:val="57E95591"/>
    <w:rsid w:val="57EE4E5E"/>
    <w:rsid w:val="57FB4ECD"/>
    <w:rsid w:val="57FF0C89"/>
    <w:rsid w:val="58106AD6"/>
    <w:rsid w:val="581262A2"/>
    <w:rsid w:val="58351979"/>
    <w:rsid w:val="583848AE"/>
    <w:rsid w:val="58651AA8"/>
    <w:rsid w:val="58694A68"/>
    <w:rsid w:val="586E02D0"/>
    <w:rsid w:val="58726012"/>
    <w:rsid w:val="587332E0"/>
    <w:rsid w:val="5898534D"/>
    <w:rsid w:val="589F02ED"/>
    <w:rsid w:val="58A11DF5"/>
    <w:rsid w:val="58D6607C"/>
    <w:rsid w:val="58DC0587"/>
    <w:rsid w:val="58DF11CE"/>
    <w:rsid w:val="58E07719"/>
    <w:rsid w:val="58E6430A"/>
    <w:rsid w:val="58E7560E"/>
    <w:rsid w:val="58E853A2"/>
    <w:rsid w:val="58EF0693"/>
    <w:rsid w:val="58EF6CCB"/>
    <w:rsid w:val="59195694"/>
    <w:rsid w:val="592649FC"/>
    <w:rsid w:val="5926708E"/>
    <w:rsid w:val="59314365"/>
    <w:rsid w:val="593F3A1A"/>
    <w:rsid w:val="59456220"/>
    <w:rsid w:val="59464DA9"/>
    <w:rsid w:val="59490B94"/>
    <w:rsid w:val="594E2DC4"/>
    <w:rsid w:val="594E4033"/>
    <w:rsid w:val="594F7341"/>
    <w:rsid w:val="59554FEC"/>
    <w:rsid w:val="595636C0"/>
    <w:rsid w:val="595672EC"/>
    <w:rsid w:val="597933D0"/>
    <w:rsid w:val="597E09E7"/>
    <w:rsid w:val="59802E56"/>
    <w:rsid w:val="598109AB"/>
    <w:rsid w:val="59897B50"/>
    <w:rsid w:val="599C7C2F"/>
    <w:rsid w:val="59C85584"/>
    <w:rsid w:val="59D90E65"/>
    <w:rsid w:val="59EE791A"/>
    <w:rsid w:val="5A2154F8"/>
    <w:rsid w:val="5A3D429E"/>
    <w:rsid w:val="5A47527D"/>
    <w:rsid w:val="5A513C20"/>
    <w:rsid w:val="5A53777D"/>
    <w:rsid w:val="5A63457E"/>
    <w:rsid w:val="5A6637E0"/>
    <w:rsid w:val="5A72492F"/>
    <w:rsid w:val="5A7A2F5C"/>
    <w:rsid w:val="5A8206B8"/>
    <w:rsid w:val="5AA5387B"/>
    <w:rsid w:val="5AB7430C"/>
    <w:rsid w:val="5ABC3472"/>
    <w:rsid w:val="5AC11AB8"/>
    <w:rsid w:val="5AC26EE1"/>
    <w:rsid w:val="5AC36AE1"/>
    <w:rsid w:val="5ACE5056"/>
    <w:rsid w:val="5AEB0738"/>
    <w:rsid w:val="5AF423C9"/>
    <w:rsid w:val="5AF77A24"/>
    <w:rsid w:val="5B116DC3"/>
    <w:rsid w:val="5B182775"/>
    <w:rsid w:val="5B2015C1"/>
    <w:rsid w:val="5B2B6928"/>
    <w:rsid w:val="5B317178"/>
    <w:rsid w:val="5B32799F"/>
    <w:rsid w:val="5B3E3FDC"/>
    <w:rsid w:val="5B402650"/>
    <w:rsid w:val="5B4960AA"/>
    <w:rsid w:val="5B5419FF"/>
    <w:rsid w:val="5B550910"/>
    <w:rsid w:val="5B713CA4"/>
    <w:rsid w:val="5B7B7BAF"/>
    <w:rsid w:val="5B805F8F"/>
    <w:rsid w:val="5B953E06"/>
    <w:rsid w:val="5B995664"/>
    <w:rsid w:val="5BA23E13"/>
    <w:rsid w:val="5BA95605"/>
    <w:rsid w:val="5BAB0007"/>
    <w:rsid w:val="5BB07B5B"/>
    <w:rsid w:val="5BBB1654"/>
    <w:rsid w:val="5BC671A5"/>
    <w:rsid w:val="5BC8419B"/>
    <w:rsid w:val="5BE12D6C"/>
    <w:rsid w:val="5BF92E16"/>
    <w:rsid w:val="5C0C052C"/>
    <w:rsid w:val="5C1B3BFC"/>
    <w:rsid w:val="5C1D4D8B"/>
    <w:rsid w:val="5C1D7FD3"/>
    <w:rsid w:val="5C3B0A7A"/>
    <w:rsid w:val="5C3D2493"/>
    <w:rsid w:val="5C423F4D"/>
    <w:rsid w:val="5C4D5E95"/>
    <w:rsid w:val="5C504241"/>
    <w:rsid w:val="5C6519EA"/>
    <w:rsid w:val="5C7625E9"/>
    <w:rsid w:val="5C842B5B"/>
    <w:rsid w:val="5C844566"/>
    <w:rsid w:val="5C86278A"/>
    <w:rsid w:val="5CAF3AF1"/>
    <w:rsid w:val="5CBC0C81"/>
    <w:rsid w:val="5CBC7A86"/>
    <w:rsid w:val="5CBD5382"/>
    <w:rsid w:val="5CC52489"/>
    <w:rsid w:val="5CC967C0"/>
    <w:rsid w:val="5CF54B1C"/>
    <w:rsid w:val="5CFF708F"/>
    <w:rsid w:val="5D041D1A"/>
    <w:rsid w:val="5D057FB8"/>
    <w:rsid w:val="5D19564C"/>
    <w:rsid w:val="5D1D53F1"/>
    <w:rsid w:val="5D283143"/>
    <w:rsid w:val="5D313471"/>
    <w:rsid w:val="5D3C274B"/>
    <w:rsid w:val="5D403E43"/>
    <w:rsid w:val="5D590DA9"/>
    <w:rsid w:val="5D5E249E"/>
    <w:rsid w:val="5D62608F"/>
    <w:rsid w:val="5D635F29"/>
    <w:rsid w:val="5D694C13"/>
    <w:rsid w:val="5D6F1FE6"/>
    <w:rsid w:val="5D7E0FB5"/>
    <w:rsid w:val="5D8365EA"/>
    <w:rsid w:val="5D8C3942"/>
    <w:rsid w:val="5D916224"/>
    <w:rsid w:val="5D926452"/>
    <w:rsid w:val="5DA93CBF"/>
    <w:rsid w:val="5DB65C20"/>
    <w:rsid w:val="5DBC6CEE"/>
    <w:rsid w:val="5DC0337C"/>
    <w:rsid w:val="5DC5095C"/>
    <w:rsid w:val="5DD155AC"/>
    <w:rsid w:val="5DEA664B"/>
    <w:rsid w:val="5DF46848"/>
    <w:rsid w:val="5DFE5C52"/>
    <w:rsid w:val="5E0058E4"/>
    <w:rsid w:val="5E09755D"/>
    <w:rsid w:val="5E20787C"/>
    <w:rsid w:val="5E2B6800"/>
    <w:rsid w:val="5E2D364B"/>
    <w:rsid w:val="5E2F30BA"/>
    <w:rsid w:val="5E313D62"/>
    <w:rsid w:val="5E483371"/>
    <w:rsid w:val="5E523F8B"/>
    <w:rsid w:val="5E612F2B"/>
    <w:rsid w:val="5E6D68D5"/>
    <w:rsid w:val="5E801EED"/>
    <w:rsid w:val="5E9C4CD6"/>
    <w:rsid w:val="5E9F1DA2"/>
    <w:rsid w:val="5EA33110"/>
    <w:rsid w:val="5EA8311C"/>
    <w:rsid w:val="5EAB4A36"/>
    <w:rsid w:val="5EC13D7A"/>
    <w:rsid w:val="5ECA6728"/>
    <w:rsid w:val="5ECD0710"/>
    <w:rsid w:val="5ED77A42"/>
    <w:rsid w:val="5EED4A41"/>
    <w:rsid w:val="5EF23A4F"/>
    <w:rsid w:val="5F0B5F01"/>
    <w:rsid w:val="5F20072A"/>
    <w:rsid w:val="5F236201"/>
    <w:rsid w:val="5F240A6A"/>
    <w:rsid w:val="5F270FC0"/>
    <w:rsid w:val="5F517FEB"/>
    <w:rsid w:val="5F555588"/>
    <w:rsid w:val="5F8642E3"/>
    <w:rsid w:val="5F8C3B8D"/>
    <w:rsid w:val="5F8E05F8"/>
    <w:rsid w:val="5F944AC0"/>
    <w:rsid w:val="5FB639EE"/>
    <w:rsid w:val="5FCF5AF8"/>
    <w:rsid w:val="5FD841E1"/>
    <w:rsid w:val="5FDC4239"/>
    <w:rsid w:val="5FF4730D"/>
    <w:rsid w:val="5FFD6B08"/>
    <w:rsid w:val="600438BC"/>
    <w:rsid w:val="60156FFE"/>
    <w:rsid w:val="601A7CE2"/>
    <w:rsid w:val="60201557"/>
    <w:rsid w:val="60234096"/>
    <w:rsid w:val="60450AE2"/>
    <w:rsid w:val="604A3460"/>
    <w:rsid w:val="604F09E7"/>
    <w:rsid w:val="60535729"/>
    <w:rsid w:val="60570CCE"/>
    <w:rsid w:val="605C1481"/>
    <w:rsid w:val="605E53B0"/>
    <w:rsid w:val="6065020A"/>
    <w:rsid w:val="606A3A73"/>
    <w:rsid w:val="606A6786"/>
    <w:rsid w:val="60737337"/>
    <w:rsid w:val="60887607"/>
    <w:rsid w:val="609D0B7C"/>
    <w:rsid w:val="60A05A67"/>
    <w:rsid w:val="60A642AB"/>
    <w:rsid w:val="60B27DEC"/>
    <w:rsid w:val="60BC30D0"/>
    <w:rsid w:val="60DD3B17"/>
    <w:rsid w:val="60FF1849"/>
    <w:rsid w:val="610C0686"/>
    <w:rsid w:val="611E2436"/>
    <w:rsid w:val="612672D9"/>
    <w:rsid w:val="613C71BD"/>
    <w:rsid w:val="615A3AE7"/>
    <w:rsid w:val="61666FFB"/>
    <w:rsid w:val="616C11AA"/>
    <w:rsid w:val="616C7377"/>
    <w:rsid w:val="617020E1"/>
    <w:rsid w:val="61716A82"/>
    <w:rsid w:val="61751B5A"/>
    <w:rsid w:val="618D744E"/>
    <w:rsid w:val="619C1FA6"/>
    <w:rsid w:val="619D5DC9"/>
    <w:rsid w:val="61A22D98"/>
    <w:rsid w:val="61B139A7"/>
    <w:rsid w:val="61B2122D"/>
    <w:rsid w:val="61CA1FEB"/>
    <w:rsid w:val="61CD50D5"/>
    <w:rsid w:val="61D81948"/>
    <w:rsid w:val="61D92C5E"/>
    <w:rsid w:val="61EA4E6B"/>
    <w:rsid w:val="61F061FA"/>
    <w:rsid w:val="62141802"/>
    <w:rsid w:val="621C66E6"/>
    <w:rsid w:val="6224230B"/>
    <w:rsid w:val="623F643D"/>
    <w:rsid w:val="62481B92"/>
    <w:rsid w:val="624D6607"/>
    <w:rsid w:val="625C5701"/>
    <w:rsid w:val="62690D0A"/>
    <w:rsid w:val="62704C27"/>
    <w:rsid w:val="627666FF"/>
    <w:rsid w:val="6277014E"/>
    <w:rsid w:val="627907CB"/>
    <w:rsid w:val="62882D54"/>
    <w:rsid w:val="629A4ECE"/>
    <w:rsid w:val="62AD00E9"/>
    <w:rsid w:val="62B2525D"/>
    <w:rsid w:val="62BB2023"/>
    <w:rsid w:val="62C70D09"/>
    <w:rsid w:val="62E22BC8"/>
    <w:rsid w:val="62EF1C55"/>
    <w:rsid w:val="62F137BB"/>
    <w:rsid w:val="63051831"/>
    <w:rsid w:val="631B6984"/>
    <w:rsid w:val="6344708E"/>
    <w:rsid w:val="634C6E4A"/>
    <w:rsid w:val="634E1F39"/>
    <w:rsid w:val="63554566"/>
    <w:rsid w:val="63585997"/>
    <w:rsid w:val="635B2876"/>
    <w:rsid w:val="63626C83"/>
    <w:rsid w:val="6377272F"/>
    <w:rsid w:val="63A76DAB"/>
    <w:rsid w:val="63B647DE"/>
    <w:rsid w:val="63C76D08"/>
    <w:rsid w:val="63F91D33"/>
    <w:rsid w:val="63FD5B1F"/>
    <w:rsid w:val="641C7453"/>
    <w:rsid w:val="642B52C7"/>
    <w:rsid w:val="64302436"/>
    <w:rsid w:val="64313321"/>
    <w:rsid w:val="643E0161"/>
    <w:rsid w:val="64425AC3"/>
    <w:rsid w:val="6456548C"/>
    <w:rsid w:val="646E1D30"/>
    <w:rsid w:val="647240CF"/>
    <w:rsid w:val="647811BC"/>
    <w:rsid w:val="64791A88"/>
    <w:rsid w:val="647E387F"/>
    <w:rsid w:val="647E58FA"/>
    <w:rsid w:val="648009B5"/>
    <w:rsid w:val="64871EC7"/>
    <w:rsid w:val="64915A72"/>
    <w:rsid w:val="64937219"/>
    <w:rsid w:val="64982B6D"/>
    <w:rsid w:val="649A1FF6"/>
    <w:rsid w:val="649A586E"/>
    <w:rsid w:val="64AB65E7"/>
    <w:rsid w:val="64AC17B9"/>
    <w:rsid w:val="64B15D0E"/>
    <w:rsid w:val="64C144D2"/>
    <w:rsid w:val="64C641BB"/>
    <w:rsid w:val="64D47CC7"/>
    <w:rsid w:val="64DE67DD"/>
    <w:rsid w:val="64E5191A"/>
    <w:rsid w:val="64EE6A20"/>
    <w:rsid w:val="65170E82"/>
    <w:rsid w:val="65192256"/>
    <w:rsid w:val="65197EA5"/>
    <w:rsid w:val="652D02EF"/>
    <w:rsid w:val="6534269B"/>
    <w:rsid w:val="65462148"/>
    <w:rsid w:val="658253BB"/>
    <w:rsid w:val="65840F3A"/>
    <w:rsid w:val="65864B9B"/>
    <w:rsid w:val="6595496B"/>
    <w:rsid w:val="659C1F4E"/>
    <w:rsid w:val="65A45331"/>
    <w:rsid w:val="65A54EB0"/>
    <w:rsid w:val="65A74AD7"/>
    <w:rsid w:val="65DC0F6F"/>
    <w:rsid w:val="65E802CF"/>
    <w:rsid w:val="65EA31A8"/>
    <w:rsid w:val="65EC3004"/>
    <w:rsid w:val="66125D96"/>
    <w:rsid w:val="661A454E"/>
    <w:rsid w:val="66384F95"/>
    <w:rsid w:val="663A2BAA"/>
    <w:rsid w:val="663B45DC"/>
    <w:rsid w:val="664322F6"/>
    <w:rsid w:val="66664CDC"/>
    <w:rsid w:val="6669503D"/>
    <w:rsid w:val="66762396"/>
    <w:rsid w:val="66770C72"/>
    <w:rsid w:val="668A7D21"/>
    <w:rsid w:val="66902C8E"/>
    <w:rsid w:val="66963E6A"/>
    <w:rsid w:val="66981296"/>
    <w:rsid w:val="669A3E59"/>
    <w:rsid w:val="66A460BD"/>
    <w:rsid w:val="66BF6D0D"/>
    <w:rsid w:val="66C37B57"/>
    <w:rsid w:val="66DD20EA"/>
    <w:rsid w:val="66EF6A80"/>
    <w:rsid w:val="66F35CB5"/>
    <w:rsid w:val="670E7F46"/>
    <w:rsid w:val="67242BCD"/>
    <w:rsid w:val="67355F85"/>
    <w:rsid w:val="673E5311"/>
    <w:rsid w:val="674041D7"/>
    <w:rsid w:val="674F625F"/>
    <w:rsid w:val="675454B6"/>
    <w:rsid w:val="675C363E"/>
    <w:rsid w:val="675E2E69"/>
    <w:rsid w:val="67657F9B"/>
    <w:rsid w:val="677D22DE"/>
    <w:rsid w:val="678A67A9"/>
    <w:rsid w:val="679B68B6"/>
    <w:rsid w:val="67BB5E12"/>
    <w:rsid w:val="67C717AB"/>
    <w:rsid w:val="67D825E1"/>
    <w:rsid w:val="67DD68CE"/>
    <w:rsid w:val="67E6412F"/>
    <w:rsid w:val="67EA74D9"/>
    <w:rsid w:val="67F707CF"/>
    <w:rsid w:val="67F744C2"/>
    <w:rsid w:val="6810651E"/>
    <w:rsid w:val="68133F3A"/>
    <w:rsid w:val="68146216"/>
    <w:rsid w:val="68154BC9"/>
    <w:rsid w:val="681744E0"/>
    <w:rsid w:val="681A3FD0"/>
    <w:rsid w:val="681D4BB1"/>
    <w:rsid w:val="681E25A8"/>
    <w:rsid w:val="681E77D5"/>
    <w:rsid w:val="681F6C75"/>
    <w:rsid w:val="68210EBB"/>
    <w:rsid w:val="68217C88"/>
    <w:rsid w:val="68505B88"/>
    <w:rsid w:val="68541AF0"/>
    <w:rsid w:val="68576687"/>
    <w:rsid w:val="688445CD"/>
    <w:rsid w:val="688E37F4"/>
    <w:rsid w:val="68914293"/>
    <w:rsid w:val="68A4775B"/>
    <w:rsid w:val="68A815DC"/>
    <w:rsid w:val="68C331B9"/>
    <w:rsid w:val="68C7477B"/>
    <w:rsid w:val="68CC2F37"/>
    <w:rsid w:val="68D04724"/>
    <w:rsid w:val="68DB5223"/>
    <w:rsid w:val="690467C7"/>
    <w:rsid w:val="6918551D"/>
    <w:rsid w:val="691D53CE"/>
    <w:rsid w:val="691F10FF"/>
    <w:rsid w:val="692B3716"/>
    <w:rsid w:val="693447DA"/>
    <w:rsid w:val="6938436E"/>
    <w:rsid w:val="69430271"/>
    <w:rsid w:val="694A1939"/>
    <w:rsid w:val="69605A13"/>
    <w:rsid w:val="696448BC"/>
    <w:rsid w:val="69715E72"/>
    <w:rsid w:val="69A078C8"/>
    <w:rsid w:val="69A578CA"/>
    <w:rsid w:val="69D00470"/>
    <w:rsid w:val="69EB1780"/>
    <w:rsid w:val="69EF4666"/>
    <w:rsid w:val="69F75EF3"/>
    <w:rsid w:val="69FA5F63"/>
    <w:rsid w:val="6A046E58"/>
    <w:rsid w:val="6A084618"/>
    <w:rsid w:val="6A1011E7"/>
    <w:rsid w:val="6A1707C7"/>
    <w:rsid w:val="6A1712B7"/>
    <w:rsid w:val="6A372C18"/>
    <w:rsid w:val="6A3B0FD5"/>
    <w:rsid w:val="6A5B401D"/>
    <w:rsid w:val="6A615DFE"/>
    <w:rsid w:val="6A774D31"/>
    <w:rsid w:val="6A9D6977"/>
    <w:rsid w:val="6AA14919"/>
    <w:rsid w:val="6ABB5EE4"/>
    <w:rsid w:val="6AC975E8"/>
    <w:rsid w:val="6AD77CC0"/>
    <w:rsid w:val="6AE71237"/>
    <w:rsid w:val="6AEA011D"/>
    <w:rsid w:val="6AEB57B0"/>
    <w:rsid w:val="6AF02DC7"/>
    <w:rsid w:val="6AF16A35"/>
    <w:rsid w:val="6AF80050"/>
    <w:rsid w:val="6AFA462A"/>
    <w:rsid w:val="6B165E5E"/>
    <w:rsid w:val="6B2369DE"/>
    <w:rsid w:val="6B2C091C"/>
    <w:rsid w:val="6B2F7D93"/>
    <w:rsid w:val="6B33493A"/>
    <w:rsid w:val="6B3503B6"/>
    <w:rsid w:val="6B3762F7"/>
    <w:rsid w:val="6B555D23"/>
    <w:rsid w:val="6B5C50EF"/>
    <w:rsid w:val="6B656D11"/>
    <w:rsid w:val="6B791082"/>
    <w:rsid w:val="6B7E2E37"/>
    <w:rsid w:val="6B8C6110"/>
    <w:rsid w:val="6B8F438D"/>
    <w:rsid w:val="6BAE1373"/>
    <w:rsid w:val="6BAF06CC"/>
    <w:rsid w:val="6BB34520"/>
    <w:rsid w:val="6BB775E5"/>
    <w:rsid w:val="6BB838E4"/>
    <w:rsid w:val="6BBD5A68"/>
    <w:rsid w:val="6BC677DA"/>
    <w:rsid w:val="6BD51B4D"/>
    <w:rsid w:val="6BE741CA"/>
    <w:rsid w:val="6C0873E9"/>
    <w:rsid w:val="6C0976AD"/>
    <w:rsid w:val="6C100529"/>
    <w:rsid w:val="6C203A93"/>
    <w:rsid w:val="6C3F4006"/>
    <w:rsid w:val="6C4926B6"/>
    <w:rsid w:val="6C5D02E8"/>
    <w:rsid w:val="6C682BCF"/>
    <w:rsid w:val="6C6E3958"/>
    <w:rsid w:val="6C885F2E"/>
    <w:rsid w:val="6C88775B"/>
    <w:rsid w:val="6C9376B8"/>
    <w:rsid w:val="6C9E3C9F"/>
    <w:rsid w:val="6CA32D5A"/>
    <w:rsid w:val="6CAE52FE"/>
    <w:rsid w:val="6CB26586"/>
    <w:rsid w:val="6CBB12ED"/>
    <w:rsid w:val="6CCA7D73"/>
    <w:rsid w:val="6CCE5257"/>
    <w:rsid w:val="6CDE63B2"/>
    <w:rsid w:val="6CDE7D32"/>
    <w:rsid w:val="6D0019E7"/>
    <w:rsid w:val="6D012663"/>
    <w:rsid w:val="6D1234C8"/>
    <w:rsid w:val="6D135E16"/>
    <w:rsid w:val="6D194857"/>
    <w:rsid w:val="6D2442D7"/>
    <w:rsid w:val="6D276982"/>
    <w:rsid w:val="6D427D2E"/>
    <w:rsid w:val="6D4713C4"/>
    <w:rsid w:val="6D593F0D"/>
    <w:rsid w:val="6D642BD8"/>
    <w:rsid w:val="6D7277CF"/>
    <w:rsid w:val="6D765EDC"/>
    <w:rsid w:val="6D7673CF"/>
    <w:rsid w:val="6D82059D"/>
    <w:rsid w:val="6D9D7236"/>
    <w:rsid w:val="6DA5066C"/>
    <w:rsid w:val="6DA85BDA"/>
    <w:rsid w:val="6DAD31F1"/>
    <w:rsid w:val="6DB500F8"/>
    <w:rsid w:val="6DBC51E2"/>
    <w:rsid w:val="6DBD3FBA"/>
    <w:rsid w:val="6DCB3669"/>
    <w:rsid w:val="6DDB7D5E"/>
    <w:rsid w:val="6DF20A14"/>
    <w:rsid w:val="6DF36CBE"/>
    <w:rsid w:val="6E080427"/>
    <w:rsid w:val="6E0A10CF"/>
    <w:rsid w:val="6E0B30CF"/>
    <w:rsid w:val="6E1A0886"/>
    <w:rsid w:val="6E1C1B1A"/>
    <w:rsid w:val="6E1D3CF6"/>
    <w:rsid w:val="6E3878FF"/>
    <w:rsid w:val="6E3C2D80"/>
    <w:rsid w:val="6E6A7659"/>
    <w:rsid w:val="6E7F7372"/>
    <w:rsid w:val="6E891568"/>
    <w:rsid w:val="6E8B4989"/>
    <w:rsid w:val="6E8B52E0"/>
    <w:rsid w:val="6EA14B04"/>
    <w:rsid w:val="6EAE7CF9"/>
    <w:rsid w:val="6EB20ABF"/>
    <w:rsid w:val="6EB9331C"/>
    <w:rsid w:val="6EBF60C0"/>
    <w:rsid w:val="6EC5144D"/>
    <w:rsid w:val="6EC66318"/>
    <w:rsid w:val="6ED053E9"/>
    <w:rsid w:val="6EEA7AC9"/>
    <w:rsid w:val="6EF84662"/>
    <w:rsid w:val="6EFF1142"/>
    <w:rsid w:val="6F040392"/>
    <w:rsid w:val="6F222B8B"/>
    <w:rsid w:val="6F234738"/>
    <w:rsid w:val="6F461141"/>
    <w:rsid w:val="6F49158C"/>
    <w:rsid w:val="6F53427A"/>
    <w:rsid w:val="6F641E1D"/>
    <w:rsid w:val="6F655B31"/>
    <w:rsid w:val="6F670E58"/>
    <w:rsid w:val="6F6B536A"/>
    <w:rsid w:val="6F783350"/>
    <w:rsid w:val="6F843DA5"/>
    <w:rsid w:val="6F8729E1"/>
    <w:rsid w:val="6F8D5088"/>
    <w:rsid w:val="6F9F05AF"/>
    <w:rsid w:val="6FA74AAE"/>
    <w:rsid w:val="6FAD3E56"/>
    <w:rsid w:val="6FBF44BC"/>
    <w:rsid w:val="6FCB00CC"/>
    <w:rsid w:val="6FE95E4F"/>
    <w:rsid w:val="6FFB6495"/>
    <w:rsid w:val="700628D3"/>
    <w:rsid w:val="700A492A"/>
    <w:rsid w:val="701B2694"/>
    <w:rsid w:val="70334BC6"/>
    <w:rsid w:val="7049708C"/>
    <w:rsid w:val="70511FF6"/>
    <w:rsid w:val="705878A5"/>
    <w:rsid w:val="70716758"/>
    <w:rsid w:val="708C72A7"/>
    <w:rsid w:val="70B20624"/>
    <w:rsid w:val="70B37078"/>
    <w:rsid w:val="70BA5E27"/>
    <w:rsid w:val="70BC0C6D"/>
    <w:rsid w:val="70CD36C3"/>
    <w:rsid w:val="70D171F6"/>
    <w:rsid w:val="70E3436F"/>
    <w:rsid w:val="70E64A50"/>
    <w:rsid w:val="70E8597F"/>
    <w:rsid w:val="71136C54"/>
    <w:rsid w:val="7113715A"/>
    <w:rsid w:val="711374C5"/>
    <w:rsid w:val="7148395C"/>
    <w:rsid w:val="7150636D"/>
    <w:rsid w:val="71566079"/>
    <w:rsid w:val="715C2AFE"/>
    <w:rsid w:val="717A1AA8"/>
    <w:rsid w:val="718026AA"/>
    <w:rsid w:val="71856BA6"/>
    <w:rsid w:val="71924BD7"/>
    <w:rsid w:val="71936759"/>
    <w:rsid w:val="71971E26"/>
    <w:rsid w:val="71A14E1B"/>
    <w:rsid w:val="71B17DCF"/>
    <w:rsid w:val="71C86E7A"/>
    <w:rsid w:val="71CA611F"/>
    <w:rsid w:val="71FE2F9F"/>
    <w:rsid w:val="72035E52"/>
    <w:rsid w:val="720A29C0"/>
    <w:rsid w:val="720D425E"/>
    <w:rsid w:val="72192C03"/>
    <w:rsid w:val="7248540C"/>
    <w:rsid w:val="724A3704"/>
    <w:rsid w:val="72506733"/>
    <w:rsid w:val="72522E7D"/>
    <w:rsid w:val="7274502C"/>
    <w:rsid w:val="7284079C"/>
    <w:rsid w:val="72987F6C"/>
    <w:rsid w:val="72A776B1"/>
    <w:rsid w:val="72A972F1"/>
    <w:rsid w:val="72AB0152"/>
    <w:rsid w:val="72AD0EB8"/>
    <w:rsid w:val="72BF7BAD"/>
    <w:rsid w:val="72C40DC1"/>
    <w:rsid w:val="72CC5EC7"/>
    <w:rsid w:val="72D059B7"/>
    <w:rsid w:val="72D30A0B"/>
    <w:rsid w:val="72D336FA"/>
    <w:rsid w:val="72D364DA"/>
    <w:rsid w:val="72D86461"/>
    <w:rsid w:val="72D90C61"/>
    <w:rsid w:val="72DC5097"/>
    <w:rsid w:val="72E20C13"/>
    <w:rsid w:val="72E651DB"/>
    <w:rsid w:val="72F07E08"/>
    <w:rsid w:val="72F249DE"/>
    <w:rsid w:val="72F24ED7"/>
    <w:rsid w:val="72FA7564"/>
    <w:rsid w:val="72FD0BD4"/>
    <w:rsid w:val="730B4164"/>
    <w:rsid w:val="7344319B"/>
    <w:rsid w:val="735D6B82"/>
    <w:rsid w:val="73656534"/>
    <w:rsid w:val="736840A6"/>
    <w:rsid w:val="736A3516"/>
    <w:rsid w:val="73AC388C"/>
    <w:rsid w:val="73AC6F46"/>
    <w:rsid w:val="73AF5ACB"/>
    <w:rsid w:val="73BB08D7"/>
    <w:rsid w:val="73CA2C41"/>
    <w:rsid w:val="73DD54A5"/>
    <w:rsid w:val="73EC1EDB"/>
    <w:rsid w:val="73F86161"/>
    <w:rsid w:val="740F7004"/>
    <w:rsid w:val="741929E4"/>
    <w:rsid w:val="741B0EB4"/>
    <w:rsid w:val="741C6C40"/>
    <w:rsid w:val="741D2694"/>
    <w:rsid w:val="742A4372"/>
    <w:rsid w:val="742F36BA"/>
    <w:rsid w:val="74420753"/>
    <w:rsid w:val="744305CC"/>
    <w:rsid w:val="744A79EB"/>
    <w:rsid w:val="745F73C3"/>
    <w:rsid w:val="746277A5"/>
    <w:rsid w:val="747800B5"/>
    <w:rsid w:val="748E1870"/>
    <w:rsid w:val="74933140"/>
    <w:rsid w:val="749505E8"/>
    <w:rsid w:val="749C3B8D"/>
    <w:rsid w:val="749E7F2C"/>
    <w:rsid w:val="74A453B0"/>
    <w:rsid w:val="74CB201F"/>
    <w:rsid w:val="74CE14DB"/>
    <w:rsid w:val="74D15A17"/>
    <w:rsid w:val="74D522D9"/>
    <w:rsid w:val="74D9420A"/>
    <w:rsid w:val="74D94E01"/>
    <w:rsid w:val="74E75836"/>
    <w:rsid w:val="7502102A"/>
    <w:rsid w:val="750320E6"/>
    <w:rsid w:val="75097816"/>
    <w:rsid w:val="751641C1"/>
    <w:rsid w:val="75263B0D"/>
    <w:rsid w:val="7526635E"/>
    <w:rsid w:val="75325916"/>
    <w:rsid w:val="7540256A"/>
    <w:rsid w:val="75435B46"/>
    <w:rsid w:val="75461F61"/>
    <w:rsid w:val="754A3979"/>
    <w:rsid w:val="755328D0"/>
    <w:rsid w:val="7555462F"/>
    <w:rsid w:val="755723C0"/>
    <w:rsid w:val="755811E3"/>
    <w:rsid w:val="755A3740"/>
    <w:rsid w:val="755A61A9"/>
    <w:rsid w:val="75684CE7"/>
    <w:rsid w:val="758A1C93"/>
    <w:rsid w:val="758E52C5"/>
    <w:rsid w:val="75942E53"/>
    <w:rsid w:val="759B4351"/>
    <w:rsid w:val="75AD18F8"/>
    <w:rsid w:val="75DA556F"/>
    <w:rsid w:val="75DE03EB"/>
    <w:rsid w:val="75E505C4"/>
    <w:rsid w:val="75FF2ED1"/>
    <w:rsid w:val="7615739D"/>
    <w:rsid w:val="76282DE2"/>
    <w:rsid w:val="762B1157"/>
    <w:rsid w:val="764457C2"/>
    <w:rsid w:val="76495307"/>
    <w:rsid w:val="766A5A4A"/>
    <w:rsid w:val="76787077"/>
    <w:rsid w:val="7693260F"/>
    <w:rsid w:val="76944F4E"/>
    <w:rsid w:val="769F171E"/>
    <w:rsid w:val="76B40FAA"/>
    <w:rsid w:val="76CD5247"/>
    <w:rsid w:val="76D74DC5"/>
    <w:rsid w:val="76E45ED5"/>
    <w:rsid w:val="76E539FB"/>
    <w:rsid w:val="76EE73F0"/>
    <w:rsid w:val="7715608F"/>
    <w:rsid w:val="773F5628"/>
    <w:rsid w:val="77443A25"/>
    <w:rsid w:val="774C593F"/>
    <w:rsid w:val="776209B5"/>
    <w:rsid w:val="776E370E"/>
    <w:rsid w:val="77703055"/>
    <w:rsid w:val="777A493F"/>
    <w:rsid w:val="777F4A4A"/>
    <w:rsid w:val="77841790"/>
    <w:rsid w:val="778D08A6"/>
    <w:rsid w:val="778F713D"/>
    <w:rsid w:val="779023A5"/>
    <w:rsid w:val="77A72FF6"/>
    <w:rsid w:val="77AD62C7"/>
    <w:rsid w:val="77B92EBE"/>
    <w:rsid w:val="77BD55F7"/>
    <w:rsid w:val="77BF249E"/>
    <w:rsid w:val="77C937AE"/>
    <w:rsid w:val="77DF015C"/>
    <w:rsid w:val="77E141C3"/>
    <w:rsid w:val="77E53829"/>
    <w:rsid w:val="78017B3B"/>
    <w:rsid w:val="78090808"/>
    <w:rsid w:val="7812303A"/>
    <w:rsid w:val="78141B92"/>
    <w:rsid w:val="782B3690"/>
    <w:rsid w:val="782D2379"/>
    <w:rsid w:val="782F44E1"/>
    <w:rsid w:val="78330EC1"/>
    <w:rsid w:val="78393FFF"/>
    <w:rsid w:val="784C0F90"/>
    <w:rsid w:val="78572E2D"/>
    <w:rsid w:val="785D58DB"/>
    <w:rsid w:val="78745037"/>
    <w:rsid w:val="78746CA6"/>
    <w:rsid w:val="787D3929"/>
    <w:rsid w:val="78835565"/>
    <w:rsid w:val="789D7EBF"/>
    <w:rsid w:val="789E1FE1"/>
    <w:rsid w:val="789E3E62"/>
    <w:rsid w:val="78A91CDE"/>
    <w:rsid w:val="78C06A89"/>
    <w:rsid w:val="78C26BC4"/>
    <w:rsid w:val="78D0122A"/>
    <w:rsid w:val="78D9495F"/>
    <w:rsid w:val="78F12968"/>
    <w:rsid w:val="790B4127"/>
    <w:rsid w:val="790C258E"/>
    <w:rsid w:val="791345C3"/>
    <w:rsid w:val="79172B8D"/>
    <w:rsid w:val="7931480B"/>
    <w:rsid w:val="7936053E"/>
    <w:rsid w:val="795804B5"/>
    <w:rsid w:val="79601BE9"/>
    <w:rsid w:val="7963480A"/>
    <w:rsid w:val="796432FD"/>
    <w:rsid w:val="796F2815"/>
    <w:rsid w:val="79701CA2"/>
    <w:rsid w:val="797C2256"/>
    <w:rsid w:val="798B088A"/>
    <w:rsid w:val="79B5697B"/>
    <w:rsid w:val="79B95955"/>
    <w:rsid w:val="79BC0A44"/>
    <w:rsid w:val="79BD1091"/>
    <w:rsid w:val="79BD3506"/>
    <w:rsid w:val="79DF44CC"/>
    <w:rsid w:val="79F05646"/>
    <w:rsid w:val="79FE4490"/>
    <w:rsid w:val="7A057191"/>
    <w:rsid w:val="7A060B0F"/>
    <w:rsid w:val="7A127CD1"/>
    <w:rsid w:val="7A287E87"/>
    <w:rsid w:val="7A2A7107"/>
    <w:rsid w:val="7A2C385B"/>
    <w:rsid w:val="7A2E3228"/>
    <w:rsid w:val="7A3D30D1"/>
    <w:rsid w:val="7A4647B1"/>
    <w:rsid w:val="7A4F4C35"/>
    <w:rsid w:val="7A533D19"/>
    <w:rsid w:val="7A545774"/>
    <w:rsid w:val="7A5A5020"/>
    <w:rsid w:val="7A601D17"/>
    <w:rsid w:val="7A68419E"/>
    <w:rsid w:val="7A97500D"/>
    <w:rsid w:val="7A982ED9"/>
    <w:rsid w:val="7AB8743D"/>
    <w:rsid w:val="7AC878BC"/>
    <w:rsid w:val="7AD06949"/>
    <w:rsid w:val="7AD70BC9"/>
    <w:rsid w:val="7AD95625"/>
    <w:rsid w:val="7ADA3941"/>
    <w:rsid w:val="7AE239B5"/>
    <w:rsid w:val="7AE46D16"/>
    <w:rsid w:val="7AF06B7D"/>
    <w:rsid w:val="7AF34541"/>
    <w:rsid w:val="7AFD57B8"/>
    <w:rsid w:val="7AFE1C0F"/>
    <w:rsid w:val="7B05641A"/>
    <w:rsid w:val="7B225FB6"/>
    <w:rsid w:val="7B260901"/>
    <w:rsid w:val="7B3F3F08"/>
    <w:rsid w:val="7B473288"/>
    <w:rsid w:val="7B5B424C"/>
    <w:rsid w:val="7B70541E"/>
    <w:rsid w:val="7B79050C"/>
    <w:rsid w:val="7B8C0F21"/>
    <w:rsid w:val="7BA45B57"/>
    <w:rsid w:val="7BAC2D3A"/>
    <w:rsid w:val="7BAC4AE8"/>
    <w:rsid w:val="7BE435D7"/>
    <w:rsid w:val="7BE752CE"/>
    <w:rsid w:val="7BEE3352"/>
    <w:rsid w:val="7BFC7925"/>
    <w:rsid w:val="7C0861C2"/>
    <w:rsid w:val="7C0E7E7C"/>
    <w:rsid w:val="7C251C3D"/>
    <w:rsid w:val="7C352D2F"/>
    <w:rsid w:val="7C5A5E6B"/>
    <w:rsid w:val="7C7B2E38"/>
    <w:rsid w:val="7C7D2E23"/>
    <w:rsid w:val="7C7E3A9C"/>
    <w:rsid w:val="7C885555"/>
    <w:rsid w:val="7C976B56"/>
    <w:rsid w:val="7CA12173"/>
    <w:rsid w:val="7CAF4890"/>
    <w:rsid w:val="7CBD7F4B"/>
    <w:rsid w:val="7CC31897"/>
    <w:rsid w:val="7CD247FD"/>
    <w:rsid w:val="7CD3540E"/>
    <w:rsid w:val="7CEE6B95"/>
    <w:rsid w:val="7CF334C9"/>
    <w:rsid w:val="7CFB5D27"/>
    <w:rsid w:val="7D060228"/>
    <w:rsid w:val="7D0940D7"/>
    <w:rsid w:val="7D0A7D18"/>
    <w:rsid w:val="7D1312C2"/>
    <w:rsid w:val="7D23245F"/>
    <w:rsid w:val="7D321B6F"/>
    <w:rsid w:val="7D381174"/>
    <w:rsid w:val="7D426B9D"/>
    <w:rsid w:val="7D4E1CF6"/>
    <w:rsid w:val="7D5B16A7"/>
    <w:rsid w:val="7D627B54"/>
    <w:rsid w:val="7D676FBC"/>
    <w:rsid w:val="7D6D0EB3"/>
    <w:rsid w:val="7D724185"/>
    <w:rsid w:val="7D7C6BD4"/>
    <w:rsid w:val="7D8A5C0D"/>
    <w:rsid w:val="7D8E0949"/>
    <w:rsid w:val="7D965A4F"/>
    <w:rsid w:val="7DA4350F"/>
    <w:rsid w:val="7DAF5691"/>
    <w:rsid w:val="7DC0417D"/>
    <w:rsid w:val="7DD30A52"/>
    <w:rsid w:val="7DE17050"/>
    <w:rsid w:val="7DEF0CFB"/>
    <w:rsid w:val="7DF23F42"/>
    <w:rsid w:val="7DF32A48"/>
    <w:rsid w:val="7DF34C50"/>
    <w:rsid w:val="7DF5665B"/>
    <w:rsid w:val="7E082C3E"/>
    <w:rsid w:val="7E0964FC"/>
    <w:rsid w:val="7E236328"/>
    <w:rsid w:val="7E28513C"/>
    <w:rsid w:val="7E292420"/>
    <w:rsid w:val="7E355FFA"/>
    <w:rsid w:val="7E396B79"/>
    <w:rsid w:val="7E445D75"/>
    <w:rsid w:val="7E4A4325"/>
    <w:rsid w:val="7E4B2540"/>
    <w:rsid w:val="7E4E53EF"/>
    <w:rsid w:val="7E6A03DA"/>
    <w:rsid w:val="7E7A43FE"/>
    <w:rsid w:val="7E877EBC"/>
    <w:rsid w:val="7E9006F1"/>
    <w:rsid w:val="7E9C633B"/>
    <w:rsid w:val="7EA45F4A"/>
    <w:rsid w:val="7EC62364"/>
    <w:rsid w:val="7ECF746B"/>
    <w:rsid w:val="7ED22AB7"/>
    <w:rsid w:val="7ED30D6A"/>
    <w:rsid w:val="7EE406E0"/>
    <w:rsid w:val="7EF361B3"/>
    <w:rsid w:val="7F092E6C"/>
    <w:rsid w:val="7F0C3DF4"/>
    <w:rsid w:val="7F240FFB"/>
    <w:rsid w:val="7F2F7F0A"/>
    <w:rsid w:val="7F344438"/>
    <w:rsid w:val="7F492D2C"/>
    <w:rsid w:val="7F4D0390"/>
    <w:rsid w:val="7F4D4F78"/>
    <w:rsid w:val="7F582D78"/>
    <w:rsid w:val="7F5F6DA1"/>
    <w:rsid w:val="7F5F7B1C"/>
    <w:rsid w:val="7F6A0F42"/>
    <w:rsid w:val="7F765392"/>
    <w:rsid w:val="7F7F10E4"/>
    <w:rsid w:val="7F7F2C65"/>
    <w:rsid w:val="7F92054D"/>
    <w:rsid w:val="7F975080"/>
    <w:rsid w:val="7F983C52"/>
    <w:rsid w:val="7F9A1896"/>
    <w:rsid w:val="7F9A270D"/>
    <w:rsid w:val="7FA91E1D"/>
    <w:rsid w:val="7FBA75D6"/>
    <w:rsid w:val="7FBF128D"/>
    <w:rsid w:val="7FD1625A"/>
    <w:rsid w:val="7FD97630"/>
    <w:rsid w:val="7FF151BF"/>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nhideWhenUsed="0" w:uiPriority="99" w:semiHidden="0" w:name="header"/>
    <w:lsdException w:qFormat="1" w:unhideWhenUsed="0" w:uiPriority="0" w:semiHidden="0" w:name="footer"/>
    <w:lsdException w:qFormat="1" w:unhideWhenUsed="0" w:uiPriority="0" w:semiHidden="0" w:name="index heading"/>
    <w:lsdException w:qFormat="1" w:unhideWhenUsed="0" w:uiPriority="99" w:semiHidden="0" w:name="caption"/>
    <w:lsdException w:uiPriority="99" w:name="table of figures"/>
    <w:lsdException w:uiPriority="99" w:name="envelope address"/>
    <w:lsdException w:uiPriority="99" w:name="envelope return"/>
    <w:lsdException w:qFormat="1" w:unhideWhenUsed="0" w:uiPriority="0" w:name="footnote reference"/>
    <w:lsdException w:qFormat="1" w:unhideWhenUsed="0" w:uiPriority="0"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uiPriority="99"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qFormat="1" w:unhideWhenUsed="0" w:uiPriority="0" w:semiHidden="0" w:name="Table Simple 3"/>
    <w:lsdException w:qFormat="1" w:unhideWhenUsed="0" w:uiPriority="0" w:semiHidden="0"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4"/>
    <w:qFormat/>
    <w:uiPriority w:val="9"/>
    <w:pPr>
      <w:keepNext/>
      <w:keepLines/>
      <w:numPr>
        <w:ilvl w:val="0"/>
        <w:numId w:val="1"/>
      </w:numPr>
      <w:spacing w:before="460" w:after="330" w:line="360" w:lineRule="auto"/>
      <w:ind w:left="425" w:hanging="425" w:firstLineChars="0"/>
      <w:jc w:val="center"/>
      <w:outlineLvl w:val="0"/>
    </w:pPr>
    <w:rPr>
      <w:rFonts w:ascii="Times New Roman" w:hAnsi="Times New Roman" w:eastAsia="黑体"/>
      <w:b/>
      <w:bCs/>
      <w:kern w:val="44"/>
      <w:sz w:val="36"/>
      <w:szCs w:val="44"/>
    </w:rPr>
  </w:style>
  <w:style w:type="paragraph" w:styleId="4">
    <w:name w:val="heading 2"/>
    <w:basedOn w:val="1"/>
    <w:next w:val="1"/>
    <w:link w:val="65"/>
    <w:qFormat/>
    <w:uiPriority w:val="0"/>
    <w:pPr>
      <w:keepNext/>
      <w:keepLines/>
      <w:numPr>
        <w:ilvl w:val="1"/>
        <w:numId w:val="1"/>
      </w:numPr>
      <w:spacing w:before="180" w:after="180" w:line="360" w:lineRule="auto"/>
      <w:ind w:firstLine="0" w:firstLineChars="0"/>
      <w:outlineLvl w:val="1"/>
    </w:pPr>
    <w:rPr>
      <w:rFonts w:ascii="Times New Roman" w:hAnsi="Times New Roman" w:eastAsia="宋体"/>
      <w:b/>
      <w:bCs/>
      <w:kern w:val="0"/>
      <w:sz w:val="30"/>
      <w:szCs w:val="32"/>
    </w:rPr>
  </w:style>
  <w:style w:type="paragraph" w:styleId="5">
    <w:name w:val="heading 3"/>
    <w:basedOn w:val="1"/>
    <w:next w:val="1"/>
    <w:link w:val="66"/>
    <w:autoRedefine/>
    <w:qFormat/>
    <w:uiPriority w:val="0"/>
    <w:pPr>
      <w:keepNext/>
      <w:keepLines/>
      <w:numPr>
        <w:ilvl w:val="2"/>
        <w:numId w:val="1"/>
      </w:numPr>
      <w:tabs>
        <w:tab w:val="left" w:pos="420"/>
      </w:tabs>
      <w:spacing w:before="20" w:beforeLines="33" w:after="20" w:afterLines="33"/>
      <w:ind w:left="0" w:firstLine="0" w:firstLineChars="0"/>
      <w:outlineLvl w:val="2"/>
    </w:pPr>
    <w:rPr>
      <w:rFonts w:ascii="Times New Roman" w:hAnsi="Times New Roman" w:eastAsia="宋体"/>
      <w:b/>
      <w:bCs/>
      <w:sz w:val="28"/>
      <w:szCs w:val="32"/>
    </w:rPr>
  </w:style>
  <w:style w:type="paragraph" w:styleId="6">
    <w:name w:val="heading 4"/>
    <w:basedOn w:val="1"/>
    <w:next w:val="1"/>
    <w:link w:val="67"/>
    <w:autoRedefine/>
    <w:qFormat/>
    <w:uiPriority w:val="0"/>
    <w:pPr>
      <w:keepNext/>
      <w:keepLines/>
      <w:numPr>
        <w:ilvl w:val="3"/>
        <w:numId w:val="1"/>
      </w:numPr>
      <w:ind w:firstLine="480" w:firstLineChars="200"/>
      <w:outlineLvl w:val="3"/>
    </w:pPr>
    <w:rPr>
      <w:rFonts w:ascii="Times New Roman" w:hAnsi="Times New Roman" w:eastAsia="宋体"/>
      <w:b/>
      <w:bCs/>
      <w:kern w:val="0"/>
      <w:szCs w:val="28"/>
    </w:rPr>
  </w:style>
  <w:style w:type="paragraph" w:styleId="7">
    <w:name w:val="heading 5"/>
    <w:basedOn w:val="1"/>
    <w:next w:val="1"/>
    <w:link w:val="68"/>
    <w:autoRedefine/>
    <w:qFormat/>
    <w:uiPriority w:val="0"/>
    <w:pPr>
      <w:keepNext/>
      <w:keepLines/>
      <w:tabs>
        <w:tab w:val="left" w:pos="240"/>
        <w:tab w:val="left" w:pos="480"/>
        <w:tab w:val="left" w:pos="720"/>
        <w:tab w:val="left" w:pos="1008"/>
      </w:tabs>
      <w:adjustRightInd w:val="0"/>
      <w:snapToGrid w:val="0"/>
      <w:spacing w:before="280" w:after="290" w:line="376" w:lineRule="atLeast"/>
      <w:ind w:left="1008" w:hanging="1008" w:firstLineChars="200"/>
      <w:jc w:val="left"/>
      <w:textAlignment w:val="baseline"/>
      <w:outlineLvl w:val="4"/>
    </w:pPr>
    <w:rPr>
      <w:rFonts w:ascii="Arial" w:hAnsi="Arial"/>
      <w:b/>
      <w:color w:val="FF0000"/>
      <w:kern w:val="0"/>
      <w:sz w:val="28"/>
      <w:szCs w:val="24"/>
    </w:rPr>
  </w:style>
  <w:style w:type="paragraph" w:styleId="8">
    <w:name w:val="heading 6"/>
    <w:basedOn w:val="1"/>
    <w:next w:val="1"/>
    <w:link w:val="69"/>
    <w:autoRedefine/>
    <w:qFormat/>
    <w:uiPriority w:val="0"/>
    <w:pPr>
      <w:keepNext/>
      <w:keepLines/>
      <w:overflowPunct w:val="0"/>
      <w:topLinePunct/>
      <w:autoSpaceDE w:val="0"/>
      <w:autoSpaceDN w:val="0"/>
      <w:adjustRightInd w:val="0"/>
      <w:spacing w:before="240" w:after="64" w:line="320" w:lineRule="atLeast"/>
      <w:ind w:left="1134"/>
      <w:jc w:val="left"/>
      <w:textAlignment w:val="baseline"/>
      <w:outlineLvl w:val="5"/>
    </w:pPr>
    <w:rPr>
      <w:rFonts w:ascii="Arial" w:hAnsi="Arial" w:eastAsia="黑体"/>
      <w:b/>
      <w:spacing w:val="10"/>
      <w:kern w:val="0"/>
      <w:sz w:val="24"/>
      <w:szCs w:val="24"/>
    </w:rPr>
  </w:style>
  <w:style w:type="paragraph" w:styleId="9">
    <w:name w:val="heading 7"/>
    <w:basedOn w:val="1"/>
    <w:next w:val="1"/>
    <w:link w:val="70"/>
    <w:autoRedefine/>
    <w:qFormat/>
    <w:uiPriority w:val="0"/>
    <w:pPr>
      <w:keepNext/>
      <w:keepLines/>
      <w:overflowPunct w:val="0"/>
      <w:topLinePunct/>
      <w:autoSpaceDE w:val="0"/>
      <w:autoSpaceDN w:val="0"/>
      <w:adjustRightInd w:val="0"/>
      <w:spacing w:before="240" w:after="64" w:line="320" w:lineRule="atLeast"/>
      <w:ind w:left="1134"/>
      <w:jc w:val="left"/>
      <w:textAlignment w:val="baseline"/>
      <w:outlineLvl w:val="6"/>
    </w:pPr>
    <w:rPr>
      <w:b/>
      <w:spacing w:val="10"/>
      <w:kern w:val="0"/>
      <w:sz w:val="24"/>
      <w:szCs w:val="24"/>
    </w:rPr>
  </w:style>
  <w:style w:type="paragraph" w:styleId="10">
    <w:name w:val="heading 8"/>
    <w:basedOn w:val="1"/>
    <w:next w:val="1"/>
    <w:link w:val="71"/>
    <w:autoRedefine/>
    <w:qFormat/>
    <w:uiPriority w:val="0"/>
    <w:pPr>
      <w:keepNext/>
      <w:keepLines/>
      <w:overflowPunct w:val="0"/>
      <w:topLinePunct/>
      <w:autoSpaceDE w:val="0"/>
      <w:autoSpaceDN w:val="0"/>
      <w:adjustRightInd w:val="0"/>
      <w:spacing w:before="240" w:after="64" w:line="320" w:lineRule="atLeast"/>
      <w:ind w:left="1134"/>
      <w:jc w:val="left"/>
      <w:textAlignment w:val="baseline"/>
      <w:outlineLvl w:val="7"/>
    </w:pPr>
    <w:rPr>
      <w:rFonts w:ascii="Arial" w:hAnsi="Arial" w:eastAsia="黑体"/>
      <w:spacing w:val="10"/>
      <w:kern w:val="0"/>
      <w:sz w:val="24"/>
      <w:szCs w:val="24"/>
    </w:rPr>
  </w:style>
  <w:style w:type="paragraph" w:styleId="11">
    <w:name w:val="heading 9"/>
    <w:basedOn w:val="1"/>
    <w:next w:val="1"/>
    <w:link w:val="72"/>
    <w:autoRedefine/>
    <w:qFormat/>
    <w:uiPriority w:val="0"/>
    <w:pPr>
      <w:keepNext/>
      <w:keepLines/>
      <w:overflowPunct w:val="0"/>
      <w:topLinePunct/>
      <w:autoSpaceDE w:val="0"/>
      <w:autoSpaceDN w:val="0"/>
      <w:adjustRightInd w:val="0"/>
      <w:spacing w:before="240" w:after="64" w:line="320" w:lineRule="atLeast"/>
      <w:ind w:left="1134"/>
      <w:jc w:val="left"/>
      <w:textAlignment w:val="baseline"/>
      <w:outlineLvl w:val="8"/>
    </w:pPr>
    <w:rPr>
      <w:rFonts w:ascii="Arial" w:hAnsi="Arial" w:eastAsia="黑体"/>
      <w:spacing w:val="10"/>
      <w:kern w:val="0"/>
      <w:sz w:val="24"/>
      <w:szCs w:val="24"/>
    </w:rPr>
  </w:style>
  <w:style w:type="character" w:default="1" w:styleId="54">
    <w:name w:val="Default Paragraph Font"/>
    <w:autoRedefine/>
    <w:unhideWhenUsed/>
    <w:qFormat/>
    <w:uiPriority w:val="1"/>
  </w:style>
  <w:style w:type="table" w:default="1" w:styleId="48">
    <w:name w:val="Normal Table"/>
    <w:autoRedefine/>
    <w:unhideWhenUsed/>
    <w:qFormat/>
    <w:uiPriority w:val="99"/>
    <w:tblPr>
      <w:tblCellMar>
        <w:top w:w="0" w:type="dxa"/>
        <w:left w:w="108" w:type="dxa"/>
        <w:bottom w:w="0" w:type="dxa"/>
        <w:right w:w="108" w:type="dxa"/>
      </w:tblCellMar>
    </w:tblPr>
  </w:style>
  <w:style w:type="paragraph" w:styleId="2">
    <w:name w:val="Body Text First Indent 2"/>
    <w:basedOn w:val="1"/>
    <w:next w:val="1"/>
    <w:link w:val="81"/>
    <w:autoRedefine/>
    <w:qFormat/>
    <w:uiPriority w:val="0"/>
    <w:pPr>
      <w:tabs>
        <w:tab w:val="left" w:pos="0"/>
      </w:tabs>
      <w:ind w:left="0" w:leftChars="0"/>
    </w:pPr>
    <w:rPr>
      <w:kern w:val="0"/>
      <w:sz w:val="20"/>
      <w:szCs w:val="24"/>
    </w:rPr>
  </w:style>
  <w:style w:type="paragraph" w:styleId="12">
    <w:name w:val="toc 7"/>
    <w:basedOn w:val="1"/>
    <w:next w:val="1"/>
    <w:link w:val="706"/>
    <w:autoRedefine/>
    <w:qFormat/>
    <w:uiPriority w:val="39"/>
    <w:pPr>
      <w:adjustRightInd/>
      <w:snapToGrid/>
      <w:spacing w:line="240" w:lineRule="auto"/>
      <w:ind w:left="0" w:leftChars="0" w:firstLine="0" w:firstLineChars="0"/>
      <w:jc w:val="center"/>
    </w:pPr>
    <w:rPr>
      <w:rFonts w:cs="Times New Roman"/>
      <w:sz w:val="21"/>
    </w:rPr>
  </w:style>
  <w:style w:type="paragraph" w:styleId="13">
    <w:name w:val="List Number"/>
    <w:basedOn w:val="1"/>
    <w:link w:val="73"/>
    <w:autoRedefine/>
    <w:qFormat/>
    <w:uiPriority w:val="0"/>
    <w:pPr>
      <w:tabs>
        <w:tab w:val="left" w:pos="567"/>
      </w:tabs>
      <w:adjustRightInd/>
      <w:spacing w:line="360" w:lineRule="auto"/>
      <w:ind w:left="0" w:firstLine="0" w:firstLineChars="0"/>
      <w:jc w:val="center"/>
    </w:pPr>
    <w:rPr>
      <w:rFonts w:cs="Times New Roman"/>
      <w:b/>
      <w:sz w:val="21"/>
    </w:rPr>
  </w:style>
  <w:style w:type="paragraph" w:styleId="14">
    <w:name w:val="Normal Indent"/>
    <w:basedOn w:val="1"/>
    <w:link w:val="74"/>
    <w:autoRedefine/>
    <w:qFormat/>
    <w:uiPriority w:val="0"/>
    <w:pPr>
      <w:ind w:firstLine="420"/>
    </w:pPr>
    <w:rPr>
      <w:kern w:val="0"/>
      <w:sz w:val="20"/>
      <w:szCs w:val="21"/>
    </w:rPr>
  </w:style>
  <w:style w:type="paragraph" w:styleId="15">
    <w:name w:val="caption"/>
    <w:basedOn w:val="1"/>
    <w:next w:val="1"/>
    <w:link w:val="75"/>
    <w:autoRedefine/>
    <w:qFormat/>
    <w:uiPriority w:val="99"/>
    <w:pPr>
      <w:numPr>
        <w:ilvl w:val="0"/>
        <w:numId w:val="2"/>
      </w:numPr>
      <w:tabs>
        <w:tab w:val="left" w:pos="567"/>
      </w:tabs>
      <w:ind w:firstLine="0" w:firstLineChars="0"/>
      <w:jc w:val="center"/>
    </w:pPr>
    <w:rPr>
      <w:b/>
      <w:kern w:val="0"/>
      <w:sz w:val="21"/>
      <w:szCs w:val="20"/>
    </w:rPr>
  </w:style>
  <w:style w:type="paragraph" w:styleId="16">
    <w:name w:val="List Bullet"/>
    <w:basedOn w:val="1"/>
    <w:link w:val="76"/>
    <w:autoRedefine/>
    <w:qFormat/>
    <w:uiPriority w:val="0"/>
    <w:pPr>
      <w:tabs>
        <w:tab w:val="left" w:pos="360"/>
      </w:tabs>
      <w:ind w:left="360" w:hanging="360" w:hangingChars="200"/>
    </w:pPr>
    <w:rPr>
      <w:rFonts w:ascii="Times New Roman" w:hAnsi="Times New Roman" w:eastAsia="宋体" w:cs="Times New Roman"/>
      <w:sz w:val="28"/>
      <w:szCs w:val="20"/>
    </w:rPr>
  </w:style>
  <w:style w:type="paragraph" w:styleId="17">
    <w:name w:val="Document Map"/>
    <w:basedOn w:val="1"/>
    <w:link w:val="77"/>
    <w:autoRedefine/>
    <w:qFormat/>
    <w:uiPriority w:val="0"/>
    <w:pPr>
      <w:shd w:val="clear" w:color="auto" w:fill="000080"/>
    </w:pPr>
    <w:rPr>
      <w:kern w:val="0"/>
      <w:sz w:val="20"/>
      <w:szCs w:val="24"/>
    </w:rPr>
  </w:style>
  <w:style w:type="paragraph" w:styleId="18">
    <w:name w:val="annotation text"/>
    <w:basedOn w:val="1"/>
    <w:link w:val="78"/>
    <w:autoRedefine/>
    <w:unhideWhenUsed/>
    <w:qFormat/>
    <w:uiPriority w:val="0"/>
    <w:pPr>
      <w:jc w:val="left"/>
    </w:pPr>
  </w:style>
  <w:style w:type="paragraph" w:styleId="19">
    <w:name w:val="Body Text"/>
    <w:basedOn w:val="1"/>
    <w:link w:val="79"/>
    <w:autoRedefine/>
    <w:unhideWhenUsed/>
    <w:qFormat/>
    <w:uiPriority w:val="0"/>
    <w:pPr>
      <w:ind w:firstLine="480"/>
    </w:pPr>
    <w:rPr>
      <w:rFonts w:ascii="Times New Roman" w:hAnsi="Times New Roman"/>
    </w:rPr>
  </w:style>
  <w:style w:type="paragraph" w:styleId="20">
    <w:name w:val="Body Text Indent"/>
    <w:basedOn w:val="1"/>
    <w:next w:val="21"/>
    <w:link w:val="80"/>
    <w:autoRedefine/>
    <w:unhideWhenUsed/>
    <w:qFormat/>
    <w:uiPriority w:val="0"/>
    <w:pPr>
      <w:spacing w:after="120"/>
      <w:ind w:left="420" w:leftChars="200"/>
    </w:pPr>
  </w:style>
  <w:style w:type="paragraph" w:styleId="21">
    <w:name w:val="index heading"/>
    <w:basedOn w:val="1"/>
    <w:next w:val="22"/>
    <w:qFormat/>
    <w:uiPriority w:val="0"/>
    <w:rPr>
      <w:rFonts w:ascii="Tahoma" w:hAnsi="Tahoma" w:eastAsia="方正仿宋_GB2312" w:cs="Tahoma"/>
      <w:szCs w:val="21"/>
    </w:rPr>
  </w:style>
  <w:style w:type="paragraph" w:styleId="22">
    <w:name w:val="index 1"/>
    <w:basedOn w:val="1"/>
    <w:next w:val="1"/>
    <w:autoRedefine/>
    <w:qFormat/>
    <w:uiPriority w:val="0"/>
    <w:rPr>
      <w:sz w:val="28"/>
    </w:rPr>
  </w:style>
  <w:style w:type="paragraph" w:styleId="23">
    <w:name w:val="Block Text"/>
    <w:basedOn w:val="1"/>
    <w:next w:val="1"/>
    <w:autoRedefine/>
    <w:qFormat/>
    <w:uiPriority w:val="0"/>
    <w:pPr>
      <w:spacing w:after="120" w:afterLines="0" w:afterAutospacing="0"/>
      <w:ind w:left="1440" w:leftChars="700" w:rightChars="700"/>
    </w:pPr>
  </w:style>
  <w:style w:type="paragraph" w:styleId="24">
    <w:name w:val="List Bullet 2"/>
    <w:basedOn w:val="1"/>
    <w:autoRedefine/>
    <w:qFormat/>
    <w:uiPriority w:val="0"/>
    <w:pPr>
      <w:tabs>
        <w:tab w:val="left" w:pos="600"/>
        <w:tab w:val="center" w:pos="6360"/>
      </w:tabs>
      <w:adjustRightInd w:val="0"/>
      <w:ind w:left="600" w:hanging="360"/>
      <w:jc w:val="center"/>
      <w:textAlignment w:val="baseline"/>
    </w:pPr>
    <w:rPr>
      <w:rFonts w:ascii="Times New Roman" w:hAnsi="Times New Roman" w:eastAsia="宋体" w:cs="Times New Roman"/>
      <w:b/>
      <w:kern w:val="0"/>
      <w:sz w:val="20"/>
      <w:szCs w:val="20"/>
    </w:rPr>
  </w:style>
  <w:style w:type="paragraph" w:styleId="25">
    <w:name w:val="toc 5"/>
    <w:basedOn w:val="1"/>
    <w:next w:val="1"/>
    <w:autoRedefine/>
    <w:qFormat/>
    <w:uiPriority w:val="39"/>
    <w:pPr>
      <w:ind w:left="1680" w:leftChars="800"/>
    </w:pPr>
    <w:rPr>
      <w:rFonts w:ascii="Times New Roman" w:hAnsi="Times New Roman" w:eastAsia="宋体" w:cs="Times New Roman"/>
      <w:szCs w:val="24"/>
    </w:rPr>
  </w:style>
  <w:style w:type="paragraph" w:styleId="26">
    <w:name w:val="toc 3"/>
    <w:basedOn w:val="1"/>
    <w:next w:val="1"/>
    <w:autoRedefine/>
    <w:qFormat/>
    <w:uiPriority w:val="39"/>
    <w:pPr>
      <w:ind w:left="840" w:leftChars="400"/>
    </w:pPr>
    <w:rPr>
      <w:rFonts w:ascii="Times New Roman" w:hAnsi="Times New Roman" w:eastAsia="宋体" w:cs="Times New Roman"/>
      <w:szCs w:val="24"/>
    </w:rPr>
  </w:style>
  <w:style w:type="paragraph" w:styleId="27">
    <w:name w:val="Plain Text"/>
    <w:basedOn w:val="1"/>
    <w:link w:val="82"/>
    <w:autoRedefine/>
    <w:qFormat/>
    <w:uiPriority w:val="99"/>
    <w:rPr>
      <w:rFonts w:ascii="宋体" w:hAnsi="Courier New"/>
      <w:kern w:val="0"/>
      <w:sz w:val="20"/>
      <w:szCs w:val="20"/>
    </w:rPr>
  </w:style>
  <w:style w:type="paragraph" w:styleId="28">
    <w:name w:val="List Bullet 5"/>
    <w:basedOn w:val="1"/>
    <w:autoRedefine/>
    <w:semiHidden/>
    <w:unhideWhenUsed/>
    <w:qFormat/>
    <w:uiPriority w:val="99"/>
    <w:pPr>
      <w:numPr>
        <w:ilvl w:val="0"/>
        <w:numId w:val="3"/>
      </w:numPr>
    </w:pPr>
  </w:style>
  <w:style w:type="paragraph" w:styleId="29">
    <w:name w:val="toc 8"/>
    <w:basedOn w:val="1"/>
    <w:next w:val="1"/>
    <w:autoRedefine/>
    <w:qFormat/>
    <w:uiPriority w:val="39"/>
    <w:pPr>
      <w:ind w:left="2940" w:leftChars="1400"/>
    </w:pPr>
    <w:rPr>
      <w:rFonts w:ascii="Times New Roman" w:hAnsi="Times New Roman" w:eastAsia="宋体" w:cs="Times New Roman"/>
      <w:szCs w:val="24"/>
    </w:rPr>
  </w:style>
  <w:style w:type="paragraph" w:styleId="30">
    <w:name w:val="Date"/>
    <w:basedOn w:val="1"/>
    <w:next w:val="1"/>
    <w:link w:val="83"/>
    <w:autoRedefine/>
    <w:qFormat/>
    <w:uiPriority w:val="0"/>
    <w:pPr>
      <w:ind w:left="100" w:leftChars="2500"/>
    </w:pPr>
    <w:rPr>
      <w:kern w:val="0"/>
      <w:sz w:val="20"/>
      <w:szCs w:val="24"/>
    </w:rPr>
  </w:style>
  <w:style w:type="paragraph" w:styleId="31">
    <w:name w:val="Body Text Indent 2"/>
    <w:basedOn w:val="1"/>
    <w:link w:val="84"/>
    <w:autoRedefine/>
    <w:qFormat/>
    <w:uiPriority w:val="0"/>
    <w:pPr>
      <w:spacing w:after="120" w:line="480" w:lineRule="auto"/>
      <w:ind w:left="420" w:leftChars="200"/>
    </w:pPr>
    <w:rPr>
      <w:kern w:val="0"/>
      <w:sz w:val="20"/>
      <w:szCs w:val="24"/>
    </w:rPr>
  </w:style>
  <w:style w:type="paragraph" w:styleId="32">
    <w:name w:val="Balloon Text"/>
    <w:basedOn w:val="1"/>
    <w:link w:val="85"/>
    <w:autoRedefine/>
    <w:qFormat/>
    <w:uiPriority w:val="0"/>
    <w:rPr>
      <w:kern w:val="0"/>
      <w:sz w:val="18"/>
      <w:szCs w:val="18"/>
    </w:rPr>
  </w:style>
  <w:style w:type="paragraph" w:styleId="33">
    <w:name w:val="footer"/>
    <w:basedOn w:val="1"/>
    <w:link w:val="86"/>
    <w:autoRedefine/>
    <w:qFormat/>
    <w:uiPriority w:val="0"/>
    <w:pPr>
      <w:tabs>
        <w:tab w:val="center" w:pos="4153"/>
        <w:tab w:val="right" w:pos="8306"/>
      </w:tabs>
      <w:snapToGrid w:val="0"/>
      <w:jc w:val="left"/>
    </w:pPr>
    <w:rPr>
      <w:kern w:val="0"/>
      <w:sz w:val="18"/>
      <w:szCs w:val="18"/>
    </w:rPr>
  </w:style>
  <w:style w:type="paragraph" w:styleId="34">
    <w:name w:val="header"/>
    <w:basedOn w:val="1"/>
    <w:next w:val="1"/>
    <w:link w:val="87"/>
    <w:autoRedefine/>
    <w:qFormat/>
    <w:uiPriority w:val="99"/>
    <w:pPr>
      <w:pBdr>
        <w:bottom w:val="single" w:color="auto" w:sz="6" w:space="1"/>
      </w:pBdr>
      <w:tabs>
        <w:tab w:val="center" w:pos="4153"/>
        <w:tab w:val="right" w:pos="8306"/>
      </w:tabs>
      <w:snapToGrid w:val="0"/>
      <w:jc w:val="center"/>
    </w:pPr>
    <w:rPr>
      <w:kern w:val="0"/>
      <w:sz w:val="18"/>
      <w:szCs w:val="18"/>
    </w:rPr>
  </w:style>
  <w:style w:type="paragraph" w:styleId="35">
    <w:name w:val="toc 1"/>
    <w:basedOn w:val="1"/>
    <w:next w:val="1"/>
    <w:autoRedefine/>
    <w:qFormat/>
    <w:uiPriority w:val="39"/>
    <w:rPr>
      <w:rFonts w:ascii="Times New Roman" w:hAnsi="Times New Roman" w:eastAsia="宋体" w:cs="Times New Roman"/>
      <w:szCs w:val="24"/>
    </w:rPr>
  </w:style>
  <w:style w:type="paragraph" w:styleId="36">
    <w:name w:val="toc 4"/>
    <w:basedOn w:val="1"/>
    <w:next w:val="1"/>
    <w:autoRedefine/>
    <w:qFormat/>
    <w:uiPriority w:val="39"/>
    <w:pPr>
      <w:ind w:left="1260" w:leftChars="600"/>
    </w:pPr>
    <w:rPr>
      <w:rFonts w:ascii="Times New Roman" w:hAnsi="Times New Roman" w:eastAsia="宋体" w:cs="Times New Roman"/>
      <w:szCs w:val="24"/>
    </w:rPr>
  </w:style>
  <w:style w:type="paragraph" w:styleId="37">
    <w:name w:val="Subtitle"/>
    <w:basedOn w:val="6"/>
    <w:next w:val="1"/>
    <w:link w:val="88"/>
    <w:autoRedefine/>
    <w:qFormat/>
    <w:uiPriority w:val="0"/>
    <w:pPr>
      <w:spacing w:before="240" w:after="60" w:line="360" w:lineRule="auto"/>
      <w:jc w:val="left"/>
    </w:pPr>
    <w:rPr>
      <w:rFonts w:eastAsia="方正仿宋_GB2312"/>
      <w:kern w:val="28"/>
      <w:szCs w:val="32"/>
    </w:rPr>
  </w:style>
  <w:style w:type="paragraph" w:styleId="38">
    <w:name w:val="List"/>
    <w:basedOn w:val="1"/>
    <w:autoRedefine/>
    <w:qFormat/>
    <w:uiPriority w:val="0"/>
    <w:pPr>
      <w:ind w:left="200" w:hanging="200" w:hangingChars="200"/>
    </w:pPr>
    <w:rPr>
      <w:rFonts w:ascii="Times New Roman" w:hAnsi="Times New Roman" w:eastAsia="宋体" w:cs="Times New Roman"/>
      <w:szCs w:val="24"/>
    </w:rPr>
  </w:style>
  <w:style w:type="paragraph" w:styleId="39">
    <w:name w:val="footnote text"/>
    <w:basedOn w:val="1"/>
    <w:link w:val="89"/>
    <w:autoRedefine/>
    <w:semiHidden/>
    <w:qFormat/>
    <w:uiPriority w:val="0"/>
    <w:pPr>
      <w:snapToGrid w:val="0"/>
      <w:jc w:val="left"/>
    </w:pPr>
    <w:rPr>
      <w:kern w:val="0"/>
      <w:sz w:val="18"/>
      <w:szCs w:val="18"/>
    </w:rPr>
  </w:style>
  <w:style w:type="paragraph" w:styleId="40">
    <w:name w:val="toc 6"/>
    <w:basedOn w:val="1"/>
    <w:next w:val="1"/>
    <w:autoRedefine/>
    <w:qFormat/>
    <w:uiPriority w:val="39"/>
    <w:pPr>
      <w:ind w:left="2100" w:leftChars="1000"/>
    </w:pPr>
    <w:rPr>
      <w:rFonts w:ascii="Times New Roman" w:hAnsi="Times New Roman" w:eastAsia="宋体" w:cs="Times New Roman"/>
      <w:szCs w:val="24"/>
    </w:rPr>
  </w:style>
  <w:style w:type="paragraph" w:styleId="41">
    <w:name w:val="Body Text Indent 3"/>
    <w:basedOn w:val="1"/>
    <w:link w:val="90"/>
    <w:autoRedefine/>
    <w:qFormat/>
    <w:uiPriority w:val="0"/>
    <w:pPr>
      <w:spacing w:after="120"/>
      <w:ind w:left="420" w:leftChars="200"/>
    </w:pPr>
    <w:rPr>
      <w:kern w:val="0"/>
      <w:sz w:val="16"/>
      <w:szCs w:val="16"/>
    </w:rPr>
  </w:style>
  <w:style w:type="paragraph" w:styleId="42">
    <w:name w:val="toc 2"/>
    <w:basedOn w:val="1"/>
    <w:next w:val="1"/>
    <w:autoRedefine/>
    <w:qFormat/>
    <w:uiPriority w:val="39"/>
    <w:pPr>
      <w:ind w:left="420" w:leftChars="200"/>
    </w:pPr>
    <w:rPr>
      <w:rFonts w:ascii="Times New Roman" w:hAnsi="Times New Roman" w:eastAsia="宋体" w:cs="Times New Roman"/>
      <w:szCs w:val="24"/>
    </w:rPr>
  </w:style>
  <w:style w:type="paragraph" w:styleId="43">
    <w:name w:val="toc 9"/>
    <w:basedOn w:val="1"/>
    <w:next w:val="1"/>
    <w:autoRedefine/>
    <w:qFormat/>
    <w:uiPriority w:val="39"/>
    <w:pPr>
      <w:ind w:left="3360" w:leftChars="1600"/>
    </w:pPr>
    <w:rPr>
      <w:rFonts w:ascii="Times New Roman" w:hAnsi="Times New Roman" w:eastAsia="宋体" w:cs="Times New Roman"/>
      <w:szCs w:val="24"/>
    </w:rPr>
  </w:style>
  <w:style w:type="paragraph" w:styleId="44">
    <w:name w:val="Body Text 2"/>
    <w:basedOn w:val="1"/>
    <w:link w:val="91"/>
    <w:autoRedefine/>
    <w:qFormat/>
    <w:uiPriority w:val="0"/>
    <w:rPr>
      <w:sz w:val="24"/>
      <w:szCs w:val="20"/>
    </w:rPr>
  </w:style>
  <w:style w:type="paragraph" w:styleId="45">
    <w:name w:val="Normal (Web)"/>
    <w:basedOn w:val="1"/>
    <w:autoRedefine/>
    <w:qFormat/>
    <w:uiPriority w:val="99"/>
    <w:rPr>
      <w:rFonts w:ascii="Times New Roman" w:hAnsi="Times New Roman" w:eastAsia="宋体" w:cs="Times New Roman"/>
      <w:sz w:val="24"/>
      <w:szCs w:val="24"/>
    </w:rPr>
  </w:style>
  <w:style w:type="paragraph" w:styleId="46">
    <w:name w:val="annotation subject"/>
    <w:basedOn w:val="18"/>
    <w:next w:val="18"/>
    <w:link w:val="92"/>
    <w:autoRedefine/>
    <w:qFormat/>
    <w:uiPriority w:val="0"/>
    <w:rPr>
      <w:b/>
      <w:bCs/>
      <w:kern w:val="0"/>
      <w:sz w:val="20"/>
      <w:szCs w:val="24"/>
    </w:rPr>
  </w:style>
  <w:style w:type="paragraph" w:styleId="47">
    <w:name w:val="Body Text First Indent"/>
    <w:basedOn w:val="19"/>
    <w:link w:val="93"/>
    <w:autoRedefine/>
    <w:qFormat/>
    <w:uiPriority w:val="0"/>
    <w:pPr>
      <w:ind w:firstLine="420" w:firstLineChars="100"/>
    </w:pPr>
    <w:rPr>
      <w:kern w:val="0"/>
      <w:sz w:val="20"/>
      <w:szCs w:val="24"/>
    </w:rPr>
  </w:style>
  <w:style w:type="table" w:styleId="49">
    <w:name w:val="Table Grid"/>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0">
    <w:name w:val="Table Theme"/>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1">
    <w:name w:val="Table Elegant"/>
    <w:basedOn w:val="48"/>
    <w:autoRedefine/>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2">
    <w:name w:val="Table Classic 1"/>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53">
    <w:name w:val="Table Simple 3"/>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character" w:styleId="55">
    <w:name w:val="Strong"/>
    <w:autoRedefine/>
    <w:qFormat/>
    <w:uiPriority w:val="0"/>
    <w:rPr>
      <w:b/>
      <w:bCs/>
    </w:rPr>
  </w:style>
  <w:style w:type="character" w:styleId="56">
    <w:name w:val="page number"/>
    <w:autoRedefine/>
    <w:qFormat/>
    <w:uiPriority w:val="99"/>
  </w:style>
  <w:style w:type="character" w:styleId="57">
    <w:name w:val="FollowedHyperlink"/>
    <w:autoRedefine/>
    <w:qFormat/>
    <w:uiPriority w:val="99"/>
    <w:rPr>
      <w:color w:val="800080"/>
      <w:u w:val="single"/>
    </w:rPr>
  </w:style>
  <w:style w:type="character" w:styleId="58">
    <w:name w:val="Emphasis"/>
    <w:autoRedefine/>
    <w:qFormat/>
    <w:uiPriority w:val="20"/>
    <w:rPr>
      <w:color w:val="CC0033"/>
    </w:rPr>
  </w:style>
  <w:style w:type="character" w:styleId="59">
    <w:name w:val="Hyperlink"/>
    <w:autoRedefine/>
    <w:qFormat/>
    <w:uiPriority w:val="99"/>
    <w:rPr>
      <w:color w:val="0000FF"/>
      <w:u w:val="single"/>
    </w:rPr>
  </w:style>
  <w:style w:type="character" w:styleId="60">
    <w:name w:val="annotation reference"/>
    <w:autoRedefine/>
    <w:qFormat/>
    <w:uiPriority w:val="0"/>
    <w:rPr>
      <w:sz w:val="21"/>
      <w:szCs w:val="21"/>
    </w:rPr>
  </w:style>
  <w:style w:type="character" w:styleId="61">
    <w:name w:val="footnote reference"/>
    <w:autoRedefine/>
    <w:semiHidden/>
    <w:qFormat/>
    <w:uiPriority w:val="0"/>
    <w:rPr>
      <w:vertAlign w:val="superscript"/>
    </w:rPr>
  </w:style>
  <w:style w:type="paragraph" w:customStyle="1" w:styleId="62">
    <w:name w:val="Default"/>
    <w:qFormat/>
    <w:uiPriority w:val="0"/>
    <w:pPr>
      <w:widowControl w:val="0"/>
      <w:autoSpaceDE w:val="0"/>
      <w:autoSpaceDN w:val="0"/>
      <w:adjustRightInd w:val="0"/>
    </w:pPr>
    <w:rPr>
      <w:rFonts w:ascii="Arial Black" w:hAnsi="Times New Roman" w:eastAsia="Arial Black" w:cs="Arial Black"/>
      <w:color w:val="000000"/>
      <w:sz w:val="24"/>
      <w:szCs w:val="24"/>
      <w:lang w:val="en-US" w:eastAsia="zh-CN" w:bidi="ar-SA"/>
    </w:rPr>
  </w:style>
  <w:style w:type="paragraph" w:customStyle="1" w:styleId="63">
    <w:name w:val="正本文字"/>
    <w:basedOn w:val="1"/>
    <w:autoRedefine/>
    <w:qFormat/>
    <w:uiPriority w:val="0"/>
    <w:pPr>
      <w:snapToGrid w:val="0"/>
      <w:spacing w:before="0"/>
      <w:ind w:firstLine="200" w:firstLineChars="200"/>
      <w:textAlignment w:val="auto"/>
    </w:pPr>
    <w:rPr>
      <w:kern w:val="18"/>
      <w:lang w:val="zh-CN"/>
    </w:rPr>
  </w:style>
  <w:style w:type="character" w:customStyle="1" w:styleId="64">
    <w:name w:val="标题 1 Char"/>
    <w:link w:val="3"/>
    <w:autoRedefine/>
    <w:qFormat/>
    <w:uiPriority w:val="9"/>
    <w:rPr>
      <w:rFonts w:ascii="Times New Roman" w:hAnsi="Times New Roman" w:eastAsia="黑体" w:cs="Times New Roman"/>
      <w:b/>
      <w:bCs/>
      <w:kern w:val="44"/>
      <w:sz w:val="36"/>
      <w:szCs w:val="44"/>
    </w:rPr>
  </w:style>
  <w:style w:type="character" w:customStyle="1" w:styleId="65">
    <w:name w:val="标题 2 Char"/>
    <w:link w:val="4"/>
    <w:autoRedefine/>
    <w:qFormat/>
    <w:uiPriority w:val="0"/>
    <w:rPr>
      <w:rFonts w:ascii="Times New Roman" w:hAnsi="Times New Roman" w:eastAsia="宋体"/>
      <w:b/>
      <w:bCs/>
      <w:sz w:val="30"/>
      <w:szCs w:val="32"/>
    </w:rPr>
  </w:style>
  <w:style w:type="character" w:customStyle="1" w:styleId="66">
    <w:name w:val="标题 3 Char"/>
    <w:link w:val="5"/>
    <w:autoRedefine/>
    <w:qFormat/>
    <w:uiPriority w:val="0"/>
    <w:rPr>
      <w:rFonts w:ascii="Times New Roman" w:hAnsi="Times New Roman" w:eastAsia="宋体"/>
      <w:b/>
      <w:bCs/>
      <w:kern w:val="2"/>
      <w:sz w:val="28"/>
      <w:szCs w:val="32"/>
    </w:rPr>
  </w:style>
  <w:style w:type="character" w:customStyle="1" w:styleId="67">
    <w:name w:val="标题 4 Char"/>
    <w:link w:val="6"/>
    <w:autoRedefine/>
    <w:qFormat/>
    <w:uiPriority w:val="0"/>
    <w:rPr>
      <w:rFonts w:ascii="Times New Roman" w:hAnsi="Times New Roman" w:eastAsia="宋体"/>
      <w:b/>
      <w:bCs/>
      <w:sz w:val="24"/>
      <w:szCs w:val="28"/>
    </w:rPr>
  </w:style>
  <w:style w:type="character" w:customStyle="1" w:styleId="68">
    <w:name w:val="标题 5 Char"/>
    <w:link w:val="7"/>
    <w:autoRedefine/>
    <w:qFormat/>
    <w:uiPriority w:val="0"/>
    <w:rPr>
      <w:rFonts w:ascii="Arial" w:hAnsi="Arial" w:eastAsia="宋体" w:cs="Times New Roman"/>
      <w:b/>
      <w:color w:val="FF0000"/>
      <w:sz w:val="28"/>
      <w:szCs w:val="24"/>
    </w:rPr>
  </w:style>
  <w:style w:type="character" w:customStyle="1" w:styleId="69">
    <w:name w:val="标题 6 Char"/>
    <w:link w:val="8"/>
    <w:autoRedefine/>
    <w:qFormat/>
    <w:uiPriority w:val="0"/>
    <w:rPr>
      <w:rFonts w:ascii="Arial" w:hAnsi="Arial" w:eastAsia="黑体" w:cs="Times New Roman"/>
      <w:b/>
      <w:spacing w:val="10"/>
      <w:sz w:val="24"/>
      <w:szCs w:val="24"/>
    </w:rPr>
  </w:style>
  <w:style w:type="character" w:customStyle="1" w:styleId="70">
    <w:name w:val="标题 7 Char"/>
    <w:link w:val="9"/>
    <w:autoRedefine/>
    <w:qFormat/>
    <w:uiPriority w:val="0"/>
    <w:rPr>
      <w:rFonts w:ascii="Times New Roman" w:hAnsi="Times New Roman" w:eastAsia="宋体" w:cs="Times New Roman"/>
      <w:b/>
      <w:spacing w:val="10"/>
      <w:sz w:val="24"/>
      <w:szCs w:val="24"/>
    </w:rPr>
  </w:style>
  <w:style w:type="character" w:customStyle="1" w:styleId="71">
    <w:name w:val="标题 8 Char"/>
    <w:link w:val="10"/>
    <w:autoRedefine/>
    <w:qFormat/>
    <w:uiPriority w:val="0"/>
    <w:rPr>
      <w:rFonts w:ascii="Arial" w:hAnsi="Arial" w:eastAsia="黑体" w:cs="Times New Roman"/>
      <w:spacing w:val="10"/>
      <w:sz w:val="24"/>
      <w:szCs w:val="24"/>
    </w:rPr>
  </w:style>
  <w:style w:type="character" w:customStyle="1" w:styleId="72">
    <w:name w:val="标题 9 Char"/>
    <w:link w:val="11"/>
    <w:autoRedefine/>
    <w:qFormat/>
    <w:uiPriority w:val="0"/>
    <w:rPr>
      <w:rFonts w:ascii="Arial" w:hAnsi="Arial" w:eastAsia="黑体" w:cs="Times New Roman"/>
      <w:spacing w:val="10"/>
      <w:sz w:val="24"/>
      <w:szCs w:val="24"/>
    </w:rPr>
  </w:style>
  <w:style w:type="character" w:customStyle="1" w:styleId="73">
    <w:name w:val="列表编号 Char"/>
    <w:link w:val="13"/>
    <w:autoRedefine/>
    <w:qFormat/>
    <w:uiPriority w:val="0"/>
    <w:rPr>
      <w:rFonts w:ascii="Times New Roman" w:hAnsi="Times New Roman" w:eastAsia="宋体" w:cs="Times New Roman"/>
      <w:b/>
      <w:sz w:val="21"/>
    </w:rPr>
  </w:style>
  <w:style w:type="character" w:customStyle="1" w:styleId="74">
    <w:name w:val="正文缩进 Char"/>
    <w:link w:val="14"/>
    <w:autoRedefine/>
    <w:qFormat/>
    <w:uiPriority w:val="0"/>
    <w:rPr>
      <w:rFonts w:cs="宋体"/>
      <w:szCs w:val="21"/>
    </w:rPr>
  </w:style>
  <w:style w:type="character" w:customStyle="1" w:styleId="75">
    <w:name w:val="题注 Char1"/>
    <w:link w:val="15"/>
    <w:autoRedefine/>
    <w:qFormat/>
    <w:uiPriority w:val="0"/>
    <w:rPr>
      <w:rFonts w:ascii="Times New Roman" w:hAnsi="Times New Roman" w:eastAsia="宋体" w:cs="Times New Roman"/>
      <w:b/>
      <w:kern w:val="0"/>
      <w:sz w:val="21"/>
      <w:szCs w:val="20"/>
      <w:lang w:val="en-US" w:eastAsia="zh-CN" w:bidi="ar-SA"/>
    </w:rPr>
  </w:style>
  <w:style w:type="character" w:customStyle="1" w:styleId="76">
    <w:name w:val="列表项目符号 Char"/>
    <w:link w:val="16"/>
    <w:autoRedefine/>
    <w:qFormat/>
    <w:uiPriority w:val="0"/>
    <w:rPr>
      <w:rFonts w:ascii="Times New Roman" w:hAnsi="Times New Roman" w:eastAsia="宋体" w:cs="Times New Roman"/>
      <w:sz w:val="28"/>
      <w:szCs w:val="20"/>
    </w:rPr>
  </w:style>
  <w:style w:type="character" w:customStyle="1" w:styleId="77">
    <w:name w:val="文档结构图 Char"/>
    <w:link w:val="17"/>
    <w:autoRedefine/>
    <w:qFormat/>
    <w:uiPriority w:val="0"/>
    <w:rPr>
      <w:szCs w:val="24"/>
      <w:shd w:val="clear" w:color="auto" w:fill="000080"/>
    </w:rPr>
  </w:style>
  <w:style w:type="character" w:customStyle="1" w:styleId="78">
    <w:name w:val="批注文字 Char2"/>
    <w:link w:val="18"/>
    <w:autoRedefine/>
    <w:semiHidden/>
    <w:qFormat/>
    <w:uiPriority w:val="0"/>
  </w:style>
  <w:style w:type="character" w:customStyle="1" w:styleId="79">
    <w:name w:val="正文文本 Char2"/>
    <w:link w:val="19"/>
    <w:autoRedefine/>
    <w:semiHidden/>
    <w:qFormat/>
    <w:uiPriority w:val="0"/>
    <w:rPr>
      <w:rFonts w:ascii="Times New Roman" w:hAnsi="Times New Roman" w:eastAsia="宋体"/>
    </w:rPr>
  </w:style>
  <w:style w:type="character" w:customStyle="1" w:styleId="80">
    <w:name w:val="正文文本缩进 Char1"/>
    <w:link w:val="20"/>
    <w:autoRedefine/>
    <w:qFormat/>
    <w:uiPriority w:val="0"/>
  </w:style>
  <w:style w:type="character" w:customStyle="1" w:styleId="81">
    <w:name w:val="正文首行缩进 2 Char"/>
    <w:link w:val="2"/>
    <w:autoRedefine/>
    <w:qFormat/>
    <w:uiPriority w:val="0"/>
    <w:rPr>
      <w:szCs w:val="24"/>
    </w:rPr>
  </w:style>
  <w:style w:type="character" w:customStyle="1" w:styleId="82">
    <w:name w:val="纯文本 Char2"/>
    <w:link w:val="27"/>
    <w:autoRedefine/>
    <w:qFormat/>
    <w:uiPriority w:val="0"/>
    <w:rPr>
      <w:rFonts w:ascii="宋体" w:hAnsi="Courier New" w:eastAsia="宋体" w:cs="Times New Roman"/>
      <w:szCs w:val="20"/>
    </w:rPr>
  </w:style>
  <w:style w:type="character" w:customStyle="1" w:styleId="83">
    <w:name w:val="日期 Char"/>
    <w:link w:val="30"/>
    <w:autoRedefine/>
    <w:qFormat/>
    <w:uiPriority w:val="0"/>
    <w:rPr>
      <w:szCs w:val="24"/>
    </w:rPr>
  </w:style>
  <w:style w:type="character" w:customStyle="1" w:styleId="84">
    <w:name w:val="正文文本缩进 2 Char1"/>
    <w:link w:val="31"/>
    <w:autoRedefine/>
    <w:qFormat/>
    <w:uiPriority w:val="0"/>
    <w:rPr>
      <w:rFonts w:ascii="Times New Roman" w:hAnsi="Times New Roman" w:eastAsia="宋体" w:cs="Times New Roman"/>
      <w:szCs w:val="24"/>
    </w:rPr>
  </w:style>
  <w:style w:type="character" w:customStyle="1" w:styleId="85">
    <w:name w:val="批注框文本 Char"/>
    <w:link w:val="32"/>
    <w:autoRedefine/>
    <w:qFormat/>
    <w:uiPriority w:val="0"/>
    <w:rPr>
      <w:sz w:val="18"/>
      <w:szCs w:val="18"/>
    </w:rPr>
  </w:style>
  <w:style w:type="character" w:customStyle="1" w:styleId="86">
    <w:name w:val="页脚 Char"/>
    <w:link w:val="33"/>
    <w:autoRedefine/>
    <w:qFormat/>
    <w:uiPriority w:val="99"/>
    <w:rPr>
      <w:sz w:val="18"/>
      <w:szCs w:val="18"/>
    </w:rPr>
  </w:style>
  <w:style w:type="character" w:customStyle="1" w:styleId="87">
    <w:name w:val="页眉 Char"/>
    <w:link w:val="34"/>
    <w:autoRedefine/>
    <w:qFormat/>
    <w:uiPriority w:val="99"/>
    <w:rPr>
      <w:sz w:val="18"/>
      <w:szCs w:val="18"/>
    </w:rPr>
  </w:style>
  <w:style w:type="character" w:customStyle="1" w:styleId="88">
    <w:name w:val="副标题 Char"/>
    <w:link w:val="37"/>
    <w:autoRedefine/>
    <w:qFormat/>
    <w:uiPriority w:val="0"/>
    <w:rPr>
      <w:rFonts w:ascii="Cambria" w:hAnsi="Cambria" w:eastAsia="方正仿宋_GB2312"/>
      <w:b/>
      <w:bCs/>
      <w:kern w:val="28"/>
      <w:sz w:val="24"/>
      <w:szCs w:val="32"/>
    </w:rPr>
  </w:style>
  <w:style w:type="character" w:customStyle="1" w:styleId="89">
    <w:name w:val="脚注文本 Char"/>
    <w:link w:val="39"/>
    <w:autoRedefine/>
    <w:semiHidden/>
    <w:qFormat/>
    <w:uiPriority w:val="0"/>
    <w:rPr>
      <w:sz w:val="18"/>
      <w:szCs w:val="18"/>
    </w:rPr>
  </w:style>
  <w:style w:type="character" w:customStyle="1" w:styleId="90">
    <w:name w:val="正文文本缩进 3 Char1"/>
    <w:link w:val="41"/>
    <w:autoRedefine/>
    <w:qFormat/>
    <w:uiPriority w:val="0"/>
    <w:rPr>
      <w:rFonts w:ascii="Times New Roman" w:hAnsi="Times New Roman" w:eastAsia="宋体" w:cs="Times New Roman"/>
      <w:sz w:val="16"/>
      <w:szCs w:val="16"/>
    </w:rPr>
  </w:style>
  <w:style w:type="character" w:customStyle="1" w:styleId="91">
    <w:name w:val="正文文本 2 Char2"/>
    <w:link w:val="44"/>
    <w:autoRedefine/>
    <w:qFormat/>
    <w:uiPriority w:val="0"/>
    <w:rPr>
      <w:kern w:val="2"/>
      <w:sz w:val="24"/>
    </w:rPr>
  </w:style>
  <w:style w:type="character" w:customStyle="1" w:styleId="92">
    <w:name w:val="批注主题 Char"/>
    <w:link w:val="46"/>
    <w:autoRedefine/>
    <w:qFormat/>
    <w:uiPriority w:val="0"/>
    <w:rPr>
      <w:b/>
      <w:bCs/>
      <w:szCs w:val="24"/>
    </w:rPr>
  </w:style>
  <w:style w:type="character" w:customStyle="1" w:styleId="93">
    <w:name w:val="正文首行缩进 Char2"/>
    <w:link w:val="47"/>
    <w:autoRedefine/>
    <w:qFormat/>
    <w:uiPriority w:val="0"/>
    <w:rPr>
      <w:rFonts w:ascii="Times New Roman" w:hAnsi="Times New Roman" w:eastAsia="宋体" w:cs="Times New Roman"/>
      <w:szCs w:val="24"/>
    </w:rPr>
  </w:style>
  <w:style w:type="character" w:customStyle="1" w:styleId="94">
    <w:name w:val="批注框文本 Char1"/>
    <w:autoRedefine/>
    <w:semiHidden/>
    <w:qFormat/>
    <w:uiPriority w:val="99"/>
    <w:rPr>
      <w:rFonts w:ascii="Times New Roman" w:hAnsi="Times New Roman" w:eastAsia="宋体" w:cs="Times New Roman"/>
      <w:sz w:val="18"/>
      <w:szCs w:val="18"/>
    </w:rPr>
  </w:style>
  <w:style w:type="character" w:customStyle="1" w:styleId="95">
    <w:name w:val="正文文本 3 Char"/>
    <w:link w:val="96"/>
    <w:autoRedefine/>
    <w:qFormat/>
    <w:uiPriority w:val="0"/>
    <w:rPr>
      <w:sz w:val="16"/>
      <w:szCs w:val="16"/>
    </w:rPr>
  </w:style>
  <w:style w:type="paragraph" w:customStyle="1" w:styleId="96">
    <w:name w:val="正文文本 33"/>
    <w:basedOn w:val="1"/>
    <w:link w:val="95"/>
    <w:autoRedefine/>
    <w:qFormat/>
    <w:uiPriority w:val="0"/>
    <w:pPr>
      <w:spacing w:after="120"/>
    </w:pPr>
    <w:rPr>
      <w:kern w:val="0"/>
      <w:sz w:val="16"/>
      <w:szCs w:val="16"/>
    </w:rPr>
  </w:style>
  <w:style w:type="character" w:customStyle="1" w:styleId="97">
    <w:name w:val="副标题 Char2"/>
    <w:autoRedefine/>
    <w:qFormat/>
    <w:uiPriority w:val="0"/>
    <w:rPr>
      <w:rFonts w:ascii="Cambria" w:hAnsi="Cambria" w:eastAsia="宋体" w:cs="Times New Roman"/>
      <w:b/>
      <w:bCs/>
      <w:kern w:val="28"/>
      <w:sz w:val="32"/>
      <w:szCs w:val="32"/>
    </w:rPr>
  </w:style>
  <w:style w:type="character" w:customStyle="1" w:styleId="98">
    <w:name w:val="批注主题 Char Char"/>
    <w:link w:val="99"/>
    <w:autoRedefine/>
    <w:qFormat/>
    <w:uiPriority w:val="0"/>
    <w:rPr>
      <w:b/>
      <w:bCs/>
      <w:szCs w:val="24"/>
    </w:rPr>
  </w:style>
  <w:style w:type="paragraph" w:customStyle="1" w:styleId="99">
    <w:name w:val="批注主题2"/>
    <w:basedOn w:val="18"/>
    <w:next w:val="18"/>
    <w:link w:val="98"/>
    <w:autoRedefine/>
    <w:qFormat/>
    <w:uiPriority w:val="0"/>
    <w:rPr>
      <w:b/>
      <w:bCs/>
      <w:kern w:val="0"/>
      <w:sz w:val="20"/>
      <w:szCs w:val="24"/>
    </w:rPr>
  </w:style>
  <w:style w:type="character" w:customStyle="1" w:styleId="100">
    <w:name w:val="批注主题 Char2"/>
    <w:autoRedefine/>
    <w:semiHidden/>
    <w:qFormat/>
    <w:uiPriority w:val="0"/>
    <w:rPr>
      <w:b/>
      <w:bCs/>
    </w:rPr>
  </w:style>
  <w:style w:type="character" w:customStyle="1" w:styleId="101">
    <w:name w:val="题注 Char"/>
    <w:autoRedefine/>
    <w:qFormat/>
    <w:uiPriority w:val="99"/>
    <w:rPr>
      <w:rFonts w:eastAsia="宋体" w:cs="Arial"/>
      <w:b/>
      <w:kern w:val="2"/>
      <w:sz w:val="21"/>
      <w:lang w:val="en-US" w:eastAsia="zh-CN" w:bidi="ar-SA"/>
    </w:rPr>
  </w:style>
  <w:style w:type="character" w:customStyle="1" w:styleId="102">
    <w:name w:val="副标题 Char1"/>
    <w:autoRedefine/>
    <w:qFormat/>
    <w:uiPriority w:val="11"/>
    <w:rPr>
      <w:rFonts w:ascii="Cambria" w:hAnsi="Cambria" w:eastAsia="宋体" w:cs="Times New Roman"/>
      <w:b/>
      <w:bCs/>
      <w:kern w:val="28"/>
      <w:sz w:val="32"/>
      <w:szCs w:val="32"/>
    </w:rPr>
  </w:style>
  <w:style w:type="character" w:customStyle="1" w:styleId="103">
    <w:name w:val="zw1"/>
    <w:autoRedefine/>
    <w:qFormat/>
    <w:uiPriority w:val="0"/>
    <w:rPr>
      <w:rFonts w:hint="eastAsia" w:ascii="宋体" w:hAnsi="宋体" w:eastAsia="宋体"/>
      <w:sz w:val="22"/>
      <w:szCs w:val="22"/>
    </w:rPr>
  </w:style>
  <w:style w:type="character" w:customStyle="1" w:styleId="104">
    <w:name w:val="表名 Char Char"/>
    <w:link w:val="105"/>
    <w:autoRedefine/>
    <w:qFormat/>
    <w:uiPriority w:val="0"/>
    <w:rPr>
      <w:rFonts w:ascii="Arial" w:hAnsi="Arial" w:eastAsia="黑体"/>
      <w:sz w:val="24"/>
    </w:rPr>
  </w:style>
  <w:style w:type="paragraph" w:customStyle="1" w:styleId="105">
    <w:name w:val="表名"/>
    <w:basedOn w:val="1"/>
    <w:link w:val="104"/>
    <w:autoRedefine/>
    <w:qFormat/>
    <w:uiPriority w:val="0"/>
    <w:pPr>
      <w:overflowPunct w:val="0"/>
      <w:spacing w:before="120"/>
      <w:textAlignment w:val="baseline"/>
    </w:pPr>
    <w:rPr>
      <w:rFonts w:ascii="Arial" w:hAnsi="Arial" w:eastAsia="黑体"/>
      <w:kern w:val="0"/>
      <w:sz w:val="24"/>
      <w:szCs w:val="20"/>
    </w:rPr>
  </w:style>
  <w:style w:type="character" w:customStyle="1" w:styleId="106">
    <w:name w:val="页脚 Char1"/>
    <w:autoRedefine/>
    <w:semiHidden/>
    <w:qFormat/>
    <w:uiPriority w:val="99"/>
    <w:rPr>
      <w:sz w:val="18"/>
      <w:szCs w:val="18"/>
    </w:rPr>
  </w:style>
  <w:style w:type="character" w:customStyle="1" w:styleId="107">
    <w:name w:val="正文(首行缩进) Char"/>
    <w:link w:val="108"/>
    <w:autoRedefine/>
    <w:qFormat/>
    <w:uiPriority w:val="0"/>
    <w:rPr>
      <w:color w:val="000000"/>
      <w:sz w:val="24"/>
      <w:szCs w:val="24"/>
    </w:rPr>
  </w:style>
  <w:style w:type="paragraph" w:customStyle="1" w:styleId="108">
    <w:name w:val="正文(首行缩进)"/>
    <w:basedOn w:val="1"/>
    <w:link w:val="107"/>
    <w:autoRedefine/>
    <w:qFormat/>
    <w:uiPriority w:val="0"/>
    <w:pPr>
      <w:adjustRightInd w:val="0"/>
      <w:snapToGrid w:val="0"/>
      <w:spacing w:line="360" w:lineRule="auto"/>
      <w:ind w:firstLine="480" w:firstLineChars="200"/>
    </w:pPr>
    <w:rPr>
      <w:color w:val="000000"/>
      <w:kern w:val="0"/>
      <w:sz w:val="24"/>
      <w:szCs w:val="24"/>
    </w:rPr>
  </w:style>
  <w:style w:type="character" w:customStyle="1" w:styleId="109">
    <w:name w:val="批注框文本 Char2"/>
    <w:autoRedefine/>
    <w:semiHidden/>
    <w:qFormat/>
    <w:uiPriority w:val="0"/>
    <w:rPr>
      <w:sz w:val="18"/>
      <w:szCs w:val="18"/>
    </w:rPr>
  </w:style>
  <w:style w:type="character" w:customStyle="1" w:styleId="110">
    <w:name w:val="正文文本缩进 3 Char Char"/>
    <w:link w:val="111"/>
    <w:autoRedefine/>
    <w:qFormat/>
    <w:uiPriority w:val="0"/>
    <w:rPr>
      <w:sz w:val="16"/>
      <w:szCs w:val="16"/>
    </w:rPr>
  </w:style>
  <w:style w:type="paragraph" w:customStyle="1" w:styleId="111">
    <w:name w:val="正文文本缩进 31"/>
    <w:basedOn w:val="1"/>
    <w:link w:val="110"/>
    <w:autoRedefine/>
    <w:qFormat/>
    <w:uiPriority w:val="0"/>
    <w:pPr>
      <w:spacing w:after="120"/>
      <w:ind w:left="420" w:leftChars="200"/>
    </w:pPr>
    <w:rPr>
      <w:kern w:val="0"/>
      <w:sz w:val="16"/>
      <w:szCs w:val="16"/>
    </w:rPr>
  </w:style>
  <w:style w:type="character" w:customStyle="1" w:styleId="112">
    <w:name w:val="纯文本 Char"/>
    <w:link w:val="113"/>
    <w:autoRedefine/>
    <w:qFormat/>
    <w:uiPriority w:val="99"/>
    <w:rPr>
      <w:rFonts w:ascii="宋体" w:hAnsi="Courier New"/>
    </w:rPr>
  </w:style>
  <w:style w:type="paragraph" w:customStyle="1" w:styleId="113">
    <w:name w:val="纯文本1"/>
    <w:basedOn w:val="1"/>
    <w:link w:val="112"/>
    <w:autoRedefine/>
    <w:qFormat/>
    <w:uiPriority w:val="0"/>
    <w:rPr>
      <w:rFonts w:ascii="宋体" w:hAnsi="Courier New"/>
      <w:kern w:val="0"/>
      <w:sz w:val="20"/>
      <w:szCs w:val="20"/>
    </w:rPr>
  </w:style>
  <w:style w:type="character" w:customStyle="1" w:styleId="114">
    <w:name w:val="my Text Char"/>
    <w:link w:val="115"/>
    <w:autoRedefine/>
    <w:qFormat/>
    <w:uiPriority w:val="0"/>
    <w:rPr>
      <w:rFonts w:ascii="宋体" w:hAnsi="宋体" w:cs="Times New Roman"/>
      <w:sz w:val="24"/>
      <w:szCs w:val="24"/>
    </w:rPr>
  </w:style>
  <w:style w:type="paragraph" w:customStyle="1" w:styleId="115">
    <w:name w:val="my Text"/>
    <w:basedOn w:val="1"/>
    <w:link w:val="114"/>
    <w:autoRedefine/>
    <w:qFormat/>
    <w:uiPriority w:val="0"/>
    <w:pPr>
      <w:widowControl/>
      <w:spacing w:line="360" w:lineRule="auto"/>
      <w:ind w:firstLine="480" w:firstLineChars="200"/>
      <w:jc w:val="left"/>
    </w:pPr>
    <w:rPr>
      <w:rFonts w:ascii="宋体" w:hAnsi="宋体"/>
      <w:kern w:val="0"/>
      <w:sz w:val="24"/>
      <w:szCs w:val="24"/>
    </w:rPr>
  </w:style>
  <w:style w:type="character" w:customStyle="1" w:styleId="116">
    <w:name w:val="日期 Char Char"/>
    <w:link w:val="117"/>
    <w:autoRedefine/>
    <w:qFormat/>
    <w:uiPriority w:val="0"/>
    <w:rPr>
      <w:szCs w:val="24"/>
    </w:rPr>
  </w:style>
  <w:style w:type="paragraph" w:customStyle="1" w:styleId="117">
    <w:name w:val="日期1"/>
    <w:basedOn w:val="1"/>
    <w:next w:val="1"/>
    <w:link w:val="116"/>
    <w:autoRedefine/>
    <w:qFormat/>
    <w:uiPriority w:val="0"/>
    <w:pPr>
      <w:ind w:left="100" w:leftChars="2500"/>
    </w:pPr>
    <w:rPr>
      <w:kern w:val="0"/>
      <w:sz w:val="20"/>
      <w:szCs w:val="24"/>
    </w:rPr>
  </w:style>
  <w:style w:type="character" w:customStyle="1" w:styleId="118">
    <w:name w:val="正文首行缩进 2 Char1"/>
    <w:autoRedefine/>
    <w:semiHidden/>
    <w:qFormat/>
    <w:uiPriority w:val="0"/>
  </w:style>
  <w:style w:type="character" w:customStyle="1" w:styleId="119">
    <w:name w:val="表格格式 Char Char"/>
    <w:link w:val="120"/>
    <w:autoRedefine/>
    <w:qFormat/>
    <w:uiPriority w:val="0"/>
    <w:rPr>
      <w:sz w:val="18"/>
      <w:szCs w:val="18"/>
    </w:rPr>
  </w:style>
  <w:style w:type="paragraph" w:customStyle="1" w:styleId="120">
    <w:name w:val="表格格式"/>
    <w:basedOn w:val="1"/>
    <w:link w:val="119"/>
    <w:autoRedefine/>
    <w:qFormat/>
    <w:uiPriority w:val="0"/>
    <w:pPr>
      <w:spacing w:line="320" w:lineRule="exact"/>
      <w:jc w:val="center"/>
    </w:pPr>
    <w:rPr>
      <w:kern w:val="0"/>
      <w:sz w:val="18"/>
      <w:szCs w:val="18"/>
    </w:rPr>
  </w:style>
  <w:style w:type="character" w:customStyle="1" w:styleId="121">
    <w:name w:val="表格文字 Char"/>
    <w:autoRedefine/>
    <w:qFormat/>
    <w:uiPriority w:val="0"/>
    <w:rPr>
      <w:rFonts w:eastAsia="宋体"/>
      <w:kern w:val="2"/>
      <w:sz w:val="21"/>
      <w:szCs w:val="21"/>
      <w:lang w:eastAsia="zh-CN" w:bidi="ar-SA"/>
    </w:rPr>
  </w:style>
  <w:style w:type="character" w:customStyle="1" w:styleId="122">
    <w:name w:val="font51"/>
    <w:autoRedefine/>
    <w:qFormat/>
    <w:uiPriority w:val="0"/>
    <w:rPr>
      <w:rFonts w:hint="default" w:ascii="Times New Roman" w:hAnsi="Times New Roman" w:cs="Times New Roman"/>
      <w:color w:val="000000"/>
      <w:sz w:val="21"/>
      <w:szCs w:val="21"/>
      <w:u w:val="none"/>
      <w:vertAlign w:val="superscript"/>
    </w:rPr>
  </w:style>
  <w:style w:type="character" w:customStyle="1" w:styleId="123">
    <w:name w:val="C1 Char"/>
    <w:link w:val="124"/>
    <w:autoRedefine/>
    <w:qFormat/>
    <w:uiPriority w:val="0"/>
    <w:rPr>
      <w:rFonts w:hAnsi="宋体"/>
      <w:b/>
      <w:bCs/>
      <w:kern w:val="44"/>
      <w:sz w:val="28"/>
      <w:szCs w:val="28"/>
    </w:rPr>
  </w:style>
  <w:style w:type="paragraph" w:customStyle="1" w:styleId="124">
    <w:name w:val="C1"/>
    <w:basedOn w:val="3"/>
    <w:link w:val="123"/>
    <w:autoRedefine/>
    <w:qFormat/>
    <w:uiPriority w:val="0"/>
    <w:pPr>
      <w:spacing w:before="0" w:after="0" w:line="360" w:lineRule="auto"/>
    </w:pPr>
    <w:rPr>
      <w:rFonts w:hAnsi="宋体"/>
      <w:sz w:val="28"/>
      <w:szCs w:val="28"/>
    </w:rPr>
  </w:style>
  <w:style w:type="character" w:customStyle="1" w:styleId="125">
    <w:name w:val="款下正文 Char"/>
    <w:link w:val="126"/>
    <w:autoRedefine/>
    <w:qFormat/>
    <w:locked/>
    <w:uiPriority w:val="99"/>
    <w:rPr>
      <w:sz w:val="24"/>
      <w:szCs w:val="28"/>
    </w:rPr>
  </w:style>
  <w:style w:type="paragraph" w:customStyle="1" w:styleId="126">
    <w:name w:val="款下正文"/>
    <w:basedOn w:val="1"/>
    <w:link w:val="125"/>
    <w:autoRedefine/>
    <w:qFormat/>
    <w:uiPriority w:val="99"/>
    <w:pPr>
      <w:spacing w:beforeLines="50" w:afterLines="50" w:line="480" w:lineRule="exact"/>
      <w:ind w:firstLine="480" w:firstLineChars="200"/>
    </w:pPr>
    <w:rPr>
      <w:kern w:val="0"/>
      <w:sz w:val="24"/>
      <w:szCs w:val="28"/>
    </w:rPr>
  </w:style>
  <w:style w:type="character" w:customStyle="1" w:styleId="127">
    <w:name w:val="font01"/>
    <w:autoRedefine/>
    <w:qFormat/>
    <w:uiPriority w:val="0"/>
    <w:rPr>
      <w:rFonts w:hint="default" w:ascii="Times New Roman" w:hAnsi="Times New Roman" w:cs="Times New Roman"/>
      <w:color w:val="000000"/>
      <w:sz w:val="18"/>
      <w:szCs w:val="18"/>
      <w:u w:val="none"/>
    </w:rPr>
  </w:style>
  <w:style w:type="character" w:customStyle="1" w:styleId="128">
    <w:name w:val="题注 Char Char"/>
    <w:autoRedefine/>
    <w:qFormat/>
    <w:uiPriority w:val="0"/>
    <w:rPr>
      <w:rFonts w:eastAsia="宋体" w:cs="Arial"/>
      <w:b/>
      <w:kern w:val="2"/>
      <w:sz w:val="21"/>
      <w:lang w:val="en-US" w:eastAsia="zh-CN" w:bidi="ar-SA"/>
    </w:rPr>
  </w:style>
  <w:style w:type="character" w:customStyle="1" w:styleId="129">
    <w:name w:val="说明正文 Char Char"/>
    <w:link w:val="130"/>
    <w:autoRedefine/>
    <w:qFormat/>
    <w:uiPriority w:val="0"/>
    <w:rPr>
      <w:rFonts w:ascii="宋体"/>
      <w:sz w:val="24"/>
      <w:szCs w:val="24"/>
    </w:rPr>
  </w:style>
  <w:style w:type="paragraph" w:customStyle="1" w:styleId="130">
    <w:name w:val="说明正文"/>
    <w:basedOn w:val="1"/>
    <w:link w:val="129"/>
    <w:autoRedefine/>
    <w:qFormat/>
    <w:uiPriority w:val="0"/>
    <w:pPr>
      <w:adjustRightInd w:val="0"/>
      <w:snapToGrid w:val="0"/>
      <w:spacing w:line="360" w:lineRule="auto"/>
      <w:ind w:firstLine="510"/>
      <w:jc w:val="left"/>
    </w:pPr>
    <w:rPr>
      <w:rFonts w:ascii="宋体"/>
      <w:kern w:val="0"/>
      <w:sz w:val="24"/>
      <w:szCs w:val="24"/>
    </w:rPr>
  </w:style>
  <w:style w:type="character" w:customStyle="1" w:styleId="131">
    <w:name w:val="正文文本 2 Char1"/>
    <w:autoRedefine/>
    <w:semiHidden/>
    <w:qFormat/>
    <w:uiPriority w:val="99"/>
    <w:rPr>
      <w:kern w:val="2"/>
      <w:sz w:val="21"/>
      <w:szCs w:val="22"/>
    </w:rPr>
  </w:style>
  <w:style w:type="character" w:customStyle="1" w:styleId="132">
    <w:name w:val="4级 Char"/>
    <w:link w:val="133"/>
    <w:autoRedefine/>
    <w:qFormat/>
    <w:uiPriority w:val="0"/>
    <w:rPr>
      <w:rFonts w:ascii="Times New Roman" w:hAnsi="Times New Roman" w:eastAsia="方正仿宋_GB2312"/>
      <w:b/>
      <w:kern w:val="2"/>
      <w:sz w:val="24"/>
      <w:szCs w:val="28"/>
      <w:lang w:val="zh-CN"/>
    </w:rPr>
  </w:style>
  <w:style w:type="paragraph" w:customStyle="1" w:styleId="133">
    <w:name w:val="4级"/>
    <w:basedOn w:val="1"/>
    <w:link w:val="132"/>
    <w:autoRedefine/>
    <w:qFormat/>
    <w:uiPriority w:val="0"/>
    <w:pPr>
      <w:keepNext/>
      <w:keepLines/>
      <w:adjustRightInd w:val="0"/>
      <w:snapToGrid w:val="0"/>
      <w:spacing w:before="240" w:beforeLines="100" w:after="240" w:afterLines="100" w:line="324" w:lineRule="auto"/>
      <w:jc w:val="left"/>
      <w:outlineLvl w:val="3"/>
    </w:pPr>
    <w:rPr>
      <w:rFonts w:eastAsia="方正仿宋_GB2312"/>
      <w:b/>
      <w:sz w:val="24"/>
      <w:szCs w:val="28"/>
      <w:lang w:val="zh-CN"/>
    </w:rPr>
  </w:style>
  <w:style w:type="character" w:customStyle="1" w:styleId="134">
    <w:name w:val="样式 普通文字 + 加宽量  0.4 磅 Char Char Char"/>
    <w:link w:val="135"/>
    <w:autoRedefine/>
    <w:qFormat/>
    <w:uiPriority w:val="0"/>
    <w:rPr>
      <w:rFonts w:ascii="宋体"/>
      <w:spacing w:val="8"/>
      <w:sz w:val="24"/>
    </w:rPr>
  </w:style>
  <w:style w:type="paragraph" w:customStyle="1" w:styleId="135">
    <w:name w:val="样式 普通文字 + 加宽量  0.4 磅"/>
    <w:basedOn w:val="113"/>
    <w:link w:val="134"/>
    <w:autoRedefine/>
    <w:qFormat/>
    <w:uiPriority w:val="0"/>
    <w:pPr>
      <w:spacing w:line="480" w:lineRule="exact"/>
      <w:ind w:firstLine="480" w:firstLineChars="200"/>
    </w:pPr>
    <w:rPr>
      <w:rFonts w:hAnsi="Times New Roman"/>
      <w:spacing w:val="8"/>
      <w:sz w:val="24"/>
    </w:rPr>
  </w:style>
  <w:style w:type="character" w:customStyle="1" w:styleId="136">
    <w:name w:val="样式 普通文字 + 加宽量  0.4 磅 Char Char Char Char Char Char Char Char Char Char Char Char Char Char Char Char Char Char Char Char"/>
    <w:autoRedefine/>
    <w:qFormat/>
    <w:uiPriority w:val="0"/>
    <w:rPr>
      <w:rFonts w:eastAsia="宋体"/>
      <w:spacing w:val="8"/>
      <w:kern w:val="2"/>
      <w:sz w:val="24"/>
      <w:lang w:val="en-US" w:eastAsia="zh-CN"/>
    </w:rPr>
  </w:style>
  <w:style w:type="character" w:customStyle="1" w:styleId="137">
    <w:name w:val="apple-style-span"/>
    <w:autoRedefine/>
    <w:qFormat/>
    <w:uiPriority w:val="0"/>
  </w:style>
  <w:style w:type="character" w:customStyle="1" w:styleId="138">
    <w:name w:val="批注文字 Char1"/>
    <w:autoRedefine/>
    <w:semiHidden/>
    <w:qFormat/>
    <w:uiPriority w:val="99"/>
    <w:rPr>
      <w:rFonts w:ascii="Times New Roman" w:hAnsi="Times New Roman" w:eastAsia="宋体" w:cs="Times New Roman"/>
      <w:szCs w:val="24"/>
    </w:rPr>
  </w:style>
  <w:style w:type="character" w:customStyle="1" w:styleId="139">
    <w:name w:val="0正文 Char"/>
    <w:link w:val="140"/>
    <w:autoRedefine/>
    <w:qFormat/>
    <w:uiPriority w:val="0"/>
    <w:rPr>
      <w:rFonts w:cs="宋体"/>
      <w:sz w:val="24"/>
    </w:rPr>
  </w:style>
  <w:style w:type="paragraph" w:customStyle="1" w:styleId="140">
    <w:name w:val="0正文"/>
    <w:basedOn w:val="141"/>
    <w:link w:val="139"/>
    <w:autoRedefine/>
    <w:qFormat/>
    <w:uiPriority w:val="0"/>
    <w:pPr>
      <w:spacing w:line="300" w:lineRule="auto"/>
      <w:ind w:firstLine="480" w:firstLineChars="200"/>
    </w:pPr>
    <w:rPr>
      <w:rFonts w:eastAsia="宋体"/>
      <w:sz w:val="24"/>
      <w:szCs w:val="20"/>
    </w:rPr>
  </w:style>
  <w:style w:type="paragraph" w:customStyle="1" w:styleId="141">
    <w:name w:val="正文文本缩进1"/>
    <w:basedOn w:val="1"/>
    <w:link w:val="142"/>
    <w:autoRedefine/>
    <w:qFormat/>
    <w:uiPriority w:val="0"/>
    <w:pPr>
      <w:spacing w:line="560" w:lineRule="exact"/>
      <w:ind w:firstLine="538" w:firstLineChars="192"/>
    </w:pPr>
    <w:rPr>
      <w:rFonts w:eastAsia="方正仿宋_GB2312"/>
      <w:kern w:val="0"/>
      <w:sz w:val="28"/>
      <w:szCs w:val="24"/>
    </w:rPr>
  </w:style>
  <w:style w:type="character" w:customStyle="1" w:styleId="142">
    <w:name w:val="正文文本缩进 Char Char"/>
    <w:link w:val="141"/>
    <w:autoRedefine/>
    <w:qFormat/>
    <w:uiPriority w:val="0"/>
    <w:rPr>
      <w:rFonts w:eastAsia="方正仿宋_GB2312"/>
      <w:sz w:val="28"/>
      <w:szCs w:val="24"/>
    </w:rPr>
  </w:style>
  <w:style w:type="character" w:customStyle="1" w:styleId="143">
    <w:name w:val="样式 文本样式 + Arial 段后: 0.5 行 Char"/>
    <w:link w:val="144"/>
    <w:autoRedefine/>
    <w:qFormat/>
    <w:uiPriority w:val="0"/>
    <w:rPr>
      <w:rFonts w:ascii="Arial" w:hAnsi="Arial" w:cs="宋体"/>
      <w:sz w:val="28"/>
    </w:rPr>
  </w:style>
  <w:style w:type="paragraph" w:customStyle="1" w:styleId="144">
    <w:name w:val="样式 文本样式 + Arial 段后: 0.5 行"/>
    <w:basedOn w:val="1"/>
    <w:link w:val="143"/>
    <w:autoRedefine/>
    <w:qFormat/>
    <w:uiPriority w:val="0"/>
    <w:pPr>
      <w:adjustRightInd w:val="0"/>
      <w:spacing w:after="144" w:afterLines="50" w:line="360" w:lineRule="auto"/>
      <w:ind w:firstLine="560" w:firstLineChars="200"/>
      <w:jc w:val="left"/>
      <w:textAlignment w:val="baseline"/>
    </w:pPr>
    <w:rPr>
      <w:rFonts w:ascii="Arial" w:hAnsi="Arial"/>
      <w:kern w:val="0"/>
      <w:sz w:val="28"/>
      <w:szCs w:val="20"/>
    </w:rPr>
  </w:style>
  <w:style w:type="character" w:customStyle="1" w:styleId="145">
    <w:name w:val="h11"/>
    <w:autoRedefine/>
    <w:qFormat/>
    <w:uiPriority w:val="0"/>
    <w:rPr>
      <w:sz w:val="38"/>
      <w:szCs w:val="38"/>
    </w:rPr>
  </w:style>
  <w:style w:type="character" w:customStyle="1" w:styleId="146">
    <w:name w:val="报告文本 Char"/>
    <w:autoRedefine/>
    <w:qFormat/>
    <w:uiPriority w:val="0"/>
    <w:rPr>
      <w:rFonts w:ascii="宋体" w:hAnsi="宋体" w:eastAsia="宋体" w:cs="宋体"/>
      <w:sz w:val="24"/>
      <w:szCs w:val="24"/>
      <w:lang w:val="en-US" w:eastAsia="zh-CN" w:bidi="ar-SA"/>
    </w:rPr>
  </w:style>
  <w:style w:type="character" w:customStyle="1" w:styleId="147">
    <w:name w:val="正文段落格式 Char"/>
    <w:link w:val="148"/>
    <w:autoRedefine/>
    <w:qFormat/>
    <w:uiPriority w:val="0"/>
    <w:rPr>
      <w:szCs w:val="21"/>
    </w:rPr>
  </w:style>
  <w:style w:type="paragraph" w:customStyle="1" w:styleId="148">
    <w:name w:val="正文段落格式"/>
    <w:basedOn w:val="1"/>
    <w:link w:val="147"/>
    <w:autoRedefine/>
    <w:qFormat/>
    <w:uiPriority w:val="0"/>
    <w:pPr>
      <w:spacing w:after="156" w:afterLines="50" w:line="336" w:lineRule="auto"/>
      <w:ind w:firstLine="420" w:firstLineChars="200"/>
    </w:pPr>
    <w:rPr>
      <w:kern w:val="0"/>
      <w:sz w:val="20"/>
      <w:szCs w:val="21"/>
    </w:rPr>
  </w:style>
  <w:style w:type="character" w:customStyle="1" w:styleId="149">
    <w:name w:val="HTML 预设格式 Char"/>
    <w:link w:val="150"/>
    <w:autoRedefine/>
    <w:qFormat/>
    <w:uiPriority w:val="0"/>
    <w:rPr>
      <w:rFonts w:ascii="宋体" w:hAnsi="宋体"/>
      <w:sz w:val="24"/>
      <w:szCs w:val="24"/>
    </w:rPr>
  </w:style>
  <w:style w:type="paragraph" w:customStyle="1" w:styleId="150">
    <w:name w:val="HTML 预设格式1"/>
    <w:basedOn w:val="1"/>
    <w:link w:val="149"/>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character" w:customStyle="1" w:styleId="151">
    <w:name w:val="C3 Char"/>
    <w:link w:val="152"/>
    <w:autoRedefine/>
    <w:qFormat/>
    <w:uiPriority w:val="0"/>
    <w:rPr>
      <w:rFonts w:hAnsi="宋体"/>
      <w:bCs/>
      <w:kern w:val="44"/>
      <w:sz w:val="28"/>
      <w:szCs w:val="28"/>
    </w:rPr>
  </w:style>
  <w:style w:type="paragraph" w:customStyle="1" w:styleId="152">
    <w:name w:val="C3"/>
    <w:basedOn w:val="1"/>
    <w:link w:val="151"/>
    <w:autoRedefine/>
    <w:qFormat/>
    <w:uiPriority w:val="0"/>
    <w:pPr>
      <w:keepNext/>
      <w:keepLines/>
      <w:tabs>
        <w:tab w:val="left" w:pos="567"/>
      </w:tabs>
      <w:adjustRightInd w:val="0"/>
      <w:spacing w:line="360" w:lineRule="auto"/>
      <w:ind w:left="567" w:hanging="567"/>
      <w:outlineLvl w:val="0"/>
    </w:pPr>
    <w:rPr>
      <w:rFonts w:hAnsi="宋体"/>
      <w:bCs/>
      <w:kern w:val="44"/>
      <w:sz w:val="28"/>
      <w:szCs w:val="28"/>
    </w:rPr>
  </w:style>
  <w:style w:type="character" w:customStyle="1" w:styleId="153">
    <w:name w:val="表格和图标题 Char"/>
    <w:autoRedefine/>
    <w:qFormat/>
    <w:uiPriority w:val="0"/>
    <w:rPr>
      <w:rFonts w:eastAsia="黑体"/>
      <w:kern w:val="2"/>
      <w:sz w:val="21"/>
      <w:szCs w:val="22"/>
      <w:lang w:val="en-US" w:eastAsia="zh-CN" w:bidi="ar-SA"/>
    </w:rPr>
  </w:style>
  <w:style w:type="character" w:customStyle="1" w:styleId="154">
    <w:name w:val="正文文本缩进 2 Char"/>
    <w:autoRedefine/>
    <w:qFormat/>
    <w:uiPriority w:val="0"/>
    <w:rPr>
      <w:rFonts w:ascii="方正仿宋_GB2312" w:hAnsi="宋体" w:eastAsia="方正仿宋_GB2312"/>
      <w:kern w:val="2"/>
      <w:sz w:val="28"/>
      <w:szCs w:val="28"/>
      <w:lang w:bidi="ar-SA"/>
    </w:rPr>
  </w:style>
  <w:style w:type="character" w:customStyle="1" w:styleId="155">
    <w:name w:val="文档结构图 Char1"/>
    <w:autoRedefine/>
    <w:semiHidden/>
    <w:qFormat/>
    <w:uiPriority w:val="0"/>
    <w:rPr>
      <w:rFonts w:ascii="宋体" w:eastAsia="宋体"/>
      <w:sz w:val="18"/>
      <w:szCs w:val="18"/>
    </w:rPr>
  </w:style>
  <w:style w:type="character" w:customStyle="1" w:styleId="156">
    <w:name w:val="Char Char141"/>
    <w:autoRedefine/>
    <w:qFormat/>
    <w:uiPriority w:val="0"/>
    <w:rPr>
      <w:b/>
      <w:bCs/>
      <w:kern w:val="2"/>
      <w:sz w:val="32"/>
      <w:szCs w:val="32"/>
    </w:rPr>
  </w:style>
  <w:style w:type="character" w:customStyle="1" w:styleId="157">
    <w:name w:val="注释 Char Char"/>
    <w:link w:val="158"/>
    <w:autoRedefine/>
    <w:qFormat/>
    <w:uiPriority w:val="0"/>
    <w:rPr>
      <w:rFonts w:ascii="宋体" w:eastAsia="宋体"/>
    </w:rPr>
  </w:style>
  <w:style w:type="paragraph" w:customStyle="1" w:styleId="158">
    <w:name w:val="注释"/>
    <w:basedOn w:val="1"/>
    <w:link w:val="157"/>
    <w:autoRedefine/>
    <w:qFormat/>
    <w:uiPriority w:val="0"/>
    <w:pPr>
      <w:spacing w:before="60" w:after="60" w:line="320" w:lineRule="exact"/>
      <w:ind w:left="400" w:leftChars="400"/>
    </w:pPr>
    <w:rPr>
      <w:rFonts w:ascii="宋体"/>
      <w:kern w:val="0"/>
      <w:sz w:val="20"/>
      <w:szCs w:val="20"/>
    </w:rPr>
  </w:style>
  <w:style w:type="character" w:customStyle="1" w:styleId="159">
    <w:name w:val="A正文 Char"/>
    <w:link w:val="160"/>
    <w:autoRedefine/>
    <w:qFormat/>
    <w:uiPriority w:val="0"/>
    <w:rPr>
      <w:kern w:val="2"/>
      <w:sz w:val="24"/>
      <w:szCs w:val="24"/>
      <w:lang w:val="en-US" w:eastAsia="zh-CN" w:bidi="ar-SA"/>
    </w:rPr>
  </w:style>
  <w:style w:type="paragraph" w:customStyle="1" w:styleId="160">
    <w:name w:val="A正文"/>
    <w:link w:val="159"/>
    <w:autoRedefine/>
    <w:qFormat/>
    <w:uiPriority w:val="0"/>
    <w:pPr>
      <w:widowControl w:val="0"/>
      <w:tabs>
        <w:tab w:val="left" w:pos="1210"/>
      </w:tabs>
      <w:autoSpaceDE w:val="0"/>
      <w:autoSpaceDN w:val="0"/>
      <w:adjustRightInd w:val="0"/>
      <w:spacing w:line="360" w:lineRule="auto"/>
      <w:ind w:left="372" w:leftChars="155" w:firstLine="480" w:firstLineChars="200"/>
    </w:pPr>
    <w:rPr>
      <w:rFonts w:ascii="Times New Roman" w:hAnsi="Times New Roman" w:eastAsia="宋体" w:cs="Times New Roman"/>
      <w:kern w:val="2"/>
      <w:sz w:val="24"/>
      <w:szCs w:val="24"/>
      <w:lang w:val="en-US" w:eastAsia="zh-CN" w:bidi="ar-SA"/>
    </w:rPr>
  </w:style>
  <w:style w:type="character" w:customStyle="1" w:styleId="161">
    <w:name w:val="样式53 Char Char"/>
    <w:link w:val="162"/>
    <w:autoRedefine/>
    <w:qFormat/>
    <w:uiPriority w:val="0"/>
    <w:rPr>
      <w:rFonts w:ascii="黑体" w:hAnsi="宋体" w:eastAsia="黑体"/>
      <w:b/>
      <w:bCs/>
      <w:color w:val="000000"/>
      <w:szCs w:val="21"/>
    </w:rPr>
  </w:style>
  <w:style w:type="paragraph" w:customStyle="1" w:styleId="162">
    <w:name w:val="样式53"/>
    <w:basedOn w:val="1"/>
    <w:link w:val="161"/>
    <w:autoRedefine/>
    <w:qFormat/>
    <w:uiPriority w:val="0"/>
    <w:pPr>
      <w:adjustRightInd w:val="0"/>
      <w:spacing w:before="214"/>
      <w:jc w:val="center"/>
      <w:textAlignment w:val="baseline"/>
    </w:pPr>
    <w:rPr>
      <w:rFonts w:ascii="黑体" w:hAnsi="宋体" w:eastAsia="黑体"/>
      <w:b/>
      <w:bCs/>
      <w:color w:val="000000"/>
      <w:kern w:val="0"/>
      <w:sz w:val="20"/>
      <w:szCs w:val="21"/>
    </w:rPr>
  </w:style>
  <w:style w:type="character" w:customStyle="1" w:styleId="163">
    <w:name w:val="正文缩进 Char1"/>
    <w:link w:val="164"/>
    <w:autoRedefine/>
    <w:qFormat/>
    <w:uiPriority w:val="0"/>
    <w:rPr>
      <w:snapToGrid/>
      <w:sz w:val="28"/>
      <w:szCs w:val="24"/>
    </w:rPr>
  </w:style>
  <w:style w:type="paragraph" w:customStyle="1" w:styleId="164">
    <w:name w:val="正文缩进1"/>
    <w:basedOn w:val="1"/>
    <w:link w:val="163"/>
    <w:autoRedefine/>
    <w:qFormat/>
    <w:uiPriority w:val="0"/>
    <w:pPr>
      <w:adjustRightInd w:val="0"/>
      <w:snapToGrid w:val="0"/>
      <w:spacing w:line="360" w:lineRule="auto"/>
      <w:ind w:firstLine="420" w:firstLineChars="200"/>
    </w:pPr>
    <w:rPr>
      <w:kern w:val="0"/>
      <w:sz w:val="28"/>
      <w:szCs w:val="24"/>
    </w:rPr>
  </w:style>
  <w:style w:type="character" w:customStyle="1" w:styleId="165">
    <w:name w:val="注释标题 Char"/>
    <w:link w:val="166"/>
    <w:autoRedefine/>
    <w:qFormat/>
    <w:uiPriority w:val="0"/>
  </w:style>
  <w:style w:type="paragraph" w:customStyle="1" w:styleId="166">
    <w:name w:val="注释标题2"/>
    <w:basedOn w:val="1"/>
    <w:next w:val="1"/>
    <w:link w:val="165"/>
    <w:autoRedefine/>
    <w:qFormat/>
    <w:uiPriority w:val="0"/>
    <w:pPr>
      <w:jc w:val="center"/>
    </w:pPr>
  </w:style>
  <w:style w:type="character" w:customStyle="1" w:styleId="167">
    <w:name w:val="页码1"/>
    <w:autoRedefine/>
    <w:qFormat/>
    <w:uiPriority w:val="0"/>
  </w:style>
  <w:style w:type="character" w:customStyle="1" w:styleId="168">
    <w:name w:val="bsharetext"/>
    <w:autoRedefine/>
    <w:qFormat/>
    <w:uiPriority w:val="0"/>
  </w:style>
  <w:style w:type="character" w:customStyle="1" w:styleId="169">
    <w:name w:val="even Char2"/>
    <w:autoRedefine/>
    <w:qFormat/>
    <w:uiPriority w:val="0"/>
    <w:rPr>
      <w:rFonts w:eastAsia="宋体"/>
      <w:sz w:val="18"/>
      <w:szCs w:val="18"/>
      <w:lang w:val="en-US" w:eastAsia="zh-CN" w:bidi="ar-SA"/>
    </w:rPr>
  </w:style>
  <w:style w:type="character" w:customStyle="1" w:styleId="170">
    <w:name w:val="页码11"/>
    <w:autoRedefine/>
    <w:qFormat/>
    <w:uiPriority w:val="0"/>
  </w:style>
  <w:style w:type="character" w:customStyle="1" w:styleId="171">
    <w:name w:val="页眉 Char1"/>
    <w:autoRedefine/>
    <w:semiHidden/>
    <w:qFormat/>
    <w:uiPriority w:val="99"/>
    <w:rPr>
      <w:sz w:val="18"/>
      <w:szCs w:val="18"/>
    </w:rPr>
  </w:style>
  <w:style w:type="character" w:customStyle="1" w:styleId="172">
    <w:name w:val="正文文本 Char"/>
    <w:autoRedefine/>
    <w:qFormat/>
    <w:uiPriority w:val="0"/>
    <w:rPr>
      <w:kern w:val="2"/>
      <w:sz w:val="21"/>
      <w:szCs w:val="24"/>
      <w:lang w:bidi="ar-SA"/>
    </w:rPr>
  </w:style>
  <w:style w:type="character" w:customStyle="1" w:styleId="173">
    <w:name w:val="王 正文 Char Char"/>
    <w:link w:val="174"/>
    <w:autoRedefine/>
    <w:qFormat/>
    <w:uiPriority w:val="0"/>
    <w:rPr>
      <w:sz w:val="28"/>
      <w:szCs w:val="28"/>
    </w:rPr>
  </w:style>
  <w:style w:type="paragraph" w:customStyle="1" w:styleId="174">
    <w:name w:val="王 正文"/>
    <w:basedOn w:val="1"/>
    <w:link w:val="173"/>
    <w:autoRedefine/>
    <w:qFormat/>
    <w:uiPriority w:val="0"/>
    <w:pPr>
      <w:adjustRightInd w:val="0"/>
      <w:ind w:firstLine="200" w:firstLineChars="200"/>
    </w:pPr>
    <w:rPr>
      <w:kern w:val="0"/>
      <w:sz w:val="28"/>
      <w:szCs w:val="28"/>
    </w:rPr>
  </w:style>
  <w:style w:type="character" w:customStyle="1" w:styleId="175">
    <w:name w:val="公式附注 Char Char"/>
    <w:link w:val="176"/>
    <w:autoRedefine/>
    <w:qFormat/>
    <w:uiPriority w:val="0"/>
    <w:rPr>
      <w:rFonts w:eastAsia="Times New Roman"/>
      <w:kern w:val="2"/>
      <w:sz w:val="21"/>
      <w:szCs w:val="22"/>
      <w:lang w:val="en-US" w:eastAsia="zh-CN" w:bidi="ar-SA"/>
    </w:rPr>
  </w:style>
  <w:style w:type="paragraph" w:customStyle="1" w:styleId="176">
    <w:name w:val="公式附注"/>
    <w:next w:val="177"/>
    <w:link w:val="175"/>
    <w:autoRedefine/>
    <w:qFormat/>
    <w:uiPriority w:val="0"/>
    <w:pPr>
      <w:ind w:left="50" w:leftChars="50" w:firstLine="200" w:firstLineChars="200"/>
    </w:pPr>
    <w:rPr>
      <w:rFonts w:ascii="Times New Roman" w:hAnsi="Times New Roman" w:eastAsia="Times New Roman" w:cs="Times New Roman"/>
      <w:kern w:val="2"/>
      <w:sz w:val="21"/>
      <w:szCs w:val="22"/>
      <w:lang w:val="en-US" w:eastAsia="zh-CN" w:bidi="ar-SA"/>
    </w:rPr>
  </w:style>
  <w:style w:type="paragraph" w:customStyle="1" w:styleId="177">
    <w:name w:val="报告文本"/>
    <w:basedOn w:val="1"/>
    <w:link w:val="178"/>
    <w:autoRedefine/>
    <w:qFormat/>
    <w:uiPriority w:val="0"/>
    <w:pPr>
      <w:widowControl/>
      <w:spacing w:line="360" w:lineRule="auto"/>
      <w:ind w:firstLine="200" w:firstLineChars="200"/>
      <w:jc w:val="left"/>
    </w:pPr>
    <w:rPr>
      <w:rFonts w:ascii="宋体" w:hAnsi="宋体"/>
      <w:kern w:val="0"/>
      <w:sz w:val="24"/>
      <w:szCs w:val="24"/>
    </w:rPr>
  </w:style>
  <w:style w:type="character" w:customStyle="1" w:styleId="178">
    <w:name w:val="报告文本 Char Char"/>
    <w:link w:val="177"/>
    <w:autoRedefine/>
    <w:qFormat/>
    <w:uiPriority w:val="0"/>
    <w:rPr>
      <w:rFonts w:ascii="宋体" w:hAnsi="宋体" w:eastAsia="宋体" w:cs="宋体"/>
      <w:sz w:val="24"/>
      <w:szCs w:val="24"/>
    </w:rPr>
  </w:style>
  <w:style w:type="character" w:customStyle="1" w:styleId="179">
    <w:name w:val="apple-converted-space"/>
    <w:autoRedefine/>
    <w:qFormat/>
    <w:uiPriority w:val="0"/>
  </w:style>
  <w:style w:type="character" w:customStyle="1" w:styleId="180">
    <w:name w:val="文档结构图 Char Char"/>
    <w:link w:val="181"/>
    <w:autoRedefine/>
    <w:qFormat/>
    <w:uiPriority w:val="0"/>
    <w:rPr>
      <w:rFonts w:ascii="宋体"/>
      <w:sz w:val="18"/>
      <w:szCs w:val="18"/>
    </w:rPr>
  </w:style>
  <w:style w:type="paragraph" w:customStyle="1" w:styleId="181">
    <w:name w:val="文档结构图3"/>
    <w:basedOn w:val="1"/>
    <w:link w:val="180"/>
    <w:autoRedefine/>
    <w:qFormat/>
    <w:uiPriority w:val="0"/>
    <w:rPr>
      <w:rFonts w:ascii="宋体"/>
      <w:kern w:val="0"/>
      <w:sz w:val="18"/>
      <w:szCs w:val="18"/>
    </w:rPr>
  </w:style>
  <w:style w:type="character" w:customStyle="1" w:styleId="182">
    <w:name w:val="表附注 Char Char"/>
    <w:link w:val="183"/>
    <w:autoRedefine/>
    <w:qFormat/>
    <w:uiPriority w:val="0"/>
    <w:rPr>
      <w:rFonts w:eastAsia="黑体"/>
      <w:kern w:val="2"/>
      <w:sz w:val="21"/>
      <w:szCs w:val="22"/>
      <w:lang w:val="en-US" w:eastAsia="zh-CN" w:bidi="ar-SA"/>
    </w:rPr>
  </w:style>
  <w:style w:type="paragraph" w:customStyle="1" w:styleId="183">
    <w:name w:val="表附注"/>
    <w:next w:val="177"/>
    <w:link w:val="182"/>
    <w:autoRedefine/>
    <w:qFormat/>
    <w:uiPriority w:val="0"/>
    <w:rPr>
      <w:rFonts w:ascii="Times New Roman" w:hAnsi="Times New Roman" w:eastAsia="黑体" w:cs="Times New Roman"/>
      <w:kern w:val="2"/>
      <w:sz w:val="21"/>
      <w:szCs w:val="22"/>
      <w:lang w:val="en-US" w:eastAsia="zh-CN" w:bidi="ar-SA"/>
    </w:rPr>
  </w:style>
  <w:style w:type="character" w:customStyle="1" w:styleId="184">
    <w:name w:val="正文无缩进 Char"/>
    <w:autoRedefine/>
    <w:qFormat/>
    <w:uiPriority w:val="0"/>
    <w:rPr>
      <w:rFonts w:eastAsia="宋体"/>
      <w:sz w:val="21"/>
      <w:lang w:val="en-US" w:eastAsia="zh-CN" w:bidi="ar-SA"/>
    </w:rPr>
  </w:style>
  <w:style w:type="character" w:customStyle="1" w:styleId="185">
    <w:name w:val="表格文字 Char Char"/>
    <w:link w:val="186"/>
    <w:autoRedefine/>
    <w:qFormat/>
    <w:uiPriority w:val="0"/>
    <w:rPr>
      <w:rFonts w:eastAsia="宋体"/>
    </w:rPr>
  </w:style>
  <w:style w:type="paragraph" w:customStyle="1" w:styleId="186">
    <w:name w:val="表格文字"/>
    <w:basedOn w:val="1"/>
    <w:link w:val="185"/>
    <w:autoRedefine/>
    <w:qFormat/>
    <w:uiPriority w:val="0"/>
    <w:pPr>
      <w:spacing w:line="320" w:lineRule="exact"/>
      <w:jc w:val="center"/>
    </w:pPr>
    <w:rPr>
      <w:kern w:val="0"/>
      <w:sz w:val="20"/>
      <w:szCs w:val="20"/>
    </w:rPr>
  </w:style>
  <w:style w:type="character" w:customStyle="1" w:styleId="187">
    <w:name w:val="15"/>
    <w:autoRedefine/>
    <w:qFormat/>
    <w:uiPriority w:val="0"/>
    <w:rPr>
      <w:rFonts w:hint="default" w:ascii="Times New Roman" w:hAnsi="Times New Roman" w:cs="Times New Roman"/>
      <w:color w:val="0000FF"/>
      <w:u w:val="single"/>
    </w:rPr>
  </w:style>
  <w:style w:type="character" w:customStyle="1" w:styleId="188">
    <w:name w:val="报告正文 Char"/>
    <w:link w:val="189"/>
    <w:autoRedefine/>
    <w:qFormat/>
    <w:uiPriority w:val="0"/>
    <w:rPr>
      <w:kern w:val="2"/>
      <w:sz w:val="24"/>
      <w:szCs w:val="24"/>
    </w:rPr>
  </w:style>
  <w:style w:type="paragraph" w:customStyle="1" w:styleId="189">
    <w:name w:val="报告正文"/>
    <w:basedOn w:val="190"/>
    <w:link w:val="188"/>
    <w:autoRedefine/>
    <w:qFormat/>
    <w:uiPriority w:val="0"/>
    <w:pPr>
      <w:tabs>
        <w:tab w:val="left" w:pos="3060"/>
        <w:tab w:val="left" w:pos="4253"/>
      </w:tabs>
      <w:spacing w:line="360" w:lineRule="auto"/>
      <w:ind w:firstLine="480" w:firstLineChars="200"/>
    </w:pPr>
    <w:rPr>
      <w:rFonts w:ascii="Arial" w:hAnsi="Arial"/>
      <w:kern w:val="0"/>
      <w:sz w:val="24"/>
      <w:szCs w:val="20"/>
      <w:lang w:val="zh-CN"/>
    </w:rPr>
  </w:style>
  <w:style w:type="paragraph" w:customStyle="1" w:styleId="190">
    <w:name w:val="报告"/>
    <w:basedOn w:val="1"/>
    <w:link w:val="282"/>
    <w:qFormat/>
    <w:uiPriority w:val="0"/>
    <w:pPr>
      <w:autoSpaceDE w:val="0"/>
      <w:autoSpaceDN w:val="0"/>
      <w:adjustRightInd w:val="0"/>
      <w:spacing w:line="360" w:lineRule="auto"/>
      <w:ind w:firstLine="505"/>
      <w:jc w:val="left"/>
      <w:textAlignment w:val="baseline"/>
    </w:pPr>
    <w:rPr>
      <w:kern w:val="0"/>
      <w:sz w:val="24"/>
      <w:szCs w:val="20"/>
    </w:rPr>
  </w:style>
  <w:style w:type="character" w:customStyle="1" w:styleId="191">
    <w:name w:val="april标题3 Char Char"/>
    <w:link w:val="192"/>
    <w:autoRedefine/>
    <w:qFormat/>
    <w:uiPriority w:val="0"/>
    <w:rPr>
      <w:b/>
      <w:bCs/>
      <w:spacing w:val="6"/>
      <w:sz w:val="24"/>
      <w:szCs w:val="24"/>
    </w:rPr>
  </w:style>
  <w:style w:type="paragraph" w:customStyle="1" w:styleId="192">
    <w:name w:val="april标题3"/>
    <w:basedOn w:val="5"/>
    <w:link w:val="191"/>
    <w:autoRedefine/>
    <w:qFormat/>
    <w:uiPriority w:val="0"/>
    <w:pPr>
      <w:spacing w:before="120" w:after="120" w:line="360" w:lineRule="auto"/>
    </w:pPr>
    <w:rPr>
      <w:spacing w:val="6"/>
      <w:sz w:val="24"/>
      <w:szCs w:val="24"/>
    </w:rPr>
  </w:style>
  <w:style w:type="character" w:customStyle="1" w:styleId="193">
    <w:name w:val="高庆平正文 Char"/>
    <w:autoRedefine/>
    <w:qFormat/>
    <w:locked/>
    <w:uiPriority w:val="0"/>
    <w:rPr>
      <w:rFonts w:eastAsia="宋体"/>
      <w:sz w:val="24"/>
      <w:szCs w:val="24"/>
      <w:lang w:bidi="ar-SA"/>
    </w:rPr>
  </w:style>
  <w:style w:type="character" w:customStyle="1" w:styleId="194">
    <w:name w:val="日期 Char1"/>
    <w:autoRedefine/>
    <w:semiHidden/>
    <w:qFormat/>
    <w:uiPriority w:val="0"/>
  </w:style>
  <w:style w:type="character" w:customStyle="1" w:styleId="195">
    <w:name w:val="高庆平正文 Char Char"/>
    <w:link w:val="196"/>
    <w:autoRedefine/>
    <w:qFormat/>
    <w:locked/>
    <w:uiPriority w:val="0"/>
    <w:rPr>
      <w:rFonts w:eastAsia="宋体"/>
      <w:sz w:val="24"/>
      <w:szCs w:val="24"/>
    </w:rPr>
  </w:style>
  <w:style w:type="paragraph" w:customStyle="1" w:styleId="196">
    <w:name w:val="高庆平正文"/>
    <w:basedOn w:val="1"/>
    <w:link w:val="195"/>
    <w:autoRedefine/>
    <w:qFormat/>
    <w:uiPriority w:val="0"/>
    <w:pPr>
      <w:ind w:firstLine="567"/>
    </w:pPr>
    <w:rPr>
      <w:kern w:val="0"/>
      <w:sz w:val="24"/>
      <w:szCs w:val="24"/>
    </w:rPr>
  </w:style>
  <w:style w:type="character" w:customStyle="1" w:styleId="197">
    <w:name w:val="font41"/>
    <w:autoRedefine/>
    <w:qFormat/>
    <w:uiPriority w:val="0"/>
    <w:rPr>
      <w:rFonts w:hint="eastAsia" w:ascii="宋体" w:hAnsi="宋体" w:eastAsia="宋体" w:cs="宋体"/>
      <w:color w:val="000000"/>
      <w:sz w:val="21"/>
      <w:szCs w:val="21"/>
      <w:u w:val="none"/>
      <w:vertAlign w:val="subscript"/>
    </w:rPr>
  </w:style>
  <w:style w:type="character" w:customStyle="1" w:styleId="198">
    <w:name w:val="样式 首行缩进:  2 字符 Char1"/>
    <w:link w:val="199"/>
    <w:autoRedefine/>
    <w:qFormat/>
    <w:uiPriority w:val="0"/>
    <w:rPr>
      <w:rFonts w:ascii="宋体" w:hAnsi="宋体" w:eastAsia="宋体"/>
      <w:sz w:val="28"/>
    </w:rPr>
  </w:style>
  <w:style w:type="paragraph" w:customStyle="1" w:styleId="199">
    <w:name w:val="样式 首行缩进:  2 字符"/>
    <w:basedOn w:val="1"/>
    <w:link w:val="198"/>
    <w:autoRedefine/>
    <w:qFormat/>
    <w:uiPriority w:val="0"/>
    <w:pPr>
      <w:spacing w:after="120" w:line="480" w:lineRule="exact"/>
      <w:ind w:firstLine="200" w:firstLineChars="200"/>
    </w:pPr>
    <w:rPr>
      <w:rFonts w:ascii="宋体" w:hAnsi="宋体"/>
      <w:kern w:val="0"/>
      <w:sz w:val="28"/>
      <w:szCs w:val="20"/>
    </w:rPr>
  </w:style>
  <w:style w:type="character" w:customStyle="1" w:styleId="200">
    <w:name w:val="表头 Char Char"/>
    <w:link w:val="201"/>
    <w:autoRedefine/>
    <w:qFormat/>
    <w:uiPriority w:val="0"/>
    <w:rPr>
      <w:rFonts w:eastAsia="方正仿宋_GB2312"/>
      <w:b/>
      <w:szCs w:val="24"/>
    </w:rPr>
  </w:style>
  <w:style w:type="paragraph" w:customStyle="1" w:styleId="201">
    <w:name w:val="表头"/>
    <w:basedOn w:val="1"/>
    <w:link w:val="200"/>
    <w:autoRedefine/>
    <w:qFormat/>
    <w:uiPriority w:val="0"/>
    <w:pPr>
      <w:spacing w:line="360" w:lineRule="auto"/>
      <w:jc w:val="center"/>
    </w:pPr>
    <w:rPr>
      <w:rFonts w:eastAsia="方正仿宋_GB2312"/>
      <w:b/>
      <w:kern w:val="0"/>
      <w:sz w:val="20"/>
      <w:szCs w:val="24"/>
    </w:rPr>
  </w:style>
  <w:style w:type="character" w:customStyle="1" w:styleId="202">
    <w:name w:val="表格样式 Char Char"/>
    <w:link w:val="203"/>
    <w:autoRedefine/>
    <w:qFormat/>
    <w:uiPriority w:val="0"/>
    <w:rPr>
      <w:bCs/>
      <w:snapToGrid/>
      <w:szCs w:val="21"/>
    </w:rPr>
  </w:style>
  <w:style w:type="paragraph" w:customStyle="1" w:styleId="203">
    <w:name w:val="表格样式"/>
    <w:basedOn w:val="1"/>
    <w:link w:val="202"/>
    <w:autoRedefine/>
    <w:qFormat/>
    <w:uiPriority w:val="0"/>
    <w:pPr>
      <w:snapToGrid w:val="0"/>
      <w:spacing w:line="240" w:lineRule="atLeast"/>
      <w:jc w:val="center"/>
    </w:pPr>
    <w:rPr>
      <w:bCs/>
      <w:kern w:val="0"/>
      <w:sz w:val="20"/>
      <w:szCs w:val="21"/>
    </w:rPr>
  </w:style>
  <w:style w:type="character" w:customStyle="1" w:styleId="204">
    <w:name w:val="Char Char21"/>
    <w:autoRedefine/>
    <w:qFormat/>
    <w:uiPriority w:val="0"/>
    <w:rPr>
      <w:kern w:val="2"/>
      <w:sz w:val="18"/>
      <w:szCs w:val="18"/>
      <w:lang w:bidi="ar-SA"/>
    </w:rPr>
  </w:style>
  <w:style w:type="character" w:customStyle="1" w:styleId="205">
    <w:name w:val="正文文本缩进 Char Char Char"/>
    <w:autoRedefine/>
    <w:qFormat/>
    <w:uiPriority w:val="0"/>
    <w:rPr>
      <w:rFonts w:eastAsia="方正仿宋_GB2312"/>
      <w:kern w:val="2"/>
      <w:sz w:val="28"/>
      <w:szCs w:val="24"/>
      <w:lang w:bidi="ar-SA"/>
    </w:rPr>
  </w:style>
  <w:style w:type="character" w:customStyle="1" w:styleId="206">
    <w:name w:val="样式 普通文字 + 加宽量  0.4 磅 Char Char Char Char Char Char Char Char Char Char Char Char Char Char Char Char"/>
    <w:link w:val="207"/>
    <w:autoRedefine/>
    <w:qFormat/>
    <w:uiPriority w:val="0"/>
    <w:rPr>
      <w:rFonts w:ascii="宋体"/>
      <w:spacing w:val="8"/>
      <w:sz w:val="24"/>
    </w:rPr>
  </w:style>
  <w:style w:type="paragraph" w:customStyle="1" w:styleId="207">
    <w:name w:val="样式 普通文字 + 加宽量  0.4 磅 Char Char Char Char Char Char Char Char Char Char Char Char Char Char"/>
    <w:basedOn w:val="113"/>
    <w:link w:val="206"/>
    <w:autoRedefine/>
    <w:qFormat/>
    <w:uiPriority w:val="0"/>
    <w:pPr>
      <w:spacing w:line="480" w:lineRule="exact"/>
      <w:ind w:firstLine="480" w:firstLineChars="200"/>
    </w:pPr>
    <w:rPr>
      <w:rFonts w:hAnsi="Times New Roman"/>
      <w:spacing w:val="8"/>
      <w:sz w:val="24"/>
    </w:rPr>
  </w:style>
  <w:style w:type="character" w:customStyle="1" w:styleId="208">
    <w:name w:val="Char Char1"/>
    <w:autoRedefine/>
    <w:qFormat/>
    <w:uiPriority w:val="0"/>
    <w:rPr>
      <w:rFonts w:ascii="Arial" w:hAnsi="Arial" w:eastAsia="宋体"/>
      <w:b/>
      <w:kern w:val="2"/>
      <w:sz w:val="24"/>
      <w:szCs w:val="24"/>
      <w:lang w:val="en-US" w:eastAsia="zh-CN"/>
    </w:rPr>
  </w:style>
  <w:style w:type="character" w:customStyle="1" w:styleId="209">
    <w:name w:val="msolistparagraph Char"/>
    <w:link w:val="210"/>
    <w:autoRedefine/>
    <w:qFormat/>
    <w:uiPriority w:val="0"/>
    <w:rPr>
      <w:rFonts w:ascii="Arial" w:hAnsi="Arial" w:cs="Arial"/>
      <w:sz w:val="24"/>
      <w:szCs w:val="24"/>
    </w:rPr>
  </w:style>
  <w:style w:type="paragraph" w:customStyle="1" w:styleId="210">
    <w:name w:val="msolistparagraph"/>
    <w:basedOn w:val="1"/>
    <w:link w:val="209"/>
    <w:autoRedefine/>
    <w:qFormat/>
    <w:uiPriority w:val="0"/>
    <w:pPr>
      <w:spacing w:line="360" w:lineRule="auto"/>
      <w:ind w:firstLine="420" w:firstLineChars="200"/>
    </w:pPr>
    <w:rPr>
      <w:rFonts w:ascii="Arial" w:hAnsi="Arial"/>
      <w:kern w:val="0"/>
      <w:sz w:val="24"/>
      <w:szCs w:val="24"/>
    </w:rPr>
  </w:style>
  <w:style w:type="character" w:customStyle="1" w:styleId="211">
    <w:name w:val="表文字 Char Char"/>
    <w:link w:val="212"/>
    <w:autoRedefine/>
    <w:qFormat/>
    <w:uiPriority w:val="0"/>
    <w:rPr>
      <w:rFonts w:ascii="Arial" w:hAnsi="Arial"/>
      <w:kern w:val="2"/>
      <w:sz w:val="21"/>
      <w:szCs w:val="22"/>
      <w:lang w:val="en-US" w:eastAsia="zh-CN" w:bidi="ar-SA"/>
    </w:rPr>
  </w:style>
  <w:style w:type="paragraph" w:customStyle="1" w:styleId="212">
    <w:name w:val="表文字"/>
    <w:next w:val="1"/>
    <w:link w:val="211"/>
    <w:autoRedefine/>
    <w:qFormat/>
    <w:uiPriority w:val="0"/>
    <w:pPr>
      <w:widowControl w:val="0"/>
      <w:adjustRightInd w:val="0"/>
      <w:snapToGrid w:val="0"/>
      <w:spacing w:line="360" w:lineRule="auto"/>
      <w:jc w:val="center"/>
    </w:pPr>
    <w:rPr>
      <w:rFonts w:ascii="Arial" w:hAnsi="Arial" w:eastAsia="宋体" w:cs="Times New Roman"/>
      <w:kern w:val="2"/>
      <w:sz w:val="21"/>
      <w:szCs w:val="22"/>
      <w:lang w:val="en-US" w:eastAsia="zh-CN" w:bidi="ar-SA"/>
    </w:rPr>
  </w:style>
  <w:style w:type="character" w:customStyle="1" w:styleId="213">
    <w:name w:val="Char Char3"/>
    <w:autoRedefine/>
    <w:qFormat/>
    <w:uiPriority w:val="0"/>
    <w:rPr>
      <w:b/>
      <w:bCs/>
      <w:kern w:val="2"/>
      <w:sz w:val="21"/>
      <w:szCs w:val="24"/>
      <w:lang w:bidi="ar-SA"/>
    </w:rPr>
  </w:style>
  <w:style w:type="character" w:customStyle="1" w:styleId="214">
    <w:name w:val="表题 Char Char Char Char"/>
    <w:link w:val="215"/>
    <w:autoRedefine/>
    <w:qFormat/>
    <w:uiPriority w:val="0"/>
    <w:rPr>
      <w:rFonts w:ascii="黑体" w:eastAsia="黑体"/>
      <w:bCs/>
      <w:sz w:val="24"/>
      <w:szCs w:val="24"/>
    </w:rPr>
  </w:style>
  <w:style w:type="paragraph" w:customStyle="1" w:styleId="215">
    <w:name w:val="表题 Char Char"/>
    <w:basedOn w:val="1"/>
    <w:link w:val="214"/>
    <w:autoRedefine/>
    <w:qFormat/>
    <w:uiPriority w:val="0"/>
    <w:pPr>
      <w:spacing w:line="360" w:lineRule="auto"/>
      <w:jc w:val="center"/>
    </w:pPr>
    <w:rPr>
      <w:rFonts w:ascii="黑体" w:eastAsia="黑体"/>
      <w:bCs/>
      <w:kern w:val="0"/>
      <w:sz w:val="24"/>
      <w:szCs w:val="24"/>
    </w:rPr>
  </w:style>
  <w:style w:type="character" w:customStyle="1" w:styleId="216">
    <w:name w:val="节下下 Char"/>
    <w:link w:val="217"/>
    <w:autoRedefine/>
    <w:qFormat/>
    <w:uiPriority w:val="0"/>
    <w:rPr>
      <w:rFonts w:ascii="Calibri" w:hAnsi="Calibri" w:eastAsia="黑体"/>
      <w:sz w:val="28"/>
      <w:szCs w:val="24"/>
    </w:rPr>
  </w:style>
  <w:style w:type="paragraph" w:customStyle="1" w:styleId="217">
    <w:name w:val="节下下"/>
    <w:basedOn w:val="1"/>
    <w:link w:val="216"/>
    <w:autoRedefine/>
    <w:qFormat/>
    <w:uiPriority w:val="0"/>
    <w:pPr>
      <w:widowControl/>
      <w:spacing w:line="300" w:lineRule="auto"/>
      <w:jc w:val="left"/>
      <w:outlineLvl w:val="4"/>
    </w:pPr>
    <w:rPr>
      <w:rFonts w:ascii="Calibri" w:hAnsi="Calibri" w:eastAsia="黑体"/>
      <w:kern w:val="0"/>
      <w:sz w:val="28"/>
      <w:szCs w:val="24"/>
    </w:rPr>
  </w:style>
  <w:style w:type="character" w:customStyle="1" w:styleId="218">
    <w:name w:val="标准正文 Char"/>
    <w:autoRedefine/>
    <w:qFormat/>
    <w:uiPriority w:val="0"/>
    <w:rPr>
      <w:rFonts w:ascii="宋体" w:hAnsi="宋体" w:eastAsia="宋体" w:cs="宋体"/>
      <w:b/>
      <w:bCs/>
      <w:kern w:val="44"/>
      <w:sz w:val="24"/>
      <w:szCs w:val="32"/>
      <w:lang w:val="en-US" w:eastAsia="zh-CN"/>
    </w:rPr>
  </w:style>
  <w:style w:type="character" w:customStyle="1" w:styleId="219">
    <w:name w:val="图 公式 Char Char"/>
    <w:link w:val="220"/>
    <w:autoRedefine/>
    <w:qFormat/>
    <w:uiPriority w:val="0"/>
    <w:rPr>
      <w:rFonts w:eastAsia="Times New Roman"/>
      <w:kern w:val="2"/>
      <w:sz w:val="24"/>
      <w:szCs w:val="22"/>
      <w:lang w:val="en-US" w:eastAsia="zh-CN" w:bidi="ar-SA"/>
    </w:rPr>
  </w:style>
  <w:style w:type="paragraph" w:customStyle="1" w:styleId="220">
    <w:name w:val="图 公式"/>
    <w:next w:val="177"/>
    <w:link w:val="219"/>
    <w:autoRedefine/>
    <w:qFormat/>
    <w:uiPriority w:val="0"/>
    <w:pPr>
      <w:jc w:val="center"/>
    </w:pPr>
    <w:rPr>
      <w:rFonts w:ascii="Times New Roman" w:hAnsi="Times New Roman" w:eastAsia="Times New Roman" w:cs="Times New Roman"/>
      <w:kern w:val="2"/>
      <w:sz w:val="24"/>
      <w:szCs w:val="22"/>
      <w:lang w:val="en-US" w:eastAsia="zh-CN" w:bidi="ar-SA"/>
    </w:rPr>
  </w:style>
  <w:style w:type="character" w:customStyle="1" w:styleId="221">
    <w:name w:val="11p1"/>
    <w:autoRedefine/>
    <w:qFormat/>
    <w:uiPriority w:val="0"/>
    <w:rPr>
      <w:sz w:val="23"/>
      <w:szCs w:val="23"/>
    </w:rPr>
  </w:style>
  <w:style w:type="character" w:customStyle="1" w:styleId="222">
    <w:name w:val="正文四号 Char"/>
    <w:link w:val="223"/>
    <w:autoRedefine/>
    <w:qFormat/>
    <w:uiPriority w:val="0"/>
    <w:rPr>
      <w:rFonts w:cs="宋体"/>
      <w:kern w:val="2"/>
      <w:sz w:val="28"/>
      <w:szCs w:val="28"/>
    </w:rPr>
  </w:style>
  <w:style w:type="paragraph" w:customStyle="1" w:styleId="223">
    <w:name w:val="正文四号"/>
    <w:basedOn w:val="1"/>
    <w:link w:val="222"/>
    <w:autoRedefine/>
    <w:qFormat/>
    <w:uiPriority w:val="0"/>
    <w:pPr>
      <w:spacing w:line="360" w:lineRule="auto"/>
      <w:ind w:firstLine="200" w:firstLineChars="200"/>
    </w:pPr>
    <w:rPr>
      <w:sz w:val="28"/>
      <w:szCs w:val="28"/>
    </w:rPr>
  </w:style>
  <w:style w:type="character" w:customStyle="1" w:styleId="224">
    <w:name w:val="页码2"/>
    <w:autoRedefine/>
    <w:qFormat/>
    <w:uiPriority w:val="0"/>
  </w:style>
  <w:style w:type="character" w:customStyle="1" w:styleId="225">
    <w:name w:val="正文文本 Char1"/>
    <w:autoRedefine/>
    <w:semiHidden/>
    <w:qFormat/>
    <w:uiPriority w:val="99"/>
    <w:rPr>
      <w:rFonts w:ascii="Times New Roman" w:hAnsi="Times New Roman" w:eastAsia="宋体" w:cs="Times New Roman"/>
      <w:szCs w:val="24"/>
    </w:rPr>
  </w:style>
  <w:style w:type="character" w:customStyle="1" w:styleId="226">
    <w:name w:val="图标题 Char"/>
    <w:link w:val="227"/>
    <w:autoRedefine/>
    <w:qFormat/>
    <w:locked/>
    <w:uiPriority w:val="0"/>
    <w:rPr>
      <w:rFonts w:ascii="黑体" w:eastAsia="黑体"/>
    </w:rPr>
  </w:style>
  <w:style w:type="paragraph" w:customStyle="1" w:styleId="227">
    <w:name w:val="图标题"/>
    <w:basedOn w:val="1"/>
    <w:link w:val="226"/>
    <w:autoRedefine/>
    <w:qFormat/>
    <w:uiPriority w:val="0"/>
    <w:pPr>
      <w:tabs>
        <w:tab w:val="left" w:pos="1008"/>
      </w:tabs>
      <w:spacing w:before="124" w:beforeLines="40" w:after="156" w:afterLines="50" w:line="300" w:lineRule="auto"/>
      <w:ind w:left="1009" w:hanging="1009"/>
      <w:jc w:val="center"/>
    </w:pPr>
    <w:rPr>
      <w:rFonts w:ascii="黑体" w:eastAsia="黑体"/>
      <w:kern w:val="0"/>
      <w:sz w:val="20"/>
      <w:szCs w:val="20"/>
    </w:rPr>
  </w:style>
  <w:style w:type="character" w:customStyle="1" w:styleId="228">
    <w:name w:val="表图名称 Char Char"/>
    <w:link w:val="229"/>
    <w:autoRedefine/>
    <w:qFormat/>
    <w:locked/>
    <w:uiPriority w:val="99"/>
    <w:rPr>
      <w:sz w:val="24"/>
      <w:szCs w:val="28"/>
    </w:rPr>
  </w:style>
  <w:style w:type="paragraph" w:customStyle="1" w:styleId="229">
    <w:name w:val="表图名称"/>
    <w:basedOn w:val="1"/>
    <w:link w:val="228"/>
    <w:autoRedefine/>
    <w:qFormat/>
    <w:uiPriority w:val="99"/>
    <w:pPr>
      <w:spacing w:line="480" w:lineRule="exact"/>
      <w:jc w:val="center"/>
    </w:pPr>
    <w:rPr>
      <w:kern w:val="0"/>
      <w:sz w:val="24"/>
      <w:szCs w:val="28"/>
    </w:rPr>
  </w:style>
  <w:style w:type="character" w:customStyle="1" w:styleId="230">
    <w:name w:val="font31"/>
    <w:autoRedefine/>
    <w:qFormat/>
    <w:uiPriority w:val="0"/>
    <w:rPr>
      <w:rFonts w:hint="default" w:ascii="Times New Roman" w:hAnsi="Times New Roman" w:cs="Times New Roman"/>
      <w:color w:val="000000"/>
      <w:sz w:val="21"/>
      <w:szCs w:val="21"/>
      <w:u w:val="none"/>
      <w:vertAlign w:val="subscript"/>
    </w:rPr>
  </w:style>
  <w:style w:type="character" w:customStyle="1" w:styleId="231">
    <w:name w:val="正文首行缩进 Char1"/>
    <w:autoRedefine/>
    <w:qFormat/>
    <w:uiPriority w:val="0"/>
    <w:rPr>
      <w:kern w:val="2"/>
      <w:sz w:val="21"/>
      <w:szCs w:val="24"/>
      <w:lang w:bidi="ar-SA"/>
    </w:rPr>
  </w:style>
  <w:style w:type="character" w:customStyle="1" w:styleId="232">
    <w:name w:val="Char Char Char Char Char Char"/>
    <w:autoRedefine/>
    <w:qFormat/>
    <w:uiPriority w:val="0"/>
    <w:rPr>
      <w:rFonts w:ascii="Arial" w:hAnsi="Arial" w:eastAsia="宋体"/>
      <w:sz w:val="24"/>
      <w:szCs w:val="24"/>
      <w:lang w:val="en-US" w:eastAsia="zh-CN"/>
    </w:rPr>
  </w:style>
  <w:style w:type="character" w:customStyle="1" w:styleId="233">
    <w:name w:val="图表题头 Char Char"/>
    <w:link w:val="234"/>
    <w:autoRedefine/>
    <w:qFormat/>
    <w:uiPriority w:val="0"/>
    <w:rPr>
      <w:rFonts w:ascii="黑体" w:eastAsia="黑体"/>
      <w:szCs w:val="21"/>
    </w:rPr>
  </w:style>
  <w:style w:type="paragraph" w:customStyle="1" w:styleId="234">
    <w:name w:val="图表题头"/>
    <w:basedOn w:val="1"/>
    <w:link w:val="233"/>
    <w:autoRedefine/>
    <w:qFormat/>
    <w:uiPriority w:val="0"/>
    <w:pPr>
      <w:snapToGrid w:val="0"/>
      <w:jc w:val="center"/>
    </w:pPr>
    <w:rPr>
      <w:rFonts w:ascii="黑体" w:eastAsia="黑体"/>
      <w:kern w:val="0"/>
      <w:sz w:val="20"/>
      <w:szCs w:val="21"/>
    </w:rPr>
  </w:style>
  <w:style w:type="character" w:customStyle="1" w:styleId="235">
    <w:name w:val="Char Char14"/>
    <w:autoRedefine/>
    <w:qFormat/>
    <w:uiPriority w:val="0"/>
    <w:rPr>
      <w:b/>
      <w:bCs/>
      <w:kern w:val="2"/>
      <w:sz w:val="32"/>
      <w:szCs w:val="32"/>
    </w:rPr>
  </w:style>
  <w:style w:type="character" w:customStyle="1" w:styleId="236">
    <w:name w:val="批注引用3"/>
    <w:autoRedefine/>
    <w:qFormat/>
    <w:uiPriority w:val="0"/>
    <w:rPr>
      <w:sz w:val="21"/>
      <w:szCs w:val="21"/>
    </w:rPr>
  </w:style>
  <w:style w:type="character" w:customStyle="1" w:styleId="237">
    <w:name w:val="标题 2 Char Char"/>
    <w:autoRedefine/>
    <w:qFormat/>
    <w:uiPriority w:val="0"/>
    <w:rPr>
      <w:rFonts w:ascii="Arial" w:hAnsi="Arial" w:eastAsia="黑体"/>
      <w:b/>
      <w:bCs/>
      <w:kern w:val="2"/>
      <w:sz w:val="32"/>
      <w:szCs w:val="32"/>
      <w:lang w:val="en-US" w:eastAsia="zh-CN"/>
    </w:rPr>
  </w:style>
  <w:style w:type="character" w:customStyle="1" w:styleId="238">
    <w:name w:val="三级标题 Char Char"/>
    <w:link w:val="239"/>
    <w:autoRedefine/>
    <w:qFormat/>
    <w:uiPriority w:val="0"/>
    <w:rPr>
      <w:b/>
      <w:sz w:val="24"/>
      <w:szCs w:val="24"/>
    </w:rPr>
  </w:style>
  <w:style w:type="paragraph" w:customStyle="1" w:styleId="239">
    <w:name w:val="三级标题"/>
    <w:basedOn w:val="1"/>
    <w:link w:val="238"/>
    <w:autoRedefine/>
    <w:qFormat/>
    <w:uiPriority w:val="0"/>
    <w:pPr>
      <w:spacing w:before="100" w:beforeAutospacing="1" w:after="100" w:afterAutospacing="1" w:line="360" w:lineRule="auto"/>
      <w:jc w:val="left"/>
      <w:outlineLvl w:val="2"/>
    </w:pPr>
    <w:rPr>
      <w:b/>
      <w:kern w:val="0"/>
      <w:sz w:val="24"/>
      <w:szCs w:val="24"/>
    </w:rPr>
  </w:style>
  <w:style w:type="character" w:customStyle="1" w:styleId="240">
    <w:name w:val="批注文字 Char"/>
    <w:autoRedefine/>
    <w:qFormat/>
    <w:uiPriority w:val="0"/>
    <w:rPr>
      <w:kern w:val="2"/>
      <w:sz w:val="21"/>
      <w:szCs w:val="24"/>
      <w:lang w:bidi="ar-SA"/>
    </w:rPr>
  </w:style>
  <w:style w:type="character" w:customStyle="1" w:styleId="241">
    <w:name w:val="表格第一行 Char Char"/>
    <w:link w:val="242"/>
    <w:qFormat/>
    <w:uiPriority w:val="0"/>
    <w:rPr>
      <w:rFonts w:eastAsia="宋体"/>
      <w:b/>
      <w:szCs w:val="21"/>
    </w:rPr>
  </w:style>
  <w:style w:type="paragraph" w:customStyle="1" w:styleId="242">
    <w:name w:val="表格第一行"/>
    <w:basedOn w:val="1"/>
    <w:link w:val="241"/>
    <w:qFormat/>
    <w:uiPriority w:val="0"/>
    <w:pPr>
      <w:widowControl/>
      <w:adjustRightInd w:val="0"/>
      <w:snapToGrid w:val="0"/>
      <w:spacing w:before="156" w:after="156"/>
      <w:jc w:val="center"/>
      <w:textAlignment w:val="baseline"/>
    </w:pPr>
    <w:rPr>
      <w:b/>
      <w:kern w:val="0"/>
      <w:sz w:val="20"/>
      <w:szCs w:val="21"/>
    </w:rPr>
  </w:style>
  <w:style w:type="character" w:customStyle="1" w:styleId="243">
    <w:name w:val="样式 普通文字 + 加宽量  0.4 磅 Char Char"/>
    <w:qFormat/>
    <w:uiPriority w:val="0"/>
    <w:rPr>
      <w:rFonts w:eastAsia="宋体"/>
      <w:spacing w:val="8"/>
      <w:kern w:val="2"/>
      <w:sz w:val="24"/>
      <w:lang w:val="en-US" w:eastAsia="zh-CN"/>
    </w:rPr>
  </w:style>
  <w:style w:type="character" w:customStyle="1" w:styleId="244">
    <w:name w:val="文本 Char Char"/>
    <w:link w:val="245"/>
    <w:qFormat/>
    <w:uiPriority w:val="0"/>
    <w:rPr>
      <w:kern w:val="2"/>
      <w:sz w:val="24"/>
    </w:rPr>
  </w:style>
  <w:style w:type="paragraph" w:customStyle="1" w:styleId="245">
    <w:name w:val="文本"/>
    <w:basedOn w:val="1"/>
    <w:next w:val="31"/>
    <w:link w:val="244"/>
    <w:qFormat/>
    <w:uiPriority w:val="0"/>
    <w:pPr>
      <w:spacing w:line="360" w:lineRule="auto"/>
      <w:ind w:firstLine="495"/>
    </w:pPr>
    <w:rPr>
      <w:sz w:val="24"/>
      <w:szCs w:val="20"/>
    </w:rPr>
  </w:style>
  <w:style w:type="character" w:customStyle="1" w:styleId="246">
    <w:name w:val="表头样式 Char Char"/>
    <w:link w:val="247"/>
    <w:qFormat/>
    <w:uiPriority w:val="0"/>
    <w:rPr>
      <w:rFonts w:eastAsia="黑体"/>
      <w:kern w:val="2"/>
      <w:sz w:val="24"/>
      <w:szCs w:val="24"/>
    </w:rPr>
  </w:style>
  <w:style w:type="paragraph" w:customStyle="1" w:styleId="247">
    <w:name w:val="表头样式"/>
    <w:basedOn w:val="1"/>
    <w:link w:val="246"/>
    <w:qFormat/>
    <w:uiPriority w:val="0"/>
    <w:pPr>
      <w:spacing w:before="100" w:beforeAutospacing="1" w:after="100" w:afterAutospacing="1" w:line="360" w:lineRule="exact"/>
      <w:jc w:val="center"/>
    </w:pPr>
    <w:rPr>
      <w:rFonts w:eastAsia="黑体"/>
      <w:sz w:val="24"/>
      <w:szCs w:val="24"/>
    </w:rPr>
  </w:style>
  <w:style w:type="character" w:customStyle="1" w:styleId="248">
    <w:name w:val="脚注文本 Char1"/>
    <w:semiHidden/>
    <w:qFormat/>
    <w:uiPriority w:val="0"/>
    <w:rPr>
      <w:sz w:val="18"/>
      <w:szCs w:val="18"/>
    </w:rPr>
  </w:style>
  <w:style w:type="character" w:customStyle="1" w:styleId="249">
    <w:name w:val="jj1"/>
    <w:qFormat/>
    <w:uiPriority w:val="0"/>
    <w:rPr>
      <w:sz w:val="20"/>
      <w:szCs w:val="20"/>
      <w:u w:val="none"/>
    </w:rPr>
  </w:style>
  <w:style w:type="character" w:customStyle="1" w:styleId="250">
    <w:name w:val="表格和图标题 Char Char"/>
    <w:link w:val="251"/>
    <w:qFormat/>
    <w:uiPriority w:val="0"/>
    <w:rPr>
      <w:rFonts w:eastAsia="黑体"/>
      <w:kern w:val="2"/>
      <w:sz w:val="21"/>
      <w:szCs w:val="22"/>
      <w:lang w:val="en-US" w:eastAsia="zh-CN" w:bidi="ar-SA"/>
    </w:rPr>
  </w:style>
  <w:style w:type="paragraph" w:customStyle="1" w:styleId="251">
    <w:name w:val="表格和图标题"/>
    <w:next w:val="177"/>
    <w:link w:val="250"/>
    <w:qFormat/>
    <w:uiPriority w:val="0"/>
    <w:pPr>
      <w:spacing w:line="360" w:lineRule="auto"/>
      <w:jc w:val="center"/>
    </w:pPr>
    <w:rPr>
      <w:rFonts w:ascii="Times New Roman" w:hAnsi="Times New Roman" w:eastAsia="黑体" w:cs="Times New Roman"/>
      <w:kern w:val="2"/>
      <w:sz w:val="21"/>
      <w:szCs w:val="22"/>
      <w:lang w:val="en-US" w:eastAsia="zh-CN" w:bidi="ar-SA"/>
    </w:rPr>
  </w:style>
  <w:style w:type="character" w:customStyle="1" w:styleId="252">
    <w:name w:val="正文文本缩进 3 Char"/>
    <w:qFormat/>
    <w:uiPriority w:val="0"/>
    <w:rPr>
      <w:kern w:val="2"/>
      <w:sz w:val="16"/>
      <w:szCs w:val="16"/>
      <w:lang w:bidi="ar-SA"/>
    </w:rPr>
  </w:style>
  <w:style w:type="character" w:customStyle="1" w:styleId="253">
    <w:name w:val="表号 Char Char Char Char"/>
    <w:qFormat/>
    <w:uiPriority w:val="0"/>
    <w:rPr>
      <w:rFonts w:ascii="Arial" w:hAnsi="Arial"/>
      <w:kern w:val="2"/>
      <w:sz w:val="21"/>
      <w:szCs w:val="24"/>
      <w:lang w:val="en-US" w:eastAsia="zh-CN" w:bidi="ar-SA"/>
    </w:rPr>
  </w:style>
  <w:style w:type="character" w:customStyle="1" w:styleId="254">
    <w:name w:val="节标题 1.1 Char"/>
    <w:qFormat/>
    <w:uiPriority w:val="0"/>
    <w:rPr>
      <w:rFonts w:ascii="Arial" w:hAnsi="Arial" w:eastAsia="黑体" w:cs="Times New Roman"/>
      <w:b/>
      <w:color w:val="000000"/>
      <w:sz w:val="28"/>
      <w:szCs w:val="20"/>
    </w:rPr>
  </w:style>
  <w:style w:type="character" w:customStyle="1" w:styleId="255">
    <w:name w:val="圖標題 字元"/>
    <w:link w:val="256"/>
    <w:qFormat/>
    <w:uiPriority w:val="0"/>
    <w:rPr>
      <w:rFonts w:ascii="Verdana" w:hAnsi="Verdana" w:eastAsia="Dubai"/>
      <w:sz w:val="26"/>
      <w:lang w:eastAsia="zh-TW"/>
    </w:rPr>
  </w:style>
  <w:style w:type="paragraph" w:customStyle="1" w:styleId="256">
    <w:name w:val="圖標題"/>
    <w:basedOn w:val="1"/>
    <w:link w:val="255"/>
    <w:qFormat/>
    <w:uiPriority w:val="0"/>
    <w:pPr>
      <w:adjustRightInd w:val="0"/>
      <w:snapToGrid w:val="0"/>
      <w:spacing w:before="60" w:after="60" w:line="360" w:lineRule="exact"/>
      <w:jc w:val="center"/>
      <w:textAlignment w:val="baseline"/>
    </w:pPr>
    <w:rPr>
      <w:rFonts w:ascii="Verdana" w:hAnsi="Verdana" w:eastAsia="Dubai"/>
      <w:kern w:val="0"/>
      <w:sz w:val="26"/>
      <w:szCs w:val="20"/>
      <w:lang w:eastAsia="zh-TW"/>
    </w:rPr>
  </w:style>
  <w:style w:type="character" w:customStyle="1" w:styleId="257">
    <w:name w:val="样式 正文文本缩进 2 + 黑色 行距: 固定值 12 磅 Char Char"/>
    <w:link w:val="258"/>
    <w:qFormat/>
    <w:uiPriority w:val="0"/>
    <w:rPr>
      <w:rFonts w:eastAsia="宋体" w:cs="宋体"/>
      <w:b/>
      <w:color w:val="3366FF"/>
      <w:szCs w:val="21"/>
    </w:rPr>
  </w:style>
  <w:style w:type="paragraph" w:customStyle="1" w:styleId="258">
    <w:name w:val="样式 正文文本缩进 2 + 黑色 行距: 固定值 12 磅"/>
    <w:basedOn w:val="31"/>
    <w:link w:val="257"/>
    <w:qFormat/>
    <w:uiPriority w:val="0"/>
    <w:pPr>
      <w:adjustRightInd w:val="0"/>
      <w:spacing w:after="0" w:line="240" w:lineRule="auto"/>
      <w:ind w:left="0" w:leftChars="0"/>
      <w:jc w:val="center"/>
      <w:textAlignment w:val="baseline"/>
    </w:pPr>
    <w:rPr>
      <w:b/>
      <w:color w:val="3366FF"/>
      <w:szCs w:val="21"/>
    </w:rPr>
  </w:style>
  <w:style w:type="character" w:customStyle="1" w:styleId="259">
    <w:name w:val="正文文本缩进 Char"/>
    <w:qFormat/>
    <w:uiPriority w:val="0"/>
    <w:rPr>
      <w:rFonts w:eastAsia="方正仿宋_GB2312"/>
      <w:kern w:val="2"/>
      <w:sz w:val="28"/>
      <w:szCs w:val="24"/>
      <w:lang w:bidi="ar-SA"/>
    </w:rPr>
  </w:style>
  <w:style w:type="character" w:customStyle="1" w:styleId="260">
    <w:name w:val="批注引用1"/>
    <w:qFormat/>
    <w:uiPriority w:val="0"/>
    <w:rPr>
      <w:sz w:val="21"/>
      <w:szCs w:val="21"/>
    </w:rPr>
  </w:style>
  <w:style w:type="character" w:customStyle="1" w:styleId="261">
    <w:name w:val="宗兴正文 Char Char"/>
    <w:link w:val="262"/>
    <w:qFormat/>
    <w:uiPriority w:val="0"/>
    <w:rPr>
      <w:rFonts w:eastAsia="宋体"/>
      <w:sz w:val="24"/>
      <w:szCs w:val="24"/>
    </w:rPr>
  </w:style>
  <w:style w:type="paragraph" w:customStyle="1" w:styleId="262">
    <w:name w:val="宗兴正文"/>
    <w:basedOn w:val="1"/>
    <w:link w:val="261"/>
    <w:qFormat/>
    <w:uiPriority w:val="0"/>
    <w:pPr>
      <w:spacing w:before="93" w:after="93" w:line="360" w:lineRule="auto"/>
      <w:ind w:firstLine="480" w:firstLineChars="200"/>
      <w:jc w:val="left"/>
    </w:pPr>
    <w:rPr>
      <w:kern w:val="0"/>
      <w:sz w:val="24"/>
      <w:szCs w:val="24"/>
    </w:rPr>
  </w:style>
  <w:style w:type="character" w:customStyle="1" w:styleId="263">
    <w:name w:val="网格表 1 浅色1"/>
    <w:qFormat/>
    <w:uiPriority w:val="33"/>
    <w:rPr>
      <w:rFonts w:ascii="黑体" w:eastAsia="黑体"/>
      <w:sz w:val="21"/>
      <w:szCs w:val="21"/>
    </w:rPr>
  </w:style>
  <w:style w:type="character" w:customStyle="1" w:styleId="264">
    <w:name w:val="正文文本 2 Char"/>
    <w:link w:val="265"/>
    <w:qFormat/>
    <w:uiPriority w:val="0"/>
    <w:rPr>
      <w:szCs w:val="24"/>
    </w:rPr>
  </w:style>
  <w:style w:type="paragraph" w:customStyle="1" w:styleId="265">
    <w:name w:val="正文文本 21"/>
    <w:basedOn w:val="1"/>
    <w:link w:val="264"/>
    <w:qFormat/>
    <w:uiPriority w:val="0"/>
    <w:pPr>
      <w:spacing w:after="120" w:line="480" w:lineRule="auto"/>
    </w:pPr>
    <w:rPr>
      <w:kern w:val="0"/>
      <w:sz w:val="20"/>
      <w:szCs w:val="24"/>
    </w:rPr>
  </w:style>
  <w:style w:type="character" w:customStyle="1" w:styleId="266">
    <w:name w:val="批注主题 Char1"/>
    <w:semiHidden/>
    <w:qFormat/>
    <w:uiPriority w:val="99"/>
    <w:rPr>
      <w:rFonts w:ascii="Times New Roman" w:hAnsi="Times New Roman" w:eastAsia="宋体" w:cs="Times New Roman"/>
      <w:b/>
      <w:bCs/>
      <w:szCs w:val="24"/>
    </w:rPr>
  </w:style>
  <w:style w:type="character" w:customStyle="1" w:styleId="267">
    <w:name w:val="文本文字 Char Char"/>
    <w:link w:val="268"/>
    <w:qFormat/>
    <w:uiPriority w:val="0"/>
    <w:rPr>
      <w:rFonts w:ascii="宋体" w:hAnsi="宋体"/>
      <w:sz w:val="28"/>
      <w:szCs w:val="24"/>
      <w:lang w:val="en-US" w:eastAsia="zh-CN"/>
    </w:rPr>
  </w:style>
  <w:style w:type="paragraph" w:customStyle="1" w:styleId="268">
    <w:name w:val="文本文字"/>
    <w:basedOn w:val="2"/>
    <w:link w:val="267"/>
    <w:qFormat/>
    <w:uiPriority w:val="0"/>
    <w:pPr>
      <w:tabs>
        <w:tab w:val="clear" w:pos="0"/>
      </w:tabs>
      <w:spacing w:after="0" w:line="360" w:lineRule="auto"/>
      <w:ind w:firstLine="560" w:firstLineChars="200"/>
      <w:jc w:val="left"/>
    </w:pPr>
    <w:rPr>
      <w:rFonts w:ascii="宋体" w:hAnsi="宋体"/>
      <w:sz w:val="28"/>
    </w:rPr>
  </w:style>
  <w:style w:type="character" w:customStyle="1" w:styleId="269">
    <w:name w:val="表名 Char1"/>
    <w:qFormat/>
    <w:uiPriority w:val="0"/>
    <w:rPr>
      <w:rFonts w:eastAsia="黑体"/>
      <w:bCs/>
      <w:sz w:val="24"/>
      <w:lang w:val="en-US" w:eastAsia="zh-CN" w:bidi="ar-SA"/>
    </w:rPr>
  </w:style>
  <w:style w:type="character" w:customStyle="1" w:styleId="270">
    <w:name w:val="批注引用2"/>
    <w:qFormat/>
    <w:uiPriority w:val="0"/>
    <w:rPr>
      <w:sz w:val="21"/>
      <w:szCs w:val="21"/>
    </w:rPr>
  </w:style>
  <w:style w:type="character" w:customStyle="1" w:styleId="271">
    <w:name w:val="纯文本 Char1"/>
    <w:qFormat/>
    <w:uiPriority w:val="0"/>
    <w:rPr>
      <w:rFonts w:ascii="宋体" w:hAnsi="Courier New" w:cs="Courier New"/>
      <w:kern w:val="2"/>
      <w:sz w:val="21"/>
      <w:szCs w:val="21"/>
    </w:rPr>
  </w:style>
  <w:style w:type="character" w:customStyle="1" w:styleId="272">
    <w:name w:val="my-table Char"/>
    <w:link w:val="273"/>
    <w:qFormat/>
    <w:uiPriority w:val="0"/>
    <w:rPr>
      <w:rFonts w:ascii="Calibri" w:hAnsi="Calibri"/>
      <w:sz w:val="24"/>
      <w:szCs w:val="21"/>
      <w:lang w:bidi="en-US"/>
    </w:rPr>
  </w:style>
  <w:style w:type="paragraph" w:customStyle="1" w:styleId="273">
    <w:name w:val="my-table"/>
    <w:basedOn w:val="1"/>
    <w:link w:val="272"/>
    <w:qFormat/>
    <w:uiPriority w:val="0"/>
    <w:pPr>
      <w:spacing w:line="360" w:lineRule="auto"/>
      <w:jc w:val="left"/>
    </w:pPr>
    <w:rPr>
      <w:rFonts w:ascii="Calibri" w:hAnsi="Calibri"/>
      <w:kern w:val="0"/>
      <w:sz w:val="24"/>
      <w:szCs w:val="21"/>
      <w:lang w:bidi="en-US"/>
    </w:rPr>
  </w:style>
  <w:style w:type="character" w:customStyle="1" w:styleId="274">
    <w:name w:val="普通文字 Char Char Char Char Char Char Char Char Char Char Char Char Char Char Char Char Char Char Char Char Char Char Char Char Char Char Char Char Char"/>
    <w:qFormat/>
    <w:uiPriority w:val="0"/>
    <w:rPr>
      <w:rFonts w:eastAsia="方正仿宋_GB2312"/>
      <w:kern w:val="2"/>
      <w:sz w:val="24"/>
      <w:lang w:val="en-US" w:eastAsia="zh-CN"/>
    </w:rPr>
  </w:style>
  <w:style w:type="character" w:customStyle="1" w:styleId="275">
    <w:name w:val="Char Char11"/>
    <w:qFormat/>
    <w:uiPriority w:val="0"/>
    <w:rPr>
      <w:rFonts w:ascii="Cambria" w:hAnsi="Cambria" w:eastAsia="黑体"/>
      <w:kern w:val="2"/>
    </w:rPr>
  </w:style>
  <w:style w:type="character" w:customStyle="1" w:styleId="276">
    <w:name w:val="报告正文 Char Char"/>
    <w:qFormat/>
    <w:uiPriority w:val="0"/>
    <w:rPr>
      <w:rFonts w:ascii="Arial" w:hAnsi="Arial" w:eastAsia="宋体" w:cs="宋体"/>
      <w:sz w:val="24"/>
      <w:lang w:val="zh-CN"/>
    </w:rPr>
  </w:style>
  <w:style w:type="character" w:customStyle="1" w:styleId="277">
    <w:name w:val="ftit1"/>
    <w:qFormat/>
    <w:uiPriority w:val="0"/>
    <w:rPr>
      <w:b/>
      <w:bCs/>
      <w:color w:val="000000"/>
      <w:sz w:val="28"/>
      <w:szCs w:val="28"/>
    </w:rPr>
  </w:style>
  <w:style w:type="character" w:customStyle="1" w:styleId="278">
    <w:name w:val="样式 正文首行缩进 2 Char Char"/>
    <w:link w:val="279"/>
    <w:qFormat/>
    <w:uiPriority w:val="0"/>
    <w:rPr>
      <w:rFonts w:ascii="宋体" w:cs="宋体"/>
      <w:color w:val="000000"/>
      <w:sz w:val="24"/>
      <w:szCs w:val="24"/>
    </w:rPr>
  </w:style>
  <w:style w:type="paragraph" w:customStyle="1" w:styleId="279">
    <w:name w:val="样式 正文首行缩进 2"/>
    <w:basedOn w:val="2"/>
    <w:link w:val="278"/>
    <w:qFormat/>
    <w:uiPriority w:val="0"/>
    <w:pPr>
      <w:tabs>
        <w:tab w:val="clear" w:pos="0"/>
      </w:tabs>
      <w:snapToGrid w:val="0"/>
      <w:spacing w:line="440" w:lineRule="exact"/>
      <w:ind w:firstLine="480"/>
    </w:pPr>
    <w:rPr>
      <w:rFonts w:ascii="宋体"/>
      <w:color w:val="000000"/>
      <w:sz w:val="24"/>
    </w:rPr>
  </w:style>
  <w:style w:type="character" w:customStyle="1" w:styleId="280">
    <w:name w:val="正文文档 Char"/>
    <w:link w:val="281"/>
    <w:qFormat/>
    <w:uiPriority w:val="0"/>
    <w:rPr>
      <w:sz w:val="24"/>
      <w:szCs w:val="24"/>
    </w:rPr>
  </w:style>
  <w:style w:type="paragraph" w:customStyle="1" w:styleId="281">
    <w:name w:val="正文文档"/>
    <w:basedOn w:val="1"/>
    <w:link w:val="280"/>
    <w:qFormat/>
    <w:uiPriority w:val="0"/>
    <w:pPr>
      <w:spacing w:line="480" w:lineRule="exact"/>
      <w:ind w:firstLine="200" w:firstLineChars="200"/>
    </w:pPr>
    <w:rPr>
      <w:kern w:val="0"/>
      <w:sz w:val="24"/>
      <w:szCs w:val="24"/>
    </w:rPr>
  </w:style>
  <w:style w:type="character" w:customStyle="1" w:styleId="282">
    <w:name w:val="报告 Char"/>
    <w:link w:val="190"/>
    <w:qFormat/>
    <w:uiPriority w:val="0"/>
    <w:rPr>
      <w:sz w:val="24"/>
    </w:rPr>
  </w:style>
  <w:style w:type="character" w:customStyle="1" w:styleId="283">
    <w:name w:val="正文文本缩进 2 Char Char"/>
    <w:link w:val="284"/>
    <w:qFormat/>
    <w:uiPriority w:val="0"/>
    <w:rPr>
      <w:rFonts w:ascii="方正仿宋_GB2312" w:hAnsi="宋体" w:eastAsia="方正仿宋_GB2312"/>
      <w:sz w:val="28"/>
      <w:szCs w:val="28"/>
    </w:rPr>
  </w:style>
  <w:style w:type="paragraph" w:customStyle="1" w:styleId="284">
    <w:name w:val="正文文本缩进 21"/>
    <w:basedOn w:val="1"/>
    <w:link w:val="283"/>
    <w:qFormat/>
    <w:uiPriority w:val="0"/>
    <w:pPr>
      <w:spacing w:line="560" w:lineRule="exact"/>
      <w:ind w:firstLine="560" w:firstLineChars="200"/>
    </w:pPr>
    <w:rPr>
      <w:rFonts w:ascii="方正仿宋_GB2312" w:hAnsi="宋体" w:eastAsia="方正仿宋_GB2312"/>
      <w:kern w:val="0"/>
      <w:sz w:val="28"/>
      <w:szCs w:val="28"/>
    </w:rPr>
  </w:style>
  <w:style w:type="character" w:customStyle="1" w:styleId="285">
    <w:name w:val="正文首行缩进 Char"/>
    <w:link w:val="286"/>
    <w:qFormat/>
    <w:uiPriority w:val="0"/>
    <w:rPr>
      <w:kern w:val="2"/>
      <w:sz w:val="21"/>
      <w:szCs w:val="24"/>
      <w:lang w:bidi="ar-SA"/>
    </w:rPr>
  </w:style>
  <w:style w:type="paragraph" w:customStyle="1" w:styleId="286">
    <w:name w:val="正文首行缩进2"/>
    <w:basedOn w:val="19"/>
    <w:link w:val="285"/>
    <w:qFormat/>
    <w:uiPriority w:val="0"/>
    <w:pPr>
      <w:ind w:firstLine="420" w:firstLineChars="100"/>
    </w:pPr>
    <w:rPr>
      <w:szCs w:val="24"/>
    </w:rPr>
  </w:style>
  <w:style w:type="character" w:customStyle="1" w:styleId="287">
    <w:name w:val="Char Char"/>
    <w:qFormat/>
    <w:uiPriority w:val="0"/>
    <w:rPr>
      <w:b/>
      <w:bCs/>
      <w:kern w:val="2"/>
      <w:sz w:val="21"/>
      <w:szCs w:val="24"/>
      <w:lang w:bidi="ar-SA"/>
    </w:rPr>
  </w:style>
  <w:style w:type="character" w:customStyle="1" w:styleId="288">
    <w:name w:val="标题 1 Char Char1 Char"/>
    <w:qFormat/>
    <w:uiPriority w:val="0"/>
    <w:rPr>
      <w:rFonts w:eastAsia="文鼎粗钢笔行楷"/>
      <w:b/>
      <w:bCs/>
      <w:kern w:val="44"/>
      <w:sz w:val="44"/>
      <w:szCs w:val="44"/>
      <w:lang w:val="en-US" w:eastAsia="zh-CN"/>
    </w:rPr>
  </w:style>
  <w:style w:type="character" w:customStyle="1" w:styleId="289">
    <w:name w:val="font21"/>
    <w:qFormat/>
    <w:uiPriority w:val="0"/>
    <w:rPr>
      <w:rFonts w:hint="default" w:ascii="Times New Roman" w:hAnsi="Times New Roman" w:cs="Times New Roman"/>
      <w:color w:val="000000"/>
      <w:sz w:val="21"/>
      <w:szCs w:val="21"/>
      <w:u w:val="none"/>
    </w:rPr>
  </w:style>
  <w:style w:type="character" w:customStyle="1" w:styleId="290">
    <w:name w:val="BG5 Char Char"/>
    <w:link w:val="291"/>
    <w:qFormat/>
    <w:uiPriority w:val="0"/>
    <w:rPr>
      <w:rFonts w:ascii="@宋体" w:eastAsia="方正仿宋_GB2312"/>
      <w:b/>
      <w:sz w:val="24"/>
    </w:rPr>
  </w:style>
  <w:style w:type="paragraph" w:customStyle="1" w:styleId="291">
    <w:name w:val="BG5"/>
    <w:basedOn w:val="1"/>
    <w:link w:val="290"/>
    <w:qFormat/>
    <w:uiPriority w:val="0"/>
    <w:pPr>
      <w:autoSpaceDE w:val="0"/>
      <w:autoSpaceDN w:val="0"/>
      <w:adjustRightInd w:val="0"/>
      <w:spacing w:line="360" w:lineRule="auto"/>
      <w:jc w:val="center"/>
      <w:textAlignment w:val="baseline"/>
    </w:pPr>
    <w:rPr>
      <w:rFonts w:ascii="@宋体" w:eastAsia="方正仿宋_GB2312"/>
      <w:b/>
      <w:kern w:val="0"/>
      <w:sz w:val="24"/>
      <w:szCs w:val="20"/>
    </w:rPr>
  </w:style>
  <w:style w:type="character" w:customStyle="1" w:styleId="292">
    <w:name w:val="题注 Char Char Char"/>
    <w:qFormat/>
    <w:uiPriority w:val="0"/>
    <w:rPr>
      <w:rFonts w:eastAsia="宋体" w:cs="Arial"/>
      <w:b/>
      <w:kern w:val="2"/>
      <w:sz w:val="21"/>
      <w:lang w:val="en-US" w:eastAsia="zh-CN" w:bidi="ar-SA"/>
    </w:rPr>
  </w:style>
  <w:style w:type="character" w:customStyle="1" w:styleId="293">
    <w:name w:val="EmailStyle1261"/>
    <w:qFormat/>
    <w:uiPriority w:val="0"/>
    <w:rPr>
      <w:rFonts w:ascii="Arial" w:hAnsi="Arial" w:eastAsia="宋体" w:cs="Arial"/>
      <w:color w:val="auto"/>
      <w:sz w:val="20"/>
    </w:rPr>
  </w:style>
  <w:style w:type="character" w:customStyle="1" w:styleId="294">
    <w:name w:val="样式53 Char"/>
    <w:qFormat/>
    <w:uiPriority w:val="0"/>
    <w:rPr>
      <w:rFonts w:ascii="黑体" w:hAnsi="宋体" w:eastAsia="黑体"/>
      <w:b/>
      <w:bCs/>
      <w:color w:val="000000"/>
      <w:sz w:val="21"/>
      <w:szCs w:val="21"/>
      <w:lang w:val="en-US" w:eastAsia="zh-CN" w:bidi="ar-SA"/>
    </w:rPr>
  </w:style>
  <w:style w:type="character" w:customStyle="1" w:styleId="295">
    <w:name w:val="xyb自建正文 Char1"/>
    <w:link w:val="296"/>
    <w:qFormat/>
    <w:locked/>
    <w:uiPriority w:val="0"/>
    <w:rPr>
      <w:sz w:val="24"/>
      <w:szCs w:val="24"/>
    </w:rPr>
  </w:style>
  <w:style w:type="paragraph" w:customStyle="1" w:styleId="296">
    <w:name w:val="xyb自建正文"/>
    <w:basedOn w:val="1"/>
    <w:link w:val="295"/>
    <w:qFormat/>
    <w:uiPriority w:val="0"/>
    <w:pPr>
      <w:spacing w:line="360" w:lineRule="auto"/>
      <w:ind w:firstLine="480" w:firstLineChars="200"/>
      <w:textAlignment w:val="baseline"/>
    </w:pPr>
    <w:rPr>
      <w:kern w:val="0"/>
      <w:sz w:val="24"/>
      <w:szCs w:val="24"/>
    </w:rPr>
  </w:style>
  <w:style w:type="character" w:customStyle="1" w:styleId="297">
    <w:name w:val="Char Char2"/>
    <w:qFormat/>
    <w:uiPriority w:val="0"/>
    <w:rPr>
      <w:kern w:val="2"/>
      <w:sz w:val="18"/>
      <w:szCs w:val="18"/>
      <w:lang w:bidi="ar-SA"/>
    </w:rPr>
  </w:style>
  <w:style w:type="character" w:customStyle="1" w:styleId="298">
    <w:name w:val="样式 正文文本缩进 2 + 黑色 行距: 固定值 12 磅 Char"/>
    <w:qFormat/>
    <w:uiPriority w:val="0"/>
    <w:rPr>
      <w:rFonts w:eastAsia="宋体" w:cs="宋体"/>
      <w:b/>
      <w:color w:val="3366FF"/>
      <w:sz w:val="21"/>
      <w:szCs w:val="21"/>
      <w:lang w:val="en-US" w:eastAsia="zh-CN" w:bidi="ar-SA"/>
    </w:rPr>
  </w:style>
  <w:style w:type="character" w:customStyle="1" w:styleId="299">
    <w:name w:val="样式4 Char"/>
    <w:link w:val="300"/>
    <w:qFormat/>
    <w:uiPriority w:val="0"/>
    <w:rPr>
      <w:rFonts w:eastAsia="宋体"/>
    </w:rPr>
  </w:style>
  <w:style w:type="paragraph" w:customStyle="1" w:styleId="300">
    <w:name w:val="样式4"/>
    <w:basedOn w:val="1"/>
    <w:link w:val="299"/>
    <w:qFormat/>
    <w:uiPriority w:val="0"/>
    <w:pPr>
      <w:jc w:val="center"/>
    </w:pPr>
    <w:rPr>
      <w:kern w:val="0"/>
      <w:sz w:val="20"/>
      <w:szCs w:val="20"/>
    </w:rPr>
  </w:style>
  <w:style w:type="paragraph" w:customStyle="1" w:styleId="301">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02">
    <w:name w:val="xl123"/>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03">
    <w:name w:val="纪任山图表标题5"/>
    <w:basedOn w:val="1"/>
    <w:qFormat/>
    <w:uiPriority w:val="0"/>
    <w:pPr>
      <w:adjustRightInd w:val="0"/>
      <w:snapToGrid w:val="0"/>
      <w:spacing w:after="120" w:line="480" w:lineRule="exact"/>
      <w:jc w:val="center"/>
    </w:pPr>
    <w:rPr>
      <w:rFonts w:ascii="Times New Roman" w:hAnsi="Times New Roman" w:eastAsia="宋体" w:cs="Times New Roman"/>
      <w:b/>
      <w:color w:val="000000"/>
      <w:spacing w:val="6"/>
      <w:sz w:val="24"/>
      <w:szCs w:val="20"/>
    </w:rPr>
  </w:style>
  <w:style w:type="paragraph" w:customStyle="1" w:styleId="304">
    <w:name w:val="【正文】"/>
    <w:basedOn w:val="19"/>
    <w:qFormat/>
    <w:uiPriority w:val="0"/>
    <w:pPr>
      <w:adjustRightInd w:val="0"/>
      <w:snapToGrid w:val="0"/>
      <w:spacing w:before="0" w:line="360" w:lineRule="auto"/>
      <w:ind w:firstLine="480" w:firstLineChars="200"/>
      <w:jc w:val="both"/>
    </w:pPr>
    <w:rPr>
      <w:sz w:val="24"/>
      <w:szCs w:val="24"/>
    </w:rPr>
  </w:style>
  <w:style w:type="paragraph" w:customStyle="1" w:styleId="305">
    <w:name w:val="索引 12"/>
    <w:basedOn w:val="1"/>
    <w:next w:val="1"/>
    <w:qFormat/>
    <w:uiPriority w:val="0"/>
    <w:rPr>
      <w:rFonts w:ascii="Times New Roman" w:hAnsi="Times New Roman" w:eastAsia="宋体" w:cs="Times New Roman"/>
      <w:szCs w:val="24"/>
    </w:rPr>
  </w:style>
  <w:style w:type="paragraph" w:customStyle="1" w:styleId="306">
    <w:name w:val="xl139"/>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07">
    <w:name w:val="zzd图文"/>
    <w:basedOn w:val="308"/>
    <w:qFormat/>
    <w:uiPriority w:val="0"/>
    <w:pPr>
      <w:ind w:left="273" w:leftChars="130" w:firstLine="1680" w:firstLineChars="800"/>
    </w:pPr>
  </w:style>
  <w:style w:type="paragraph" w:customStyle="1" w:styleId="308">
    <w:name w:val="zzd正文"/>
    <w:basedOn w:val="1"/>
    <w:qFormat/>
    <w:uiPriority w:val="0"/>
    <w:pPr>
      <w:spacing w:before="156" w:beforeLines="50" w:after="156" w:afterLines="50" w:line="300" w:lineRule="auto"/>
      <w:ind w:left="737"/>
    </w:pPr>
    <w:rPr>
      <w:rFonts w:ascii="宋体" w:hAnsi="Times New Roman" w:eastAsia="宋体" w:cs="Times New Roman"/>
      <w:iCs/>
      <w:szCs w:val="24"/>
    </w:rPr>
  </w:style>
  <w:style w:type="paragraph" w:customStyle="1" w:styleId="30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10">
    <w:name w:val="图表目录11"/>
    <w:basedOn w:val="1"/>
    <w:next w:val="1"/>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311">
    <w:name w:val="样式 标题 3一style3条(C+F3)Final－标题 3H3h3heading 3 + Indent: L..."/>
    <w:basedOn w:val="5"/>
    <w:qFormat/>
    <w:uiPriority w:val="0"/>
    <w:pPr>
      <w:keepNext w:val="0"/>
      <w:keepLines w:val="0"/>
      <w:widowControl/>
      <w:spacing w:before="0" w:after="0" w:line="500" w:lineRule="exact"/>
      <w:ind w:left="1301" w:hanging="1188"/>
    </w:pPr>
    <w:rPr>
      <w:rFonts w:eastAsia="黑体" w:cs="宋体"/>
      <w:b w:val="0"/>
      <w:bCs w:val="0"/>
      <w:sz w:val="24"/>
      <w:szCs w:val="20"/>
    </w:rPr>
  </w:style>
  <w:style w:type="paragraph" w:customStyle="1" w:styleId="312">
    <w:name w:val="p15"/>
    <w:basedOn w:val="1"/>
    <w:qFormat/>
    <w:uiPriority w:val="0"/>
    <w:pPr>
      <w:widowControl/>
      <w:spacing w:after="120" w:line="480" w:lineRule="atLeast"/>
      <w:ind w:firstLine="420"/>
    </w:pPr>
    <w:rPr>
      <w:rFonts w:ascii="Times New Roman" w:hAnsi="Times New Roman" w:eastAsia="宋体" w:cs="Times New Roman"/>
      <w:kern w:val="0"/>
      <w:sz w:val="28"/>
      <w:szCs w:val="28"/>
    </w:rPr>
  </w:style>
  <w:style w:type="paragraph" w:styleId="313">
    <w:name w:val="List Paragraph"/>
    <w:basedOn w:val="1"/>
    <w:qFormat/>
    <w:uiPriority w:val="0"/>
    <w:pPr>
      <w:ind w:firstLine="420" w:firstLineChars="200"/>
    </w:pPr>
    <w:rPr>
      <w:rFonts w:ascii="Calibri" w:hAnsi="Calibri" w:eastAsia="宋体" w:cs="Times New Roman"/>
    </w:rPr>
  </w:style>
  <w:style w:type="paragraph" w:customStyle="1" w:styleId="314">
    <w:name w:val="列表2"/>
    <w:basedOn w:val="1"/>
    <w:qFormat/>
    <w:uiPriority w:val="0"/>
    <w:pPr>
      <w:adjustRightInd w:val="0"/>
      <w:snapToGrid w:val="0"/>
      <w:spacing w:line="360" w:lineRule="auto"/>
      <w:jc w:val="center"/>
    </w:pPr>
    <w:rPr>
      <w:rFonts w:ascii="宋体" w:hAnsi="Times New Roman" w:eastAsia="宋体" w:cs="Times New Roman"/>
      <w:szCs w:val="20"/>
    </w:rPr>
  </w:style>
  <w:style w:type="paragraph" w:customStyle="1" w:styleId="315">
    <w:name w:val="xl10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16">
    <w:name w:val="样式 正文文本缩进 + 居中1"/>
    <w:basedOn w:val="20"/>
    <w:qFormat/>
    <w:uiPriority w:val="0"/>
    <w:pPr>
      <w:ind w:left="0" w:leftChars="0"/>
      <w:jc w:val="center"/>
    </w:pPr>
    <w:rPr>
      <w:rFonts w:ascii="Times New Roman" w:hAnsi="Times New Roman" w:eastAsia="宋体" w:cs="宋体"/>
      <w:szCs w:val="20"/>
    </w:rPr>
  </w:style>
  <w:style w:type="paragraph" w:customStyle="1" w:styleId="317">
    <w:name w:val="样式 样式 首行缩进:  2 字符 段后: 0.5 行 + 宋体 首行缩进:  2 字符 段前: 7.8 磅 段后: 0...."/>
    <w:basedOn w:val="1"/>
    <w:qFormat/>
    <w:uiPriority w:val="0"/>
    <w:pPr>
      <w:spacing w:beforeLines="50" w:afterLines="50" w:line="360" w:lineRule="exact"/>
      <w:ind w:firstLine="200" w:firstLineChars="200"/>
    </w:pPr>
    <w:rPr>
      <w:rFonts w:ascii="宋体" w:hAnsi="宋体" w:eastAsia="宋体" w:cs="宋体"/>
      <w:sz w:val="24"/>
      <w:szCs w:val="20"/>
    </w:rPr>
  </w:style>
  <w:style w:type="paragraph" w:customStyle="1" w:styleId="318">
    <w:name w:val="样式 样式 小四 行距: 固定值 22 磅 + 首行缩进:  2 字符"/>
    <w:basedOn w:val="1"/>
    <w:qFormat/>
    <w:uiPriority w:val="0"/>
    <w:pPr>
      <w:spacing w:line="500" w:lineRule="exact"/>
      <w:ind w:firstLine="480" w:firstLineChars="200"/>
    </w:pPr>
    <w:rPr>
      <w:rFonts w:cs="宋体"/>
      <w:szCs w:val="20"/>
    </w:rPr>
  </w:style>
  <w:style w:type="paragraph" w:customStyle="1" w:styleId="319">
    <w:name w:val="Char11"/>
    <w:basedOn w:val="1"/>
    <w:qFormat/>
    <w:uiPriority w:val="0"/>
    <w:pPr>
      <w:spacing w:line="360" w:lineRule="auto"/>
      <w:ind w:firstLine="200" w:firstLineChars="200"/>
    </w:pPr>
    <w:rPr>
      <w:rFonts w:ascii="宋体" w:hAnsi="宋体" w:eastAsia="宋体" w:cs="宋体"/>
      <w:sz w:val="24"/>
      <w:szCs w:val="24"/>
    </w:rPr>
  </w:style>
  <w:style w:type="paragraph" w:customStyle="1" w:styleId="320">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21">
    <w:name w:val="+列表编号"/>
    <w:basedOn w:val="1"/>
    <w:qFormat/>
    <w:uiPriority w:val="0"/>
    <w:pPr>
      <w:tabs>
        <w:tab w:val="center" w:pos="4200"/>
        <w:tab w:val="right" w:pos="8400"/>
      </w:tabs>
      <w:adjustRightInd/>
      <w:spacing w:line="240" w:lineRule="auto"/>
      <w:jc w:val="center"/>
      <w:textAlignment w:val="auto"/>
    </w:pPr>
    <w:rPr>
      <w:b/>
      <w:kern w:val="2"/>
      <w:szCs w:val="28"/>
    </w:rPr>
  </w:style>
  <w:style w:type="paragraph" w:customStyle="1" w:styleId="322">
    <w:name w:val="P"/>
    <w:basedOn w:val="1"/>
    <w:qFormat/>
    <w:uiPriority w:val="0"/>
    <w:pPr>
      <w:adjustRightInd w:val="0"/>
      <w:spacing w:line="420" w:lineRule="atLeast"/>
      <w:ind w:firstLine="567"/>
      <w:textAlignment w:val="baseline"/>
    </w:pPr>
    <w:rPr>
      <w:rFonts w:ascii="宋体" w:hAnsi="Times New Roman" w:eastAsia="宋体" w:cs="Times New Roman"/>
      <w:spacing w:val="30"/>
      <w:kern w:val="0"/>
      <w:sz w:val="24"/>
      <w:szCs w:val="20"/>
    </w:rPr>
  </w:style>
  <w:style w:type="paragraph" w:customStyle="1" w:styleId="323">
    <w:name w:val="表格内字体"/>
    <w:basedOn w:val="1"/>
    <w:qFormat/>
    <w:uiPriority w:val="0"/>
    <w:pPr>
      <w:adjustRightInd w:val="0"/>
      <w:snapToGrid w:val="0"/>
      <w:jc w:val="center"/>
      <w:textAlignment w:val="baseline"/>
    </w:pPr>
    <w:rPr>
      <w:rFonts w:ascii="宋体" w:hAnsi="宋体" w:eastAsia="宋体" w:cs="Times New Roman"/>
      <w:kern w:val="0"/>
      <w:szCs w:val="24"/>
    </w:rPr>
  </w:style>
  <w:style w:type="paragraph" w:customStyle="1" w:styleId="324">
    <w:name w:val="xl15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25">
    <w:name w:val="正文01"/>
    <w:basedOn w:val="1"/>
    <w:qFormat/>
    <w:uiPriority w:val="0"/>
    <w:pPr>
      <w:spacing w:before="60" w:line="480" w:lineRule="exact"/>
      <w:ind w:firstLine="539"/>
    </w:pPr>
    <w:rPr>
      <w:sz w:val="27"/>
      <w:szCs w:val="20"/>
    </w:rPr>
  </w:style>
  <w:style w:type="paragraph" w:customStyle="1" w:styleId="326">
    <w:name w:val="列表1"/>
    <w:basedOn w:val="1"/>
    <w:qFormat/>
    <w:uiPriority w:val="0"/>
    <w:pPr>
      <w:adjustRightInd w:val="0"/>
      <w:snapToGrid w:val="0"/>
      <w:spacing w:line="360" w:lineRule="auto"/>
      <w:jc w:val="center"/>
    </w:pPr>
    <w:rPr>
      <w:rFonts w:ascii="宋体" w:hAnsi="Times New Roman" w:eastAsia="宋体" w:cs="Times New Roman"/>
      <w:szCs w:val="20"/>
    </w:rPr>
  </w:style>
  <w:style w:type="paragraph" w:customStyle="1" w:styleId="327">
    <w:name w:val="xl15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28">
    <w:name w:val="1我的"/>
    <w:autoRedefine/>
    <w:qFormat/>
    <w:uiPriority w:val="0"/>
    <w:pPr>
      <w:widowControl w:val="0"/>
      <w:spacing w:line="560" w:lineRule="exact"/>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329">
    <w:name w:val="xl57"/>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330">
    <w:name w:val="BBT"/>
    <w:basedOn w:val="1"/>
    <w:qFormat/>
    <w:uiPriority w:val="0"/>
    <w:pPr>
      <w:spacing w:before="109" w:beforeLines="35" w:after="109" w:afterLines="35" w:line="480" w:lineRule="exact"/>
      <w:jc w:val="center"/>
    </w:pPr>
    <w:rPr>
      <w:rFonts w:ascii="黑体" w:hAnsi="Times New Roman" w:eastAsia="黑体" w:cs="Times New Roman"/>
      <w:bCs/>
      <w:sz w:val="24"/>
      <w:szCs w:val="20"/>
    </w:rPr>
  </w:style>
  <w:style w:type="paragraph" w:customStyle="1" w:styleId="331">
    <w:name w:val="+a)"/>
    <w:basedOn w:val="1"/>
    <w:qFormat/>
    <w:uiPriority w:val="0"/>
    <w:pPr>
      <w:tabs>
        <w:tab w:val="left" w:pos="2520"/>
      </w:tabs>
      <w:spacing w:line="360" w:lineRule="auto"/>
      <w:ind w:left="2520" w:hanging="420"/>
    </w:pPr>
    <w:rPr>
      <w:rFonts w:ascii="Times New Roman" w:hAnsi="Times New Roman" w:eastAsia="宋体" w:cs="Times New Roman"/>
      <w:sz w:val="24"/>
      <w:szCs w:val="28"/>
    </w:rPr>
  </w:style>
  <w:style w:type="paragraph" w:customStyle="1" w:styleId="332">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333">
    <w:name w:val="+1."/>
    <w:basedOn w:val="334"/>
    <w:qFormat/>
    <w:uiPriority w:val="0"/>
    <w:pPr>
      <w:numPr>
        <w:ilvl w:val="1"/>
        <w:numId w:val="4"/>
      </w:numPr>
      <w:tabs>
        <w:tab w:val="left" w:pos="425"/>
      </w:tabs>
      <w:ind w:firstLineChars="0"/>
    </w:pPr>
  </w:style>
  <w:style w:type="paragraph" w:customStyle="1" w:styleId="334">
    <w:name w:val="+正文"/>
    <w:basedOn w:val="1"/>
    <w:link w:val="335"/>
    <w:qFormat/>
    <w:uiPriority w:val="0"/>
    <w:pPr>
      <w:spacing w:line="360" w:lineRule="auto"/>
      <w:ind w:firstLine="200" w:firstLineChars="200"/>
    </w:pPr>
    <w:rPr>
      <w:szCs w:val="28"/>
    </w:rPr>
  </w:style>
  <w:style w:type="character" w:customStyle="1" w:styleId="335">
    <w:name w:val="+正文 Char"/>
    <w:link w:val="334"/>
    <w:qFormat/>
    <w:locked/>
    <w:uiPriority w:val="0"/>
    <w:rPr>
      <w:kern w:val="2"/>
      <w:sz w:val="24"/>
      <w:szCs w:val="28"/>
    </w:rPr>
  </w:style>
  <w:style w:type="paragraph" w:customStyle="1" w:styleId="336">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337">
    <w:name w:val="xl73"/>
    <w:basedOn w:val="1"/>
    <w:qFormat/>
    <w:uiPriority w:val="0"/>
    <w:pPr>
      <w:widowControl/>
      <w:spacing w:before="100" w:beforeAutospacing="1" w:after="100" w:afterAutospacing="1"/>
      <w:jc w:val="left"/>
      <w:textAlignment w:val="center"/>
    </w:pPr>
    <w:rPr>
      <w:rFonts w:ascii="宋体" w:hAnsi="宋体" w:eastAsia="宋体" w:cs="宋体"/>
      <w:kern w:val="0"/>
      <w:sz w:val="22"/>
    </w:rPr>
  </w:style>
  <w:style w:type="paragraph" w:customStyle="1" w:styleId="338">
    <w:name w:val="CM113"/>
    <w:basedOn w:val="62"/>
    <w:next w:val="62"/>
    <w:qFormat/>
    <w:uiPriority w:val="0"/>
    <w:pPr>
      <w:spacing w:after="62"/>
    </w:pPr>
    <w:rPr>
      <w:rFonts w:ascii="Simplex" w:hAnsi="Times New Roman" w:eastAsia="Simplex" w:cs="Simplex"/>
      <w:color w:val="auto"/>
    </w:rPr>
  </w:style>
  <w:style w:type="paragraph" w:customStyle="1" w:styleId="339">
    <w:name w:val="xl14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340">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41">
    <w:name w:val="1"/>
    <w:basedOn w:val="1"/>
    <w:next w:val="164"/>
    <w:qFormat/>
    <w:uiPriority w:val="0"/>
    <w:rPr>
      <w:rFonts w:ascii="Times New Roman" w:hAnsi="Times New Roman" w:eastAsia="宋体" w:cs="Times New Roman"/>
      <w:sz w:val="28"/>
      <w:szCs w:val="20"/>
    </w:rPr>
  </w:style>
  <w:style w:type="paragraph" w:customStyle="1" w:styleId="342">
    <w:name w:val="表号"/>
    <w:qFormat/>
    <w:uiPriority w:val="0"/>
    <w:pPr>
      <w:adjustRightInd w:val="0"/>
      <w:snapToGrid w:val="0"/>
      <w:spacing w:line="480" w:lineRule="exact"/>
      <w:jc w:val="right"/>
    </w:pPr>
    <w:rPr>
      <w:rFonts w:ascii="Arial" w:hAnsi="Arial" w:eastAsia="宋体" w:cs="Times New Roman"/>
      <w:sz w:val="21"/>
      <w:lang w:val="en-US" w:eastAsia="zh-CN" w:bidi="ar-SA"/>
    </w:rPr>
  </w:style>
  <w:style w:type="paragraph" w:customStyle="1" w:styleId="343">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44">
    <w:name w:val="图表目录1"/>
    <w:basedOn w:val="1"/>
    <w:next w:val="1"/>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345">
    <w:name w:val="CM2"/>
    <w:basedOn w:val="1"/>
    <w:next w:val="1"/>
    <w:autoRedefine/>
    <w:qFormat/>
    <w:uiPriority w:val="0"/>
    <w:pPr>
      <w:autoSpaceDE w:val="0"/>
      <w:autoSpaceDN w:val="0"/>
      <w:adjustRightInd w:val="0"/>
      <w:spacing w:line="316" w:lineRule="atLeast"/>
      <w:jc w:val="left"/>
    </w:pPr>
    <w:rPr>
      <w:rFonts w:ascii="宋体" w:hAnsi="Times New Roman" w:eastAsia="宋体" w:cs="Times New Roman"/>
      <w:kern w:val="0"/>
      <w:sz w:val="24"/>
      <w:szCs w:val="24"/>
    </w:rPr>
  </w:style>
  <w:style w:type="paragraph" w:customStyle="1" w:styleId="346">
    <w:name w:val="1表格头"/>
    <w:qFormat/>
    <w:uiPriority w:val="0"/>
    <w:pPr>
      <w:widowControl w:val="0"/>
      <w:snapToGrid w:val="0"/>
      <w:spacing w:line="160" w:lineRule="atLeast"/>
      <w:jc w:val="center"/>
    </w:pPr>
    <w:rPr>
      <w:rFonts w:ascii="Times New Roman" w:hAnsi="Times New Roman" w:eastAsia="方正仿宋_GB2312" w:cs="Times New Roman"/>
      <w:kern w:val="2"/>
      <w:sz w:val="24"/>
      <w:lang w:val="en-US" w:eastAsia="zh-CN" w:bidi="ar-SA"/>
    </w:rPr>
  </w:style>
  <w:style w:type="paragraph" w:customStyle="1" w:styleId="347">
    <w:name w:val="陈正文"/>
    <w:basedOn w:val="1"/>
    <w:next w:val="1"/>
    <w:qFormat/>
    <w:uiPriority w:val="0"/>
    <w:pPr>
      <w:adjustRightInd/>
      <w:spacing w:before="0"/>
      <w:ind w:firstLine="480" w:firstLineChars="200"/>
      <w:textAlignment w:val="auto"/>
    </w:pPr>
    <w:rPr>
      <w:rFonts w:hAnsi="宋体"/>
      <w:color w:val="000000"/>
      <w:szCs w:val="24"/>
    </w:rPr>
  </w:style>
  <w:style w:type="paragraph" w:customStyle="1" w:styleId="348">
    <w:name w:val="正文文本缩进 311"/>
    <w:basedOn w:val="1"/>
    <w:qFormat/>
    <w:uiPriority w:val="0"/>
    <w:pPr>
      <w:spacing w:after="120"/>
      <w:ind w:left="420" w:leftChars="200"/>
    </w:pPr>
    <w:rPr>
      <w:rFonts w:ascii="Times New Roman" w:hAnsi="Times New Roman" w:eastAsia="宋体" w:cs="Times New Roman"/>
      <w:sz w:val="16"/>
      <w:szCs w:val="16"/>
    </w:rPr>
  </w:style>
  <w:style w:type="paragraph" w:customStyle="1" w:styleId="349">
    <w:name w:val="1 Char Char Char Char Char Char Char Char Char Char Char Char Char Char Char Char Char Char1 Char Char Char Char"/>
    <w:basedOn w:val="1"/>
    <w:qFormat/>
    <w:uiPriority w:val="0"/>
    <w:rPr>
      <w:rFonts w:ascii="Tahoma" w:hAnsi="Tahoma" w:eastAsia="宋体" w:cs="Times New Roman"/>
      <w:sz w:val="24"/>
      <w:szCs w:val="20"/>
    </w:rPr>
  </w:style>
  <w:style w:type="paragraph" w:customStyle="1" w:styleId="350">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51">
    <w:name w:val="Char3"/>
    <w:basedOn w:val="1"/>
    <w:qFormat/>
    <w:uiPriority w:val="0"/>
    <w:rPr>
      <w:rFonts w:ascii="Times New Roman" w:hAnsi="Times New Roman" w:eastAsia="宋体" w:cs="Times New Roman"/>
      <w:szCs w:val="21"/>
    </w:rPr>
  </w:style>
  <w:style w:type="paragraph" w:customStyle="1" w:styleId="352">
    <w:name w:val="6表内文字 居中"/>
    <w:basedOn w:val="1"/>
    <w:qFormat/>
    <w:uiPriority w:val="0"/>
    <w:pPr>
      <w:adjustRightInd w:val="0"/>
      <w:spacing w:line="240" w:lineRule="atLeast"/>
      <w:jc w:val="center"/>
      <w:textAlignment w:val="baseline"/>
    </w:pPr>
    <w:rPr>
      <w:rFonts w:ascii="Times New Roman" w:hAnsi="Times New Roman" w:eastAsia="宋体" w:cs="Times New Roman"/>
      <w:snapToGrid/>
      <w:kern w:val="0"/>
      <w:szCs w:val="24"/>
    </w:rPr>
  </w:style>
  <w:style w:type="paragraph" w:customStyle="1" w:styleId="353">
    <w:name w:val="普通(网站)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54">
    <w:name w:val="图表标题"/>
    <w:basedOn w:val="1"/>
    <w:next w:val="355"/>
    <w:qFormat/>
    <w:uiPriority w:val="0"/>
    <w:pPr>
      <w:adjustRightInd w:val="0"/>
      <w:snapToGrid w:val="0"/>
      <w:ind w:firstLine="562"/>
      <w:jc w:val="center"/>
    </w:pPr>
    <w:rPr>
      <w:b/>
      <w:bCs/>
      <w:snapToGrid w:val="0"/>
      <w:sz w:val="24"/>
    </w:rPr>
  </w:style>
  <w:style w:type="paragraph" w:customStyle="1" w:styleId="355">
    <w:name w:val="报告表格"/>
    <w:basedOn w:val="1"/>
    <w:qFormat/>
    <w:uiPriority w:val="0"/>
    <w:pPr>
      <w:autoSpaceDE w:val="0"/>
      <w:autoSpaceDN w:val="0"/>
      <w:adjustRightInd w:val="0"/>
      <w:spacing w:before="40" w:after="40"/>
      <w:jc w:val="center"/>
      <w:textAlignment w:val="bottom"/>
    </w:pPr>
    <w:rPr>
      <w:kern w:val="0"/>
      <w:szCs w:val="20"/>
    </w:rPr>
  </w:style>
  <w:style w:type="paragraph" w:customStyle="1" w:styleId="356">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57">
    <w:name w:val="_Style 418"/>
    <w:basedOn w:val="1"/>
    <w:next w:val="1"/>
    <w:unhideWhenUsed/>
    <w:qFormat/>
    <w:uiPriority w:val="99"/>
    <w:rPr>
      <w:rFonts w:ascii="Times New Roman" w:hAnsi="Times New Roman" w:eastAsia="宋体" w:cs="Times New Roman"/>
      <w:szCs w:val="24"/>
    </w:rPr>
  </w:style>
  <w:style w:type="paragraph" w:customStyle="1" w:styleId="358">
    <w:name w:val="正文首行缩进2字符"/>
    <w:basedOn w:val="1"/>
    <w:qFormat/>
    <w:uiPriority w:val="0"/>
    <w:pPr>
      <w:spacing w:line="500" w:lineRule="exact"/>
      <w:ind w:firstLine="200" w:firstLineChars="200"/>
    </w:pPr>
    <w:rPr>
      <w:rFonts w:ascii="宋体" w:hAnsi="宋体" w:eastAsia="宋体" w:cs="宋体"/>
      <w:sz w:val="28"/>
      <w:szCs w:val="28"/>
    </w:rPr>
  </w:style>
  <w:style w:type="paragraph" w:customStyle="1" w:styleId="359">
    <w:name w:val="xl92"/>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60">
    <w:name w:val="Char2"/>
    <w:basedOn w:val="1"/>
    <w:next w:val="1"/>
    <w:qFormat/>
    <w:uiPriority w:val="0"/>
    <w:rPr>
      <w:rFonts w:ascii="Times New Roman" w:hAnsi="Times New Roman" w:eastAsia="宋体" w:cs="Times New Roman"/>
      <w:szCs w:val="24"/>
    </w:rPr>
  </w:style>
  <w:style w:type="paragraph" w:customStyle="1" w:styleId="361">
    <w:name w:val="font9"/>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362">
    <w:name w:val="正文文本缩进2"/>
    <w:basedOn w:val="1"/>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363">
    <w:name w:val="xl15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364">
    <w:name w:val="BZW"/>
    <w:basedOn w:val="1"/>
    <w:next w:val="365"/>
    <w:qFormat/>
    <w:uiPriority w:val="0"/>
    <w:pPr>
      <w:adjustRightInd w:val="0"/>
      <w:spacing w:line="360" w:lineRule="exact"/>
      <w:jc w:val="left"/>
      <w:textAlignment w:val="baseline"/>
    </w:pPr>
    <w:rPr>
      <w:rFonts w:ascii="@宋体" w:hAnsi="Times New Roman" w:eastAsia="宋体" w:cs="Times New Roman"/>
      <w:kern w:val="0"/>
      <w:sz w:val="24"/>
      <w:szCs w:val="20"/>
    </w:rPr>
  </w:style>
  <w:style w:type="paragraph" w:customStyle="1" w:styleId="365">
    <w:name w:val="SZW"/>
    <w:basedOn w:val="1"/>
    <w:qFormat/>
    <w:uiPriority w:val="0"/>
    <w:pPr>
      <w:adjustRightInd w:val="0"/>
      <w:spacing w:line="360" w:lineRule="exact"/>
      <w:ind w:firstLine="425"/>
      <w:jc w:val="left"/>
      <w:textAlignment w:val="baseline"/>
    </w:pPr>
    <w:rPr>
      <w:rFonts w:ascii="@宋体" w:hAnsi="Times New Roman" w:eastAsia="宋体" w:cs="Times New Roman"/>
      <w:kern w:val="0"/>
      <w:sz w:val="24"/>
      <w:szCs w:val="20"/>
    </w:rPr>
  </w:style>
  <w:style w:type="paragraph" w:customStyle="1" w:styleId="366">
    <w:name w:val="表格内容"/>
    <w:basedOn w:val="1"/>
    <w:next w:val="3"/>
    <w:link w:val="367"/>
    <w:qFormat/>
    <w:uiPriority w:val="99"/>
    <w:pPr>
      <w:overflowPunct w:val="0"/>
      <w:adjustRightInd w:val="0"/>
      <w:spacing w:before="40" w:after="60" w:line="200" w:lineRule="atLeast"/>
      <w:textAlignment w:val="baseline"/>
    </w:pPr>
    <w:rPr>
      <w:rFonts w:ascii="Arial" w:hAnsi="Arial" w:eastAsia="方正仿宋_GB2312" w:cs="Times New Roman"/>
      <w:kern w:val="0"/>
      <w:sz w:val="24"/>
      <w:szCs w:val="20"/>
    </w:rPr>
  </w:style>
  <w:style w:type="character" w:customStyle="1" w:styleId="367">
    <w:name w:val="表格内容 Char"/>
    <w:link w:val="366"/>
    <w:qFormat/>
    <w:locked/>
    <w:uiPriority w:val="99"/>
    <w:rPr>
      <w:rFonts w:ascii="Arial" w:hAnsi="Arial" w:eastAsia="方正仿宋_GB2312"/>
      <w:sz w:val="24"/>
    </w:rPr>
  </w:style>
  <w:style w:type="paragraph" w:customStyle="1" w:styleId="368">
    <w:name w:val="CM88"/>
    <w:basedOn w:val="62"/>
    <w:next w:val="62"/>
    <w:qFormat/>
    <w:uiPriority w:val="99"/>
    <w:pPr>
      <w:spacing w:after="278"/>
    </w:pPr>
    <w:rPr>
      <w:rFonts w:cs="Times New Roman"/>
      <w:color w:val="auto"/>
    </w:rPr>
  </w:style>
  <w:style w:type="paragraph" w:customStyle="1" w:styleId="369">
    <w:name w:val="LBG5"/>
    <w:basedOn w:val="1"/>
    <w:qFormat/>
    <w:uiPriority w:val="0"/>
    <w:pPr>
      <w:autoSpaceDE w:val="0"/>
      <w:autoSpaceDN w:val="0"/>
      <w:adjustRightInd w:val="0"/>
      <w:spacing w:line="200" w:lineRule="exact"/>
      <w:jc w:val="left"/>
      <w:textAlignment w:val="baseline"/>
    </w:pPr>
    <w:rPr>
      <w:rFonts w:ascii="@宋体" w:hAnsi="Times New Roman" w:eastAsia="宋体" w:cs="Times New Roman"/>
      <w:kern w:val="0"/>
      <w:szCs w:val="20"/>
    </w:rPr>
  </w:style>
  <w:style w:type="paragraph" w:customStyle="1" w:styleId="370">
    <w:name w:val="正文缩进11"/>
    <w:basedOn w:val="1"/>
    <w:qFormat/>
    <w:uiPriority w:val="0"/>
    <w:pPr>
      <w:adjustRightInd w:val="0"/>
      <w:snapToGrid w:val="0"/>
      <w:spacing w:line="360" w:lineRule="auto"/>
      <w:ind w:firstLine="420" w:firstLineChars="200"/>
    </w:pPr>
    <w:rPr>
      <w:rFonts w:ascii="Times New Roman" w:hAnsi="Times New Roman" w:eastAsia="宋体" w:cs="Times New Roman"/>
      <w:snapToGrid/>
      <w:sz w:val="28"/>
      <w:szCs w:val="24"/>
    </w:rPr>
  </w:style>
  <w:style w:type="paragraph" w:customStyle="1" w:styleId="371">
    <w:name w:val="表 头"/>
    <w:basedOn w:val="1"/>
    <w:qFormat/>
    <w:uiPriority w:val="0"/>
    <w:pPr>
      <w:adjustRightInd w:val="0"/>
      <w:spacing w:before="120" w:after="120" w:line="360" w:lineRule="atLeast"/>
      <w:jc w:val="center"/>
    </w:pPr>
    <w:rPr>
      <w:rFonts w:ascii="Times New Roman" w:hAnsi="Times New Roman" w:eastAsia="黑体" w:cs="Times New Roman"/>
      <w:bCs/>
      <w:color w:val="000000"/>
      <w:kern w:val="0"/>
      <w:szCs w:val="21"/>
      <w:lang w:val="zh-CN"/>
    </w:rPr>
  </w:style>
  <w:style w:type="paragraph" w:customStyle="1" w:styleId="372">
    <w:name w:val="文本块3"/>
    <w:basedOn w:val="1"/>
    <w:qFormat/>
    <w:uiPriority w:val="0"/>
    <w:pPr>
      <w:spacing w:after="120"/>
      <w:ind w:left="1440" w:leftChars="700" w:right="1440" w:rightChars="700"/>
    </w:pPr>
    <w:rPr>
      <w:rFonts w:ascii="Times New Roman" w:hAnsi="Times New Roman" w:eastAsia="宋体" w:cs="Times New Roman"/>
      <w:szCs w:val="20"/>
    </w:rPr>
  </w:style>
  <w:style w:type="paragraph" w:customStyle="1" w:styleId="373">
    <w:name w:val="索引 22"/>
    <w:basedOn w:val="1"/>
    <w:next w:val="1"/>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374">
    <w:name w:val="xl1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375">
    <w:name w:val="图表文字"/>
    <w:next w:val="1"/>
    <w:qFormat/>
    <w:uiPriority w:val="0"/>
    <w:pPr>
      <w:jc w:val="center"/>
    </w:pPr>
    <w:rPr>
      <w:rFonts w:ascii="Times New Roman" w:hAnsi="Times New Roman" w:eastAsia="宋体" w:cs="Times New Roman"/>
      <w:kern w:val="2"/>
      <w:sz w:val="21"/>
      <w:szCs w:val="24"/>
      <w:lang w:val="en-US" w:eastAsia="zh-CN" w:bidi="ar-SA"/>
    </w:rPr>
  </w:style>
  <w:style w:type="paragraph" w:customStyle="1" w:styleId="376">
    <w:name w:val="xl72"/>
    <w:basedOn w:val="1"/>
    <w:qFormat/>
    <w:uiPriority w:val="0"/>
    <w:pPr>
      <w:widowControl/>
      <w:spacing w:before="100" w:beforeAutospacing="1" w:after="100" w:afterAutospacing="1"/>
      <w:jc w:val="center"/>
      <w:textAlignment w:val="center"/>
    </w:pPr>
    <w:rPr>
      <w:rFonts w:ascii="宋体" w:hAnsi="宋体" w:eastAsia="宋体" w:cs="宋体"/>
      <w:kern w:val="0"/>
      <w:sz w:val="22"/>
    </w:rPr>
  </w:style>
  <w:style w:type="paragraph" w:customStyle="1" w:styleId="377">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FF0000"/>
      <w:kern w:val="0"/>
      <w:sz w:val="20"/>
      <w:szCs w:val="20"/>
    </w:rPr>
  </w:style>
  <w:style w:type="paragraph" w:customStyle="1" w:styleId="378">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79">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380">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381">
    <w:name w:val="7表后注"/>
    <w:basedOn w:val="1"/>
    <w:qFormat/>
    <w:uiPriority w:val="0"/>
    <w:pPr>
      <w:snapToGrid w:val="0"/>
    </w:pPr>
    <w:rPr>
      <w:rFonts w:ascii="Times New Roman" w:hAnsi="Times New Roman" w:eastAsia="宋体" w:cs="Times New Roman"/>
      <w:color w:val="000000"/>
      <w:szCs w:val="21"/>
    </w:rPr>
  </w:style>
  <w:style w:type="paragraph" w:customStyle="1" w:styleId="382">
    <w:name w:val="样式 正文文本缩进 + 居中"/>
    <w:basedOn w:val="20"/>
    <w:qFormat/>
    <w:uiPriority w:val="0"/>
    <w:pPr>
      <w:ind w:left="0" w:leftChars="0"/>
      <w:jc w:val="center"/>
    </w:pPr>
    <w:rPr>
      <w:rFonts w:ascii="Times New Roman" w:hAnsi="Times New Roman" w:eastAsia="宋体" w:cs="宋体"/>
      <w:szCs w:val="20"/>
    </w:rPr>
  </w:style>
  <w:style w:type="paragraph" w:customStyle="1" w:styleId="383">
    <w:name w:val="_Style 379"/>
    <w:basedOn w:val="3"/>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384">
    <w:name w:val="表格1"/>
    <w:basedOn w:val="1"/>
    <w:qFormat/>
    <w:uiPriority w:val="0"/>
    <w:pPr>
      <w:spacing w:line="320" w:lineRule="exact"/>
      <w:jc w:val="center"/>
    </w:pPr>
    <w:rPr>
      <w:rFonts w:ascii="Times New Roman" w:hAnsi="Times New Roman" w:eastAsia="宋体" w:cs="Times New Roman"/>
      <w:bCs/>
      <w:spacing w:val="6"/>
      <w:kern w:val="0"/>
      <w:szCs w:val="21"/>
    </w:rPr>
  </w:style>
  <w:style w:type="paragraph" w:customStyle="1" w:styleId="385">
    <w:name w:val="11标题 3"/>
    <w:basedOn w:val="5"/>
    <w:qFormat/>
    <w:uiPriority w:val="0"/>
    <w:rPr>
      <w:rFonts w:eastAsia="方正仿宋_GB2312"/>
      <w:sz w:val="28"/>
      <w:szCs w:val="28"/>
    </w:rPr>
  </w:style>
  <w:style w:type="paragraph" w:customStyle="1" w:styleId="386">
    <w:name w:val="正文文本缩进 32"/>
    <w:basedOn w:val="1"/>
    <w:qFormat/>
    <w:uiPriority w:val="0"/>
    <w:pPr>
      <w:spacing w:after="120"/>
      <w:ind w:left="420" w:leftChars="200"/>
    </w:pPr>
    <w:rPr>
      <w:rFonts w:ascii="Times New Roman" w:hAnsi="Times New Roman" w:eastAsia="宋体" w:cs="Times New Roman"/>
      <w:sz w:val="16"/>
      <w:szCs w:val="16"/>
    </w:rPr>
  </w:style>
  <w:style w:type="paragraph" w:customStyle="1" w:styleId="387">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388">
    <w:name w:val="正文文本 211"/>
    <w:basedOn w:val="1"/>
    <w:qFormat/>
    <w:uiPriority w:val="0"/>
    <w:pPr>
      <w:spacing w:after="120" w:line="480" w:lineRule="auto"/>
    </w:pPr>
    <w:rPr>
      <w:rFonts w:ascii="Times New Roman" w:hAnsi="Times New Roman" w:eastAsia="宋体" w:cs="Times New Roman"/>
      <w:szCs w:val="24"/>
    </w:rPr>
  </w:style>
  <w:style w:type="paragraph" w:customStyle="1" w:styleId="389">
    <w:name w:val="样式 标题 4 + 三号 段前: 7.8 磅 段后: 7.8 磅"/>
    <w:basedOn w:val="6"/>
    <w:qFormat/>
    <w:uiPriority w:val="0"/>
    <w:pPr>
      <w:spacing w:before="156" w:after="156" w:line="377" w:lineRule="auto"/>
    </w:pPr>
    <w:rPr>
      <w:rFonts w:ascii="Times New Roman" w:hAnsi="Times New Roman" w:cs="宋体"/>
      <w:szCs w:val="20"/>
    </w:rPr>
  </w:style>
  <w:style w:type="paragraph" w:customStyle="1" w:styleId="390">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91">
    <w:name w:val="CM21"/>
    <w:basedOn w:val="62"/>
    <w:next w:val="62"/>
    <w:qFormat/>
    <w:uiPriority w:val="0"/>
    <w:pPr>
      <w:spacing w:after="210"/>
    </w:pPr>
    <w:rPr>
      <w:rFonts w:ascii="黑体" w:hAnsi="Times New Roman" w:eastAsia="黑体" w:cs="Times New Roman"/>
      <w:color w:val="auto"/>
    </w:rPr>
  </w:style>
  <w:style w:type="paragraph" w:customStyle="1" w:styleId="392">
    <w:name w:val="报告表正文"/>
    <w:basedOn w:val="1"/>
    <w:qFormat/>
    <w:uiPriority w:val="0"/>
    <w:pPr>
      <w:adjustRightInd w:val="0"/>
      <w:spacing w:line="312" w:lineRule="auto"/>
      <w:ind w:left="113" w:right="113" w:firstLine="482"/>
      <w:jc w:val="left"/>
      <w:textAlignment w:val="baseline"/>
    </w:pPr>
    <w:rPr>
      <w:rFonts w:ascii="Times New Roman" w:hAnsi="Times New Roman" w:eastAsia="宋体" w:cs="Times New Roman"/>
      <w:kern w:val="0"/>
      <w:sz w:val="24"/>
      <w:szCs w:val="20"/>
    </w:rPr>
  </w:style>
  <w:style w:type="paragraph" w:customStyle="1" w:styleId="393">
    <w:name w:val="xl15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94">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95">
    <w:name w:val="表格，五宋"/>
    <w:qFormat/>
    <w:uiPriority w:val="0"/>
    <w:pPr>
      <w:adjustRightInd w:val="0"/>
      <w:snapToGrid w:val="0"/>
      <w:jc w:val="center"/>
    </w:pPr>
    <w:rPr>
      <w:rFonts w:ascii="Times New Roman" w:hAnsi="Times New Roman" w:eastAsia="宋体" w:cs="Times New Roman"/>
      <w:snapToGrid w:val="0"/>
      <w:sz w:val="24"/>
      <w:lang w:val="en-US" w:eastAsia="zh-CN" w:bidi="ar-SA"/>
    </w:rPr>
  </w:style>
  <w:style w:type="paragraph" w:customStyle="1" w:styleId="396">
    <w:name w:val="CM107"/>
    <w:basedOn w:val="62"/>
    <w:next w:val="62"/>
    <w:qFormat/>
    <w:uiPriority w:val="0"/>
    <w:pPr>
      <w:spacing w:after="127"/>
    </w:pPr>
    <w:rPr>
      <w:rFonts w:ascii="Simplex" w:hAnsi="Times New Roman" w:eastAsia="Simplex" w:cs="Simplex"/>
      <w:color w:val="auto"/>
    </w:rPr>
  </w:style>
  <w:style w:type="paragraph" w:customStyle="1" w:styleId="397">
    <w:name w:val="xl14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98">
    <w:name w:val="CM64"/>
    <w:basedOn w:val="62"/>
    <w:next w:val="62"/>
    <w:autoRedefine/>
    <w:qFormat/>
    <w:uiPriority w:val="0"/>
    <w:rPr>
      <w:color w:val="auto"/>
    </w:rPr>
  </w:style>
  <w:style w:type="paragraph" w:customStyle="1" w:styleId="399">
    <w:name w:val="标题 A"/>
    <w:basedOn w:val="1"/>
    <w:next w:val="1"/>
    <w:autoRedefine/>
    <w:qFormat/>
    <w:uiPriority w:val="0"/>
    <w:pPr>
      <w:tabs>
        <w:tab w:val="left" w:pos="3437"/>
      </w:tabs>
      <w:spacing w:line="360" w:lineRule="auto"/>
      <w:ind w:left="3437" w:hanging="737"/>
    </w:pPr>
    <w:rPr>
      <w:rFonts w:ascii="Times New Roman" w:hAnsi="Times New Roman" w:eastAsia="宋体" w:cs="Times New Roman"/>
      <w:b/>
      <w:sz w:val="28"/>
      <w:szCs w:val="20"/>
    </w:rPr>
  </w:style>
  <w:style w:type="paragraph" w:customStyle="1" w:styleId="400">
    <w:name w:val="x.x(1)"/>
    <w:basedOn w:val="1"/>
    <w:autoRedefine/>
    <w:qFormat/>
    <w:uiPriority w:val="0"/>
    <w:pPr>
      <w:widowControl/>
      <w:autoSpaceDE w:val="0"/>
      <w:autoSpaceDN w:val="0"/>
      <w:adjustRightInd w:val="0"/>
      <w:snapToGrid w:val="0"/>
      <w:spacing w:line="300" w:lineRule="auto"/>
      <w:ind w:left="1134" w:hanging="567"/>
    </w:pPr>
    <w:rPr>
      <w:rFonts w:ascii="Arial" w:hAnsi="Arial" w:eastAsia="MS PGothic" w:cs="Times New Roman"/>
      <w:snapToGrid/>
      <w:kern w:val="0"/>
      <w:sz w:val="22"/>
      <w:szCs w:val="20"/>
      <w:lang w:eastAsia="ja-JP"/>
    </w:rPr>
  </w:style>
  <w:style w:type="paragraph" w:customStyle="1" w:styleId="401">
    <w:name w:val="标题2"/>
    <w:basedOn w:val="1"/>
    <w:next w:val="1"/>
    <w:autoRedefine/>
    <w:qFormat/>
    <w:uiPriority w:val="0"/>
    <w:pPr>
      <w:adjustRightInd w:val="0"/>
      <w:snapToGrid w:val="0"/>
      <w:spacing w:before="312" w:beforeLines="100" w:after="240" w:line="360" w:lineRule="auto"/>
    </w:pPr>
    <w:rPr>
      <w:rFonts w:ascii="Times New Roman" w:hAnsi="Times New Roman" w:eastAsia="黑体" w:cs="Times New Roman"/>
      <w:kern w:val="0"/>
      <w:sz w:val="24"/>
      <w:szCs w:val="20"/>
    </w:rPr>
  </w:style>
  <w:style w:type="paragraph" w:customStyle="1" w:styleId="402">
    <w:name w:val=".."/>
    <w:basedOn w:val="62"/>
    <w:next w:val="62"/>
    <w:autoRedefine/>
    <w:qFormat/>
    <w:uiPriority w:val="0"/>
    <w:rPr>
      <w:rFonts w:ascii="Times New Roman" w:hAnsi="Times New Roman" w:eastAsia="宋体" w:cs="Times New Roman"/>
      <w:color w:val="auto"/>
    </w:rPr>
  </w:style>
  <w:style w:type="paragraph" w:customStyle="1" w:styleId="403">
    <w:name w:val="索引 111"/>
    <w:basedOn w:val="1"/>
    <w:next w:val="1"/>
    <w:autoRedefine/>
    <w:qFormat/>
    <w:uiPriority w:val="0"/>
    <w:rPr>
      <w:rFonts w:ascii="Times New Roman" w:hAnsi="Times New Roman" w:eastAsia="宋体" w:cs="Times New Roman"/>
      <w:szCs w:val="24"/>
    </w:rPr>
  </w:style>
  <w:style w:type="paragraph" w:customStyle="1" w:styleId="404">
    <w:name w:val="xl94"/>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18"/>
      <w:szCs w:val="18"/>
    </w:rPr>
  </w:style>
  <w:style w:type="paragraph" w:customStyle="1" w:styleId="405">
    <w:name w:val="xl10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06">
    <w:name w:val="CM68"/>
    <w:basedOn w:val="1"/>
    <w:next w:val="1"/>
    <w:autoRedefine/>
    <w:qFormat/>
    <w:uiPriority w:val="0"/>
    <w:pPr>
      <w:autoSpaceDE w:val="0"/>
      <w:autoSpaceDN w:val="0"/>
      <w:adjustRightInd w:val="0"/>
      <w:spacing w:line="468" w:lineRule="atLeast"/>
      <w:jc w:val="left"/>
    </w:pPr>
    <w:rPr>
      <w:rFonts w:ascii="Simplex" w:hAnsi="Times New Roman" w:eastAsia="Simplex" w:cs="Simplex"/>
      <w:kern w:val="0"/>
      <w:sz w:val="24"/>
      <w:szCs w:val="24"/>
    </w:rPr>
  </w:style>
  <w:style w:type="paragraph" w:customStyle="1" w:styleId="407">
    <w:name w:val="5表标题"/>
    <w:autoRedefine/>
    <w:qFormat/>
    <w:uiPriority w:val="0"/>
    <w:pPr>
      <w:jc w:val="center"/>
    </w:pPr>
    <w:rPr>
      <w:rFonts w:ascii="Times New Roman" w:hAnsi="Times New Roman" w:eastAsia="宋体" w:cs="宋体"/>
      <w:b/>
      <w:bCs/>
      <w:kern w:val="2"/>
      <w:sz w:val="21"/>
      <w:lang w:val="en-US" w:eastAsia="zh-CN" w:bidi="ar-SA"/>
    </w:rPr>
  </w:style>
  <w:style w:type="paragraph" w:customStyle="1" w:styleId="408">
    <w:name w:val="ZW"/>
    <w:basedOn w:val="1"/>
    <w:autoRedefine/>
    <w:qFormat/>
    <w:uiPriority w:val="0"/>
    <w:pPr>
      <w:autoSpaceDE w:val="0"/>
      <w:autoSpaceDN w:val="0"/>
      <w:adjustRightInd w:val="0"/>
      <w:ind w:firstLine="397"/>
      <w:textAlignment w:val="baseline"/>
    </w:pPr>
    <w:rPr>
      <w:rFonts w:ascii="@宋体" w:hAnsi="Times New Roman" w:eastAsia="宋体" w:cs="Times New Roman"/>
      <w:kern w:val="0"/>
      <w:sz w:val="13"/>
      <w:szCs w:val="20"/>
    </w:rPr>
  </w:style>
  <w:style w:type="paragraph" w:customStyle="1" w:styleId="409">
    <w:name w:val="图片"/>
    <w:basedOn w:val="1"/>
    <w:autoRedefine/>
    <w:qFormat/>
    <w:uiPriority w:val="0"/>
    <w:pPr>
      <w:spacing w:line="440" w:lineRule="exact"/>
    </w:pPr>
    <w:rPr>
      <w:rFonts w:ascii="Times New Roman" w:hAnsi="Times New Roman" w:eastAsia="宋体" w:cs="Times New Roman"/>
      <w:sz w:val="24"/>
      <w:szCs w:val="24"/>
    </w:rPr>
  </w:style>
  <w:style w:type="paragraph" w:customStyle="1" w:styleId="410">
    <w:name w:val="报告书正文"/>
    <w:basedOn w:val="141"/>
    <w:autoRedefine/>
    <w:qFormat/>
    <w:uiPriority w:val="0"/>
    <w:pPr>
      <w:spacing w:line="300" w:lineRule="auto"/>
      <w:ind w:firstLine="200" w:firstLineChars="200"/>
    </w:pPr>
    <w:rPr>
      <w:rFonts w:eastAsia="宋体"/>
      <w:sz w:val="24"/>
      <w:szCs w:val="20"/>
    </w:rPr>
  </w:style>
  <w:style w:type="paragraph" w:customStyle="1" w:styleId="411">
    <w:name w:val="正文1"/>
    <w:basedOn w:val="1"/>
    <w:autoRedefine/>
    <w:qFormat/>
    <w:uiPriority w:val="0"/>
    <w:pPr>
      <w:snapToGrid w:val="0"/>
      <w:spacing w:line="500" w:lineRule="atLeast"/>
      <w:ind w:firstLine="539"/>
    </w:pPr>
    <w:rPr>
      <w:rFonts w:ascii="宋体" w:hAnsi="Times New Roman" w:eastAsia="宋体" w:cs="Times New Roman"/>
      <w:spacing w:val="14"/>
      <w:sz w:val="24"/>
      <w:szCs w:val="20"/>
    </w:rPr>
  </w:style>
  <w:style w:type="paragraph" w:customStyle="1" w:styleId="412">
    <w:name w:val="正文文本 32"/>
    <w:basedOn w:val="1"/>
    <w:autoRedefine/>
    <w:qFormat/>
    <w:uiPriority w:val="0"/>
    <w:pPr>
      <w:spacing w:after="120"/>
    </w:pPr>
    <w:rPr>
      <w:rFonts w:ascii="Times New Roman" w:hAnsi="Times New Roman" w:eastAsia="宋体" w:cs="Times New Roman"/>
      <w:sz w:val="16"/>
      <w:szCs w:val="16"/>
    </w:rPr>
  </w:style>
  <w:style w:type="paragraph" w:customStyle="1" w:styleId="413">
    <w:name w:val="四级目录"/>
    <w:basedOn w:val="358"/>
    <w:autoRedefine/>
    <w:qFormat/>
    <w:uiPriority w:val="0"/>
    <w:pPr>
      <w:ind w:left="200" w:leftChars="200"/>
    </w:pPr>
  </w:style>
  <w:style w:type="paragraph" w:customStyle="1" w:styleId="414">
    <w:name w:val="HTML 预设格式11"/>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Times New Roman"/>
      <w:sz w:val="24"/>
      <w:szCs w:val="24"/>
    </w:rPr>
  </w:style>
  <w:style w:type="paragraph" w:customStyle="1" w:styleId="415">
    <w:name w:val="xl147"/>
    <w:basedOn w:val="1"/>
    <w:autoRedefine/>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416">
    <w:name w:val="xl71"/>
    <w:basedOn w:val="1"/>
    <w:autoRedefine/>
    <w:qFormat/>
    <w:uiPriority w:val="0"/>
    <w:pPr>
      <w:widowControl/>
      <w:spacing w:before="100" w:beforeAutospacing="1" w:after="100" w:afterAutospacing="1"/>
      <w:jc w:val="center"/>
      <w:textAlignment w:val="center"/>
    </w:pPr>
    <w:rPr>
      <w:rFonts w:ascii="宋体" w:hAnsi="宋体" w:eastAsia="宋体" w:cs="宋体"/>
      <w:kern w:val="0"/>
      <w:sz w:val="22"/>
    </w:rPr>
  </w:style>
  <w:style w:type="paragraph" w:customStyle="1" w:styleId="417">
    <w:name w:val="CM58"/>
    <w:basedOn w:val="1"/>
    <w:next w:val="1"/>
    <w:autoRedefine/>
    <w:qFormat/>
    <w:uiPriority w:val="0"/>
    <w:pPr>
      <w:autoSpaceDE w:val="0"/>
      <w:autoSpaceDN w:val="0"/>
      <w:adjustRightInd w:val="0"/>
      <w:jc w:val="left"/>
    </w:pPr>
    <w:rPr>
      <w:rFonts w:ascii="Simplex" w:hAnsi="Times New Roman" w:eastAsia="Simplex" w:cs="Simplex"/>
      <w:kern w:val="0"/>
      <w:sz w:val="24"/>
      <w:szCs w:val="24"/>
    </w:rPr>
  </w:style>
  <w:style w:type="paragraph" w:customStyle="1" w:styleId="418">
    <w:name w:val="CM26"/>
    <w:basedOn w:val="62"/>
    <w:next w:val="62"/>
    <w:autoRedefine/>
    <w:qFormat/>
    <w:uiPriority w:val="0"/>
    <w:pPr>
      <w:spacing w:line="468" w:lineRule="atLeast"/>
    </w:pPr>
    <w:rPr>
      <w:rFonts w:ascii="宋体" w:eastAsia="宋体" w:cs="Times New Roman"/>
      <w:color w:val="auto"/>
    </w:rPr>
  </w:style>
  <w:style w:type="paragraph" w:customStyle="1" w:styleId="419">
    <w:name w:val="表内文字"/>
    <w:basedOn w:val="1"/>
    <w:autoRedefine/>
    <w:qFormat/>
    <w:uiPriority w:val="0"/>
    <w:pPr>
      <w:spacing w:line="360" w:lineRule="atLeast"/>
      <w:jc w:val="center"/>
    </w:pPr>
  </w:style>
  <w:style w:type="paragraph" w:customStyle="1" w:styleId="420">
    <w:name w:val="样式 列表 + 居中 首行缩进:  2 字符"/>
    <w:basedOn w:val="38"/>
    <w:autoRedefine/>
    <w:qFormat/>
    <w:uiPriority w:val="0"/>
    <w:pPr>
      <w:snapToGrid w:val="0"/>
      <w:spacing w:line="440" w:lineRule="exact"/>
      <w:ind w:left="0" w:firstLine="0" w:firstLineChars="0"/>
      <w:jc w:val="left"/>
    </w:pPr>
    <w:rPr>
      <w:rFonts w:cs="宋体"/>
      <w:szCs w:val="20"/>
    </w:rPr>
  </w:style>
  <w:style w:type="paragraph" w:customStyle="1" w:styleId="421">
    <w:name w:val="xl110"/>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b/>
      <w:bCs/>
      <w:color w:val="000000"/>
      <w:kern w:val="0"/>
      <w:sz w:val="20"/>
      <w:szCs w:val="20"/>
    </w:rPr>
  </w:style>
  <w:style w:type="paragraph" w:customStyle="1" w:styleId="422">
    <w:name w:val="表标题"/>
    <w:basedOn w:val="13"/>
    <w:autoRedefine/>
    <w:qFormat/>
    <w:uiPriority w:val="0"/>
    <w:pPr>
      <w:tabs>
        <w:tab w:val="left" w:pos="1152"/>
        <w:tab w:val="clear" w:pos="567"/>
      </w:tabs>
      <w:spacing w:before="124" w:beforeLines="40" w:after="249" w:afterLines="80" w:line="300" w:lineRule="auto"/>
      <w:ind w:left="1152" w:hanging="1152"/>
      <w:jc w:val="center"/>
    </w:pPr>
    <w:rPr>
      <w:rFonts w:ascii="宋体" w:hAnsi="规范宋体超大字库" w:eastAsia="华文新魏"/>
      <w:szCs w:val="28"/>
    </w:rPr>
  </w:style>
  <w:style w:type="paragraph" w:customStyle="1" w:styleId="423">
    <w:name w:val="表格正文"/>
    <w:basedOn w:val="1"/>
    <w:autoRedefine/>
    <w:qFormat/>
    <w:uiPriority w:val="0"/>
    <w:pPr>
      <w:adjustRightInd w:val="0"/>
      <w:spacing w:line="0" w:lineRule="atLeast"/>
      <w:textAlignment w:val="baseline"/>
    </w:pPr>
    <w:rPr>
      <w:szCs w:val="20"/>
    </w:rPr>
  </w:style>
  <w:style w:type="paragraph" w:customStyle="1" w:styleId="424">
    <w:name w:val="表列"/>
    <w:next w:val="1"/>
    <w:autoRedefine/>
    <w:qFormat/>
    <w:uiPriority w:val="0"/>
    <w:pPr>
      <w:widowControl w:val="0"/>
      <w:jc w:val="center"/>
    </w:pPr>
    <w:rPr>
      <w:rFonts w:ascii="Times New Roman" w:hAnsi="Times New Roman" w:eastAsia="黑体" w:cs="Times New Roman"/>
      <w:kern w:val="2"/>
      <w:sz w:val="21"/>
      <w:szCs w:val="21"/>
      <w:lang w:val="en-US" w:eastAsia="zh-CN" w:bidi="ar-SA"/>
    </w:rPr>
  </w:style>
  <w:style w:type="paragraph" w:customStyle="1" w:styleId="425">
    <w:name w:val="正文缩进2"/>
    <w:basedOn w:val="1"/>
    <w:autoRedefine/>
    <w:qFormat/>
    <w:uiPriority w:val="0"/>
    <w:pPr>
      <w:adjustRightInd w:val="0"/>
      <w:snapToGrid w:val="0"/>
      <w:spacing w:line="360" w:lineRule="auto"/>
      <w:ind w:firstLine="420" w:firstLineChars="200"/>
    </w:pPr>
    <w:rPr>
      <w:rFonts w:ascii="Times New Roman" w:hAnsi="Times New Roman" w:eastAsia="宋体" w:cs="Times New Roman"/>
      <w:snapToGrid/>
      <w:sz w:val="28"/>
      <w:szCs w:val="24"/>
    </w:rPr>
  </w:style>
  <w:style w:type="paragraph" w:customStyle="1" w:styleId="426">
    <w:name w:val="表格文字图表文字居中"/>
    <w:basedOn w:val="1"/>
    <w:autoRedefine/>
    <w:qFormat/>
    <w:uiPriority w:val="0"/>
    <w:pPr>
      <w:snapToGrid w:val="0"/>
      <w:jc w:val="center"/>
    </w:pPr>
    <w:rPr>
      <w:rFonts w:ascii="Times New Roman" w:hAnsi="Times New Roman" w:eastAsia="宋体" w:cs="宋体"/>
      <w:sz w:val="24"/>
      <w:szCs w:val="20"/>
    </w:rPr>
  </w:style>
  <w:style w:type="paragraph" w:customStyle="1" w:styleId="427">
    <w:name w:val="样式2"/>
    <w:basedOn w:val="1"/>
    <w:autoRedefine/>
    <w:qFormat/>
    <w:uiPriority w:val="0"/>
    <w:pPr>
      <w:keepNext/>
      <w:keepLines/>
      <w:spacing w:before="260" w:after="260" w:line="360" w:lineRule="auto"/>
      <w:jc w:val="left"/>
      <w:outlineLvl w:val="1"/>
    </w:pPr>
    <w:rPr>
      <w:rFonts w:ascii="Times New Roman" w:hAnsi="Times New Roman" w:eastAsia="方正仿宋_GB2312" w:cs="Times New Roman"/>
      <w:b/>
      <w:bCs/>
      <w:sz w:val="28"/>
      <w:szCs w:val="28"/>
    </w:rPr>
  </w:style>
  <w:style w:type="paragraph" w:customStyle="1" w:styleId="428">
    <w:name w:val="HTML 预设格式2"/>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Times New Roman"/>
      <w:sz w:val="24"/>
      <w:szCs w:val="24"/>
    </w:rPr>
  </w:style>
  <w:style w:type="paragraph" w:customStyle="1" w:styleId="429">
    <w:name w:val="xl4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430">
    <w:name w:val="样式 标题 1 + 华文中宋 两端对齐 左侧:  0 厘米"/>
    <w:basedOn w:val="3"/>
    <w:autoRedefine/>
    <w:qFormat/>
    <w:uiPriority w:val="0"/>
    <w:pPr>
      <w:tabs>
        <w:tab w:val="left" w:pos="720"/>
      </w:tabs>
      <w:spacing w:line="240" w:lineRule="auto"/>
      <w:ind w:left="720" w:hanging="720"/>
    </w:pPr>
    <w:rPr>
      <w:rFonts w:ascii="华文中宋" w:hAnsi="华文中宋" w:eastAsia="华文中宋" w:cs="宋体"/>
    </w:rPr>
  </w:style>
  <w:style w:type="paragraph" w:customStyle="1" w:styleId="431">
    <w:name w:val="+列表1"/>
    <w:basedOn w:val="1"/>
    <w:autoRedefine/>
    <w:qFormat/>
    <w:uiPriority w:val="0"/>
    <w:pPr>
      <w:jc w:val="center"/>
    </w:pPr>
    <w:rPr>
      <w:szCs w:val="24"/>
    </w:rPr>
  </w:style>
  <w:style w:type="paragraph" w:customStyle="1" w:styleId="432">
    <w:name w:val="xl10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33">
    <w:name w:val="april标题2"/>
    <w:basedOn w:val="4"/>
    <w:autoRedefine/>
    <w:qFormat/>
    <w:uiPriority w:val="0"/>
    <w:pPr>
      <w:adjustRightInd w:val="0"/>
      <w:spacing w:before="240" w:after="0" w:line="360" w:lineRule="auto"/>
      <w:textAlignment w:val="baseline"/>
    </w:pPr>
    <w:rPr>
      <w:rFonts w:ascii="Times New Roman" w:hAnsi="Times New Roman" w:eastAsia="宋体"/>
      <w:bCs w:val="0"/>
      <w:spacing w:val="6"/>
      <w:kern w:val="0"/>
      <w:sz w:val="28"/>
      <w:szCs w:val="20"/>
    </w:rPr>
  </w:style>
  <w:style w:type="paragraph" w:customStyle="1" w:styleId="434">
    <w:name w:val="Table Paragraph"/>
    <w:basedOn w:val="1"/>
    <w:autoRedefine/>
    <w:qFormat/>
    <w:uiPriority w:val="1"/>
    <w:pPr>
      <w:jc w:val="left"/>
    </w:pPr>
    <w:rPr>
      <w:kern w:val="0"/>
      <w:sz w:val="22"/>
      <w:lang w:eastAsia="en-US"/>
    </w:rPr>
  </w:style>
  <w:style w:type="paragraph" w:customStyle="1" w:styleId="435">
    <w:name w:val="普通(网站)2"/>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36">
    <w:name w:val="CM43"/>
    <w:basedOn w:val="62"/>
    <w:next w:val="62"/>
    <w:autoRedefine/>
    <w:qFormat/>
    <w:uiPriority w:val="99"/>
    <w:pPr>
      <w:spacing w:line="500" w:lineRule="atLeast"/>
      <w:jc w:val="left"/>
      <w:textAlignment w:val="auto"/>
    </w:pPr>
    <w:rPr>
      <w:rFonts w:ascii="宋体" w:hAnsi="Calibri"/>
      <w:color w:val="auto"/>
    </w:rPr>
  </w:style>
  <w:style w:type="paragraph" w:customStyle="1" w:styleId="437">
    <w:name w:val="font10"/>
    <w:basedOn w:val="1"/>
    <w:autoRedefine/>
    <w:qFormat/>
    <w:uiPriority w:val="0"/>
    <w:pPr>
      <w:widowControl/>
      <w:spacing w:before="100" w:beforeAutospacing="1" w:after="100" w:afterAutospacing="1"/>
      <w:jc w:val="left"/>
    </w:pPr>
    <w:rPr>
      <w:rFonts w:ascii="Tahoma" w:hAnsi="Tahoma" w:eastAsia="宋体" w:cs="Tahoma"/>
      <w:b/>
      <w:bCs/>
      <w:color w:val="000000"/>
      <w:kern w:val="0"/>
      <w:sz w:val="18"/>
      <w:szCs w:val="18"/>
    </w:rPr>
  </w:style>
  <w:style w:type="paragraph" w:customStyle="1" w:styleId="438">
    <w:name w:val="xl9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39">
    <w:name w:val="xl89"/>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40">
    <w:name w:val="批注主题21"/>
    <w:basedOn w:val="18"/>
    <w:next w:val="18"/>
    <w:autoRedefine/>
    <w:qFormat/>
    <w:uiPriority w:val="0"/>
    <w:rPr>
      <w:rFonts w:ascii="Times New Roman" w:hAnsi="Times New Roman" w:eastAsia="宋体" w:cs="Times New Roman"/>
      <w:b/>
      <w:bCs/>
      <w:szCs w:val="24"/>
    </w:rPr>
  </w:style>
  <w:style w:type="paragraph" w:customStyle="1" w:styleId="441">
    <w:name w:val="论文正文"/>
    <w:basedOn w:val="14"/>
    <w:autoRedefine/>
    <w:qFormat/>
    <w:uiPriority w:val="0"/>
    <w:pPr>
      <w:ind w:firstLine="480" w:firstLineChars="200"/>
    </w:pPr>
    <w:rPr>
      <w:rFonts w:ascii="宋体" w:hAnsi="宋体"/>
      <w:sz w:val="28"/>
      <w:szCs w:val="24"/>
      <w:lang w:val="en-US"/>
    </w:rPr>
  </w:style>
  <w:style w:type="paragraph" w:customStyle="1" w:styleId="442">
    <w:name w:val="xl80"/>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43">
    <w:name w:val="CM7"/>
    <w:basedOn w:val="62"/>
    <w:next w:val="62"/>
    <w:autoRedefine/>
    <w:qFormat/>
    <w:uiPriority w:val="0"/>
    <w:pPr>
      <w:spacing w:line="280" w:lineRule="atLeast"/>
    </w:pPr>
    <w:rPr>
      <w:rFonts w:ascii="宋体" w:hAnsi="Times New Roman" w:eastAsia="宋体" w:cs="Times New Roman"/>
      <w:color w:val="auto"/>
    </w:rPr>
  </w:style>
  <w:style w:type="paragraph" w:customStyle="1" w:styleId="444">
    <w:name w:val="普通文字"/>
    <w:basedOn w:val="1"/>
    <w:autoRedefine/>
    <w:qFormat/>
    <w:uiPriority w:val="0"/>
    <w:pPr>
      <w:widowControl/>
      <w:spacing w:line="351" w:lineRule="atLeast"/>
      <w:ind w:firstLine="419"/>
      <w:textAlignment w:val="baseline"/>
    </w:pPr>
    <w:rPr>
      <w:rFonts w:ascii="宋体" w:hAnsi="Times New Roman" w:eastAsia="宋体" w:cs="Times New Roman"/>
      <w:color w:val="000000"/>
      <w:kern w:val="0"/>
      <w:szCs w:val="20"/>
      <w:u w:val="none" w:color="000000"/>
    </w:rPr>
  </w:style>
  <w:style w:type="paragraph" w:customStyle="1" w:styleId="445">
    <w:name w:val="正文文本 22"/>
    <w:basedOn w:val="1"/>
    <w:autoRedefine/>
    <w:qFormat/>
    <w:uiPriority w:val="0"/>
    <w:pPr>
      <w:spacing w:after="120" w:line="480" w:lineRule="auto"/>
    </w:pPr>
    <w:rPr>
      <w:rFonts w:ascii="Times New Roman" w:hAnsi="Times New Roman" w:eastAsia="宋体" w:cs="Times New Roman"/>
      <w:szCs w:val="24"/>
    </w:rPr>
  </w:style>
  <w:style w:type="paragraph" w:customStyle="1" w:styleId="446">
    <w:name w:val="图-标题"/>
    <w:next w:val="1"/>
    <w:autoRedefine/>
    <w:qFormat/>
    <w:uiPriority w:val="0"/>
    <w:pPr>
      <w:jc w:val="center"/>
    </w:pPr>
    <w:rPr>
      <w:rFonts w:ascii="Times New Roman" w:hAnsi="Times New Roman" w:eastAsia="宋体" w:cs="Times New Roman"/>
      <w:b/>
      <w:bCs/>
      <w:kern w:val="2"/>
      <w:sz w:val="24"/>
      <w:szCs w:val="24"/>
      <w:lang w:val="en-US" w:eastAsia="zh-CN" w:bidi="en-US"/>
    </w:rPr>
  </w:style>
  <w:style w:type="paragraph" w:customStyle="1" w:styleId="447">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48">
    <w:name w:val="表头　嵌入图片"/>
    <w:basedOn w:val="1"/>
    <w:autoRedefine/>
    <w:qFormat/>
    <w:uiPriority w:val="0"/>
    <w:pPr>
      <w:jc w:val="center"/>
    </w:pPr>
    <w:rPr>
      <w:rFonts w:ascii="Times New Roman" w:hAnsi="Times New Roman" w:eastAsia="宋体" w:cs="宋体"/>
      <w:sz w:val="24"/>
      <w:szCs w:val="24"/>
    </w:rPr>
  </w:style>
  <w:style w:type="paragraph" w:customStyle="1" w:styleId="449">
    <w:name w:val="xl148"/>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450">
    <w:name w:val="CM70"/>
    <w:basedOn w:val="62"/>
    <w:next w:val="62"/>
    <w:autoRedefine/>
    <w:qFormat/>
    <w:uiPriority w:val="0"/>
    <w:pPr>
      <w:spacing w:after="308"/>
    </w:pPr>
    <w:rPr>
      <w:rFonts w:ascii="宋体" w:eastAsia="宋体" w:cs="Times New Roman"/>
      <w:color w:val="auto"/>
    </w:rPr>
  </w:style>
  <w:style w:type="paragraph" w:customStyle="1" w:styleId="451">
    <w:name w:val="Char1 Char Char Char Char Char Char1 Char Char Char"/>
    <w:basedOn w:val="1"/>
    <w:autoRedefine/>
    <w:qFormat/>
    <w:uiPriority w:val="0"/>
    <w:pPr>
      <w:spacing w:line="360" w:lineRule="auto"/>
      <w:ind w:firstLine="200" w:firstLineChars="200"/>
    </w:pPr>
    <w:rPr>
      <w:rFonts w:ascii="宋体" w:hAnsi="宋体" w:eastAsia="宋体" w:cs="宋体"/>
      <w:sz w:val="24"/>
      <w:szCs w:val="24"/>
    </w:rPr>
  </w:style>
  <w:style w:type="paragraph" w:customStyle="1" w:styleId="452">
    <w:name w:val="批注主题1"/>
    <w:basedOn w:val="18"/>
    <w:next w:val="18"/>
    <w:autoRedefine/>
    <w:qFormat/>
    <w:uiPriority w:val="0"/>
    <w:rPr>
      <w:rFonts w:ascii="Times New Roman" w:hAnsi="Times New Roman" w:eastAsia="宋体" w:cs="Times New Roman"/>
      <w:b/>
      <w:bCs/>
      <w:szCs w:val="24"/>
    </w:rPr>
  </w:style>
  <w:style w:type="paragraph" w:customStyle="1" w:styleId="453">
    <w:name w:val="xl1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454">
    <w:name w:val="Char1"/>
    <w:basedOn w:val="1"/>
    <w:autoRedefine/>
    <w:qFormat/>
    <w:uiPriority w:val="0"/>
    <w:pPr>
      <w:spacing w:line="360" w:lineRule="auto"/>
      <w:ind w:firstLine="200" w:firstLineChars="200"/>
    </w:pPr>
    <w:rPr>
      <w:rFonts w:ascii="宋体" w:hAnsi="宋体" w:eastAsia="宋体" w:cs="宋体"/>
      <w:sz w:val="24"/>
      <w:szCs w:val="24"/>
    </w:rPr>
  </w:style>
  <w:style w:type="paragraph" w:customStyle="1" w:styleId="455">
    <w:name w:val="xl12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456">
    <w:name w:val="样式 正文缩进正文（首行缩进两字） + 段后: 0.1 行"/>
    <w:basedOn w:val="164"/>
    <w:autoRedefine/>
    <w:qFormat/>
    <w:uiPriority w:val="0"/>
    <w:pPr>
      <w:widowControl/>
      <w:adjustRightInd/>
      <w:snapToGrid/>
      <w:spacing w:after="31" w:afterLines="10" w:line="400" w:lineRule="exact"/>
      <w:ind w:firstLine="482" w:firstLineChars="0"/>
    </w:pPr>
    <w:rPr>
      <w:snapToGrid/>
      <w:sz w:val="24"/>
      <w:szCs w:val="20"/>
      <w:lang w:val="zh-CN"/>
    </w:rPr>
  </w:style>
  <w:style w:type="paragraph" w:customStyle="1" w:styleId="457">
    <w:name w:val="Char Char Char Char"/>
    <w:basedOn w:val="1"/>
    <w:autoRedefine/>
    <w:qFormat/>
    <w:uiPriority w:val="0"/>
    <w:rPr>
      <w:rFonts w:ascii="Times New Roman" w:hAnsi="Times New Roman" w:eastAsia="宋体" w:cs="Times New Roman"/>
      <w:sz w:val="24"/>
      <w:szCs w:val="24"/>
    </w:rPr>
  </w:style>
  <w:style w:type="paragraph" w:customStyle="1" w:styleId="458">
    <w:name w:val="L填表内容"/>
    <w:basedOn w:val="1"/>
    <w:autoRedefine/>
    <w:qFormat/>
    <w:uiPriority w:val="0"/>
    <w:pPr>
      <w:adjustRightInd w:val="0"/>
      <w:spacing w:line="240" w:lineRule="auto"/>
      <w:ind w:firstLine="0" w:firstLineChars="0"/>
      <w:jc w:val="center"/>
      <w:textAlignment w:val="baseline"/>
    </w:pPr>
    <w:rPr>
      <w:rFonts w:ascii="Times New Roman" w:hAnsi="Times New Roman" w:eastAsia="宋体"/>
      <w:kern w:val="0"/>
      <w:sz w:val="21"/>
      <w:szCs w:val="20"/>
    </w:rPr>
  </w:style>
  <w:style w:type="paragraph" w:customStyle="1" w:styleId="459">
    <w:name w:val="+(1)"/>
    <w:basedOn w:val="1"/>
    <w:autoRedefine/>
    <w:qFormat/>
    <w:uiPriority w:val="0"/>
    <w:pPr>
      <w:tabs>
        <w:tab w:val="left" w:pos="1260"/>
      </w:tabs>
      <w:spacing w:line="360" w:lineRule="auto"/>
      <w:ind w:left="1260" w:hanging="420"/>
    </w:pPr>
    <w:rPr>
      <w:rFonts w:ascii="Times New Roman" w:hAnsi="Times New Roman" w:eastAsia="宋体" w:cs="Times New Roman"/>
      <w:sz w:val="24"/>
      <w:szCs w:val="28"/>
    </w:rPr>
  </w:style>
  <w:style w:type="paragraph" w:customStyle="1" w:styleId="460">
    <w:name w:val="BG5-"/>
    <w:basedOn w:val="1"/>
    <w:autoRedefine/>
    <w:qFormat/>
    <w:uiPriority w:val="0"/>
    <w:pPr>
      <w:autoSpaceDE w:val="0"/>
      <w:autoSpaceDN w:val="0"/>
      <w:adjustRightInd w:val="0"/>
      <w:spacing w:line="180" w:lineRule="exact"/>
      <w:jc w:val="center"/>
      <w:textAlignment w:val="baseline"/>
    </w:pPr>
    <w:rPr>
      <w:rFonts w:ascii="@宋体" w:hAnsi="Times New Roman" w:eastAsia="宋体" w:cs="Times New Roman"/>
      <w:kern w:val="0"/>
      <w:sz w:val="18"/>
      <w:szCs w:val="20"/>
    </w:rPr>
  </w:style>
  <w:style w:type="paragraph" w:customStyle="1" w:styleId="461">
    <w:name w:val="xl11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62">
    <w:name w:val="正文文本缩进 211"/>
    <w:basedOn w:val="1"/>
    <w:autoRedefine/>
    <w:qFormat/>
    <w:uiPriority w:val="0"/>
    <w:pPr>
      <w:spacing w:line="560" w:lineRule="exact"/>
      <w:ind w:firstLine="560" w:firstLineChars="200"/>
    </w:pPr>
    <w:rPr>
      <w:rFonts w:ascii="方正仿宋_GB2312" w:hAnsi="宋体" w:eastAsia="方正仿宋_GB2312" w:cs="Times New Roman"/>
      <w:sz w:val="28"/>
      <w:szCs w:val="28"/>
    </w:rPr>
  </w:style>
  <w:style w:type="paragraph" w:customStyle="1" w:styleId="463">
    <w:name w:val="日期11"/>
    <w:basedOn w:val="1"/>
    <w:next w:val="1"/>
    <w:autoRedefine/>
    <w:qFormat/>
    <w:uiPriority w:val="0"/>
    <w:pPr>
      <w:autoSpaceDE w:val="0"/>
      <w:autoSpaceDN w:val="0"/>
      <w:adjustRightInd w:val="0"/>
      <w:textAlignment w:val="baseline"/>
    </w:pPr>
    <w:rPr>
      <w:rFonts w:ascii="Times New Roman" w:hAnsi="Times New Roman" w:eastAsia="宋体" w:cs="Times New Roman"/>
      <w:spacing w:val="5"/>
      <w:kern w:val="0"/>
      <w:sz w:val="24"/>
      <w:szCs w:val="20"/>
    </w:rPr>
  </w:style>
  <w:style w:type="paragraph" w:customStyle="1" w:styleId="464">
    <w:name w:val="xl12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465">
    <w:name w:val="Char Char Char Char Char Char Char Char Char Char"/>
    <w:autoRedefine/>
    <w:qFormat/>
    <w:uiPriority w:val="0"/>
    <w:pPr>
      <w:spacing w:line="420" w:lineRule="exact"/>
      <w:ind w:firstLine="200" w:firstLineChars="200"/>
    </w:pPr>
    <w:rPr>
      <w:rFonts w:ascii="Times New Roman" w:hAnsi="Times New Roman" w:eastAsia="宋体" w:cs="宋体"/>
      <w:kern w:val="2"/>
      <w:sz w:val="24"/>
      <w:szCs w:val="24"/>
      <w:lang w:val="en-US" w:eastAsia="zh-CN" w:bidi="ar-SA"/>
    </w:rPr>
  </w:style>
  <w:style w:type="paragraph" w:customStyle="1" w:styleId="466">
    <w:name w:val="xl8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67">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color w:val="000000"/>
      <w:kern w:val="0"/>
      <w:sz w:val="20"/>
      <w:szCs w:val="20"/>
    </w:rPr>
  </w:style>
  <w:style w:type="paragraph" w:customStyle="1" w:styleId="468">
    <w:name w:val="Char Char Char Char Char Char Char"/>
    <w:basedOn w:val="1"/>
    <w:autoRedefine/>
    <w:qFormat/>
    <w:uiPriority w:val="0"/>
    <w:rPr>
      <w:rFonts w:ascii="Times New Roman" w:hAnsi="Times New Roman" w:eastAsia="宋体" w:cs="Times New Roman"/>
      <w:szCs w:val="24"/>
    </w:rPr>
  </w:style>
  <w:style w:type="paragraph" w:customStyle="1" w:styleId="469">
    <w:name w:val="CM102"/>
    <w:basedOn w:val="62"/>
    <w:next w:val="62"/>
    <w:autoRedefine/>
    <w:qFormat/>
    <w:uiPriority w:val="0"/>
    <w:pPr>
      <w:spacing w:after="190"/>
    </w:pPr>
    <w:rPr>
      <w:rFonts w:ascii="Simplex" w:hAnsi="Times New Roman" w:eastAsia="Simplex" w:cs="Simplex"/>
      <w:color w:val="auto"/>
    </w:rPr>
  </w:style>
  <w:style w:type="paragraph" w:customStyle="1" w:styleId="470">
    <w:name w:val="索引 21"/>
    <w:basedOn w:val="1"/>
    <w:next w:val="1"/>
    <w:autoRedefine/>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471">
    <w:name w:val="haydonli"/>
    <w:basedOn w:val="1"/>
    <w:autoRedefine/>
    <w:qFormat/>
    <w:uiPriority w:val="0"/>
    <w:pPr>
      <w:snapToGrid w:val="0"/>
      <w:spacing w:line="360" w:lineRule="auto"/>
      <w:ind w:firstLine="200" w:firstLineChars="200"/>
    </w:pPr>
    <w:rPr>
      <w:rFonts w:ascii="Times New Roman" w:hAnsi="Times New Roman" w:eastAsia="宋体" w:cs="Times New Roman"/>
      <w:sz w:val="24"/>
      <w:szCs w:val="24"/>
    </w:rPr>
  </w:style>
  <w:style w:type="paragraph" w:customStyle="1" w:styleId="472">
    <w:name w:val="正文首行缩进 2 + Times New Roman"/>
    <w:basedOn w:val="1"/>
    <w:autoRedefine/>
    <w:qFormat/>
    <w:uiPriority w:val="0"/>
    <w:pPr>
      <w:tabs>
        <w:tab w:val="left" w:pos="0"/>
        <w:tab w:val="left" w:pos="870"/>
        <w:tab w:val="left" w:pos="3150"/>
      </w:tabs>
      <w:autoSpaceDE w:val="0"/>
      <w:autoSpaceDN w:val="0"/>
      <w:spacing w:line="360" w:lineRule="auto"/>
      <w:ind w:firstLine="480" w:firstLineChars="200"/>
    </w:pPr>
    <w:rPr>
      <w:rFonts w:ascii="宋体" w:hAnsi="宋体"/>
      <w:kern w:val="0"/>
      <w:sz w:val="24"/>
    </w:rPr>
  </w:style>
  <w:style w:type="paragraph" w:customStyle="1" w:styleId="473">
    <w:name w:val="Char Char Char Char Char Char Char1"/>
    <w:basedOn w:val="1"/>
    <w:autoRedefine/>
    <w:qFormat/>
    <w:uiPriority w:val="0"/>
    <w:rPr>
      <w:rFonts w:ascii="Times New Roman" w:hAnsi="Times New Roman" w:eastAsia="宋体" w:cs="Times New Roman"/>
      <w:szCs w:val="24"/>
    </w:rPr>
  </w:style>
  <w:style w:type="paragraph" w:customStyle="1" w:styleId="474">
    <w:name w:val="CM49"/>
    <w:basedOn w:val="62"/>
    <w:next w:val="62"/>
    <w:autoRedefine/>
    <w:qFormat/>
    <w:uiPriority w:val="99"/>
    <w:pPr>
      <w:spacing w:line="588" w:lineRule="atLeast"/>
    </w:pPr>
    <w:rPr>
      <w:rFonts w:cs="Times New Roman"/>
      <w:color w:val="auto"/>
    </w:rPr>
  </w:style>
  <w:style w:type="paragraph" w:customStyle="1" w:styleId="475">
    <w:name w:val="xl100"/>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76">
    <w:name w:val="表格文字左对齐"/>
    <w:basedOn w:val="1"/>
    <w:next w:val="1"/>
    <w:autoRedefine/>
    <w:qFormat/>
    <w:uiPriority w:val="0"/>
    <w:pPr>
      <w:jc w:val="left"/>
    </w:pPr>
    <w:rPr>
      <w:rFonts w:ascii="Times New Roman" w:hAnsi="Times New Roman" w:eastAsia="宋体" w:cs="宋体"/>
      <w:sz w:val="24"/>
      <w:szCs w:val="20"/>
    </w:rPr>
  </w:style>
  <w:style w:type="paragraph" w:customStyle="1" w:styleId="477">
    <w:name w:val="Li的表头"/>
    <w:basedOn w:val="1"/>
    <w:autoRedefine/>
    <w:qFormat/>
    <w:uiPriority w:val="0"/>
    <w:pPr>
      <w:adjustRightInd/>
      <w:snapToGrid w:val="0"/>
      <w:spacing w:line="360" w:lineRule="auto"/>
      <w:jc w:val="center"/>
      <w:textAlignment w:val="auto"/>
    </w:pPr>
    <w:rPr>
      <w:rFonts w:hAnsi="宋体"/>
      <w:b/>
      <w:bCs/>
    </w:rPr>
  </w:style>
  <w:style w:type="paragraph" w:customStyle="1" w:styleId="478">
    <w:name w:val="样式2－表格"/>
    <w:basedOn w:val="1"/>
    <w:autoRedefine/>
    <w:qFormat/>
    <w:uiPriority w:val="0"/>
    <w:pPr>
      <w:autoSpaceDE w:val="0"/>
      <w:autoSpaceDN w:val="0"/>
      <w:adjustRightInd w:val="0"/>
      <w:snapToGrid w:val="0"/>
      <w:spacing w:line="300" w:lineRule="auto"/>
      <w:textAlignment w:val="baseline"/>
    </w:pPr>
    <w:rPr>
      <w:rFonts w:ascii="Times New Roman" w:hAnsi="Times New Roman" w:eastAsia="宋体" w:cs="Times New Roman"/>
      <w:snapToGrid/>
      <w:color w:val="000000"/>
      <w:kern w:val="0"/>
      <w:szCs w:val="20"/>
    </w:rPr>
  </w:style>
  <w:style w:type="paragraph" w:customStyle="1" w:styleId="479">
    <w:name w:val="样式 四号 黑色 行距: 1.5 倍行距"/>
    <w:basedOn w:val="1"/>
    <w:autoRedefine/>
    <w:qFormat/>
    <w:uiPriority w:val="0"/>
    <w:pPr>
      <w:spacing w:line="360" w:lineRule="auto"/>
    </w:pPr>
    <w:rPr>
      <w:rFonts w:ascii="Times New Roman" w:hAnsi="Times New Roman" w:eastAsia="方正仿宋_GB2312" w:cs="宋体"/>
      <w:color w:val="000000"/>
      <w:sz w:val="28"/>
      <w:szCs w:val="20"/>
    </w:rPr>
  </w:style>
  <w:style w:type="paragraph" w:customStyle="1" w:styleId="480">
    <w:name w:val="文档结构图2"/>
    <w:basedOn w:val="1"/>
    <w:autoRedefine/>
    <w:qFormat/>
    <w:uiPriority w:val="0"/>
    <w:rPr>
      <w:rFonts w:ascii="宋体" w:hAnsi="Times New Roman" w:eastAsia="宋体" w:cs="Times New Roman"/>
      <w:sz w:val="18"/>
      <w:szCs w:val="18"/>
    </w:rPr>
  </w:style>
  <w:style w:type="paragraph" w:customStyle="1" w:styleId="481">
    <w:name w:val="默认段落字体 Para Char Char Char Char"/>
    <w:basedOn w:val="1"/>
    <w:autoRedefine/>
    <w:qFormat/>
    <w:uiPriority w:val="0"/>
    <w:pPr>
      <w:spacing w:line="360" w:lineRule="auto"/>
      <w:ind w:firstLine="200" w:firstLineChars="200"/>
    </w:pPr>
    <w:rPr>
      <w:rFonts w:ascii="宋体" w:hAnsi="宋体" w:eastAsia="宋体" w:cs="宋体"/>
      <w:sz w:val="24"/>
      <w:szCs w:val="24"/>
    </w:rPr>
  </w:style>
  <w:style w:type="paragraph" w:customStyle="1" w:styleId="482">
    <w:name w:val="Char Char Char1 Char"/>
    <w:basedOn w:val="1"/>
    <w:autoRedefine/>
    <w:qFormat/>
    <w:uiPriority w:val="0"/>
    <w:rPr>
      <w:rFonts w:ascii="Times New Roman" w:hAnsi="Times New Roman" w:eastAsia="宋体" w:cs="Times New Roman"/>
      <w:szCs w:val="24"/>
    </w:rPr>
  </w:style>
  <w:style w:type="paragraph" w:customStyle="1" w:styleId="483">
    <w:name w:val="样式 四号 黑色 行距: 1.5 倍行距 首行缩进:  2 字符"/>
    <w:basedOn w:val="1"/>
    <w:autoRedefine/>
    <w:qFormat/>
    <w:uiPriority w:val="0"/>
    <w:pPr>
      <w:spacing w:line="360" w:lineRule="auto"/>
      <w:ind w:firstLine="560" w:firstLineChars="200"/>
    </w:pPr>
    <w:rPr>
      <w:rFonts w:ascii="Times New Roman" w:hAnsi="Times New Roman" w:eastAsia="方正仿宋_GB2312" w:cs="宋体"/>
      <w:color w:val="000000"/>
      <w:sz w:val="28"/>
      <w:szCs w:val="20"/>
    </w:rPr>
  </w:style>
  <w:style w:type="paragraph" w:customStyle="1" w:styleId="484">
    <w:name w:val="xl11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85">
    <w:name w:val="Char Char Char Char Char Char Char2"/>
    <w:basedOn w:val="1"/>
    <w:next w:val="1"/>
    <w:autoRedefine/>
    <w:qFormat/>
    <w:uiPriority w:val="0"/>
    <w:rPr>
      <w:rFonts w:ascii="Times New Roman" w:hAnsi="Times New Roman" w:eastAsia="宋体" w:cs="Times New Roman"/>
      <w:szCs w:val="24"/>
    </w:rPr>
  </w:style>
  <w:style w:type="paragraph" w:customStyle="1" w:styleId="486">
    <w:name w:val="图表"/>
    <w:basedOn w:val="1"/>
    <w:next w:val="1"/>
    <w:autoRedefine/>
    <w:qFormat/>
    <w:uiPriority w:val="0"/>
    <w:pPr>
      <w:spacing w:line="360" w:lineRule="auto"/>
      <w:jc w:val="center"/>
    </w:pPr>
    <w:rPr>
      <w:b/>
    </w:rPr>
  </w:style>
  <w:style w:type="paragraph" w:customStyle="1" w:styleId="487">
    <w:name w:val="xl34"/>
    <w:basedOn w:val="1"/>
    <w:autoRedefine/>
    <w:qFormat/>
    <w:uiPriority w:val="0"/>
    <w:pPr>
      <w:widowControl/>
      <w:pBdr>
        <w:left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488">
    <w:name w:val="font7"/>
    <w:basedOn w:val="1"/>
    <w:autoRedefine/>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489">
    <w:name w:val="xl132"/>
    <w:basedOn w:val="1"/>
    <w:autoRedefine/>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490">
    <w:name w:val="正文2000"/>
    <w:basedOn w:val="1"/>
    <w:autoRedefine/>
    <w:qFormat/>
    <w:uiPriority w:val="0"/>
    <w:pPr>
      <w:tabs>
        <w:tab w:val="left" w:pos="170"/>
      </w:tabs>
      <w:adjustRightInd w:val="0"/>
      <w:spacing w:line="240" w:lineRule="exact"/>
      <w:ind w:firstLine="458" w:firstLineChars="218"/>
      <w:jc w:val="center"/>
    </w:pPr>
    <w:rPr>
      <w:rFonts w:ascii="宋体" w:hAnsi="宋体" w:eastAsia="宋体" w:cs="Times New Roman"/>
      <w:szCs w:val="21"/>
    </w:rPr>
  </w:style>
  <w:style w:type="paragraph" w:customStyle="1" w:styleId="491">
    <w:name w:val="Char2 Char Char Char Char Char Char Char Char Char Char Char Char"/>
    <w:basedOn w:val="1"/>
    <w:autoRedefine/>
    <w:qFormat/>
    <w:uiPriority w:val="0"/>
    <w:pPr>
      <w:spacing w:line="560" w:lineRule="exact"/>
      <w:ind w:firstLine="200" w:firstLineChars="200"/>
    </w:pPr>
    <w:rPr>
      <w:rFonts w:ascii="宋体" w:hAnsi="宋体" w:eastAsia="宋体" w:cs="宋体"/>
      <w:sz w:val="28"/>
      <w:szCs w:val="28"/>
    </w:rPr>
  </w:style>
  <w:style w:type="paragraph" w:customStyle="1" w:styleId="492">
    <w:name w:val="样式 首行缩进:  2 字符1 Char"/>
    <w:basedOn w:val="1"/>
    <w:autoRedefine/>
    <w:qFormat/>
    <w:uiPriority w:val="0"/>
    <w:pPr>
      <w:tabs>
        <w:tab w:val="left" w:pos="1094"/>
        <w:tab w:val="left" w:pos="1244"/>
      </w:tabs>
      <w:snapToGrid w:val="0"/>
      <w:spacing w:line="360" w:lineRule="auto"/>
      <w:ind w:firstLine="480" w:firstLineChars="200"/>
    </w:pPr>
    <w:rPr>
      <w:rFonts w:ascii="Times New Roman" w:hAnsi="Times New Roman" w:eastAsia="宋体" w:cs="Times New Roman"/>
      <w:snapToGrid/>
      <w:sz w:val="24"/>
      <w:szCs w:val="24"/>
    </w:rPr>
  </w:style>
  <w:style w:type="paragraph" w:customStyle="1" w:styleId="493">
    <w:name w:val="样式3"/>
    <w:basedOn w:val="1"/>
    <w:autoRedefine/>
    <w:qFormat/>
    <w:uiPriority w:val="0"/>
    <w:pPr>
      <w:spacing w:line="480" w:lineRule="exact"/>
      <w:jc w:val="center"/>
    </w:pPr>
    <w:rPr>
      <w:rFonts w:ascii="Times New Roman" w:hAnsi="Times New Roman" w:eastAsia="方正仿宋_GB2312" w:cs="宋体"/>
      <w:b/>
      <w:szCs w:val="21"/>
    </w:rPr>
  </w:style>
  <w:style w:type="paragraph" w:customStyle="1" w:styleId="494">
    <w:name w:val="列出段落2"/>
    <w:basedOn w:val="1"/>
    <w:autoRedefine/>
    <w:qFormat/>
    <w:uiPriority w:val="0"/>
    <w:pPr>
      <w:ind w:firstLine="420" w:firstLineChars="200"/>
    </w:pPr>
    <w:rPr>
      <w:rFonts w:ascii="Times New Roman" w:hAnsi="Times New Roman" w:eastAsia="宋体" w:cs="Times New Roman"/>
      <w:szCs w:val="24"/>
    </w:rPr>
  </w:style>
  <w:style w:type="paragraph" w:customStyle="1" w:styleId="495">
    <w:name w:val="表格"/>
    <w:basedOn w:val="496"/>
    <w:next w:val="1"/>
    <w:autoRedefine/>
    <w:qFormat/>
    <w:uiPriority w:val="0"/>
    <w:pPr>
      <w:widowControl/>
      <w:adjustRightInd/>
      <w:snapToGrid/>
      <w:spacing w:line="240" w:lineRule="auto"/>
      <w:jc w:val="both"/>
    </w:pPr>
    <w:rPr>
      <w:rFonts w:ascii="Times New Roman"/>
    </w:rPr>
  </w:style>
  <w:style w:type="paragraph" w:customStyle="1" w:styleId="496">
    <w:name w:val="列表3"/>
    <w:basedOn w:val="1"/>
    <w:autoRedefine/>
    <w:qFormat/>
    <w:uiPriority w:val="0"/>
    <w:pPr>
      <w:adjustRightInd w:val="0"/>
      <w:snapToGrid w:val="0"/>
      <w:spacing w:line="360" w:lineRule="auto"/>
      <w:jc w:val="center"/>
    </w:pPr>
    <w:rPr>
      <w:rFonts w:ascii="宋体" w:hAnsi="Times New Roman" w:eastAsia="宋体" w:cs="Times New Roman"/>
      <w:szCs w:val="20"/>
    </w:rPr>
  </w:style>
  <w:style w:type="paragraph" w:customStyle="1" w:styleId="497">
    <w:name w:val="表格题头"/>
    <w:basedOn w:val="1"/>
    <w:autoRedefine/>
    <w:qFormat/>
    <w:uiPriority w:val="0"/>
    <w:pPr>
      <w:snapToGrid w:val="0"/>
      <w:ind w:firstLine="200" w:firstLineChars="200"/>
      <w:jc w:val="center"/>
    </w:pPr>
    <w:rPr>
      <w:rFonts w:ascii="黑体" w:hAnsi="Times New Roman" w:eastAsia="黑体" w:cs="Times New Roman"/>
      <w:kern w:val="0"/>
      <w:szCs w:val="21"/>
    </w:rPr>
  </w:style>
  <w:style w:type="paragraph" w:customStyle="1" w:styleId="498">
    <w:name w:val="样式 标题 6（1） Char（1） + 宋体 非加粗1"/>
    <w:basedOn w:val="8"/>
    <w:autoRedefine/>
    <w:qFormat/>
    <w:uiPriority w:val="0"/>
    <w:pPr>
      <w:overflowPunct/>
      <w:topLinePunct w:val="0"/>
      <w:autoSpaceDE/>
      <w:autoSpaceDN/>
      <w:spacing w:before="0" w:after="0" w:line="500" w:lineRule="exact"/>
      <w:ind w:left="846" w:hanging="166"/>
      <w:jc w:val="both"/>
    </w:pPr>
    <w:rPr>
      <w:rFonts w:ascii="宋体" w:hAnsi="宋体" w:eastAsia="宋体"/>
      <w:b w:val="0"/>
      <w:spacing w:val="0"/>
      <w:kern w:val="0"/>
    </w:rPr>
  </w:style>
  <w:style w:type="paragraph" w:customStyle="1" w:styleId="499">
    <w:name w:val="xl1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00">
    <w:name w:val="BG6"/>
    <w:basedOn w:val="460"/>
    <w:autoRedefine/>
    <w:qFormat/>
    <w:uiPriority w:val="0"/>
    <w:pPr>
      <w:spacing w:line="140" w:lineRule="exact"/>
    </w:pPr>
    <w:rPr>
      <w:sz w:val="15"/>
    </w:rPr>
  </w:style>
  <w:style w:type="paragraph" w:customStyle="1" w:styleId="501">
    <w:name w:val="xl142"/>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02">
    <w:name w:val="xl1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03">
    <w:name w:val="！正文"/>
    <w:basedOn w:val="1"/>
    <w:autoRedefine/>
    <w:qFormat/>
    <w:uiPriority w:val="0"/>
    <w:pPr>
      <w:spacing w:line="360" w:lineRule="auto"/>
      <w:ind w:firstLine="480" w:firstLineChars="200"/>
      <w:jc w:val="both"/>
    </w:pPr>
    <w:rPr>
      <w:rFonts w:ascii="Arial" w:hAnsi="Arial" w:cs="宋体"/>
      <w:kern w:val="2"/>
      <w:szCs w:val="24"/>
    </w:rPr>
  </w:style>
  <w:style w:type="paragraph" w:customStyle="1" w:styleId="504">
    <w:name w:val="正文 New New New New New New New New New New New New New New New New New New New New New New New New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05">
    <w:name w:val="默认段落字体 Para Char Char Char Char Char Char Char Char Char Char Char Char Char"/>
    <w:basedOn w:val="1"/>
    <w:autoRedefine/>
    <w:qFormat/>
    <w:uiPriority w:val="0"/>
    <w:rPr>
      <w:rFonts w:ascii="Times New Roman" w:hAnsi="Times New Roman" w:eastAsia="宋体" w:cs="Times New Roman"/>
      <w:szCs w:val="24"/>
    </w:rPr>
  </w:style>
  <w:style w:type="paragraph" w:customStyle="1" w:styleId="506">
    <w:name w:val="xl141"/>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07">
    <w:name w:val="表内容"/>
    <w:basedOn w:val="1"/>
    <w:autoRedefine/>
    <w:qFormat/>
    <w:uiPriority w:val="0"/>
    <w:pPr>
      <w:adjustRightInd w:val="0"/>
      <w:snapToGrid w:val="0"/>
      <w:jc w:val="center"/>
    </w:pPr>
    <w:rPr>
      <w:rFonts w:ascii="Times New Roman" w:hAnsi="Times New Roman" w:eastAsia="宋体" w:cs="Times New Roman"/>
      <w:szCs w:val="24"/>
    </w:rPr>
  </w:style>
  <w:style w:type="paragraph" w:customStyle="1" w:styleId="508">
    <w:name w:val="font8"/>
    <w:basedOn w:val="1"/>
    <w:autoRedefine/>
    <w:qFormat/>
    <w:uiPriority w:val="0"/>
    <w:pPr>
      <w:widowControl/>
      <w:spacing w:before="100" w:beforeAutospacing="1" w:after="100" w:afterAutospacing="1"/>
      <w:jc w:val="left"/>
    </w:pPr>
    <w:rPr>
      <w:rFonts w:ascii="Times New Roman" w:hAnsi="Times New Roman" w:eastAsia="宋体" w:cs="Times New Roman"/>
      <w:kern w:val="0"/>
      <w:sz w:val="22"/>
    </w:rPr>
  </w:style>
  <w:style w:type="paragraph" w:customStyle="1" w:styleId="509">
    <w:name w:val="1表格"/>
    <w:basedOn w:val="1"/>
    <w:autoRedefine/>
    <w:qFormat/>
    <w:uiPriority w:val="0"/>
    <w:pPr>
      <w:snapToGrid w:val="0"/>
      <w:spacing w:line="160" w:lineRule="atLeast"/>
      <w:jc w:val="center"/>
    </w:pPr>
    <w:rPr>
      <w:rFonts w:eastAsia="方正仿宋_GB2312"/>
      <w:szCs w:val="20"/>
    </w:rPr>
  </w:style>
  <w:style w:type="paragraph" w:customStyle="1" w:styleId="510">
    <w:name w:val="CM78"/>
    <w:basedOn w:val="62"/>
    <w:next w:val="62"/>
    <w:autoRedefine/>
    <w:qFormat/>
    <w:uiPriority w:val="0"/>
    <w:pPr>
      <w:spacing w:after="173"/>
    </w:pPr>
    <w:rPr>
      <w:rFonts w:ascii="宋体" w:eastAsia="宋体" w:cs="Times New Roman"/>
      <w:color w:val="auto"/>
    </w:rPr>
  </w:style>
  <w:style w:type="paragraph" w:customStyle="1" w:styleId="511">
    <w:name w:val="Char Char Char Char1"/>
    <w:basedOn w:val="1"/>
    <w:autoRedefine/>
    <w:qFormat/>
    <w:uiPriority w:val="0"/>
    <w:rPr>
      <w:rFonts w:ascii="Times New Roman" w:hAnsi="Times New Roman" w:eastAsia="宋体" w:cs="Times New Roman"/>
      <w:szCs w:val="24"/>
    </w:rPr>
  </w:style>
  <w:style w:type="paragraph" w:customStyle="1" w:styleId="512">
    <w:name w:val="april标题1"/>
    <w:basedOn w:val="3"/>
    <w:autoRedefine/>
    <w:qFormat/>
    <w:uiPriority w:val="0"/>
    <w:pPr>
      <w:adjustRightInd w:val="0"/>
      <w:spacing w:before="480" w:after="480" w:line="240" w:lineRule="auto"/>
      <w:ind w:left="-76" w:hanging="284"/>
      <w:jc w:val="center"/>
      <w:textAlignment w:val="baseline"/>
    </w:pPr>
    <w:rPr>
      <w:rFonts w:eastAsia="黑体"/>
      <w:b w:val="0"/>
      <w:spacing w:val="6"/>
      <w:sz w:val="32"/>
      <w:szCs w:val="20"/>
    </w:rPr>
  </w:style>
  <w:style w:type="paragraph" w:customStyle="1" w:styleId="513">
    <w:name w:val="注释标题1"/>
    <w:basedOn w:val="1"/>
    <w:next w:val="1"/>
    <w:autoRedefine/>
    <w:qFormat/>
    <w:uiPriority w:val="0"/>
    <w:pPr>
      <w:jc w:val="center"/>
    </w:pPr>
    <w:rPr>
      <w:rFonts w:ascii="Times New Roman" w:hAnsi="Times New Roman" w:eastAsia="宋体" w:cs="Times New Roman"/>
      <w:szCs w:val="24"/>
    </w:rPr>
  </w:style>
  <w:style w:type="paragraph" w:customStyle="1" w:styleId="514">
    <w:name w:val="样式 普通文字 + 首行缩进:  2 字符"/>
    <w:basedOn w:val="113"/>
    <w:autoRedefine/>
    <w:qFormat/>
    <w:uiPriority w:val="0"/>
    <w:pPr>
      <w:spacing w:line="480" w:lineRule="exact"/>
      <w:ind w:firstLine="512" w:firstLineChars="200"/>
    </w:pPr>
    <w:rPr>
      <w:rFonts w:ascii="Times New Roman" w:hAnsi="Times New Roman" w:cs="宋体"/>
      <w:sz w:val="24"/>
    </w:rPr>
  </w:style>
  <w:style w:type="paragraph" w:customStyle="1" w:styleId="515">
    <w:name w:val="CM18"/>
    <w:basedOn w:val="62"/>
    <w:next w:val="62"/>
    <w:autoRedefine/>
    <w:qFormat/>
    <w:uiPriority w:val="0"/>
    <w:pPr>
      <w:spacing w:line="468" w:lineRule="atLeast"/>
    </w:pPr>
    <w:rPr>
      <w:rFonts w:ascii="Simplex" w:hAnsi="Times New Roman" w:eastAsia="Simplex" w:cs="Simplex"/>
      <w:color w:val="auto"/>
    </w:rPr>
  </w:style>
  <w:style w:type="paragraph" w:customStyle="1" w:styleId="516">
    <w:name w:val="样式 三号 加粗 段前: 7.8 磅 段后: 7.8 磅1"/>
    <w:basedOn w:val="1"/>
    <w:autoRedefine/>
    <w:qFormat/>
    <w:uiPriority w:val="0"/>
    <w:pPr>
      <w:widowControl/>
      <w:spacing w:before="312" w:beforeLines="100" w:after="156" w:afterLines="50" w:line="360" w:lineRule="auto"/>
      <w:jc w:val="left"/>
      <w:outlineLvl w:val="1"/>
    </w:pPr>
    <w:rPr>
      <w:rFonts w:ascii="宋体" w:hAnsi="宋体" w:eastAsia="宋体" w:cs="宋体"/>
      <w:b/>
      <w:bCs/>
      <w:kern w:val="0"/>
      <w:sz w:val="32"/>
      <w:szCs w:val="20"/>
    </w:rPr>
  </w:style>
  <w:style w:type="paragraph" w:customStyle="1" w:styleId="517">
    <w:name w:val="xl27"/>
    <w:basedOn w:val="1"/>
    <w:autoRedefine/>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Times New Roman"/>
      <w:kern w:val="0"/>
      <w:sz w:val="24"/>
      <w:szCs w:val="24"/>
    </w:rPr>
  </w:style>
  <w:style w:type="paragraph" w:customStyle="1" w:styleId="518">
    <w:name w:val="xl25"/>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Black" w:cs="Arial"/>
      <w:color w:val="000000"/>
      <w:kern w:val="0"/>
      <w:szCs w:val="21"/>
    </w:rPr>
  </w:style>
  <w:style w:type="paragraph" w:customStyle="1" w:styleId="519">
    <w:name w:val="xl23"/>
    <w:basedOn w:val="1"/>
    <w:autoRedefine/>
    <w:qFormat/>
    <w:uiPriority w:val="0"/>
    <w:pPr>
      <w:widowControl/>
      <w:adjustRightInd w:val="0"/>
      <w:snapToGrid w:val="0"/>
      <w:spacing w:before="100" w:beforeAutospacing="1" w:after="100" w:afterAutospacing="1" w:line="360" w:lineRule="auto"/>
      <w:jc w:val="center"/>
      <w:textAlignment w:val="center"/>
    </w:pPr>
    <w:rPr>
      <w:rFonts w:ascii="宋体" w:hAnsi="宋体" w:eastAsia="宋体" w:cs="Times New Roman"/>
      <w:kern w:val="0"/>
      <w:sz w:val="24"/>
      <w:szCs w:val="24"/>
    </w:rPr>
  </w:style>
  <w:style w:type="paragraph" w:customStyle="1" w:styleId="520">
    <w:name w:val="xl15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21">
    <w:name w:val="王 正文 四宋"/>
    <w:basedOn w:val="1"/>
    <w:autoRedefine/>
    <w:qFormat/>
    <w:uiPriority w:val="0"/>
    <w:pPr>
      <w:ind w:firstLine="560" w:firstLineChars="200"/>
    </w:pPr>
    <w:rPr>
      <w:rFonts w:ascii="Times New Roman" w:hAnsi="Times New Roman" w:eastAsia="宋体" w:cs="Times New Roman"/>
      <w:kern w:val="0"/>
      <w:sz w:val="28"/>
      <w:szCs w:val="28"/>
    </w:rPr>
  </w:style>
  <w:style w:type="paragraph" w:customStyle="1" w:styleId="522">
    <w:name w:val="zzd项目符号"/>
    <w:basedOn w:val="308"/>
    <w:autoRedefine/>
    <w:qFormat/>
    <w:uiPriority w:val="0"/>
    <w:pPr>
      <w:tabs>
        <w:tab w:val="left" w:pos="436"/>
      </w:tabs>
      <w:ind w:left="16" w:firstLine="560"/>
    </w:pPr>
    <w:rPr>
      <w:rFonts w:hAnsi="宋体"/>
      <w:iCs w:val="0"/>
    </w:rPr>
  </w:style>
  <w:style w:type="paragraph" w:customStyle="1" w:styleId="523">
    <w:name w:val="注"/>
    <w:basedOn w:val="186"/>
    <w:autoRedefine/>
    <w:qFormat/>
    <w:uiPriority w:val="0"/>
    <w:pPr>
      <w:spacing w:before="120" w:after="120" w:line="360" w:lineRule="auto"/>
      <w:ind w:firstLine="567"/>
      <w:jc w:val="left"/>
    </w:pPr>
    <w:rPr>
      <w:rFonts w:eastAsia="方正仿宋_GB2312"/>
      <w:sz w:val="24"/>
    </w:rPr>
  </w:style>
  <w:style w:type="paragraph" w:customStyle="1" w:styleId="524">
    <w:name w:val="列出段落11"/>
    <w:basedOn w:val="1"/>
    <w:autoRedefine/>
    <w:qFormat/>
    <w:uiPriority w:val="0"/>
    <w:pPr>
      <w:ind w:firstLine="420" w:firstLineChars="200"/>
    </w:pPr>
    <w:rPr>
      <w:rFonts w:ascii="Times New Roman" w:hAnsi="Times New Roman" w:eastAsia="宋体" w:cs="Times New Roman"/>
      <w:szCs w:val="24"/>
    </w:rPr>
  </w:style>
  <w:style w:type="paragraph" w:customStyle="1" w:styleId="525">
    <w:name w:val="xl15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26">
    <w:name w:val="xl1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color w:val="000000"/>
      <w:kern w:val="0"/>
      <w:sz w:val="20"/>
      <w:szCs w:val="20"/>
    </w:rPr>
  </w:style>
  <w:style w:type="paragraph" w:customStyle="1" w:styleId="527">
    <w:name w:val="CM6"/>
    <w:basedOn w:val="62"/>
    <w:next w:val="62"/>
    <w:autoRedefine/>
    <w:qFormat/>
    <w:uiPriority w:val="0"/>
    <w:pPr>
      <w:spacing w:line="466" w:lineRule="atLeast"/>
    </w:pPr>
    <w:rPr>
      <w:rFonts w:ascii="宋体" w:eastAsia="宋体" w:cs="Times New Roman"/>
      <w:color w:val="auto"/>
    </w:rPr>
  </w:style>
  <w:style w:type="paragraph" w:customStyle="1" w:styleId="528">
    <w:name w:val="xl1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529">
    <w:name w:val="xl131"/>
    <w:basedOn w:val="1"/>
    <w:autoRedefine/>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30">
    <w:name w:val="表内5号居中"/>
    <w:autoRedefine/>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531">
    <w:name w:val="Body Text Indent"/>
    <w:basedOn w:val="1"/>
    <w:autoRedefine/>
    <w:qFormat/>
    <w:uiPriority w:val="0"/>
    <w:pPr>
      <w:ind w:firstLine="567"/>
    </w:pPr>
    <w:rPr>
      <w:rFonts w:eastAsia="宋体"/>
      <w:kern w:val="2"/>
      <w:sz w:val="28"/>
      <w:szCs w:val="30"/>
      <w:lang w:val="en-US" w:eastAsia="zh-CN"/>
    </w:rPr>
  </w:style>
  <w:style w:type="paragraph" w:customStyle="1" w:styleId="532">
    <w:name w:val="表内"/>
    <w:basedOn w:val="1"/>
    <w:autoRedefine/>
    <w:qFormat/>
    <w:uiPriority w:val="0"/>
    <w:pPr>
      <w:spacing w:line="280" w:lineRule="exact"/>
      <w:jc w:val="center"/>
    </w:pPr>
    <w:rPr>
      <w:rFonts w:ascii="Times New Roman" w:hAnsi="Times New Roman" w:eastAsia="宋体" w:cs="Times New Roman"/>
      <w:sz w:val="24"/>
      <w:szCs w:val="24"/>
    </w:rPr>
  </w:style>
  <w:style w:type="paragraph" w:customStyle="1" w:styleId="533">
    <w:name w:val="Char Char Char Char Char Char1 Char Char1"/>
    <w:basedOn w:val="1"/>
    <w:autoRedefine/>
    <w:qFormat/>
    <w:uiPriority w:val="0"/>
    <w:rPr>
      <w:rFonts w:ascii="方正仿宋_GB2312" w:hAnsi="Times New Roman" w:eastAsia="方正仿宋_GB2312" w:cs="Times New Roman"/>
      <w:b/>
      <w:sz w:val="32"/>
      <w:szCs w:val="32"/>
    </w:rPr>
  </w:style>
  <w:style w:type="paragraph" w:customStyle="1" w:styleId="534">
    <w:name w:val="xl117"/>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35">
    <w:name w:val="Char1 Char Char Char Char Char Char1 Char Char Char1"/>
    <w:basedOn w:val="1"/>
    <w:autoRedefine/>
    <w:qFormat/>
    <w:uiPriority w:val="0"/>
    <w:pPr>
      <w:spacing w:line="360" w:lineRule="auto"/>
      <w:ind w:firstLine="200" w:firstLineChars="200"/>
    </w:pPr>
    <w:rPr>
      <w:rFonts w:ascii="宋体" w:hAnsi="宋体" w:eastAsia="宋体" w:cs="宋体"/>
      <w:sz w:val="24"/>
      <w:szCs w:val="24"/>
    </w:rPr>
  </w:style>
  <w:style w:type="paragraph" w:customStyle="1" w:styleId="536">
    <w:name w:val="Char Char Char"/>
    <w:basedOn w:val="1"/>
    <w:autoRedefine/>
    <w:qFormat/>
    <w:uiPriority w:val="0"/>
    <w:pPr>
      <w:widowControl/>
      <w:spacing w:after="160" w:line="240" w:lineRule="exact"/>
      <w:jc w:val="left"/>
    </w:pPr>
    <w:rPr>
      <w:rFonts w:ascii="Verdana" w:hAnsi="Verdana" w:eastAsia="宋体" w:cs="Times New Roman"/>
      <w:kern w:val="0"/>
      <w:szCs w:val="20"/>
      <w:lang w:eastAsia="en-US"/>
    </w:rPr>
  </w:style>
  <w:style w:type="paragraph" w:customStyle="1" w:styleId="537">
    <w:name w:val="小标题"/>
    <w:basedOn w:val="308"/>
    <w:autoRedefine/>
    <w:qFormat/>
    <w:uiPriority w:val="0"/>
    <w:pPr>
      <w:spacing w:before="249" w:beforeLines="80"/>
      <w:ind w:left="225" w:leftChars="107" w:firstLine="210" w:firstLineChars="100"/>
    </w:pPr>
    <w:rPr>
      <w:rFonts w:ascii="黑体" w:eastAsia="黑体"/>
      <w:iCs w:val="0"/>
      <w:snapToGrid/>
    </w:rPr>
  </w:style>
  <w:style w:type="paragraph" w:customStyle="1" w:styleId="538">
    <w:name w:val="xl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39">
    <w:name w:val="索引 11"/>
    <w:basedOn w:val="1"/>
    <w:next w:val="1"/>
    <w:autoRedefine/>
    <w:qFormat/>
    <w:uiPriority w:val="0"/>
    <w:rPr>
      <w:rFonts w:ascii="Times New Roman" w:hAnsi="Times New Roman" w:eastAsia="宋体" w:cs="Times New Roman"/>
      <w:szCs w:val="24"/>
    </w:rPr>
  </w:style>
  <w:style w:type="paragraph" w:customStyle="1" w:styleId="540">
    <w:name w:val="CM54"/>
    <w:basedOn w:val="62"/>
    <w:next w:val="62"/>
    <w:autoRedefine/>
    <w:qFormat/>
    <w:uiPriority w:val="0"/>
    <w:rPr>
      <w:rFonts w:ascii="Simplex" w:hAnsi="Times New Roman" w:eastAsia="Simplex" w:cs="Simplex"/>
      <w:color w:val="auto"/>
    </w:rPr>
  </w:style>
  <w:style w:type="paragraph" w:customStyle="1" w:styleId="541">
    <w:name w:val="CM112"/>
    <w:basedOn w:val="62"/>
    <w:next w:val="62"/>
    <w:autoRedefine/>
    <w:qFormat/>
    <w:uiPriority w:val="0"/>
    <w:pPr>
      <w:spacing w:after="128"/>
    </w:pPr>
    <w:rPr>
      <w:rFonts w:ascii="Simplex" w:hAnsi="Times New Roman" w:eastAsia="Simplex" w:cs="Simplex"/>
      <w:color w:val="auto"/>
    </w:rPr>
  </w:style>
  <w:style w:type="paragraph" w:customStyle="1" w:styleId="542">
    <w:name w:val="表格内字体普安"/>
    <w:basedOn w:val="1"/>
    <w:autoRedefine/>
    <w:qFormat/>
    <w:uiPriority w:val="0"/>
    <w:pPr>
      <w:snapToGrid w:val="0"/>
      <w:jc w:val="center"/>
    </w:pPr>
    <w:rPr>
      <w:rFonts w:ascii="Times New Roman" w:hAnsi="Times New Roman"/>
      <w:bCs/>
      <w:color w:val="000000"/>
      <w:szCs w:val="21"/>
    </w:rPr>
  </w:style>
  <w:style w:type="paragraph" w:customStyle="1" w:styleId="543">
    <w:name w:val="缩进文字"/>
    <w:basedOn w:val="1"/>
    <w:autoRedefine/>
    <w:qFormat/>
    <w:uiPriority w:val="0"/>
    <w:pPr>
      <w:widowControl/>
      <w:spacing w:line="606" w:lineRule="atLeast"/>
      <w:ind w:firstLine="198"/>
      <w:jc w:val="left"/>
      <w:textAlignment w:val="baseline"/>
    </w:pPr>
    <w:rPr>
      <w:rFonts w:ascii="宋体" w:hAnsi="Times New Roman" w:eastAsia="宋体" w:cs="Times New Roman"/>
      <w:color w:val="000000"/>
      <w:kern w:val="0"/>
      <w:sz w:val="24"/>
      <w:szCs w:val="20"/>
      <w:u w:val="none" w:color="000000"/>
    </w:rPr>
  </w:style>
  <w:style w:type="paragraph" w:customStyle="1" w:styleId="544">
    <w:name w:val="xl1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kern w:val="0"/>
      <w:sz w:val="20"/>
      <w:szCs w:val="20"/>
    </w:rPr>
  </w:style>
  <w:style w:type="paragraph" w:customStyle="1" w:styleId="545">
    <w:name w:val="Char2 Char Char Char Char Char Char Char Char Char Char Char Char1"/>
    <w:basedOn w:val="1"/>
    <w:autoRedefine/>
    <w:qFormat/>
    <w:uiPriority w:val="0"/>
    <w:pPr>
      <w:spacing w:line="560" w:lineRule="exact"/>
      <w:ind w:firstLine="200" w:firstLineChars="200"/>
    </w:pPr>
    <w:rPr>
      <w:rFonts w:ascii="宋体" w:hAnsi="宋体" w:eastAsia="宋体" w:cs="宋体"/>
      <w:sz w:val="28"/>
      <w:szCs w:val="28"/>
    </w:rPr>
  </w:style>
  <w:style w:type="paragraph" w:customStyle="1" w:styleId="546">
    <w:name w:val="xl95"/>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547">
    <w:name w:val="正文文本缩进11"/>
    <w:basedOn w:val="1"/>
    <w:autoRedefine/>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548">
    <w:name w:val="样式 正文文本"/>
    <w:basedOn w:val="19"/>
    <w:autoRedefine/>
    <w:qFormat/>
    <w:uiPriority w:val="0"/>
    <w:pPr>
      <w:adjustRightInd w:val="0"/>
      <w:snapToGrid w:val="0"/>
      <w:spacing w:after="0" w:line="360" w:lineRule="auto"/>
      <w:ind w:firstLine="200" w:firstLineChars="200"/>
    </w:pPr>
    <w:rPr>
      <w:rFonts w:ascii="Times New Roman" w:hAnsi="Times New Roman" w:eastAsia="方正仿宋_GB2312" w:cs="宋体"/>
      <w:sz w:val="24"/>
      <w:szCs w:val="20"/>
    </w:rPr>
  </w:style>
  <w:style w:type="paragraph" w:customStyle="1" w:styleId="549">
    <w:name w:val="日期3"/>
    <w:basedOn w:val="1"/>
    <w:next w:val="1"/>
    <w:autoRedefine/>
    <w:qFormat/>
    <w:uiPriority w:val="0"/>
    <w:pPr>
      <w:ind w:left="100" w:leftChars="2500"/>
    </w:pPr>
    <w:rPr>
      <w:rFonts w:ascii="Times New Roman" w:hAnsi="Times New Roman" w:eastAsia="宋体" w:cs="Times New Roman"/>
      <w:szCs w:val="24"/>
    </w:rPr>
  </w:style>
  <w:style w:type="paragraph" w:customStyle="1" w:styleId="550">
    <w:name w:val="zzd表格"/>
    <w:autoRedefine/>
    <w:qFormat/>
    <w:uiPriority w:val="0"/>
    <w:pPr>
      <w:spacing w:line="240" w:lineRule="atLeast"/>
      <w:jc w:val="center"/>
    </w:pPr>
    <w:rPr>
      <w:rFonts w:ascii="Times New Roman" w:hAnsi="Times New Roman" w:eastAsia="宋体" w:cs="Times New Roman"/>
      <w:sz w:val="18"/>
      <w:lang w:val="en-US" w:eastAsia="zh-CN" w:bidi="ar-SA"/>
    </w:rPr>
  </w:style>
  <w:style w:type="paragraph" w:customStyle="1" w:styleId="551">
    <w:name w:val="xl111"/>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52">
    <w:name w:val="xl1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553">
    <w:name w:val="xl9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54">
    <w:name w:val="表内格式"/>
    <w:basedOn w:val="1"/>
    <w:autoRedefine/>
    <w:qFormat/>
    <w:uiPriority w:val="0"/>
    <w:pPr>
      <w:jc w:val="center"/>
    </w:pPr>
    <w:rPr>
      <w:sz w:val="18"/>
      <w:szCs w:val="20"/>
    </w:rPr>
  </w:style>
  <w:style w:type="paragraph" w:customStyle="1" w:styleId="555">
    <w:name w:val="CM47"/>
    <w:basedOn w:val="62"/>
    <w:next w:val="62"/>
    <w:autoRedefine/>
    <w:qFormat/>
    <w:uiPriority w:val="99"/>
    <w:pPr>
      <w:spacing w:line="468" w:lineRule="atLeast"/>
    </w:pPr>
    <w:rPr>
      <w:rFonts w:cs="Times New Roman"/>
      <w:color w:val="auto"/>
    </w:rPr>
  </w:style>
  <w:style w:type="paragraph" w:customStyle="1" w:styleId="556">
    <w:name w:val="表格中文字"/>
    <w:basedOn w:val="1"/>
    <w:autoRedefine/>
    <w:qFormat/>
    <w:uiPriority w:val="0"/>
    <w:pPr>
      <w:snapToGrid w:val="0"/>
      <w:spacing w:before="0" w:line="240" w:lineRule="auto"/>
      <w:ind w:firstLine="0"/>
      <w:jc w:val="center"/>
      <w:textAlignment w:val="auto"/>
    </w:pPr>
    <w:rPr>
      <w:kern w:val="18"/>
      <w:sz w:val="21"/>
      <w:szCs w:val="21"/>
      <w:lang w:val="zh-CN"/>
    </w:rPr>
  </w:style>
  <w:style w:type="paragraph" w:customStyle="1" w:styleId="557">
    <w:name w:val="正文段落"/>
    <w:basedOn w:val="1"/>
    <w:autoRedefine/>
    <w:qFormat/>
    <w:uiPriority w:val="0"/>
    <w:pPr>
      <w:autoSpaceDE w:val="0"/>
      <w:autoSpaceDN w:val="0"/>
      <w:adjustRightInd w:val="0"/>
      <w:spacing w:line="480" w:lineRule="exact"/>
      <w:ind w:firstLine="200" w:firstLineChars="200"/>
      <w:textAlignment w:val="baseline"/>
    </w:pPr>
    <w:rPr>
      <w:rFonts w:ascii="@宋体" w:hAnsi="Times New Roman" w:eastAsia="方正仿宋_GB2312" w:cs="Times New Roman"/>
      <w:kern w:val="0"/>
      <w:sz w:val="24"/>
      <w:szCs w:val="20"/>
    </w:rPr>
  </w:style>
  <w:style w:type="paragraph" w:customStyle="1" w:styleId="558">
    <w:name w:val="xl9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59">
    <w:name w:val="xl81"/>
    <w:basedOn w:val="1"/>
    <w:autoRedefine/>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60">
    <w:name w:val="CM116"/>
    <w:basedOn w:val="62"/>
    <w:next w:val="62"/>
    <w:autoRedefine/>
    <w:qFormat/>
    <w:uiPriority w:val="0"/>
    <w:pPr>
      <w:spacing w:after="763"/>
    </w:pPr>
    <w:rPr>
      <w:rFonts w:ascii="Simplex" w:hAnsi="Times New Roman" w:eastAsia="Simplex" w:cs="Simplex"/>
      <w:color w:val="auto"/>
    </w:rPr>
  </w:style>
  <w:style w:type="paragraph" w:customStyle="1" w:styleId="561">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62">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563">
    <w:name w:val="样式 标题 2mystyle2style2节标题1题号标题 2 Char Char2 headlinehhead..."/>
    <w:basedOn w:val="4"/>
    <w:autoRedefine/>
    <w:qFormat/>
    <w:uiPriority w:val="0"/>
    <w:pPr>
      <w:spacing w:before="120" w:after="120"/>
    </w:pPr>
    <w:rPr>
      <w:rFonts w:ascii="Times New Roman" w:hAnsi="Times New Roman" w:cs="宋体"/>
      <w:szCs w:val="20"/>
    </w:rPr>
  </w:style>
  <w:style w:type="paragraph" w:customStyle="1" w:styleId="564">
    <w:name w:val="xl11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65">
    <w:name w:val="xl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b/>
      <w:bCs/>
      <w:kern w:val="0"/>
      <w:sz w:val="20"/>
      <w:szCs w:val="20"/>
    </w:rPr>
  </w:style>
  <w:style w:type="paragraph" w:customStyle="1" w:styleId="566">
    <w:name w:val="正文表标题"/>
    <w:next w:val="1"/>
    <w:autoRedefine/>
    <w:qFormat/>
    <w:uiPriority w:val="0"/>
    <w:pPr>
      <w:tabs>
        <w:tab w:val="left" w:pos="1140"/>
      </w:tabs>
      <w:ind w:left="1140" w:hanging="420"/>
      <w:jc w:val="center"/>
    </w:pPr>
    <w:rPr>
      <w:rFonts w:ascii="黑体" w:hAnsi="Times New Roman" w:eastAsia="黑体" w:cs="黑体"/>
      <w:sz w:val="21"/>
      <w:szCs w:val="21"/>
      <w:lang w:val="en-US" w:eastAsia="zh-CN" w:bidi="ar-SA"/>
    </w:rPr>
  </w:style>
  <w:style w:type="paragraph" w:customStyle="1" w:styleId="567">
    <w:name w:val="xl1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568">
    <w:name w:val="xl1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569">
    <w:name w:val="标题3"/>
    <w:basedOn w:val="5"/>
    <w:autoRedefine/>
    <w:qFormat/>
    <w:uiPriority w:val="0"/>
    <w:pPr>
      <w:spacing w:line="360" w:lineRule="auto"/>
      <w:jc w:val="left"/>
    </w:pPr>
    <w:rPr>
      <w:sz w:val="30"/>
      <w:szCs w:val="28"/>
    </w:rPr>
  </w:style>
  <w:style w:type="paragraph" w:customStyle="1" w:styleId="570">
    <w:name w:val="Body Text 22"/>
    <w:basedOn w:val="1"/>
    <w:autoRedefine/>
    <w:qFormat/>
    <w:uiPriority w:val="0"/>
    <w:pPr>
      <w:adjustRightInd w:val="0"/>
      <w:spacing w:line="440" w:lineRule="atLeast"/>
      <w:ind w:firstLine="480"/>
      <w:textAlignment w:val="baseline"/>
    </w:pPr>
    <w:rPr>
      <w:rFonts w:eastAsia="方正仿宋_GB2312"/>
      <w:sz w:val="24"/>
      <w:szCs w:val="20"/>
    </w:rPr>
  </w:style>
  <w:style w:type="paragraph" w:customStyle="1" w:styleId="571">
    <w:name w:val="列出段落1"/>
    <w:basedOn w:val="1"/>
    <w:autoRedefine/>
    <w:qFormat/>
    <w:uiPriority w:val="0"/>
    <w:pPr>
      <w:ind w:firstLine="420" w:firstLineChars="200"/>
    </w:pPr>
    <w:rPr>
      <w:rFonts w:ascii="Times New Roman" w:hAnsi="Times New Roman" w:eastAsia="宋体" w:cs="Times New Roman"/>
      <w:szCs w:val="24"/>
    </w:rPr>
  </w:style>
  <w:style w:type="paragraph" w:customStyle="1" w:styleId="572">
    <w:name w:val="xl11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73">
    <w:name w:val="font6"/>
    <w:basedOn w:val="1"/>
    <w:autoRedefine/>
    <w:qFormat/>
    <w:uiPriority w:val="0"/>
    <w:pPr>
      <w:widowControl/>
      <w:spacing w:before="100" w:beforeAutospacing="1" w:after="100" w:afterAutospacing="1"/>
      <w:jc w:val="left"/>
    </w:pPr>
    <w:rPr>
      <w:rFonts w:hint="eastAsia" w:ascii="宋体" w:hAnsi="宋体" w:eastAsia="宋体" w:cs="Arial Black"/>
      <w:color w:val="000000"/>
      <w:kern w:val="0"/>
      <w:sz w:val="24"/>
      <w:szCs w:val="24"/>
    </w:rPr>
  </w:style>
  <w:style w:type="paragraph" w:customStyle="1" w:styleId="574">
    <w:name w:val="april正文"/>
    <w:basedOn w:val="1"/>
    <w:autoRedefine/>
    <w:qFormat/>
    <w:uiPriority w:val="0"/>
    <w:pPr>
      <w:spacing w:line="300" w:lineRule="auto"/>
      <w:ind w:firstLine="504" w:firstLineChars="200"/>
    </w:pPr>
    <w:rPr>
      <w:rFonts w:ascii="Times New Roman" w:hAnsi="Times New Roman" w:eastAsia="宋体" w:cs="Times New Roman"/>
      <w:snapToGrid/>
      <w:spacing w:val="6"/>
      <w:kern w:val="0"/>
      <w:sz w:val="24"/>
      <w:szCs w:val="24"/>
    </w:rPr>
  </w:style>
  <w:style w:type="paragraph" w:customStyle="1" w:styleId="575">
    <w:name w:val="默认段落字体 Para Char"/>
    <w:basedOn w:val="1"/>
    <w:autoRedefine/>
    <w:qFormat/>
    <w:uiPriority w:val="0"/>
    <w:pPr>
      <w:spacing w:line="360" w:lineRule="auto"/>
      <w:ind w:firstLine="200" w:firstLineChars="200"/>
    </w:pPr>
    <w:rPr>
      <w:rFonts w:ascii="宋体" w:hAnsi="宋体" w:eastAsia="宋体" w:cs="宋体"/>
      <w:sz w:val="24"/>
      <w:szCs w:val="24"/>
    </w:rPr>
  </w:style>
  <w:style w:type="paragraph" w:customStyle="1" w:styleId="576">
    <w:name w:val="CM100"/>
    <w:basedOn w:val="62"/>
    <w:next w:val="62"/>
    <w:autoRedefine/>
    <w:qFormat/>
    <w:uiPriority w:val="0"/>
    <w:pPr>
      <w:spacing w:after="845"/>
    </w:pPr>
    <w:rPr>
      <w:rFonts w:ascii="Simplex" w:hAnsi="Times New Roman" w:eastAsia="Simplex" w:cs="Simplex"/>
      <w:color w:val="auto"/>
    </w:rPr>
  </w:style>
  <w:style w:type="paragraph" w:customStyle="1" w:styleId="577">
    <w:name w:val="纯文本2"/>
    <w:basedOn w:val="1"/>
    <w:autoRedefine/>
    <w:qFormat/>
    <w:uiPriority w:val="0"/>
    <w:rPr>
      <w:rFonts w:ascii="宋体" w:hAnsi="Courier New" w:eastAsia="宋体" w:cs="Times New Roman"/>
      <w:szCs w:val="24"/>
    </w:rPr>
  </w:style>
  <w:style w:type="paragraph" w:customStyle="1" w:styleId="578">
    <w:name w:val="正文文本缩进 22"/>
    <w:basedOn w:val="1"/>
    <w:autoRedefine/>
    <w:qFormat/>
    <w:uiPriority w:val="0"/>
    <w:pPr>
      <w:spacing w:line="560" w:lineRule="exact"/>
      <w:ind w:firstLine="560" w:firstLineChars="200"/>
    </w:pPr>
    <w:rPr>
      <w:rFonts w:ascii="方正仿宋_GB2312" w:hAnsi="宋体" w:eastAsia="方正仿宋_GB2312" w:cs="Times New Roman"/>
      <w:sz w:val="28"/>
      <w:szCs w:val="28"/>
    </w:rPr>
  </w:style>
  <w:style w:type="paragraph" w:customStyle="1" w:styleId="579">
    <w:name w:val="样式 标题 1 + 加粗"/>
    <w:basedOn w:val="3"/>
    <w:autoRedefine/>
    <w:qFormat/>
    <w:uiPriority w:val="0"/>
    <w:pPr>
      <w:spacing w:before="120" w:after="120" w:line="500" w:lineRule="exact"/>
    </w:pPr>
    <w:rPr>
      <w:sz w:val="24"/>
    </w:rPr>
  </w:style>
  <w:style w:type="paragraph" w:customStyle="1" w:styleId="580">
    <w:name w:val="xl78"/>
    <w:basedOn w:val="1"/>
    <w:autoRedefine/>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81">
    <w:name w:val="样式3wf"/>
    <w:basedOn w:val="1"/>
    <w:autoRedefine/>
    <w:qFormat/>
    <w:uiPriority w:val="0"/>
    <w:pPr>
      <w:autoSpaceDE w:val="0"/>
      <w:autoSpaceDN w:val="0"/>
      <w:adjustRightInd w:val="0"/>
      <w:snapToGrid w:val="0"/>
      <w:textAlignment w:val="baseline"/>
    </w:pPr>
    <w:rPr>
      <w:rFonts w:ascii="Times New Roman" w:hAnsi="Times New Roman" w:eastAsia="宋体" w:cs="Times New Roman"/>
      <w:sz w:val="24"/>
      <w:szCs w:val="20"/>
    </w:rPr>
  </w:style>
  <w:style w:type="paragraph" w:customStyle="1" w:styleId="582">
    <w:name w:val="文档结构图1"/>
    <w:basedOn w:val="1"/>
    <w:autoRedefine/>
    <w:qFormat/>
    <w:uiPriority w:val="0"/>
    <w:rPr>
      <w:rFonts w:ascii="宋体" w:hAnsi="Times New Roman" w:eastAsia="宋体" w:cs="Times New Roman"/>
      <w:sz w:val="18"/>
      <w:szCs w:val="18"/>
    </w:rPr>
  </w:style>
  <w:style w:type="paragraph" w:customStyle="1" w:styleId="583">
    <w:name w:val="正文(首行缩进2字）"/>
    <w:basedOn w:val="1"/>
    <w:autoRedefine/>
    <w:qFormat/>
    <w:uiPriority w:val="0"/>
    <w:pPr>
      <w:spacing w:line="480" w:lineRule="exact"/>
      <w:ind w:firstLine="200" w:firstLineChars="200"/>
    </w:pPr>
    <w:rPr>
      <w:rFonts w:ascii="Arial" w:hAnsi="Arial" w:eastAsia="宋体" w:cs="Arial"/>
      <w:sz w:val="24"/>
      <w:szCs w:val="24"/>
    </w:rPr>
  </w:style>
  <w:style w:type="paragraph" w:customStyle="1" w:styleId="584">
    <w:name w:val="1.1.1"/>
    <w:next w:val="411"/>
    <w:autoRedefine/>
    <w:qFormat/>
    <w:uiPriority w:val="0"/>
    <w:pPr>
      <w:spacing w:before="156" w:beforeLines="50" w:after="156" w:afterLines="50" w:line="300" w:lineRule="auto"/>
      <w:jc w:val="both"/>
    </w:pPr>
    <w:rPr>
      <w:rFonts w:ascii="宋体" w:hAnsi="Times New Roman" w:eastAsia="宋体" w:cs="Times New Roman"/>
      <w:b/>
      <w:spacing w:val="10"/>
      <w:sz w:val="24"/>
      <w:lang w:val="en-US" w:eastAsia="zh-CN" w:bidi="ar-SA"/>
    </w:rPr>
  </w:style>
  <w:style w:type="paragraph" w:customStyle="1" w:styleId="585">
    <w:name w:val="CM50"/>
    <w:basedOn w:val="62"/>
    <w:next w:val="62"/>
    <w:autoRedefine/>
    <w:qFormat/>
    <w:uiPriority w:val="0"/>
    <w:pPr>
      <w:spacing w:line="440" w:lineRule="atLeast"/>
    </w:pPr>
    <w:rPr>
      <w:rFonts w:ascii="Simplex" w:hAnsi="Times New Roman" w:eastAsia="Simplex" w:cs="Simplex"/>
      <w:color w:val="auto"/>
    </w:rPr>
  </w:style>
  <w:style w:type="paragraph" w:customStyle="1" w:styleId="586">
    <w:name w:val="文本块1"/>
    <w:basedOn w:val="1"/>
    <w:autoRedefine/>
    <w:qFormat/>
    <w:uiPriority w:val="0"/>
    <w:pPr>
      <w:spacing w:after="120"/>
      <w:ind w:left="1440" w:leftChars="700" w:right="1440" w:rightChars="700"/>
    </w:pPr>
    <w:rPr>
      <w:rFonts w:ascii="Times New Roman" w:hAnsi="Times New Roman" w:eastAsia="宋体" w:cs="Times New Roman"/>
      <w:szCs w:val="20"/>
    </w:rPr>
  </w:style>
  <w:style w:type="paragraph" w:customStyle="1" w:styleId="587">
    <w:name w:val="三章正文"/>
    <w:basedOn w:val="19"/>
    <w:autoRedefine/>
    <w:qFormat/>
    <w:uiPriority w:val="0"/>
    <w:pPr>
      <w:spacing w:after="0" w:line="360" w:lineRule="auto"/>
      <w:ind w:firstLine="200" w:firstLineChars="200"/>
    </w:pPr>
    <w:rPr>
      <w:rFonts w:ascii="Times New Roman" w:hAnsi="Times New Roman" w:eastAsia="宋体" w:cs="Times New Roman"/>
      <w:sz w:val="24"/>
      <w:szCs w:val="20"/>
    </w:rPr>
  </w:style>
  <w:style w:type="paragraph" w:customStyle="1" w:styleId="588">
    <w:name w:val="tgt2"/>
    <w:basedOn w:val="1"/>
    <w:autoRedefine/>
    <w:qFormat/>
    <w:uiPriority w:val="0"/>
    <w:pPr>
      <w:widowControl/>
      <w:spacing w:after="150" w:line="360" w:lineRule="auto"/>
      <w:jc w:val="left"/>
    </w:pPr>
    <w:rPr>
      <w:rFonts w:ascii="宋体" w:hAnsi="宋体" w:eastAsia="宋体" w:cs="宋体"/>
      <w:b/>
      <w:bCs/>
      <w:kern w:val="0"/>
      <w:sz w:val="36"/>
      <w:szCs w:val="36"/>
    </w:rPr>
  </w:style>
  <w:style w:type="paragraph" w:customStyle="1" w:styleId="589">
    <w:name w:val="图表目录2"/>
    <w:basedOn w:val="1"/>
    <w:next w:val="1"/>
    <w:autoRedefine/>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590">
    <w:name w:val="样式 标题3 + Times New Roman 黑色"/>
    <w:basedOn w:val="569"/>
    <w:autoRedefine/>
    <w:qFormat/>
    <w:uiPriority w:val="0"/>
    <w:pPr>
      <w:widowControl/>
      <w:spacing w:before="80" w:after="0"/>
      <w:ind w:left="142"/>
    </w:pPr>
    <w:rPr>
      <w:rFonts w:eastAsia="黑体"/>
      <w:b w:val="0"/>
      <w:bCs w:val="0"/>
      <w:color w:val="000000"/>
      <w:sz w:val="24"/>
      <w:szCs w:val="20"/>
      <w:lang w:val="zh-CN"/>
    </w:rPr>
  </w:style>
  <w:style w:type="paragraph" w:customStyle="1" w:styleId="591">
    <w:name w:val="CM110"/>
    <w:basedOn w:val="62"/>
    <w:next w:val="62"/>
    <w:autoRedefine/>
    <w:qFormat/>
    <w:uiPriority w:val="0"/>
    <w:pPr>
      <w:spacing w:after="313"/>
    </w:pPr>
    <w:rPr>
      <w:rFonts w:ascii="Simplex" w:hAnsi="Times New Roman" w:eastAsia="Simplex" w:cs="Simplex"/>
      <w:color w:val="auto"/>
    </w:rPr>
  </w:style>
  <w:style w:type="paragraph" w:customStyle="1" w:styleId="592">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Black" w:hAnsi="Arial Black" w:eastAsia="Arial Black" w:cs="Arial Black"/>
      <w:color w:val="333333"/>
      <w:kern w:val="0"/>
      <w:sz w:val="20"/>
      <w:szCs w:val="20"/>
    </w:rPr>
  </w:style>
  <w:style w:type="paragraph" w:customStyle="1" w:styleId="593">
    <w:name w:val="新正文样式"/>
    <w:basedOn w:val="1"/>
    <w:autoRedefine/>
    <w:qFormat/>
    <w:uiPriority w:val="0"/>
    <w:pPr>
      <w:tabs>
        <w:tab w:val="left" w:pos="567"/>
      </w:tabs>
      <w:spacing w:line="360" w:lineRule="auto"/>
      <w:ind w:firstLine="560" w:firstLineChars="200"/>
      <w:jc w:val="left"/>
    </w:pPr>
    <w:rPr>
      <w:rFonts w:ascii="Times New Roman" w:hAnsi="Times New Roman" w:eastAsia="华文中宋" w:cs="Times New Roman"/>
      <w:spacing w:val="20"/>
      <w:sz w:val="24"/>
      <w:szCs w:val="20"/>
    </w:rPr>
  </w:style>
  <w:style w:type="paragraph" w:customStyle="1" w:styleId="594">
    <w:name w:val="CM31"/>
    <w:basedOn w:val="62"/>
    <w:next w:val="62"/>
    <w:autoRedefine/>
    <w:qFormat/>
    <w:uiPriority w:val="0"/>
    <w:pPr>
      <w:spacing w:line="468" w:lineRule="atLeast"/>
    </w:pPr>
    <w:rPr>
      <w:rFonts w:ascii="宋体" w:eastAsia="宋体" w:cs="Times New Roman"/>
      <w:color w:val="auto"/>
    </w:rPr>
  </w:style>
  <w:style w:type="paragraph" w:customStyle="1" w:styleId="595">
    <w:name w:val="xl83"/>
    <w:basedOn w:val="1"/>
    <w:autoRedefine/>
    <w:qFormat/>
    <w:uiPriority w:val="0"/>
    <w:pPr>
      <w:widowControl/>
      <w:spacing w:before="100" w:beforeAutospacing="1" w:after="100" w:afterAutospacing="1"/>
      <w:jc w:val="left"/>
      <w:textAlignment w:val="center"/>
    </w:pPr>
    <w:rPr>
      <w:rFonts w:ascii="宋体" w:hAnsi="宋体" w:eastAsia="宋体" w:cs="宋体"/>
      <w:kern w:val="0"/>
      <w:sz w:val="20"/>
      <w:szCs w:val="20"/>
    </w:rPr>
  </w:style>
  <w:style w:type="paragraph" w:customStyle="1" w:styleId="596">
    <w:name w:val="xl126"/>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FF0000"/>
      <w:kern w:val="0"/>
      <w:sz w:val="20"/>
      <w:szCs w:val="20"/>
    </w:rPr>
  </w:style>
  <w:style w:type="paragraph" w:customStyle="1" w:styleId="597">
    <w:name w:val="报告书正文 Char Char Char"/>
    <w:basedOn w:val="1"/>
    <w:autoRedefine/>
    <w:qFormat/>
    <w:uiPriority w:val="0"/>
    <w:pPr>
      <w:spacing w:line="300" w:lineRule="auto"/>
      <w:ind w:firstLine="480" w:firstLineChars="200"/>
    </w:pPr>
    <w:rPr>
      <w:rFonts w:ascii="Times New Roman" w:hAnsi="Times New Roman" w:eastAsia="宋体" w:cs="Times New Roman"/>
      <w:sz w:val="24"/>
      <w:szCs w:val="24"/>
    </w:rPr>
  </w:style>
  <w:style w:type="paragraph" w:customStyle="1" w:styleId="598">
    <w:name w:val="xl14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599">
    <w:name w:val="xl1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0">
    <w:name w:val="bhq正文"/>
    <w:basedOn w:val="1"/>
    <w:autoRedefine/>
    <w:qFormat/>
    <w:uiPriority w:val="0"/>
    <w:pPr>
      <w:adjustRightInd w:val="0"/>
      <w:snapToGrid w:val="0"/>
      <w:spacing w:line="432" w:lineRule="auto"/>
      <w:ind w:firstLine="567"/>
    </w:pPr>
    <w:rPr>
      <w:rFonts w:ascii="宋体" w:hAnsi="宋体"/>
      <w:sz w:val="28"/>
      <w:szCs w:val="20"/>
    </w:rPr>
  </w:style>
  <w:style w:type="paragraph" w:customStyle="1" w:styleId="601">
    <w:name w:val="样式 四号 加粗 段前: 6 磅 段后: 5 磅 行距: 固定值 23 磅"/>
    <w:basedOn w:val="6"/>
    <w:autoRedefine/>
    <w:qFormat/>
    <w:uiPriority w:val="0"/>
    <w:pPr>
      <w:keepNext w:val="0"/>
      <w:keepLines w:val="0"/>
      <w:widowControl/>
      <w:spacing w:before="93" w:beforeLines="30" w:after="0" w:line="360" w:lineRule="auto"/>
      <w:jc w:val="left"/>
      <w:outlineLvl w:val="2"/>
    </w:pPr>
    <w:rPr>
      <w:rFonts w:ascii="Times New Roman" w:hAnsi="Times New Roman" w:cs="宋体"/>
      <w:bCs w:val="0"/>
      <w:kern w:val="28"/>
      <w:szCs w:val="20"/>
    </w:rPr>
  </w:style>
  <w:style w:type="paragraph" w:customStyle="1" w:styleId="602">
    <w:name w:val="xl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3">
    <w:name w:val="Char"/>
    <w:basedOn w:val="1"/>
    <w:next w:val="1"/>
    <w:autoRedefine/>
    <w:qFormat/>
    <w:uiPriority w:val="0"/>
    <w:rPr>
      <w:rFonts w:ascii="Times New Roman" w:hAnsi="Times New Roman" w:eastAsia="宋体" w:cs="Times New Roman"/>
      <w:szCs w:val="24"/>
    </w:rPr>
  </w:style>
  <w:style w:type="paragraph" w:customStyle="1" w:styleId="604">
    <w:name w:val="Char Char Char Char Char Char1 Char Char"/>
    <w:basedOn w:val="1"/>
    <w:autoRedefine/>
    <w:qFormat/>
    <w:uiPriority w:val="0"/>
    <w:rPr>
      <w:rFonts w:ascii="方正仿宋_GB2312" w:hAnsi="Times New Roman" w:eastAsia="方正仿宋_GB2312" w:cs="Times New Roman"/>
      <w:b/>
      <w:sz w:val="32"/>
      <w:szCs w:val="32"/>
    </w:rPr>
  </w:style>
  <w:style w:type="paragraph" w:customStyle="1" w:styleId="605">
    <w:name w:val="xl10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6">
    <w:name w:val="标题 31"/>
    <w:next w:val="164"/>
    <w:autoRedefine/>
    <w:qFormat/>
    <w:uiPriority w:val="0"/>
    <w:pPr>
      <w:keepNext/>
      <w:keepLines/>
      <w:spacing w:before="200" w:after="200"/>
      <w:outlineLvl w:val="0"/>
    </w:pPr>
    <w:rPr>
      <w:rFonts w:ascii="Times New Roman" w:hAnsi="Times New Roman" w:eastAsia="宋体" w:cs="Times New Roman"/>
      <w:b/>
      <w:bCs/>
      <w:sz w:val="24"/>
      <w:szCs w:val="32"/>
      <w:lang w:val="zh-CN" w:eastAsia="zh-CN" w:bidi="ar-SA"/>
    </w:rPr>
  </w:style>
  <w:style w:type="paragraph" w:customStyle="1" w:styleId="607">
    <w:name w:val="纯文本11"/>
    <w:basedOn w:val="1"/>
    <w:autoRedefine/>
    <w:qFormat/>
    <w:uiPriority w:val="0"/>
    <w:pPr>
      <w:adjustRightInd w:val="0"/>
      <w:jc w:val="left"/>
      <w:textAlignment w:val="baseline"/>
    </w:pPr>
    <w:rPr>
      <w:rFonts w:ascii="宋体" w:hAnsi="Times New Roman" w:eastAsia="宋体" w:cs="Times New Roman"/>
      <w:kern w:val="0"/>
      <w:sz w:val="24"/>
      <w:szCs w:val="20"/>
    </w:rPr>
  </w:style>
  <w:style w:type="paragraph" w:customStyle="1" w:styleId="608">
    <w:name w:val="xl144"/>
    <w:basedOn w:val="1"/>
    <w:autoRedefine/>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609">
    <w:name w:val="CM109"/>
    <w:basedOn w:val="62"/>
    <w:next w:val="62"/>
    <w:autoRedefine/>
    <w:qFormat/>
    <w:uiPriority w:val="0"/>
    <w:pPr>
      <w:spacing w:after="490"/>
    </w:pPr>
    <w:rPr>
      <w:rFonts w:ascii="Simplex" w:hAnsi="Times New Roman" w:eastAsia="Simplex" w:cs="Simplex"/>
      <w:color w:val="auto"/>
    </w:rPr>
  </w:style>
  <w:style w:type="paragraph" w:customStyle="1" w:styleId="610">
    <w:name w:val="正文文本 31"/>
    <w:basedOn w:val="1"/>
    <w:autoRedefine/>
    <w:qFormat/>
    <w:uiPriority w:val="0"/>
    <w:pPr>
      <w:spacing w:after="120"/>
    </w:pPr>
    <w:rPr>
      <w:rFonts w:ascii="Times New Roman" w:hAnsi="Times New Roman" w:eastAsia="宋体" w:cs="Times New Roman"/>
      <w:sz w:val="16"/>
      <w:szCs w:val="16"/>
    </w:rPr>
  </w:style>
  <w:style w:type="paragraph" w:customStyle="1" w:styleId="611">
    <w:name w:val="xl1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612">
    <w:name w:val="索引 221"/>
    <w:basedOn w:val="1"/>
    <w:next w:val="1"/>
    <w:autoRedefine/>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613">
    <w:name w:val="注释标题21"/>
    <w:basedOn w:val="1"/>
    <w:next w:val="1"/>
    <w:autoRedefine/>
    <w:qFormat/>
    <w:uiPriority w:val="0"/>
    <w:pPr>
      <w:jc w:val="center"/>
    </w:pPr>
    <w:rPr>
      <w:rFonts w:ascii="Times New Roman" w:hAnsi="Times New Roman" w:eastAsia="宋体" w:cs="Times New Roman"/>
      <w:szCs w:val="24"/>
    </w:rPr>
  </w:style>
  <w:style w:type="paragraph" w:customStyle="1" w:styleId="614">
    <w:name w:val="reader-word-layer"/>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615">
    <w:name w:val="普通(网站)1"/>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16">
    <w:name w:val="reader-word-layer reader-word-s1-69"/>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17">
    <w:name w:val="xl13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618">
    <w:name w:val="xl145"/>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19">
    <w:name w:val="表中文字"/>
    <w:autoRedefine/>
    <w:qFormat/>
    <w:uiPriority w:val="0"/>
    <w:pPr>
      <w:widowControl w:val="0"/>
      <w:spacing w:line="280" w:lineRule="exact"/>
      <w:jc w:val="center"/>
    </w:pPr>
    <w:rPr>
      <w:rFonts w:ascii="Times New Roman" w:hAnsi="Times New Roman" w:eastAsia="宋体" w:cs="Times New Roman"/>
      <w:kern w:val="28"/>
      <w:sz w:val="21"/>
      <w:lang w:val="en-US" w:eastAsia="zh-CN" w:bidi="ar-SA"/>
    </w:rPr>
  </w:style>
  <w:style w:type="paragraph" w:customStyle="1" w:styleId="620">
    <w:name w:val="日期2"/>
    <w:basedOn w:val="1"/>
    <w:next w:val="1"/>
    <w:autoRedefine/>
    <w:qFormat/>
    <w:uiPriority w:val="0"/>
    <w:pPr>
      <w:ind w:left="100" w:leftChars="2500"/>
    </w:pPr>
    <w:rPr>
      <w:rFonts w:ascii="Times New Roman" w:hAnsi="Times New Roman" w:eastAsia="宋体" w:cs="Times New Roman"/>
      <w:szCs w:val="24"/>
    </w:rPr>
  </w:style>
  <w:style w:type="paragraph" w:customStyle="1" w:styleId="621">
    <w:name w:val="样式"/>
    <w:basedOn w:val="1"/>
    <w:autoRedefine/>
    <w:qFormat/>
    <w:uiPriority w:val="0"/>
    <w:rPr>
      <w:rFonts w:ascii="Times New Roman" w:hAnsi="Times New Roman" w:eastAsia="宋体" w:cs="Times New Roman"/>
      <w:szCs w:val="21"/>
    </w:rPr>
  </w:style>
  <w:style w:type="paragraph" w:customStyle="1" w:styleId="622">
    <w:name w:val="表内5号两端对齐"/>
    <w:autoRedefine/>
    <w:qFormat/>
    <w:uiPriority w:val="0"/>
    <w:pPr>
      <w:adjustRightInd w:val="0"/>
      <w:snapToGrid w:val="0"/>
      <w:jc w:val="both"/>
    </w:pPr>
    <w:rPr>
      <w:rFonts w:ascii="Times New Roman" w:hAnsi="Times New Roman" w:eastAsia="宋体" w:cs="Times New Roman"/>
      <w:sz w:val="21"/>
      <w:lang w:val="en-US" w:eastAsia="zh-CN" w:bidi="ar-SA"/>
    </w:rPr>
  </w:style>
  <w:style w:type="paragraph" w:customStyle="1" w:styleId="623">
    <w:name w:val="表格、图片名"/>
    <w:basedOn w:val="1"/>
    <w:link w:val="624"/>
    <w:autoRedefine/>
    <w:qFormat/>
    <w:uiPriority w:val="99"/>
    <w:pPr>
      <w:spacing w:line="360" w:lineRule="auto"/>
      <w:ind w:firstLine="480" w:firstLineChars="200"/>
      <w:jc w:val="center"/>
    </w:pPr>
    <w:rPr>
      <w:rFonts w:ascii="Times New Roman" w:hAnsi="Times New Roman" w:eastAsia="黑体"/>
      <w:kern w:val="0"/>
    </w:rPr>
  </w:style>
  <w:style w:type="character" w:customStyle="1" w:styleId="624">
    <w:name w:val="表格、图片名 Char"/>
    <w:link w:val="623"/>
    <w:autoRedefine/>
    <w:qFormat/>
    <w:locked/>
    <w:uiPriority w:val="99"/>
    <w:rPr>
      <w:rFonts w:eastAsia="黑体"/>
      <w:sz w:val="24"/>
      <w:szCs w:val="24"/>
    </w:rPr>
  </w:style>
  <w:style w:type="paragraph" w:customStyle="1" w:styleId="625">
    <w:name w:val="CM14"/>
    <w:basedOn w:val="62"/>
    <w:next w:val="62"/>
    <w:autoRedefine/>
    <w:qFormat/>
    <w:uiPriority w:val="0"/>
    <w:pPr>
      <w:spacing w:line="468" w:lineRule="atLeast"/>
    </w:pPr>
    <w:rPr>
      <w:rFonts w:ascii="宋体" w:eastAsia="宋体" w:cs="Times New Roman"/>
      <w:color w:val="auto"/>
    </w:rPr>
  </w:style>
  <w:style w:type="paragraph" w:customStyle="1" w:styleId="626">
    <w:name w:val="正文文本 24"/>
    <w:basedOn w:val="1"/>
    <w:autoRedefine/>
    <w:qFormat/>
    <w:uiPriority w:val="0"/>
    <w:pPr>
      <w:spacing w:before="0" w:line="240" w:lineRule="atLeast"/>
      <w:ind w:firstLine="0"/>
      <w:jc w:val="center"/>
    </w:pPr>
    <w:rPr>
      <w:rFonts w:ascii="宋体"/>
      <w:kern w:val="0"/>
    </w:rPr>
  </w:style>
  <w:style w:type="paragraph" w:customStyle="1" w:styleId="627">
    <w:name w:val="xl156"/>
    <w:basedOn w:val="1"/>
    <w:autoRedefine/>
    <w:qFormat/>
    <w:uiPriority w:val="0"/>
    <w:pPr>
      <w:widowControl/>
      <w:pBdr>
        <w:top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4"/>
      <w:szCs w:val="24"/>
    </w:rPr>
  </w:style>
  <w:style w:type="paragraph" w:customStyle="1" w:styleId="628">
    <w:name w:val="表头(A4)"/>
    <w:basedOn w:val="1"/>
    <w:next w:val="47"/>
    <w:autoRedefine/>
    <w:qFormat/>
    <w:uiPriority w:val="0"/>
    <w:pPr>
      <w:tabs>
        <w:tab w:val="left" w:pos="547"/>
        <w:tab w:val="left" w:pos="1080"/>
        <w:tab w:val="center" w:pos="4320"/>
        <w:tab w:val="right" w:pos="8640"/>
      </w:tabs>
      <w:spacing w:line="480" w:lineRule="atLeast"/>
    </w:pPr>
    <w:rPr>
      <w:rFonts w:ascii="Times New Roman" w:hAnsi="Times New Roman" w:eastAsia="宋体" w:cs="Times New Roman"/>
      <w:b/>
      <w:sz w:val="24"/>
      <w:szCs w:val="28"/>
    </w:rPr>
  </w:style>
  <w:style w:type="paragraph" w:customStyle="1" w:styleId="629">
    <w:name w:val="表文"/>
    <w:basedOn w:val="1"/>
    <w:autoRedefine/>
    <w:qFormat/>
    <w:uiPriority w:val="0"/>
    <w:pPr>
      <w:overflowPunct w:val="0"/>
      <w:jc w:val="center"/>
      <w:textAlignment w:val="baseline"/>
    </w:pPr>
    <w:rPr>
      <w:rFonts w:ascii="Times New Roman" w:hAnsi="Times New Roman" w:eastAsia="宋体" w:cs="Times New Roman"/>
      <w:szCs w:val="20"/>
    </w:rPr>
  </w:style>
  <w:style w:type="paragraph" w:customStyle="1" w:styleId="630">
    <w:name w:val="font11"/>
    <w:basedOn w:val="1"/>
    <w:autoRedefine/>
    <w:qFormat/>
    <w:uiPriority w:val="0"/>
    <w:pPr>
      <w:widowControl/>
      <w:spacing w:before="100" w:beforeAutospacing="1" w:after="100" w:afterAutospacing="1"/>
      <w:jc w:val="left"/>
    </w:pPr>
    <w:rPr>
      <w:rFonts w:ascii="宋体" w:hAnsi="宋体" w:eastAsia="宋体" w:cs="宋体"/>
      <w:b/>
      <w:bCs/>
      <w:color w:val="000000"/>
      <w:kern w:val="0"/>
      <w:sz w:val="18"/>
      <w:szCs w:val="18"/>
    </w:rPr>
  </w:style>
  <w:style w:type="paragraph" w:customStyle="1" w:styleId="631">
    <w:name w:val="xl24"/>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rFonts w:ascii="Times New Roman" w:hAnsi="Times New Roman" w:eastAsia="宋体" w:cs="Times New Roman"/>
      <w:kern w:val="0"/>
      <w:szCs w:val="21"/>
    </w:rPr>
  </w:style>
  <w:style w:type="paragraph" w:customStyle="1" w:styleId="632">
    <w:name w:val="fcc正文"/>
    <w:basedOn w:val="1"/>
    <w:autoRedefine/>
    <w:qFormat/>
    <w:uiPriority w:val="0"/>
    <w:pPr>
      <w:spacing w:line="360" w:lineRule="auto"/>
      <w:ind w:firstLine="200" w:firstLineChars="200"/>
    </w:pPr>
    <w:rPr>
      <w:sz w:val="24"/>
      <w:szCs w:val="20"/>
      <w:lang w:val="zh-CN"/>
    </w:rPr>
  </w:style>
  <w:style w:type="paragraph" w:customStyle="1" w:styleId="633">
    <w:name w:val="Char Char1 Char Char Char Char Char Char Char Char Char Char Char Char Char Char Char Char Char Char Char Char Char Char Char Char Char Char Char Char Char Char1 Char Char Char Char"/>
    <w:basedOn w:val="1"/>
    <w:autoRedefine/>
    <w:qFormat/>
    <w:uiPriority w:val="0"/>
    <w:rPr>
      <w:rFonts w:ascii="Times New Roman" w:hAnsi="Times New Roman" w:eastAsia="宋体" w:cs="Times New Roman"/>
      <w:szCs w:val="24"/>
    </w:rPr>
  </w:style>
  <w:style w:type="paragraph" w:customStyle="1" w:styleId="634">
    <w:name w:val="正文首行缩进1"/>
    <w:basedOn w:val="19"/>
    <w:autoRedefine/>
    <w:qFormat/>
    <w:uiPriority w:val="0"/>
    <w:pPr>
      <w:ind w:firstLine="420" w:firstLineChars="100"/>
    </w:pPr>
    <w:rPr>
      <w:rFonts w:ascii="Times New Roman" w:hAnsi="Times New Roman" w:eastAsia="宋体" w:cs="Times New Roman"/>
      <w:szCs w:val="24"/>
    </w:rPr>
  </w:style>
  <w:style w:type="paragraph" w:customStyle="1" w:styleId="635">
    <w:name w:val="xl9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36">
    <w:name w:val="表格后正文"/>
    <w:basedOn w:val="593"/>
    <w:autoRedefine/>
    <w:qFormat/>
    <w:uiPriority w:val="0"/>
    <w:pPr>
      <w:spacing w:before="200"/>
    </w:pPr>
  </w:style>
  <w:style w:type="paragraph" w:customStyle="1" w:styleId="637">
    <w:name w:val="p0"/>
    <w:basedOn w:val="1"/>
    <w:autoRedefine/>
    <w:qFormat/>
    <w:uiPriority w:val="0"/>
    <w:pPr>
      <w:widowControl/>
      <w:spacing w:line="480" w:lineRule="atLeast"/>
      <w:ind w:firstLine="420"/>
    </w:pPr>
    <w:rPr>
      <w:rFonts w:ascii="Times New Roman" w:hAnsi="Times New Roman" w:eastAsia="宋体" w:cs="Times New Roman"/>
      <w:kern w:val="0"/>
      <w:sz w:val="28"/>
      <w:szCs w:val="28"/>
    </w:rPr>
  </w:style>
  <w:style w:type="paragraph" w:customStyle="1" w:styleId="638">
    <w:name w:val="xl8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39">
    <w:name w:val="Char Char Char1 Char1"/>
    <w:basedOn w:val="1"/>
    <w:autoRedefine/>
    <w:qFormat/>
    <w:uiPriority w:val="0"/>
    <w:rPr>
      <w:rFonts w:ascii="Times New Roman" w:hAnsi="Times New Roman" w:eastAsia="宋体" w:cs="Times New Roman"/>
      <w:szCs w:val="24"/>
    </w:rPr>
  </w:style>
  <w:style w:type="paragraph" w:customStyle="1" w:styleId="640">
    <w:name w:val="正文首行缩进21"/>
    <w:basedOn w:val="19"/>
    <w:autoRedefine/>
    <w:qFormat/>
    <w:uiPriority w:val="0"/>
    <w:pPr>
      <w:ind w:firstLine="420" w:firstLineChars="100"/>
    </w:pPr>
    <w:rPr>
      <w:rFonts w:ascii="Times New Roman" w:hAnsi="Times New Roman" w:eastAsia="宋体" w:cs="Times New Roman"/>
      <w:szCs w:val="24"/>
    </w:rPr>
  </w:style>
  <w:style w:type="paragraph" w:customStyle="1" w:styleId="641">
    <w:name w:val="xl11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42">
    <w:name w:val="CM1"/>
    <w:basedOn w:val="62"/>
    <w:next w:val="62"/>
    <w:autoRedefine/>
    <w:qFormat/>
    <w:uiPriority w:val="0"/>
    <w:rPr>
      <w:rFonts w:ascii="Simplex" w:hAnsi="Times New Roman" w:eastAsia="Simplex" w:cs="Simplex"/>
      <w:color w:val="auto"/>
    </w:rPr>
  </w:style>
  <w:style w:type="paragraph" w:customStyle="1" w:styleId="643">
    <w:name w:val="样式 图标题 + 段前: 0.4 行 段后: 0.8 行"/>
    <w:basedOn w:val="227"/>
    <w:autoRedefine/>
    <w:qFormat/>
    <w:uiPriority w:val="0"/>
    <w:pPr>
      <w:tabs>
        <w:tab w:val="left" w:pos="436"/>
        <w:tab w:val="clear" w:pos="1008"/>
      </w:tabs>
      <w:spacing w:before="0" w:beforeLines="0" w:after="0" w:afterLines="0" w:line="240" w:lineRule="auto"/>
      <w:ind w:left="16" w:firstLine="560"/>
    </w:pPr>
    <w:rPr>
      <w:rFonts w:ascii="宋体" w:hAnsi="宋体" w:eastAsia="华文新魏"/>
      <w:bCs/>
      <w:kern w:val="0"/>
    </w:rPr>
  </w:style>
  <w:style w:type="paragraph" w:customStyle="1" w:styleId="644">
    <w:name w:val="报表内容"/>
    <w:autoRedefine/>
    <w:qFormat/>
    <w:uiPriority w:val="1"/>
    <w:pPr>
      <w:widowControl w:val="0"/>
      <w:spacing w:line="260" w:lineRule="exact"/>
      <w:jc w:val="center"/>
    </w:pPr>
    <w:rPr>
      <w:rFonts w:ascii="Times New Roman" w:hAnsi="Times New Roman" w:eastAsia="宋体" w:cs="Times New Roman"/>
      <w:sz w:val="18"/>
      <w:lang w:val="en-US" w:eastAsia="zh-CN" w:bidi="ar-SA"/>
    </w:rPr>
  </w:style>
  <w:style w:type="paragraph" w:customStyle="1" w:styleId="645">
    <w:name w:val="海盘说明"/>
    <w:basedOn w:val="1"/>
    <w:autoRedefine/>
    <w:qFormat/>
    <w:uiPriority w:val="0"/>
    <w:pPr>
      <w:adjustRightInd w:val="0"/>
      <w:spacing w:line="360" w:lineRule="exact"/>
      <w:ind w:firstLine="199" w:firstLineChars="199"/>
      <w:textAlignment w:val="baseline"/>
    </w:pPr>
    <w:rPr>
      <w:rFonts w:ascii="Times New Roman" w:hAnsi="Times New Roman" w:eastAsia="宋体" w:cs="Times New Roman"/>
      <w:b/>
      <w:kern w:val="0"/>
      <w:szCs w:val="20"/>
    </w:rPr>
  </w:style>
  <w:style w:type="paragraph" w:customStyle="1" w:styleId="646">
    <w:name w:val="CM108"/>
    <w:basedOn w:val="62"/>
    <w:next w:val="62"/>
    <w:autoRedefine/>
    <w:qFormat/>
    <w:uiPriority w:val="0"/>
    <w:pPr>
      <w:spacing w:after="78"/>
    </w:pPr>
    <w:rPr>
      <w:rFonts w:ascii="Simplex" w:hAnsi="Times New Roman" w:eastAsia="Simplex" w:cs="Simplex"/>
      <w:color w:val="auto"/>
    </w:rPr>
  </w:style>
  <w:style w:type="paragraph" w:customStyle="1" w:styleId="647">
    <w:name w:val="xl32"/>
    <w:basedOn w:val="1"/>
    <w:autoRedefine/>
    <w:qFormat/>
    <w:uiPriority w:val="0"/>
    <w:pPr>
      <w:widowControl/>
      <w:spacing w:before="100" w:beforeAutospacing="1" w:after="100" w:afterAutospacing="1"/>
      <w:jc w:val="center"/>
    </w:pPr>
    <w:rPr>
      <w:rFonts w:ascii="Arial Black" w:hAnsi="Arial Black" w:eastAsia="Arial Black" w:cs="Arial Black"/>
      <w:kern w:val="0"/>
      <w:sz w:val="20"/>
      <w:szCs w:val="20"/>
    </w:rPr>
  </w:style>
  <w:style w:type="paragraph" w:customStyle="1" w:styleId="648">
    <w:name w:val="普通文本"/>
    <w:basedOn w:val="1"/>
    <w:autoRedefine/>
    <w:qFormat/>
    <w:uiPriority w:val="0"/>
    <w:pPr>
      <w:spacing w:line="480" w:lineRule="exact"/>
      <w:ind w:firstLine="200" w:firstLineChars="200"/>
    </w:pPr>
    <w:rPr>
      <w:rFonts w:ascii="Times New Roman" w:hAnsi="Times New Roman" w:eastAsia="方正仿宋_GB2312" w:cs="Times New Roman"/>
      <w:sz w:val="24"/>
      <w:szCs w:val="24"/>
    </w:rPr>
  </w:style>
  <w:style w:type="paragraph" w:customStyle="1" w:styleId="649">
    <w:name w:val="正文文本缩进3"/>
    <w:basedOn w:val="1"/>
    <w:autoRedefine/>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650">
    <w:name w:val="样式 报告 + 首行缩进:  2 字符 段前: 3 磅 段后: 3 磅"/>
    <w:basedOn w:val="1"/>
    <w:autoRedefine/>
    <w:qFormat/>
    <w:uiPriority w:val="0"/>
    <w:pPr>
      <w:overflowPunct w:val="0"/>
      <w:autoSpaceDE w:val="0"/>
      <w:autoSpaceDN w:val="0"/>
      <w:adjustRightInd w:val="0"/>
      <w:spacing w:before="60" w:after="60" w:line="400" w:lineRule="atLeast"/>
      <w:ind w:firstLine="480" w:firstLineChars="200"/>
      <w:jc w:val="left"/>
      <w:textAlignment w:val="baseline"/>
    </w:pPr>
    <w:rPr>
      <w:rFonts w:ascii="Times New Roman" w:hAnsi="Times New Roman" w:eastAsia="宋体" w:cs="宋体"/>
      <w:kern w:val="0"/>
      <w:sz w:val="24"/>
      <w:szCs w:val="24"/>
    </w:rPr>
  </w:style>
  <w:style w:type="paragraph" w:customStyle="1" w:styleId="651">
    <w:name w:val="xl40"/>
    <w:basedOn w:val="1"/>
    <w:autoRedefine/>
    <w:qFormat/>
    <w:uiPriority w:val="0"/>
    <w:pPr>
      <w:widowControl/>
      <w:pBdr>
        <w:left w:val="single" w:color="auto" w:sz="4" w:space="0"/>
        <w:right w:val="single" w:color="auto" w:sz="4" w:space="0"/>
      </w:pBdr>
      <w:adjustRightInd w:val="0"/>
      <w:snapToGrid w:val="0"/>
      <w:spacing w:before="100" w:beforeAutospacing="1" w:after="100" w:afterAutospacing="1" w:line="360" w:lineRule="auto"/>
      <w:jc w:val="center"/>
    </w:pPr>
    <w:rPr>
      <w:rFonts w:ascii="宋体" w:hAnsi="宋体" w:eastAsia="宋体" w:cs="Times New Roman"/>
      <w:kern w:val="0"/>
      <w:sz w:val="24"/>
      <w:szCs w:val="24"/>
    </w:rPr>
  </w:style>
  <w:style w:type="paragraph" w:customStyle="1" w:styleId="652">
    <w:name w:val="xl140"/>
    <w:basedOn w:val="1"/>
    <w:autoRedefine/>
    <w:qFormat/>
    <w:uiPriority w:val="0"/>
    <w:pPr>
      <w:widowControl/>
      <w:pBdr>
        <w:top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53">
    <w:name w:val="xl74"/>
    <w:basedOn w:val="1"/>
    <w:autoRedefine/>
    <w:qFormat/>
    <w:uiPriority w:val="0"/>
    <w:pPr>
      <w:widowControl/>
      <w:spacing w:before="100" w:beforeAutospacing="1" w:after="100" w:afterAutospacing="1"/>
      <w:jc w:val="left"/>
      <w:textAlignment w:val="center"/>
    </w:pPr>
    <w:rPr>
      <w:rFonts w:ascii="宋体" w:hAnsi="宋体" w:eastAsia="宋体" w:cs="宋体"/>
      <w:kern w:val="0"/>
      <w:sz w:val="20"/>
      <w:szCs w:val="20"/>
    </w:rPr>
  </w:style>
  <w:style w:type="paragraph" w:customStyle="1" w:styleId="654">
    <w:name w:val="正文(首行缩进2字)"/>
    <w:basedOn w:val="1"/>
    <w:next w:val="1"/>
    <w:autoRedefine/>
    <w:qFormat/>
    <w:uiPriority w:val="0"/>
    <w:pPr>
      <w:adjustRightInd w:val="0"/>
      <w:spacing w:line="360" w:lineRule="auto"/>
      <w:ind w:firstLine="560" w:firstLineChars="200"/>
      <w:jc w:val="left"/>
      <w:textAlignment w:val="baseline"/>
    </w:pPr>
    <w:rPr>
      <w:rFonts w:ascii="Times New Roman" w:hAnsi="Times New Roman" w:eastAsia="宋体" w:cs="Times New Roman"/>
      <w:color w:val="000000"/>
      <w:kern w:val="0"/>
      <w:sz w:val="28"/>
      <w:szCs w:val="20"/>
    </w:rPr>
  </w:style>
  <w:style w:type="paragraph" w:customStyle="1" w:styleId="655">
    <w:name w:val="文本块2"/>
    <w:basedOn w:val="1"/>
    <w:autoRedefine/>
    <w:qFormat/>
    <w:uiPriority w:val="0"/>
    <w:pPr>
      <w:spacing w:after="120"/>
      <w:ind w:left="1440" w:leftChars="700" w:right="1440" w:rightChars="700"/>
    </w:pPr>
    <w:rPr>
      <w:rFonts w:ascii="Times New Roman" w:hAnsi="Times New Roman" w:eastAsia="宋体" w:cs="Times New Roman"/>
      <w:szCs w:val="20"/>
    </w:rPr>
  </w:style>
  <w:style w:type="paragraph" w:customStyle="1" w:styleId="656">
    <w:name w:val="+标题4"/>
    <w:basedOn w:val="6"/>
    <w:autoRedefine/>
    <w:qFormat/>
    <w:uiPriority w:val="0"/>
    <w:pPr>
      <w:numPr>
        <w:ilvl w:val="3"/>
        <w:numId w:val="5"/>
      </w:numPr>
      <w:tabs>
        <w:tab w:val="clear" w:pos="420"/>
      </w:tabs>
      <w:adjustRightInd/>
      <w:spacing w:before="120" w:after="120" w:line="360" w:lineRule="auto"/>
      <w:jc w:val="both"/>
      <w:textAlignment w:val="auto"/>
    </w:pPr>
    <w:rPr>
      <w:rFonts w:ascii="Times New Roman" w:hAnsi="Times New Roman" w:eastAsia="宋体"/>
      <w:kern w:val="2"/>
      <w:sz w:val="24"/>
    </w:rPr>
  </w:style>
  <w:style w:type="paragraph" w:customStyle="1" w:styleId="657">
    <w:name w:val="xl26"/>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rFonts w:ascii="宋体" w:hAnsi="宋体" w:eastAsia="宋体" w:cs="Times New Roman"/>
      <w:kern w:val="0"/>
      <w:szCs w:val="21"/>
    </w:rPr>
  </w:style>
  <w:style w:type="paragraph" w:customStyle="1" w:styleId="658">
    <w:name w:val="Char Char Char Char2"/>
    <w:basedOn w:val="1"/>
    <w:autoRedefine/>
    <w:qFormat/>
    <w:uiPriority w:val="0"/>
    <w:rPr>
      <w:rFonts w:ascii="Times New Roman" w:hAnsi="Times New Roman" w:eastAsia="宋体" w:cs="Times New Roman"/>
      <w:sz w:val="24"/>
      <w:szCs w:val="24"/>
    </w:rPr>
  </w:style>
  <w:style w:type="paragraph" w:customStyle="1" w:styleId="659">
    <w:name w:val="BG4-"/>
    <w:basedOn w:val="291"/>
    <w:autoRedefine/>
    <w:qFormat/>
    <w:uiPriority w:val="0"/>
    <w:pPr>
      <w:snapToGrid w:val="0"/>
      <w:spacing w:line="240" w:lineRule="exact"/>
    </w:pPr>
    <w:rPr>
      <w:rFonts w:ascii="宋体" w:hAnsi="宋体" w:eastAsia="宋体"/>
      <w:b w:val="0"/>
    </w:rPr>
  </w:style>
  <w:style w:type="paragraph" w:customStyle="1" w:styleId="660">
    <w:name w:val="样式 报告 Char + 加粗 居中 首行缩进:  0.85 厘米 段后: 3 磅 行距: 1.5 倍行距"/>
    <w:basedOn w:val="1"/>
    <w:autoRedefine/>
    <w:qFormat/>
    <w:uiPriority w:val="0"/>
    <w:pPr>
      <w:overflowPunct w:val="0"/>
      <w:autoSpaceDE w:val="0"/>
      <w:autoSpaceDN w:val="0"/>
      <w:adjustRightInd w:val="0"/>
      <w:snapToGrid w:val="0"/>
      <w:jc w:val="center"/>
      <w:textAlignment w:val="baseline"/>
    </w:pPr>
    <w:rPr>
      <w:rFonts w:ascii="Times New Roman" w:hAnsi="Times New Roman" w:eastAsia="宋体" w:cs="Times New Roman"/>
      <w:bCs/>
      <w:kern w:val="0"/>
      <w:sz w:val="24"/>
      <w:szCs w:val="24"/>
    </w:rPr>
  </w:style>
  <w:style w:type="paragraph" w:customStyle="1" w:styleId="661">
    <w:name w:val="xl155"/>
    <w:basedOn w:val="1"/>
    <w:autoRedefine/>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62">
    <w:name w:val="Char Char1 Char Char Char Char Char Char Char Char Char Char Char Char Char Char Char Char Char Char Char Char Char Char Char Char Char Char Char Char Char Char1 Char Char Char Char1"/>
    <w:basedOn w:val="1"/>
    <w:autoRedefine/>
    <w:qFormat/>
    <w:uiPriority w:val="0"/>
    <w:rPr>
      <w:rFonts w:ascii="Times New Roman" w:hAnsi="Times New Roman" w:eastAsia="宋体" w:cs="Times New Roman"/>
      <w:szCs w:val="24"/>
    </w:rPr>
  </w:style>
  <w:style w:type="paragraph" w:customStyle="1" w:styleId="663">
    <w:name w:val="三级目录"/>
    <w:basedOn w:val="5"/>
    <w:autoRedefine/>
    <w:qFormat/>
    <w:uiPriority w:val="0"/>
    <w:pPr>
      <w:spacing w:before="0" w:after="0" w:line="360" w:lineRule="auto"/>
      <w:ind w:firstLine="200" w:firstLineChars="200"/>
    </w:pPr>
    <w:rPr>
      <w:rFonts w:ascii="宋体" w:hAnsi="宋体" w:cs="宋体"/>
      <w:sz w:val="28"/>
      <w:szCs w:val="28"/>
    </w:rPr>
  </w:style>
  <w:style w:type="paragraph" w:customStyle="1" w:styleId="664">
    <w:name w:val="小表文居中"/>
    <w:autoRedefine/>
    <w:qFormat/>
    <w:uiPriority w:val="0"/>
    <w:pPr>
      <w:widowControl w:val="0"/>
      <w:autoSpaceDE w:val="0"/>
      <w:autoSpaceDN w:val="0"/>
      <w:adjustRightInd w:val="0"/>
      <w:spacing w:before="20"/>
      <w:jc w:val="center"/>
      <w:textAlignment w:val="baseline"/>
    </w:pPr>
    <w:rPr>
      <w:rFonts w:ascii="Times New Roman" w:hAnsi="Times New Roman" w:eastAsia="宋体" w:cs="Times New Roman"/>
      <w:sz w:val="18"/>
      <w:lang w:val="en-US" w:eastAsia="zh-CN" w:bidi="ar-SA"/>
    </w:rPr>
  </w:style>
  <w:style w:type="table" w:customStyle="1" w:styleId="665">
    <w:name w:val="典雅型1"/>
    <w:basedOn w:val="48"/>
    <w:autoRedefine/>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66">
    <w:name w:val="简明型 33"/>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67">
    <w:name w:val="网格型9"/>
    <w:basedOn w:val="48"/>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8">
    <w:name w:val="古典型 11"/>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69">
    <w:name w:val="xu"/>
    <w:basedOn w:val="48"/>
    <w:autoRedefine/>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70">
    <w:name w:val="网格型5"/>
    <w:basedOn w:val="48"/>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1">
    <w:name w:val="古典型 12"/>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72">
    <w:name w:val="网格型2"/>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3">
    <w:name w:val="简明型 32"/>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74">
    <w:name w:val="网格型3"/>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5">
    <w:name w:val="xu2"/>
    <w:basedOn w:val="48"/>
    <w:autoRedefine/>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76">
    <w:name w:val="xu3"/>
    <w:basedOn w:val="48"/>
    <w:autoRedefine/>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77">
    <w:name w:val="简明型 311"/>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78">
    <w:name w:val="网格型4"/>
    <w:basedOn w:val="48"/>
    <w:autoRedefine/>
    <w:qFormat/>
    <w:uiPriority w:val="0"/>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9">
    <w:name w:val="表格主题1"/>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0">
    <w:name w:val="smedi"/>
    <w:basedOn w:val="48"/>
    <w:autoRedefine/>
    <w:qFormat/>
    <w:uiPriority w:val="0"/>
    <w:pPr>
      <w:spacing w:line="400" w:lineRule="exact"/>
    </w:pPr>
    <w:rPr>
      <w:sz w:val="21"/>
      <w:szCs w:val="24"/>
    </w:rPr>
    <w:tblPr>
      <w:jc w:val="center"/>
      <w:tblBorders>
        <w:top w:val="single" w:color="auto" w:sz="12" w:space="0"/>
        <w:bottom w:val="single" w:color="auto" w:sz="12" w:space="0"/>
        <w:insideH w:val="single" w:color="auto" w:sz="6" w:space="0"/>
        <w:insideV w:val="single" w:color="auto" w:sz="6" w:space="0"/>
      </w:tblBorders>
    </w:tblPr>
    <w:trPr>
      <w:jc w:val="center"/>
    </w:trPr>
    <w:tcPr>
      <w:vAlign w:val="center"/>
    </w:tcPr>
  </w:style>
  <w:style w:type="table" w:customStyle="1" w:styleId="681">
    <w:name w:val="网格型6"/>
    <w:basedOn w:val="48"/>
    <w:autoRedefine/>
    <w:qFormat/>
    <w:uiPriority w:val="5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2">
    <w:name w:val="网格型7"/>
    <w:basedOn w:val="48"/>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3">
    <w:name w:val="简明型 31"/>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84">
    <w:name w:val="典雅型11"/>
    <w:basedOn w:val="48"/>
    <w:autoRedefine/>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85">
    <w:name w:val="xu1"/>
    <w:basedOn w:val="48"/>
    <w:autoRedefine/>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86">
    <w:name w:val="表格主题2"/>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7">
    <w:name w:val="典雅型3"/>
    <w:basedOn w:val="48"/>
    <w:autoRedefine/>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88">
    <w:name w:val="表格主题3"/>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9">
    <w:name w:val="网格型10"/>
    <w:basedOn w:val="48"/>
    <w:autoRedefine/>
    <w:qFormat/>
    <w:uiPriority w:val="59"/>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0">
    <w:name w:val="网格型1"/>
    <w:basedOn w:val="48"/>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1">
    <w:name w:val="古典型 13"/>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92">
    <w:name w:val="古典型 111"/>
    <w:basedOn w:val="48"/>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93">
    <w:name w:val="典雅型2"/>
    <w:basedOn w:val="48"/>
    <w:autoRedefine/>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94">
    <w:name w:val="网格型模版1"/>
    <w:basedOn w:val="48"/>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95">
    <w:name w:val="网格型8"/>
    <w:basedOn w:val="48"/>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6">
    <w:name w:val="+列表框"/>
    <w:basedOn w:val="48"/>
    <w:qFormat/>
    <w:uiPriority w:val="0"/>
    <w:pPr>
      <w:jc w:val="center"/>
    </w:pPr>
    <w:rPr>
      <w:rFonts w:ascii="Times New Roman" w:hAnsi="Times New Roman" w:eastAsia="宋体" w:cs="Times New Roman"/>
      <w:kern w:val="0"/>
      <w:sz w:val="20"/>
      <w:szCs w:val="20"/>
    </w:rPr>
    <w:tblPr>
      <w:tblBorders>
        <w:top w:val="single" w:color="auto" w:sz="8" w:space="0"/>
        <w:bottom w:val="single" w:color="auto" w:sz="8" w:space="0"/>
        <w:insideH w:val="single" w:color="auto" w:sz="4" w:space="0"/>
        <w:insideV w:val="single" w:color="auto" w:sz="4" w:space="0"/>
      </w:tblBorders>
      <w:tblCellMar>
        <w:top w:w="0" w:type="dxa"/>
        <w:left w:w="108" w:type="dxa"/>
        <w:bottom w:w="0" w:type="dxa"/>
        <w:right w:w="108" w:type="dxa"/>
      </w:tblCellMar>
    </w:tblPr>
    <w:trPr>
      <w:cantSplit/>
    </w:trPr>
    <w:tcPr>
      <w:vAlign w:val="center"/>
    </w:tcPr>
  </w:style>
  <w:style w:type="paragraph" w:styleId="697">
    <w:name w:val="No Spacing"/>
    <w:qFormat/>
    <w:uiPriority w:val="1"/>
    <w:pPr>
      <w:widowControl w:val="0"/>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table" w:customStyle="1" w:styleId="698">
    <w:name w:val="cmr"/>
    <w:basedOn w:val="48"/>
    <w:qFormat/>
    <w:uiPriority w:val="0"/>
    <w:pPr>
      <w:jc w:val="center"/>
    </w:pPr>
    <w:rPr>
      <w:rFonts w:ascii="Times New Roman" w:hAnsi="Times New Roman"/>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paragraph" w:customStyle="1" w:styleId="699">
    <w:name w:val="表格标题"/>
    <w:basedOn w:val="1"/>
    <w:qFormat/>
    <w:uiPriority w:val="0"/>
    <w:pPr>
      <w:spacing w:line="360" w:lineRule="auto"/>
      <w:jc w:val="center"/>
    </w:pPr>
    <w:rPr>
      <w:rFonts w:ascii="Times New Roman" w:hAnsi="Times New Roman"/>
      <w:szCs w:val="21"/>
    </w:rPr>
  </w:style>
  <w:style w:type="paragraph" w:customStyle="1" w:styleId="700">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paragraph" w:customStyle="1" w:styleId="701">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table" w:customStyle="1" w:styleId="702">
    <w:name w:val="Table Grid_0"/>
    <w:basedOn w:val="48"/>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3">
    <w:name w:val="Table Normal"/>
    <w:unhideWhenUsed/>
    <w:qFormat/>
    <w:uiPriority w:val="0"/>
    <w:tblPr>
      <w:tblCellMar>
        <w:top w:w="0" w:type="dxa"/>
        <w:left w:w="0" w:type="dxa"/>
        <w:bottom w:w="0" w:type="dxa"/>
        <w:right w:w="0" w:type="dxa"/>
      </w:tblCellMar>
    </w:tblPr>
  </w:style>
  <w:style w:type="paragraph" w:customStyle="1" w:styleId="704">
    <w:name w:val="Table Text"/>
    <w:basedOn w:val="1"/>
    <w:semiHidden/>
    <w:qFormat/>
    <w:uiPriority w:val="0"/>
    <w:rPr>
      <w:rFonts w:ascii="Arial" w:hAnsi="Arial" w:eastAsia="Arial" w:cs="Arial"/>
      <w:sz w:val="23"/>
      <w:szCs w:val="23"/>
      <w:lang w:val="en-US" w:eastAsia="en-US" w:bidi="ar-SA"/>
    </w:rPr>
  </w:style>
  <w:style w:type="paragraph" w:customStyle="1" w:styleId="705">
    <w:name w:val="XW正文"/>
    <w:basedOn w:val="1"/>
    <w:autoRedefine/>
    <w:qFormat/>
    <w:uiPriority w:val="0"/>
    <w:pPr>
      <w:spacing w:line="360" w:lineRule="auto"/>
      <w:ind w:firstLine="200" w:firstLineChars="200"/>
    </w:pPr>
    <w:rPr>
      <w:sz w:val="24"/>
    </w:rPr>
  </w:style>
  <w:style w:type="character" w:customStyle="1" w:styleId="706">
    <w:name w:val="目录 7 Char"/>
    <w:link w:val="12"/>
    <w:qFormat/>
    <w:uiPriority w:val="39"/>
    <w:rPr>
      <w:rFonts w:cs="Times New Roman"/>
      <w:sz w:val="21"/>
    </w:rPr>
  </w:style>
  <w:style w:type="paragraph" w:customStyle="1" w:styleId="707">
    <w:name w:val="正文样式"/>
    <w:basedOn w:val="1"/>
    <w:autoRedefine/>
    <w:qFormat/>
    <w:uiPriority w:val="0"/>
    <w:pPr>
      <w:tabs>
        <w:tab w:val="left" w:pos="1440"/>
        <w:tab w:val="left" w:pos="4368"/>
      </w:tabs>
      <w:ind w:firstLine="493"/>
    </w:pPr>
    <w:rPr>
      <w:rFonts w:ascii="Times New Roman" w:hAnsi="Times New Roman" w:eastAsia="宋体" w:cs="Times New Roman"/>
      <w:color w:val="000000"/>
    </w:rPr>
  </w:style>
  <w:style w:type="paragraph" w:customStyle="1" w:styleId="708">
    <w:name w:val="报告书"/>
    <w:basedOn w:val="1"/>
    <w:autoRedefine/>
    <w:qFormat/>
    <w:uiPriority w:val="0"/>
    <w:pPr>
      <w:autoSpaceDE w:val="0"/>
      <w:autoSpaceDN w:val="0"/>
      <w:adjustRightInd w:val="0"/>
      <w:spacing w:line="360" w:lineRule="auto"/>
      <w:ind w:firstLine="505"/>
      <w:jc w:val="left"/>
      <w:textAlignment w:val="bottom"/>
    </w:pPr>
    <w:rPr>
      <w:rFonts w:ascii="宋体"/>
      <w:kern w:val="0"/>
      <w:sz w:val="24"/>
      <w:szCs w:val="20"/>
    </w:rPr>
  </w:style>
  <w:style w:type="paragraph" w:customStyle="1" w:styleId="709">
    <w:name w:val="rpt_表项"/>
    <w:basedOn w:val="1"/>
    <w:qFormat/>
    <w:uiPriority w:val="0"/>
    <w:pPr>
      <w:spacing w:before="60" w:after="60"/>
      <w:jc w:val="center"/>
    </w:pPr>
    <w:rPr>
      <w:rFonts w:cs="宋体"/>
      <w:sz w:val="22"/>
      <w:szCs w:val="20"/>
    </w:rPr>
  </w:style>
  <w:style w:type="paragraph" w:customStyle="1" w:styleId="710">
    <w:name w:val="图表名称"/>
    <w:qFormat/>
    <w:uiPriority w:val="0"/>
    <w:pPr>
      <w:spacing w:line="360" w:lineRule="auto"/>
      <w:jc w:val="center"/>
    </w:pPr>
    <w:rPr>
      <w:rFonts w:ascii="Times New Roman" w:hAnsi="Times New Roman" w:eastAsiaTheme="minorEastAsia" w:cstheme="minorBidi"/>
      <w:b/>
      <w:kern w:val="2"/>
      <w:sz w:val="21"/>
      <w:szCs w:val="22"/>
      <w:lang w:val="en-US" w:eastAsia="zh-CN" w:bidi="ar-SA"/>
    </w:rPr>
  </w:style>
  <w:style w:type="paragraph" w:customStyle="1" w:styleId="711">
    <w:name w:val="图表内容"/>
    <w:qFormat/>
    <w:uiPriority w:val="0"/>
    <w:pPr>
      <w:jc w:val="center"/>
    </w:pPr>
    <w:rPr>
      <w:rFonts w:ascii="Times New Roman" w:hAnsi="Times New Roman" w:eastAsiaTheme="maj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5.png"/><Relationship Id="rId98" Type="http://schemas.openxmlformats.org/officeDocument/2006/relationships/image" Target="media/image64.png"/><Relationship Id="rId97" Type="http://schemas.openxmlformats.org/officeDocument/2006/relationships/image" Target="media/image63.png"/><Relationship Id="rId96" Type="http://schemas.openxmlformats.org/officeDocument/2006/relationships/image" Target="media/image62.png"/><Relationship Id="rId95" Type="http://schemas.openxmlformats.org/officeDocument/2006/relationships/image" Target="media/image61.png"/><Relationship Id="rId94" Type="http://schemas.openxmlformats.org/officeDocument/2006/relationships/image" Target="media/image60.png"/><Relationship Id="rId93" Type="http://schemas.openxmlformats.org/officeDocument/2006/relationships/image" Target="media/image59.png"/><Relationship Id="rId92" Type="http://schemas.openxmlformats.org/officeDocument/2006/relationships/image" Target="media/image58.png"/><Relationship Id="rId91" Type="http://schemas.openxmlformats.org/officeDocument/2006/relationships/image" Target="media/image57.png"/><Relationship Id="rId90" Type="http://schemas.openxmlformats.org/officeDocument/2006/relationships/image" Target="media/image56.png"/><Relationship Id="rId9" Type="http://schemas.openxmlformats.org/officeDocument/2006/relationships/footer" Target="footer2.xml"/><Relationship Id="rId89" Type="http://schemas.openxmlformats.org/officeDocument/2006/relationships/image" Target="media/image55.wmf"/><Relationship Id="rId88" Type="http://schemas.openxmlformats.org/officeDocument/2006/relationships/image" Target="media/image54.wmf"/><Relationship Id="rId87" Type="http://schemas.openxmlformats.org/officeDocument/2006/relationships/image" Target="media/image53.wmf"/><Relationship Id="rId86" Type="http://schemas.openxmlformats.org/officeDocument/2006/relationships/image" Target="media/image52.wmf"/><Relationship Id="rId85" Type="http://schemas.openxmlformats.org/officeDocument/2006/relationships/image" Target="media/image51.wmf"/><Relationship Id="rId84" Type="http://schemas.openxmlformats.org/officeDocument/2006/relationships/image" Target="media/image50.wmf"/><Relationship Id="rId83" Type="http://schemas.openxmlformats.org/officeDocument/2006/relationships/image" Target="media/image49.png"/><Relationship Id="rId82" Type="http://schemas.openxmlformats.org/officeDocument/2006/relationships/image" Target="media/image48.png"/><Relationship Id="rId81" Type="http://schemas.openxmlformats.org/officeDocument/2006/relationships/image" Target="media/image47.png"/><Relationship Id="rId80" Type="http://schemas.openxmlformats.org/officeDocument/2006/relationships/image" Target="media/image46.wmf"/><Relationship Id="rId8" Type="http://schemas.openxmlformats.org/officeDocument/2006/relationships/footer" Target="footer1.xml"/><Relationship Id="rId79" Type="http://schemas.openxmlformats.org/officeDocument/2006/relationships/image" Target="media/image45.png"/><Relationship Id="rId78" Type="http://schemas.openxmlformats.org/officeDocument/2006/relationships/image" Target="media/image44.png"/><Relationship Id="rId77" Type="http://schemas.openxmlformats.org/officeDocument/2006/relationships/image" Target="media/image43.png"/><Relationship Id="rId76" Type="http://schemas.openxmlformats.org/officeDocument/2006/relationships/image" Target="media/image42.png"/><Relationship Id="rId75" Type="http://schemas.openxmlformats.org/officeDocument/2006/relationships/image" Target="media/image41.png"/><Relationship Id="rId74" Type="http://schemas.openxmlformats.org/officeDocument/2006/relationships/image" Target="media/image40.png"/><Relationship Id="rId73" Type="http://schemas.openxmlformats.org/officeDocument/2006/relationships/image" Target="media/image39.png"/><Relationship Id="rId72" Type="http://schemas.openxmlformats.org/officeDocument/2006/relationships/image" Target="media/image38.png"/><Relationship Id="rId71" Type="http://schemas.openxmlformats.org/officeDocument/2006/relationships/image" Target="media/image37.png"/><Relationship Id="rId70" Type="http://schemas.openxmlformats.org/officeDocument/2006/relationships/image" Target="media/image36.png"/><Relationship Id="rId7" Type="http://schemas.openxmlformats.org/officeDocument/2006/relationships/header" Target="header3.xml"/><Relationship Id="rId69" Type="http://schemas.openxmlformats.org/officeDocument/2006/relationships/image" Target="media/image35.wmf"/><Relationship Id="rId68" Type="http://schemas.openxmlformats.org/officeDocument/2006/relationships/oleObject" Target="embeddings/oleObject3.bin"/><Relationship Id="rId67" Type="http://schemas.openxmlformats.org/officeDocument/2006/relationships/image" Target="media/image34.png"/><Relationship Id="rId66" Type="http://schemas.openxmlformats.org/officeDocument/2006/relationships/image" Target="media/image33.jpeg"/><Relationship Id="rId65" Type="http://schemas.openxmlformats.org/officeDocument/2006/relationships/image" Target="media/image32.jpeg"/><Relationship Id="rId64" Type="http://schemas.openxmlformats.org/officeDocument/2006/relationships/image" Target="media/image31.png"/><Relationship Id="rId63" Type="http://schemas.openxmlformats.org/officeDocument/2006/relationships/image" Target="media/image30.png"/><Relationship Id="rId62" Type="http://schemas.openxmlformats.org/officeDocument/2006/relationships/image" Target="media/image29.png"/><Relationship Id="rId61" Type="http://schemas.openxmlformats.org/officeDocument/2006/relationships/image" Target="media/image28.png"/><Relationship Id="rId60" Type="http://schemas.openxmlformats.org/officeDocument/2006/relationships/image" Target="media/image27.png"/><Relationship Id="rId6" Type="http://schemas.openxmlformats.org/officeDocument/2006/relationships/header" Target="header2.xml"/><Relationship Id="rId59" Type="http://schemas.openxmlformats.org/officeDocument/2006/relationships/image" Target="media/image26.png"/><Relationship Id="rId58" Type="http://schemas.openxmlformats.org/officeDocument/2006/relationships/image" Target="media/image25.png"/><Relationship Id="rId57" Type="http://schemas.openxmlformats.org/officeDocument/2006/relationships/image" Target="media/image24.png"/><Relationship Id="rId56" Type="http://schemas.openxmlformats.org/officeDocument/2006/relationships/image" Target="media/image23.png"/><Relationship Id="rId55" Type="http://schemas.openxmlformats.org/officeDocument/2006/relationships/image" Target="media/image22.jpeg"/><Relationship Id="rId54" Type="http://schemas.openxmlformats.org/officeDocument/2006/relationships/image" Target="media/image21.png"/><Relationship Id="rId53" Type="http://schemas.openxmlformats.org/officeDocument/2006/relationships/image" Target="media/image20.jpeg"/><Relationship Id="rId52" Type="http://schemas.openxmlformats.org/officeDocument/2006/relationships/image" Target="media/image19.wmf"/><Relationship Id="rId51" Type="http://schemas.openxmlformats.org/officeDocument/2006/relationships/oleObject" Target="embeddings/oleObject2.bin"/><Relationship Id="rId50" Type="http://schemas.openxmlformats.org/officeDocument/2006/relationships/image" Target="media/image18.wmf"/><Relationship Id="rId5" Type="http://schemas.openxmlformats.org/officeDocument/2006/relationships/header" Target="header1.xml"/><Relationship Id="rId49" Type="http://schemas.openxmlformats.org/officeDocument/2006/relationships/oleObject" Target="embeddings/oleObject1.bin"/><Relationship Id="rId48" Type="http://schemas.openxmlformats.org/officeDocument/2006/relationships/image" Target="media/image17.png"/><Relationship Id="rId47" Type="http://schemas.openxmlformats.org/officeDocument/2006/relationships/image" Target="media/image16.png"/><Relationship Id="rId46" Type="http://schemas.openxmlformats.org/officeDocument/2006/relationships/image" Target="media/image15.png"/><Relationship Id="rId45" Type="http://schemas.openxmlformats.org/officeDocument/2006/relationships/image" Target="media/image14.png"/><Relationship Id="rId44" Type="http://schemas.openxmlformats.org/officeDocument/2006/relationships/image" Target="media/image13.png"/><Relationship Id="rId43" Type="http://schemas.openxmlformats.org/officeDocument/2006/relationships/image" Target="media/image12.png"/><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endnotes" Target="endnotes.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image" Target="media/image5.jpeg"/><Relationship Id="rId35" Type="http://schemas.openxmlformats.org/officeDocument/2006/relationships/image" Target="media/image4.jpeg"/><Relationship Id="rId34" Type="http://schemas.openxmlformats.org/officeDocument/2006/relationships/image" Target="media/image3.png"/><Relationship Id="rId33" Type="http://schemas.openxmlformats.org/officeDocument/2006/relationships/image" Target="media/image2.png"/><Relationship Id="rId32" Type="http://schemas.openxmlformats.org/officeDocument/2006/relationships/image" Target="media/image1.png"/><Relationship Id="rId31" Type="http://schemas.openxmlformats.org/officeDocument/2006/relationships/theme" Target="theme/theme1.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footer" Target="footer9.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header" Target="header4.xml"/><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87.jpeg"/><Relationship Id="rId120" Type="http://schemas.openxmlformats.org/officeDocument/2006/relationships/image" Target="media/image86.png"/><Relationship Id="rId12" Type="http://schemas.openxmlformats.org/officeDocument/2006/relationships/footer" Target="footer5.xml"/><Relationship Id="rId119" Type="http://schemas.openxmlformats.org/officeDocument/2006/relationships/image" Target="media/image85.png"/><Relationship Id="rId118" Type="http://schemas.openxmlformats.org/officeDocument/2006/relationships/image" Target="media/image84.png"/><Relationship Id="rId117" Type="http://schemas.openxmlformats.org/officeDocument/2006/relationships/image" Target="media/image83.png"/><Relationship Id="rId116" Type="http://schemas.openxmlformats.org/officeDocument/2006/relationships/image" Target="media/image82.png"/><Relationship Id="rId115" Type="http://schemas.openxmlformats.org/officeDocument/2006/relationships/image" Target="media/image81.png"/><Relationship Id="rId114" Type="http://schemas.openxmlformats.org/officeDocument/2006/relationships/image" Target="media/image80.png"/><Relationship Id="rId113" Type="http://schemas.openxmlformats.org/officeDocument/2006/relationships/image" Target="media/image79.png"/><Relationship Id="rId112" Type="http://schemas.openxmlformats.org/officeDocument/2006/relationships/image" Target="media/image78.jpeg"/><Relationship Id="rId111" Type="http://schemas.openxmlformats.org/officeDocument/2006/relationships/image" Target="media/image77.png"/><Relationship Id="rId110" Type="http://schemas.openxmlformats.org/officeDocument/2006/relationships/image" Target="media/image76.jpeg"/><Relationship Id="rId11" Type="http://schemas.openxmlformats.org/officeDocument/2006/relationships/footer" Target="footer4.xml"/><Relationship Id="rId109" Type="http://schemas.openxmlformats.org/officeDocument/2006/relationships/image" Target="media/image75.png"/><Relationship Id="rId108" Type="http://schemas.openxmlformats.org/officeDocument/2006/relationships/image" Target="media/image74.png"/><Relationship Id="rId107" Type="http://schemas.openxmlformats.org/officeDocument/2006/relationships/image" Target="media/image73.png"/><Relationship Id="rId106" Type="http://schemas.openxmlformats.org/officeDocument/2006/relationships/image" Target="media/image72.png"/><Relationship Id="rId105" Type="http://schemas.openxmlformats.org/officeDocument/2006/relationships/image" Target="media/image71.png"/><Relationship Id="rId104" Type="http://schemas.openxmlformats.org/officeDocument/2006/relationships/image" Target="media/image70.png"/><Relationship Id="rId103" Type="http://schemas.openxmlformats.org/officeDocument/2006/relationships/image" Target="media/image69.png"/><Relationship Id="rId102" Type="http://schemas.openxmlformats.org/officeDocument/2006/relationships/image" Target="media/image68.png"/><Relationship Id="rId101" Type="http://schemas.openxmlformats.org/officeDocument/2006/relationships/image" Target="media/image67.png"/><Relationship Id="rId100" Type="http://schemas.openxmlformats.org/officeDocument/2006/relationships/image" Target="media/image66.pn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334</Pages>
  <Words>207043</Words>
  <Characters>234391</Characters>
  <Lines>2659</Lines>
  <Paragraphs>748</Paragraphs>
  <TotalTime>22</TotalTime>
  <ScaleCrop>false</ScaleCrop>
  <LinksUpToDate>false</LinksUpToDate>
  <CharactersWithSpaces>235616</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2021-09-18T04:35:00Z</dcterms:created>
  <dc:creator>ZD</dc:creator>
  <cp:lastModifiedBy>人生若只如初见</cp:lastModifiedBy>
  <cp:lastPrinted>2021-09-18T04:39:00Z</cp:lastPrinted>
  <dcterms:modified xsi:type="dcterms:W3CDTF">2024-08-27T03:47:33Z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C26DEE0C1D964EB9AC02D0143141D7E7_13</vt:lpwstr>
  </property>
</Properties>
</file>