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巴中市巴州区水宁寺镇农民工服务中心</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仿宋_GB2312" w:hAnsi="宋体" w:eastAsia="仿宋_GB2312" w:cs="宋体"/>
          <w:color w:val="000000" w:themeColor="text1"/>
          <w:kern w:val="0"/>
          <w:sz w:val="44"/>
          <w:szCs w:val="44"/>
          <w:lang w:val="en-US" w:eastAsia="zh-CN"/>
          <w14:textFill>
            <w14:solidFill>
              <w14:schemeClr w14:val="tx1"/>
            </w14:solidFill>
          </w14:textFill>
        </w:rPr>
        <w:t>目       录</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基本职能及主要工作</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财政拨款收支预算情况说明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一般公共预算当年拨款收支预算情况说明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一般公共预算基本支出预算情况说明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政府性基金预算支出情况说明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其他重要事项的情况说明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附件：2024年部门预算公开报表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both"/>
        <w:rPr>
          <w:rFonts w:ascii="仿宋_GB2312" w:hAnsi="宋体" w:eastAsia="仿宋_GB2312" w:cs="宋体"/>
          <w:color w:val="000000" w:themeColor="text1"/>
          <w:kern w:val="0"/>
          <w:sz w:val="28"/>
          <w:szCs w:val="28"/>
          <w14:textFill>
            <w14:solidFill>
              <w14:schemeClr w14:val="tx1"/>
            </w14:solidFill>
          </w14:textFill>
        </w:rPr>
      </w:pPr>
    </w:p>
    <w:p>
      <w:pPr>
        <w:widowControl/>
        <w:spacing w:line="480" w:lineRule="atLeast"/>
        <w:jc w:val="left"/>
        <w:rPr>
          <w:rFonts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ind w:firstLine="840" w:firstLineChars="3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水宁寺镇位于巴中市巴州区东部，辖15个行政村,2个居委会，106个村(居)民小组，幅员面积95平方公里，全镇10200户,总人口40556人。</w:t>
      </w:r>
    </w:p>
    <w:p>
      <w:pPr>
        <w:ind w:firstLine="640"/>
        <w:rPr>
          <w:rFonts w:ascii="仿宋" w:hAnsi="仿宋" w:eastAsia="仿宋"/>
          <w:sz w:val="28"/>
          <w:szCs w:val="28"/>
        </w:rPr>
      </w:pPr>
      <w:r>
        <w:rPr>
          <w:rFonts w:hint="eastAsia" w:ascii="仿宋" w:hAnsi="仿宋" w:eastAsia="仿宋"/>
          <w:sz w:val="28"/>
          <w:szCs w:val="28"/>
        </w:rPr>
        <w:t>负责辖区农民工服务工作；负责农民工信息收集、登记、统计、上报以及信息平台的管理维护；承担农民工输出、培训、维权、回引、返乡创业服务及优秀农民工培养等工作；承担辖区内城乡劳动职业培训、就业和再就业服务工作；负责就业和社会保障法律法规及政策的宣传和咨询；牵头举办农民工服务系列活动；负责辖区内农民工劳动关系协调、劳动者权益维护工作。</w:t>
      </w:r>
    </w:p>
    <w:p>
      <w:pPr>
        <w:widowControl/>
        <w:wordWrap w:val="0"/>
        <w:spacing w:line="480" w:lineRule="atLeast"/>
        <w:ind w:firstLine="840" w:firstLineChars="300"/>
        <w:rPr>
          <w:rFonts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二、收支预算情况说明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巴中市巴州区水宁寺镇农民工服务中心所有收入和支出均纳入部门预算管理。收入包括：一般公共预算拨款收入、政府性基金预算拨款收入；支出包括：一般公共服务支出、社会保障和就业支出、医疗卫生与计划生育支出、住房保障支出。巴中市巴州区水宁寺镇农民工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14:textFill>
            <w14:solidFill>
              <w14:schemeClr w14:val="tx1"/>
            </w14:solidFill>
          </w14:textFill>
        </w:rPr>
        <w:t>万元，占100%，上级补助收入0万元。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巴中市巴州区水宁寺镇农民工服务中心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14:textFill>
            <w14:solidFill>
              <w14:schemeClr w14:val="tx1"/>
            </w14:solidFill>
          </w14:textFill>
        </w:rPr>
        <w:t xml:space="preserve">万元，占100%.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水宁寺镇农民工服务中心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14:textFill>
            <w14:solidFill>
              <w14:schemeClr w14:val="tx1"/>
            </w14:solidFill>
          </w14:textFill>
        </w:rPr>
        <w:t>万元、政府性基金预算拨款收入0万元；支出包括：社会保障和就业支出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89.53</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4.35</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8.57</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四</w:t>
      </w:r>
      <w:r>
        <w:rPr>
          <w:rFonts w:hint="eastAsia" w:ascii="黑体" w:hAnsi="黑体" w:eastAsia="黑体" w:cs="宋体"/>
          <w:color w:val="000000" w:themeColor="text1"/>
          <w:kern w:val="0"/>
          <w:sz w:val="28"/>
          <w:szCs w:val="28"/>
          <w14:textFill>
            <w14:solidFill>
              <w14:schemeClr w14:val="tx1"/>
            </w14:solidFill>
          </w14:textFill>
        </w:rPr>
        <w:t>、一般公共预算当年拨款情况说明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巴中市巴州区水宁寺镇</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农民工服务中心</w:t>
      </w:r>
      <w:r>
        <w:rPr>
          <w:rFonts w:hint="eastAsia" w:ascii="仿宋_GB2312" w:hAnsi="宋体" w:eastAsia="仿宋_GB2312" w:cs="宋体"/>
          <w:color w:val="000000" w:themeColor="text1"/>
          <w:kern w:val="0"/>
          <w:sz w:val="28"/>
          <w:szCs w:val="28"/>
          <w:shd w:val="clear" w:color="auto" w:fill="auto"/>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万元，比202</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年预算数</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增加13.38</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万元。主要是本年度</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人员调整</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br w:type="textWrapping"/>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　　</w:t>
      </w:r>
      <w:r>
        <w:rPr>
          <w:rFonts w:hint="eastAsia" w:ascii="楷体_GB2312" w:hAnsi="宋体" w:eastAsia="楷体_GB2312" w:cs="宋体"/>
          <w:color w:val="000000" w:themeColor="text1"/>
          <w:kern w:val="0"/>
          <w:sz w:val="28"/>
          <w:szCs w:val="28"/>
          <w:shd w:val="clear" w:color="auto" w:fill="auto"/>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shd w:val="pct10" w:color="auto" w:fill="FFFFFF"/>
          <w14:textFill>
            <w14:solidFill>
              <w14:schemeClr w14:val="tx1"/>
            </w14:solidFill>
          </w14:textFill>
        </w:rPr>
        <w:br w:type="textWrapping"/>
      </w:r>
      <w:r>
        <w:rPr>
          <w:rFonts w:hint="eastAsia" w:ascii="仿宋_GB2312" w:hAnsi="宋体" w:eastAsia="仿宋_GB2312" w:cs="宋体"/>
          <w:kern w:val="0"/>
          <w:sz w:val="28"/>
          <w:szCs w:val="28"/>
        </w:rPr>
        <w:t>　　一</w:t>
      </w:r>
      <w:r>
        <w:rPr>
          <w:rFonts w:hint="eastAsia" w:ascii="楷体_GB2312" w:hAnsi="宋体" w:eastAsia="楷体_GB2312" w:cs="宋体"/>
          <w:kern w:val="0"/>
          <w:sz w:val="28"/>
          <w:szCs w:val="28"/>
        </w:rPr>
        <w:t>般公共预算</w:t>
      </w:r>
      <w:r>
        <w:rPr>
          <w:rFonts w:hint="eastAsia" w:ascii="仿宋_GB2312" w:hAnsi="宋体" w:eastAsia="仿宋_GB2312" w:cs="宋体"/>
          <w:kern w:val="0"/>
          <w:sz w:val="28"/>
          <w:szCs w:val="28"/>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kern w:val="0"/>
          <w:sz w:val="28"/>
          <w:szCs w:val="28"/>
        </w:rPr>
        <w:t>万元，占100%；政府性基金预算支出0</w:t>
      </w:r>
      <w:r>
        <w:rPr>
          <w:rFonts w:hint="eastAsia" w:ascii="仿宋_GB2312" w:hAnsi="宋体" w:eastAsia="仿宋_GB2312" w:cs="宋体"/>
          <w:color w:val="000000" w:themeColor="text1"/>
          <w:kern w:val="0"/>
          <w:sz w:val="28"/>
          <w:szCs w:val="28"/>
          <w14:textFill>
            <w14:solidFill>
              <w14:schemeClr w14:val="tx1"/>
            </w14:solidFill>
          </w14:textFill>
        </w:rPr>
        <w:t>万元，占0%；</w:t>
      </w:r>
    </w:p>
    <w:p>
      <w:pPr>
        <w:widowControl/>
        <w:wordWrap w:val="0"/>
        <w:spacing w:line="480" w:lineRule="atLeast"/>
        <w:ind w:firstLine="570"/>
        <w:rPr>
          <w:rFonts w:ascii="仿宋_GB2312" w:hAnsi="宋体" w:eastAsia="仿宋_GB2312" w:cs="宋体"/>
          <w:b/>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964" w:firstLineChars="343"/>
        <w:rPr>
          <w:rFonts w:ascii="仿宋_GB2312" w:hAnsi="宋体" w:eastAsia="仿宋_GB2312" w:cs="宋体"/>
          <w:color w:val="000000" w:themeColor="text1"/>
          <w:kern w:val="0"/>
          <w:sz w:val="28"/>
          <w:szCs w:val="28"/>
          <w14:textFill>
            <w14:solidFill>
              <w14:schemeClr w14:val="tx1"/>
            </w14:solidFill>
          </w14:textFill>
        </w:rPr>
      </w:pPr>
      <w:r>
        <w:rPr>
          <w:rFonts w:ascii="仿宋_GB2312" w:hAnsi="宋体" w:eastAsia="仿宋_GB2312" w:cs="宋体"/>
          <w:b/>
          <w:color w:val="000000" w:themeColor="text1"/>
          <w:kern w:val="0"/>
          <w:sz w:val="28"/>
          <w:szCs w:val="28"/>
          <w14:textFill>
            <w14:solidFill>
              <w14:schemeClr w14:val="tx1"/>
            </w14:solidFill>
          </w14:textFill>
        </w:rPr>
        <w:t>1、社会保障和就业支出(类)人力资源和社会保障管理事务(款)社会保险经办机构(项)：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79.65</w:t>
      </w:r>
      <w:r>
        <w:rPr>
          <w:rFonts w:ascii="仿宋_GB2312" w:hAnsi="宋体" w:eastAsia="仿宋_GB2312" w:cs="宋体"/>
          <w:color w:val="000000" w:themeColor="text1"/>
          <w:kern w:val="0"/>
          <w:sz w:val="28"/>
          <w:szCs w:val="28"/>
          <w14:textFill>
            <w14:solidFill>
              <w14:schemeClr w14:val="tx1"/>
            </w14:solidFill>
          </w14:textFill>
        </w:rPr>
        <w:t>万元；主要用于农民工服务中心正常运转的基本支出,包括基本工资、津贴补贴等人员经费以及办公费、水电及差旅费等日常公用经费。</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b/>
          <w:color w:val="000000" w:themeColor="text1"/>
          <w:kern w:val="0"/>
          <w:sz w:val="28"/>
          <w:szCs w:val="28"/>
          <w:lang w:val="en-US" w:eastAsia="zh-CN"/>
          <w14:textFill>
            <w14:solidFill>
              <w14:schemeClr w14:val="tx1"/>
            </w14:solidFill>
          </w14:textFill>
        </w:rPr>
        <w:t>2</w:t>
      </w:r>
      <w:r>
        <w:rPr>
          <w:rFonts w:ascii="仿宋_GB2312" w:hAnsi="宋体" w:eastAsia="仿宋_GB2312" w:cs="宋体"/>
          <w:b/>
          <w:color w:val="000000" w:themeColor="text1"/>
          <w:kern w:val="0"/>
          <w:sz w:val="28"/>
          <w:szCs w:val="28"/>
          <w14:textFill>
            <w14:solidFill>
              <w14:schemeClr w14:val="tx1"/>
            </w14:solidFill>
          </w14:textFill>
        </w:rPr>
        <w:t>、医疗卫生与计划生育支出(类)行政事业单位医疗(款)行政单位医疗(项)：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4.35</w:t>
      </w:r>
      <w:r>
        <w:rPr>
          <w:rFonts w:ascii="仿宋_GB2312" w:hAnsi="宋体" w:eastAsia="仿宋_GB2312" w:cs="宋体"/>
          <w:color w:val="000000" w:themeColor="text1"/>
          <w:kern w:val="0"/>
          <w:sz w:val="28"/>
          <w:szCs w:val="28"/>
          <w14:textFill>
            <w14:solidFill>
              <w14:schemeClr w14:val="tx1"/>
            </w14:solidFill>
          </w14:textFill>
        </w:rPr>
        <w:t>万元，主要用于机关单位基本医疗保险缴费支出。</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w:t>
      </w:r>
      <w:r>
        <w:rPr>
          <w:rFonts w:hint="eastAsia" w:ascii="仿宋_GB2312" w:hAnsi="宋体" w:eastAsia="仿宋_GB2312" w:cs="宋体"/>
          <w:b/>
          <w:color w:val="000000" w:themeColor="text1"/>
          <w:kern w:val="0"/>
          <w:sz w:val="28"/>
          <w:szCs w:val="28"/>
          <w:lang w:val="en-US" w:eastAsia="zh-CN"/>
          <w14:textFill>
            <w14:solidFill>
              <w14:schemeClr w14:val="tx1"/>
            </w14:solidFill>
          </w14:textFill>
        </w:rPr>
        <w:t>3</w:t>
      </w:r>
      <w:r>
        <w:rPr>
          <w:rFonts w:ascii="仿宋_GB2312" w:hAnsi="宋体" w:eastAsia="仿宋_GB2312" w:cs="宋体"/>
          <w:b/>
          <w:color w:val="000000" w:themeColor="text1"/>
          <w:kern w:val="0"/>
          <w:sz w:val="28"/>
          <w:szCs w:val="28"/>
          <w14:textFill>
            <w14:solidFill>
              <w14:schemeClr w14:val="tx1"/>
            </w14:solidFill>
          </w14:textFill>
        </w:rPr>
        <w:t>.住房保障支出(类)住房改革支出(款)住房公积金(项)：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8.57</w:t>
      </w:r>
      <w:r>
        <w:rPr>
          <w:rFonts w:ascii="仿宋_GB2312" w:hAnsi="宋体" w:eastAsia="仿宋_GB2312" w:cs="宋体"/>
          <w:color w:val="000000" w:themeColor="text1"/>
          <w:kern w:val="0"/>
          <w:sz w:val="28"/>
          <w:szCs w:val="28"/>
          <w14:textFill>
            <w14:solidFill>
              <w14:schemeClr w14:val="tx1"/>
            </w14:solidFill>
          </w14:textFill>
        </w:rPr>
        <w:t>万元，主要用于：部门按人力资源和社会保障部、财政部规定的基本工资和津贴补贴以及规定比例为职工缴纳的住房公积金支出。</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黑体" w:hAnsi="黑体" w:eastAsia="黑体" w:cs="宋体"/>
          <w:color w:val="000000"/>
          <w:kern w:val="0"/>
          <w:sz w:val="28"/>
          <w:szCs w:val="28"/>
        </w:rPr>
        <w:t>五、一般公共预算基本支出情况说明</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szCs w:val="28"/>
          <w:lang w:eastAsia="zh-CN"/>
        </w:rPr>
        <w:t>2024年</w:t>
      </w:r>
      <w:r>
        <w:rPr>
          <w:rFonts w:hint="eastAsia" w:ascii="仿宋_GB2312" w:hAnsi="宋体" w:eastAsia="仿宋_GB2312" w:cs="宋体"/>
          <w:color w:val="000000"/>
          <w:kern w:val="0"/>
          <w:sz w:val="28"/>
          <w:szCs w:val="28"/>
        </w:rPr>
        <w:t>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102.44</w:t>
      </w:r>
      <w:r>
        <w:rPr>
          <w:rFonts w:hint="eastAsia" w:ascii="仿宋_GB2312" w:hAnsi="宋体" w:eastAsia="仿宋_GB2312" w:cs="宋体"/>
          <w:color w:val="000000"/>
          <w:kern w:val="0"/>
          <w:sz w:val="28"/>
          <w:szCs w:val="28"/>
        </w:rPr>
        <w:t>万元，其中：人员经费</w:t>
      </w:r>
      <w:r>
        <w:rPr>
          <w:rFonts w:hint="eastAsia" w:ascii="仿宋_GB2312" w:hAnsi="宋体" w:eastAsia="仿宋_GB2312" w:cs="宋体"/>
          <w:color w:val="000000"/>
          <w:kern w:val="0"/>
          <w:sz w:val="28"/>
          <w:szCs w:val="28"/>
          <w:lang w:val="en-US" w:eastAsia="zh-CN"/>
        </w:rPr>
        <w:t>94.59</w:t>
      </w:r>
      <w:r>
        <w:rPr>
          <w:rFonts w:hint="eastAsia" w:ascii="仿宋_GB2312" w:hAnsi="宋体" w:eastAsia="仿宋_GB2312" w:cs="宋体"/>
          <w:color w:val="000000"/>
          <w:kern w:val="0"/>
          <w:sz w:val="28"/>
          <w:szCs w:val="28"/>
        </w:rPr>
        <w:t>万元，主要包括：基本工资、津贴补贴、奖金、社会保险缴费、绩效工资、机关事业单位基本养老保险缴费、职业年金缴费、其他工资福利支出、离休费、住房公积金、其他对个人和家庭的补助支出。公用经费</w:t>
      </w:r>
      <w:r>
        <w:rPr>
          <w:rFonts w:hint="eastAsia" w:ascii="仿宋_GB2312" w:hAnsi="宋体" w:eastAsia="仿宋_GB2312" w:cs="宋体"/>
          <w:color w:val="000000"/>
          <w:kern w:val="0"/>
          <w:sz w:val="28"/>
          <w:szCs w:val="28"/>
          <w:lang w:val="en-US" w:eastAsia="zh-CN"/>
        </w:rPr>
        <w:t>7.85</w:t>
      </w:r>
      <w:r>
        <w:rPr>
          <w:rFonts w:hint="eastAsia" w:ascii="仿宋_GB2312" w:hAnsi="宋体" w:eastAsia="仿宋_GB2312" w:cs="宋体"/>
          <w:color w:val="000000"/>
          <w:kern w:val="0"/>
          <w:sz w:val="28"/>
          <w:szCs w:val="28"/>
        </w:rPr>
        <w:t>万元，主要包括：办公费、印刷费、手续费、水费、电费、邮电费、差旅费、维修（护）费、会议费、培训费、劳务费、工会经费、福利费、其他交通费、其他商品和服务支出。</w:t>
      </w:r>
    </w:p>
    <w:p>
      <w:pPr>
        <w:rPr>
          <w:color w:val="000000" w:themeColor="text1"/>
          <w14:textFill>
            <w14:solidFill>
              <w14:schemeClr w14:val="tx1"/>
            </w14:solidFill>
          </w14:textFill>
        </w:rPr>
      </w:pPr>
      <w:r>
        <w:rPr>
          <w:rFonts w:hint="eastAsia" w:ascii="仿宋_GB2312" w:hAnsi="宋体" w:eastAsia="仿宋_GB2312" w:cs="宋体"/>
          <w:b/>
          <w:color w:val="000000" w:themeColor="text1"/>
          <w:kern w:val="0"/>
          <w:sz w:val="28"/>
          <w:szCs w:val="28"/>
          <w14:textFill>
            <w14:solidFill>
              <w14:schemeClr w14:val="tx1"/>
            </w14:solidFill>
          </w14:textFill>
        </w:rPr>
        <w:t>六</w:t>
      </w:r>
      <w:r>
        <w:rPr>
          <w:rFonts w:hint="eastAsia" w:ascii="黑体" w:hAnsi="黑体" w:eastAsia="黑体" w:cs="宋体"/>
          <w:color w:val="000000" w:themeColor="text1"/>
          <w:kern w:val="0"/>
          <w:sz w:val="28"/>
          <w:szCs w:val="28"/>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水宁寺镇农民工服务中心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“三公”经费财政拨款预算数0万元，其中：因公出国（境）经费0万元，公务接待费0万元，公务用车购置及运行维护费0万元。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水宁寺镇农民工服务中心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使用政府性基金预算拨款安排0万支出。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八、其他重要事项的情况说明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水宁寺镇农民工服务中心运行经费财政拨款预算为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7.85</w:t>
      </w:r>
      <w:bookmarkStart w:id="0" w:name="_GoBack"/>
      <w:bookmarkEnd w:id="0"/>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（二）国有资产占有使用情况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底，水宁寺镇</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农民工服务中心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所属各预算单位共有车辆0辆，其中，定向保障用车0辆、执法执勤用车0辆。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财政厅部门通用项目和专用项目均按要求实行绩效目标管理，涉及项目一般公共预算当年拨款0万元。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p>
    <w:tbl>
      <w:tblPr>
        <w:tblStyle w:val="6"/>
        <w:tblW w:w="8401" w:type="dxa"/>
        <w:jc w:val="center"/>
        <w:tblCellSpacing w:w="0" w:type="dxa"/>
        <w:tblLayout w:type="autofit"/>
        <w:tblCellMar>
          <w:top w:w="0" w:type="dxa"/>
          <w:left w:w="0" w:type="dxa"/>
          <w:bottom w:w="0" w:type="dxa"/>
          <w:right w:w="0" w:type="dxa"/>
        </w:tblCellMar>
      </w:tblPr>
      <w:tblGrid>
        <w:gridCol w:w="8401"/>
      </w:tblGrid>
      <w:tr>
        <w:trPr>
          <w:trHeight w:val="7500" w:hRule="atLeast"/>
          <w:tblCellSpacing w:w="0" w:type="dxa"/>
          <w:jc w:val="center"/>
        </w:trPr>
        <w:tc>
          <w:tcPr>
            <w:tcW w:w="8401" w:type="dxa"/>
            <w:tcMar>
              <w:top w:w="150" w:type="dxa"/>
              <w:left w:w="0" w:type="dxa"/>
              <w:bottom w:w="0" w:type="dxa"/>
              <w:right w:w="0" w:type="dxa"/>
            </w:tcMar>
            <w:vAlign w:val="top"/>
          </w:tcPr>
          <w:p>
            <w:pPr>
              <w:pStyle w:val="2"/>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十、名词解释</w:t>
            </w:r>
          </w:p>
          <w:p>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附件：</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巴州区单位部门支出总表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6</w:t>
            </w:r>
            <w:r>
              <w:rPr>
                <w:rFonts w:hint="eastAsia" w:ascii="仿宋_GB2312" w:eastAsia="仿宋_GB2312"/>
                <w:sz w:val="28"/>
                <w:szCs w:val="28"/>
              </w:rPr>
              <w:t>.项目支出绩效预算目标表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7</w:t>
            </w:r>
            <w:r>
              <w:rPr>
                <w:rFonts w:hint="eastAsia" w:ascii="仿宋_GB2312" w:eastAsia="仿宋_GB2312"/>
                <w:sz w:val="28"/>
                <w:szCs w:val="28"/>
              </w:rPr>
              <w:t>.部门整体绩效预算目标表</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ind w:firstLine="560" w:firstLineChars="200"/>
              <w:rPr>
                <w:rFonts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40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926E8"/>
    <w:multiLevelType w:val="singleLevel"/>
    <w:tmpl w:val="60F926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hNzY5MjVjNWRjODM3YWM2MDdhODFlOGQ0OWRjNGMifQ=="/>
  </w:docVars>
  <w:rsids>
    <w:rsidRoot w:val="006452C1"/>
    <w:rsid w:val="0005544E"/>
    <w:rsid w:val="00075740"/>
    <w:rsid w:val="0009310D"/>
    <w:rsid w:val="000D687C"/>
    <w:rsid w:val="0012133E"/>
    <w:rsid w:val="002705FF"/>
    <w:rsid w:val="002E6F3F"/>
    <w:rsid w:val="002F2145"/>
    <w:rsid w:val="002F5B42"/>
    <w:rsid w:val="003324C8"/>
    <w:rsid w:val="0034694A"/>
    <w:rsid w:val="003B2F94"/>
    <w:rsid w:val="003D121D"/>
    <w:rsid w:val="003E1F55"/>
    <w:rsid w:val="00430A67"/>
    <w:rsid w:val="00474DE5"/>
    <w:rsid w:val="004B058D"/>
    <w:rsid w:val="004B38E9"/>
    <w:rsid w:val="004E51FF"/>
    <w:rsid w:val="00532C45"/>
    <w:rsid w:val="00580470"/>
    <w:rsid w:val="005A05E2"/>
    <w:rsid w:val="00607C3A"/>
    <w:rsid w:val="006452C1"/>
    <w:rsid w:val="00657E2D"/>
    <w:rsid w:val="00687D24"/>
    <w:rsid w:val="006E7785"/>
    <w:rsid w:val="006F69EE"/>
    <w:rsid w:val="0071356F"/>
    <w:rsid w:val="00744A26"/>
    <w:rsid w:val="007C35E2"/>
    <w:rsid w:val="00832D6A"/>
    <w:rsid w:val="00862BB8"/>
    <w:rsid w:val="008640E2"/>
    <w:rsid w:val="008A018D"/>
    <w:rsid w:val="008D5C37"/>
    <w:rsid w:val="008E6E46"/>
    <w:rsid w:val="00925ED5"/>
    <w:rsid w:val="009354DF"/>
    <w:rsid w:val="009363A1"/>
    <w:rsid w:val="009938B8"/>
    <w:rsid w:val="009C39F6"/>
    <w:rsid w:val="009F6826"/>
    <w:rsid w:val="00AD2F67"/>
    <w:rsid w:val="00AD416C"/>
    <w:rsid w:val="00AE4E65"/>
    <w:rsid w:val="00B04189"/>
    <w:rsid w:val="00B27BF4"/>
    <w:rsid w:val="00B40FDC"/>
    <w:rsid w:val="00B637FD"/>
    <w:rsid w:val="00B95F6B"/>
    <w:rsid w:val="00BA09CE"/>
    <w:rsid w:val="00BF2F53"/>
    <w:rsid w:val="00C06764"/>
    <w:rsid w:val="00C26C65"/>
    <w:rsid w:val="00C40F78"/>
    <w:rsid w:val="00C672F3"/>
    <w:rsid w:val="00C67E0B"/>
    <w:rsid w:val="00C96B2A"/>
    <w:rsid w:val="00CA7783"/>
    <w:rsid w:val="00CB029D"/>
    <w:rsid w:val="00CB02A4"/>
    <w:rsid w:val="00CF3DB4"/>
    <w:rsid w:val="00CF5987"/>
    <w:rsid w:val="00D34013"/>
    <w:rsid w:val="00D63EB5"/>
    <w:rsid w:val="00E048D9"/>
    <w:rsid w:val="00E06F01"/>
    <w:rsid w:val="00E658D9"/>
    <w:rsid w:val="00E80036"/>
    <w:rsid w:val="00E802F4"/>
    <w:rsid w:val="00E9089C"/>
    <w:rsid w:val="00EB0203"/>
    <w:rsid w:val="00EF16F2"/>
    <w:rsid w:val="00F06A1A"/>
    <w:rsid w:val="00F56854"/>
    <w:rsid w:val="00FE50F2"/>
    <w:rsid w:val="031D67EE"/>
    <w:rsid w:val="04886A4F"/>
    <w:rsid w:val="06A314E1"/>
    <w:rsid w:val="104A15D5"/>
    <w:rsid w:val="105B2544"/>
    <w:rsid w:val="121441DA"/>
    <w:rsid w:val="17297B28"/>
    <w:rsid w:val="181E2C9A"/>
    <w:rsid w:val="1835200F"/>
    <w:rsid w:val="21F80D6F"/>
    <w:rsid w:val="243A2822"/>
    <w:rsid w:val="24CE4FA9"/>
    <w:rsid w:val="296C6308"/>
    <w:rsid w:val="296E67C5"/>
    <w:rsid w:val="2BCD2038"/>
    <w:rsid w:val="2C11441D"/>
    <w:rsid w:val="2C242290"/>
    <w:rsid w:val="2F646BC2"/>
    <w:rsid w:val="31523975"/>
    <w:rsid w:val="36894A76"/>
    <w:rsid w:val="3968219D"/>
    <w:rsid w:val="4456696C"/>
    <w:rsid w:val="48A43B9F"/>
    <w:rsid w:val="48FB4F4A"/>
    <w:rsid w:val="4A134709"/>
    <w:rsid w:val="4F001651"/>
    <w:rsid w:val="4F075A92"/>
    <w:rsid w:val="50730E6C"/>
    <w:rsid w:val="51FB7892"/>
    <w:rsid w:val="537F1759"/>
    <w:rsid w:val="542D5792"/>
    <w:rsid w:val="59DD4894"/>
    <w:rsid w:val="5BDB1CCA"/>
    <w:rsid w:val="5DBB27D1"/>
    <w:rsid w:val="5ED24DAC"/>
    <w:rsid w:val="61DB7D34"/>
    <w:rsid w:val="626A1E94"/>
    <w:rsid w:val="654734D9"/>
    <w:rsid w:val="67D40DD1"/>
    <w:rsid w:val="683D0C89"/>
    <w:rsid w:val="68420E31"/>
    <w:rsid w:val="68D868E9"/>
    <w:rsid w:val="6DF338C4"/>
    <w:rsid w:val="6E7375D7"/>
    <w:rsid w:val="73BF0AC9"/>
    <w:rsid w:val="74D12367"/>
    <w:rsid w:val="757643E3"/>
    <w:rsid w:val="75861500"/>
    <w:rsid w:val="797F4BAB"/>
    <w:rsid w:val="7FC84A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1706</Words>
  <Characters>1857</Characters>
  <Lines>14</Lines>
  <Paragraphs>3</Paragraphs>
  <TotalTime>2</TotalTime>
  <ScaleCrop>false</ScaleCrop>
  <LinksUpToDate>false</LinksUpToDate>
  <CharactersWithSpaces>1946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cp:lastModifiedBy>
  <cp:lastPrinted>2021-07-20T03:32:00Z</cp:lastPrinted>
  <dcterms:modified xsi:type="dcterms:W3CDTF">2024-06-05T01:22:22Z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8D9643097CBB48F28A35FD2FE1549756_13</vt:lpwstr>
  </property>
</Properties>
</file>