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巴中市巴州区水宁寺镇公共事务服务中心</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仿宋_GB2312" w:hAnsi="宋体" w:eastAsia="仿宋_GB2312" w:cs="宋体"/>
          <w:color w:val="000000" w:themeColor="text1"/>
          <w:kern w:val="0"/>
          <w:sz w:val="44"/>
          <w:szCs w:val="44"/>
          <w:lang w:val="en-US" w:eastAsia="zh-CN"/>
          <w14:textFill>
            <w14:solidFill>
              <w14:schemeClr w14:val="tx1"/>
            </w14:solidFill>
          </w14:textFill>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基本职能及主要工作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财政拨款收支预算情况说明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一般公共预算当年拨款收支预算情况说明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一般公共预算基本支出预算情况说明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“三公”经费财政拨</w:t>
      </w:r>
      <w:bookmarkStart w:id="0" w:name="_GoBack"/>
      <w:bookmarkEnd w:id="0"/>
      <w:r>
        <w:rPr>
          <w:rFonts w:hint="eastAsia" w:ascii="仿宋_GB2312" w:hAnsi="宋体" w:eastAsia="仿宋_GB2312" w:cs="宋体"/>
          <w:color w:val="000000" w:themeColor="text1"/>
          <w:kern w:val="0"/>
          <w:sz w:val="32"/>
          <w:szCs w:val="32"/>
          <w:lang w:val="en-US" w:eastAsia="zh-CN"/>
          <w14:textFill>
            <w14:solidFill>
              <w14:schemeClr w14:val="tx1"/>
            </w14:solidFill>
          </w14:textFill>
        </w:rPr>
        <w:t>款预算安排情况说明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政府性基金预算支出情况说明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其他重要事项的情况说明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附件：2024年部门预算公开报表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jc w:val="center"/>
        <w:rPr>
          <w:rFonts w:ascii="仿宋_GB2312" w:hAnsi="宋体" w:eastAsia="仿宋_GB2312" w:cs="宋体"/>
          <w:color w:val="000000" w:themeColor="text1"/>
          <w:kern w:val="0"/>
          <w:sz w:val="28"/>
          <w:szCs w:val="28"/>
          <w14:textFill>
            <w14:solidFill>
              <w14:schemeClr w14:val="tx1"/>
            </w14:solidFill>
          </w14:textFill>
        </w:rPr>
      </w:pPr>
    </w:p>
    <w:p>
      <w:pPr>
        <w:widowControl/>
        <w:spacing w:line="480" w:lineRule="atLeast"/>
        <w:jc w:val="left"/>
        <w:rPr>
          <w:rFonts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p>
    <w:p>
      <w:pPr>
        <w:ind w:firstLine="840" w:firstLineChars="3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水宁寺镇位于巴中市巴州区东部，辖15个行政村,2个居委会，106个村(居)民小组，幅员面积95平方公里，全镇10200户,总人口40556人。</w:t>
      </w:r>
    </w:p>
    <w:p>
      <w:pPr>
        <w:ind w:firstLine="640"/>
        <w:rPr>
          <w:rFonts w:ascii="仿宋" w:hAnsi="仿宋" w:eastAsia="仿宋"/>
          <w:sz w:val="28"/>
          <w:szCs w:val="28"/>
        </w:rPr>
      </w:pPr>
      <w:r>
        <w:rPr>
          <w:rFonts w:hint="eastAsia" w:ascii="仿宋" w:hAnsi="仿宋" w:eastAsia="仿宋"/>
          <w:sz w:val="28"/>
          <w:szCs w:val="28"/>
        </w:rPr>
        <w:t>负责辖区内财务会计、社会保障、社会救助、基层治理、文化旅游、教育卫生、体育科技、广播电视、食品安全、退役军人、民营经济、交通运输、救灾救济等公共服务工作；负责编制核算单位记账凭证，完成记账、结账、生成会计报告等工作；协助村（社区）资金监督检查和村（社区）预、决算编制，执行；负责村（社区）收入核算、资金</w:t>
      </w:r>
      <w:r>
        <w:rPr>
          <w:rFonts w:hint="eastAsia" w:ascii="仿宋" w:hAnsi="仿宋" w:eastAsia="仿宋"/>
          <w:sz w:val="28"/>
          <w:szCs w:val="28"/>
          <w:lang w:eastAsia="zh-CN"/>
        </w:rPr>
        <w:t>拨付</w:t>
      </w:r>
      <w:r>
        <w:rPr>
          <w:rFonts w:hint="eastAsia" w:ascii="仿宋" w:hAnsi="仿宋" w:eastAsia="仿宋"/>
          <w:sz w:val="28"/>
          <w:szCs w:val="28"/>
        </w:rPr>
        <w:t>、强农惠民补贴、政策的兑现落实，代理村（社区）财务、账务；协助管理村（社区）集体资产资源和债权债务，负责村（社区）财务公开工作；负责城乡居民最低生活保障、特困人员救助、临时救助、留守老人和困境儿童救助工作；负责低收入居民家庭经济状况核对工作；负责指导城乡村（社区）治理体系、服务体系和治理能力建设；负责婚姻登记服务、殡葬服务、残疾人权益保护等工作；负责文化基础设施建设和业余文化队伍建设，组织开展群众性文化活动；负责协助有关部门做好文物保护及旅游资源的开发工作；负责广播电视“村村响”“户户通”规划、覆盖、维护与管理工作；负责义务教育控辍保学、留守儿童关爱工作；配合相关部门（单位）做好民办教育、培训机构管理以及校园周边环境治理；协助管理辖区流动人口和计划生育工作；参与传染病防控和重大突发公共卫生事件应急处置工作；负责爱国卫生运动相关工作；负责辖区食品安全日常巡查；配合执法队伍查处食品安全违法行为；配合做好辖区餐饮行业食品安全管理工作；承担辖区乡镇企业、个体私营经济公共服务工作；负责辖区乡道的日常管理、养护和应急抢险；配合做好交通安全事故的处理处置；指导村社道路的管理和养护工作；负责辖区内退役军人信息收集、有关政策宣传落实、信访接待和走访慰问等服务工作；负责村（社区）退役军人服务站业务指导和管理。</w:t>
      </w:r>
    </w:p>
    <w:p>
      <w:pPr>
        <w:widowControl/>
        <w:wordWrap w:val="0"/>
        <w:spacing w:line="480" w:lineRule="atLeast"/>
        <w:ind w:firstLine="840" w:firstLineChars="300"/>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巴中市巴州区水宁寺镇公共事务服务中心所有收入和支出均纳入部门预算管理。收入包括：一般公共预算拨款收入、政府性基金预算拨款收入；支出包括：一般公共服务支出、社会保障和就业支出、医疗卫生与计划生育支出、住房保障支出。巴中市巴州区水宁寺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万元，占100%，上级补助收入0万元。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 xml:space="preserve">万元，占100%.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14:textFill>
            <w14:solidFill>
              <w14:schemeClr w14:val="tx1"/>
            </w14:solidFill>
          </w14:textFill>
        </w:rPr>
        <w:t>万元、政府性基金预算拨款收入0万元；支出包括：社会保障和就业支出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114.72</w:t>
      </w:r>
      <w:r>
        <w:rPr>
          <w:rFonts w:hint="eastAsia" w:ascii="仿宋_GB2312" w:hAnsi="宋体" w:eastAsia="仿宋_GB2312" w:cs="宋体"/>
          <w:color w:val="000000" w:themeColor="text1"/>
          <w:kern w:val="0"/>
          <w:sz w:val="28"/>
          <w:szCs w:val="28"/>
          <w14:textFill>
            <w14:solidFill>
              <w14:schemeClr w14:val="tx1"/>
            </w14:solidFill>
          </w14:textFill>
        </w:rPr>
        <w:t>万元、医疗卫生与计划生育支出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5.59</w:t>
      </w:r>
      <w:r>
        <w:rPr>
          <w:rFonts w:hint="eastAsia" w:ascii="仿宋_GB2312" w:hAnsi="宋体" w:eastAsia="仿宋_GB2312" w:cs="宋体"/>
          <w:color w:val="000000" w:themeColor="text1"/>
          <w:kern w:val="0"/>
          <w:sz w:val="28"/>
          <w:szCs w:val="28"/>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10.97</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四</w:t>
      </w:r>
      <w:r>
        <w:rPr>
          <w:rFonts w:hint="eastAsia" w:ascii="黑体" w:hAnsi="黑体" w:eastAsia="黑体" w:cs="宋体"/>
          <w:color w:val="000000" w:themeColor="text1"/>
          <w:kern w:val="0"/>
          <w:sz w:val="28"/>
          <w:szCs w:val="28"/>
          <w14:textFill>
            <w14:solidFill>
              <w14:schemeClr w14:val="tx1"/>
            </w14:solidFill>
          </w14:textFill>
        </w:rPr>
        <w:t>、一般公共预算当年拨款情况说明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巴中市巴州区水宁寺镇</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公共事务服务中心</w:t>
      </w:r>
      <w:r>
        <w:rPr>
          <w:rFonts w:hint="eastAsia" w:ascii="仿宋_GB2312" w:hAnsi="宋体" w:eastAsia="仿宋_GB2312" w:cs="宋体"/>
          <w:color w:val="000000" w:themeColor="text1"/>
          <w:kern w:val="0"/>
          <w:sz w:val="28"/>
          <w:szCs w:val="28"/>
          <w:shd w:val="clear" w:color="auto" w:fill="auto"/>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一般公共预算当年拨款</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131.28</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万元，比202</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年预算数</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增加1.97</w:t>
      </w:r>
      <w:r>
        <w:rPr>
          <w:rFonts w:hint="eastAsia" w:ascii="仿宋_GB2312" w:hAnsi="宋体" w:eastAsia="仿宋_GB2312" w:cs="宋体"/>
          <w:color w:val="000000" w:themeColor="text1"/>
          <w:kern w:val="0"/>
          <w:sz w:val="28"/>
          <w:szCs w:val="28"/>
          <w:shd w:val="clear" w:color="auto" w:fill="auto"/>
          <w14:textFill>
            <w14:solidFill>
              <w14:schemeClr w14:val="tx1"/>
            </w14:solidFill>
          </w14:textFill>
        </w:rPr>
        <w:t>万元。　</w:t>
      </w:r>
    </w:p>
    <w:p>
      <w:pPr>
        <w:widowControl/>
        <w:wordWrap w:val="0"/>
        <w:spacing w:line="480" w:lineRule="atLeast"/>
        <w:ind w:firstLine="560" w:firstLineChars="200"/>
        <w:rPr>
          <w:rFonts w:ascii="黑体" w:hAnsi="黑体" w:eastAsia="黑体"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shd w:val="clear" w:color="auto" w:fill="auto"/>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shd w:val="pct10" w:color="auto" w:fill="FFFFFF"/>
          <w14:textFill>
            <w14:solidFill>
              <w14:schemeClr w14:val="tx1"/>
            </w14:solidFill>
          </w14:textFill>
        </w:rPr>
        <w:br w:type="textWrapping"/>
      </w:r>
      <w:r>
        <w:rPr>
          <w:rFonts w:hint="eastAsia" w:ascii="仿宋_GB2312" w:hAnsi="宋体" w:eastAsia="仿宋_GB2312" w:cs="宋体"/>
          <w:kern w:val="0"/>
          <w:sz w:val="28"/>
          <w:szCs w:val="28"/>
        </w:rPr>
        <w:t>　　一</w:t>
      </w:r>
      <w:r>
        <w:rPr>
          <w:rFonts w:hint="eastAsia" w:ascii="楷体_GB2312" w:hAnsi="宋体" w:eastAsia="楷体_GB2312" w:cs="宋体"/>
          <w:kern w:val="0"/>
          <w:sz w:val="28"/>
          <w:szCs w:val="28"/>
        </w:rPr>
        <w:t>般公共预算</w:t>
      </w:r>
      <w:r>
        <w:rPr>
          <w:rFonts w:hint="eastAsia" w:ascii="仿宋_GB2312" w:hAnsi="宋体" w:eastAsia="仿宋_GB2312" w:cs="宋体"/>
          <w:kern w:val="0"/>
          <w:sz w:val="28"/>
          <w:szCs w:val="28"/>
        </w:rPr>
        <w:t>支出</w:t>
      </w:r>
      <w:r>
        <w:rPr>
          <w:rFonts w:hint="eastAsia" w:ascii="仿宋_GB2312" w:hAnsi="宋体" w:eastAsia="仿宋_GB2312" w:cs="宋体"/>
          <w:color w:val="000000" w:themeColor="text1"/>
          <w:kern w:val="0"/>
          <w:sz w:val="28"/>
          <w:szCs w:val="28"/>
          <w:shd w:val="clear" w:color="auto" w:fill="auto"/>
          <w:lang w:val="en-US" w:eastAsia="zh-CN"/>
          <w14:textFill>
            <w14:solidFill>
              <w14:schemeClr w14:val="tx1"/>
            </w14:solidFill>
          </w14:textFill>
        </w:rPr>
        <w:t>131.28</w:t>
      </w:r>
      <w:r>
        <w:rPr>
          <w:rFonts w:hint="eastAsia" w:ascii="仿宋_GB2312" w:hAnsi="宋体" w:eastAsia="仿宋_GB2312" w:cs="宋体"/>
          <w:kern w:val="0"/>
          <w:sz w:val="28"/>
          <w:szCs w:val="28"/>
        </w:rPr>
        <w:t>万元，占100%；政府性基金预算支出0</w:t>
      </w:r>
      <w:r>
        <w:rPr>
          <w:rFonts w:hint="eastAsia" w:ascii="仿宋_GB2312" w:hAnsi="宋体" w:eastAsia="仿宋_GB2312" w:cs="宋体"/>
          <w:color w:val="000000" w:themeColor="text1"/>
          <w:kern w:val="0"/>
          <w:sz w:val="28"/>
          <w:szCs w:val="28"/>
          <w14:textFill>
            <w14:solidFill>
              <w14:schemeClr w14:val="tx1"/>
            </w14:solidFill>
          </w14:textFill>
        </w:rPr>
        <w:t>万元，占0%；</w:t>
      </w:r>
    </w:p>
    <w:p>
      <w:pPr>
        <w:widowControl/>
        <w:wordWrap w:val="0"/>
        <w:spacing w:line="480" w:lineRule="atLeast"/>
        <w:ind w:firstLine="570"/>
        <w:rPr>
          <w:rFonts w:ascii="仿宋_GB2312" w:hAnsi="宋体" w:eastAsia="仿宋_GB2312" w:cs="宋体"/>
          <w:b/>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pPr>
        <w:widowControl/>
        <w:wordWrap w:val="0"/>
        <w:spacing w:line="480" w:lineRule="atLeast"/>
        <w:rPr>
          <w:rFonts w:ascii="仿宋_GB2312" w:hAnsi="宋体" w:eastAsia="仿宋_GB2312" w:cs="宋体"/>
          <w:color w:val="000000" w:themeColor="text1"/>
          <w:kern w:val="0"/>
          <w:sz w:val="28"/>
          <w:szCs w:val="28"/>
          <w14:textFill>
            <w14:solidFill>
              <w14:schemeClr w14:val="tx1"/>
            </w14:solidFill>
          </w14:textFill>
        </w:rPr>
      </w:pPr>
    </w:p>
    <w:p>
      <w:pPr>
        <w:widowControl/>
        <w:wordWrap w:val="0"/>
        <w:spacing w:line="480" w:lineRule="atLeast"/>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b/>
          <w:color w:val="000000" w:themeColor="text1"/>
          <w:kern w:val="0"/>
          <w:sz w:val="28"/>
          <w:szCs w:val="28"/>
          <w14:textFill>
            <w14:solidFill>
              <w14:schemeClr w14:val="tx1"/>
            </w14:solidFill>
          </w14:textFill>
        </w:rPr>
        <w:t>1、社会保障和就业支出(类)民政管理事务(款)其他民政管理事务(项)：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102.07</w:t>
      </w:r>
      <w:r>
        <w:rPr>
          <w:rFonts w:ascii="仿宋_GB2312" w:hAnsi="宋体" w:eastAsia="仿宋_GB2312" w:cs="宋体"/>
          <w:color w:val="000000" w:themeColor="text1"/>
          <w:kern w:val="0"/>
          <w:sz w:val="28"/>
          <w:szCs w:val="28"/>
          <w14:textFill>
            <w14:solidFill>
              <w14:schemeClr w14:val="tx1"/>
            </w14:solidFill>
          </w14:textFill>
        </w:rPr>
        <w:t>万元；主要用于公共事务服务中心中民政岗正常运转的基本支出,包括基本工资、津贴补贴等人员经费以及办公费、水电及差旅费等日常公用经费。</w:t>
      </w:r>
    </w:p>
    <w:p>
      <w:pPr>
        <w:widowControl/>
        <w:wordWrap w:val="0"/>
        <w:spacing w:line="480" w:lineRule="atLeast"/>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2</w:t>
      </w:r>
      <w:r>
        <w:rPr>
          <w:rFonts w:ascii="仿宋_GB2312" w:hAnsi="宋体" w:eastAsia="仿宋_GB2312" w:cs="宋体"/>
          <w:b/>
          <w:color w:val="000000" w:themeColor="text1"/>
          <w:kern w:val="0"/>
          <w:sz w:val="28"/>
          <w:szCs w:val="28"/>
          <w14:textFill>
            <w14:solidFill>
              <w14:schemeClr w14:val="tx1"/>
            </w14:solidFill>
          </w14:textFill>
        </w:rPr>
        <w:t>、社会保障和就业支出(类)行政事业单位离退休(款)机关事业单位基本养老保险缴费支出(项)：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12.65</w:t>
      </w:r>
      <w:r>
        <w:rPr>
          <w:rFonts w:ascii="仿宋_GB2312" w:hAnsi="宋体" w:eastAsia="仿宋_GB2312" w:cs="宋体"/>
          <w:color w:val="000000" w:themeColor="text1"/>
          <w:kern w:val="0"/>
          <w:sz w:val="28"/>
          <w:szCs w:val="28"/>
          <w14:textFill>
            <w14:solidFill>
              <w14:schemeClr w14:val="tx1"/>
            </w14:solidFill>
          </w14:textFill>
        </w:rPr>
        <w:t>万元，主要用于：主要用于公共事务服务中心中民政岗正常运转的基本支出,包括基本工资、津贴补贴等人员经费以及办公费、水电及差旅费等日常公用经费。</w:t>
      </w:r>
    </w:p>
    <w:p>
      <w:pPr>
        <w:widowControl/>
        <w:wordWrap w:val="0"/>
        <w:spacing w:line="480" w:lineRule="atLeast"/>
        <w:ind w:firstLine="980" w:firstLineChars="350"/>
        <w:rPr>
          <w:rFonts w:ascii="仿宋_GB2312" w:hAnsi="宋体" w:eastAsia="仿宋_GB2312" w:cs="宋体"/>
          <w:color w:val="000000" w:themeColor="text1"/>
          <w:kern w:val="0"/>
          <w:sz w:val="28"/>
          <w:szCs w:val="28"/>
          <w14:textFill>
            <w14:solidFill>
              <w14:schemeClr w14:val="tx1"/>
            </w14:solidFill>
          </w14:textFill>
        </w:rPr>
      </w:pPr>
      <w:r>
        <w:rPr>
          <w:rFonts w:ascii="仿宋_GB2312" w:hAnsi="宋体" w:eastAsia="仿宋_GB2312" w:cs="宋体"/>
          <w:color w:val="000000" w:themeColor="text1"/>
          <w:kern w:val="0"/>
          <w:sz w:val="28"/>
          <w:szCs w:val="28"/>
          <w14:textFill>
            <w14:solidFill>
              <w14:schemeClr w14:val="tx1"/>
            </w14:solidFill>
          </w14:textFill>
        </w:rPr>
        <w:t xml:space="preserve">实施养老保险制度后，部门按规定由单位缴纳的基本养老保险费支出。 </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b/>
          <w:color w:val="000000" w:themeColor="text1"/>
          <w:kern w:val="0"/>
          <w:sz w:val="28"/>
          <w:szCs w:val="28"/>
          <w14:textFill>
            <w14:solidFill>
              <w14:schemeClr w14:val="tx1"/>
            </w14:solidFill>
          </w14:textFill>
        </w:rPr>
        <w:t>3</w:t>
      </w:r>
      <w:r>
        <w:rPr>
          <w:rFonts w:ascii="仿宋_GB2312" w:hAnsi="宋体" w:eastAsia="仿宋_GB2312" w:cs="宋体"/>
          <w:b/>
          <w:color w:val="000000" w:themeColor="text1"/>
          <w:kern w:val="0"/>
          <w:sz w:val="28"/>
          <w:szCs w:val="28"/>
          <w14:textFill>
            <w14:solidFill>
              <w14:schemeClr w14:val="tx1"/>
            </w14:solidFill>
          </w14:textFill>
        </w:rPr>
        <w:t>、医疗卫生与计划生育支出(类)行政事业单位医疗(款)行政单位医疗(项)：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5.59</w:t>
      </w:r>
      <w:r>
        <w:rPr>
          <w:rFonts w:ascii="仿宋_GB2312" w:hAnsi="宋体" w:eastAsia="仿宋_GB2312" w:cs="宋体"/>
          <w:color w:val="000000" w:themeColor="text1"/>
          <w:kern w:val="0"/>
          <w:sz w:val="28"/>
          <w:szCs w:val="28"/>
          <w14:textFill>
            <w14:solidFill>
              <w14:schemeClr w14:val="tx1"/>
            </w14:solidFill>
          </w14:textFill>
        </w:rPr>
        <w:t>万元，主要用于机关单位基本医疗保险缴费支出。</w:t>
      </w:r>
    </w:p>
    <w:p>
      <w:pPr>
        <w:widowControl/>
        <w:wordWrap w:val="0"/>
        <w:spacing w:line="480" w:lineRule="atLeast"/>
        <w:rPr>
          <w:rFonts w:ascii="仿宋_GB2312" w:hAnsi="宋体" w:eastAsia="仿宋_GB2312" w:cs="宋体"/>
          <w:b/>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themeColor="text1"/>
          <w:kern w:val="0"/>
          <w:sz w:val="28"/>
          <w:szCs w:val="28"/>
          <w14:textFill>
            <w14:solidFill>
              <w14:schemeClr w14:val="tx1"/>
            </w14:solidFill>
          </w14:textFill>
        </w:rPr>
        <w:t xml:space="preserve">     4</w:t>
      </w:r>
      <w:r>
        <w:rPr>
          <w:rFonts w:ascii="仿宋_GB2312" w:hAnsi="宋体" w:eastAsia="仿宋_GB2312" w:cs="宋体"/>
          <w:b/>
          <w:color w:val="000000" w:themeColor="text1"/>
          <w:kern w:val="0"/>
          <w:sz w:val="28"/>
          <w:szCs w:val="28"/>
          <w14:textFill>
            <w14:solidFill>
              <w14:schemeClr w14:val="tx1"/>
            </w14:solidFill>
          </w14:textFill>
        </w:rPr>
        <w:t>.住房保障支出(类)住房改革支出(款)住房公积金(项)：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ascii="仿宋_GB2312" w:hAnsi="宋体" w:eastAsia="仿宋_GB2312" w:cs="宋体"/>
          <w:color w:val="000000" w:themeColor="text1"/>
          <w:kern w:val="0"/>
          <w:sz w:val="28"/>
          <w:szCs w:val="28"/>
          <w14:textFill>
            <w14:solidFill>
              <w14:schemeClr w14:val="tx1"/>
            </w14:solidFill>
          </w14:textFill>
        </w:rPr>
        <w:t>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10.97</w:t>
      </w:r>
      <w:r>
        <w:rPr>
          <w:rFonts w:ascii="仿宋_GB2312" w:hAnsi="宋体" w:eastAsia="仿宋_GB2312" w:cs="宋体"/>
          <w:color w:val="000000" w:themeColor="text1"/>
          <w:kern w:val="0"/>
          <w:sz w:val="28"/>
          <w:szCs w:val="28"/>
          <w14:textFill>
            <w14:solidFill>
              <w14:schemeClr w14:val="tx1"/>
            </w14:solidFill>
          </w14:textFill>
        </w:rPr>
        <w:t>万元，主要用于：部门按人力资源和社会保障部、财政部规定的基本工资和津贴补贴以及规定比例为职工缴纳的住房公积金支出。</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黑体" w:hAnsi="黑体" w:eastAsia="黑体" w:cs="宋体"/>
          <w:color w:val="000000"/>
          <w:kern w:val="0"/>
          <w:sz w:val="28"/>
          <w:szCs w:val="28"/>
        </w:rPr>
        <w:t>五、一般公共预算基本支出情况说明</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w:t>
      </w:r>
      <w:r>
        <w:rPr>
          <w:rFonts w:hint="eastAsia" w:ascii="仿宋_GB2312" w:hAnsi="宋体" w:eastAsia="仿宋_GB2312" w:cs="宋体"/>
          <w:color w:val="000000"/>
          <w:kern w:val="0"/>
          <w:sz w:val="28"/>
          <w:szCs w:val="28"/>
          <w:lang w:eastAsia="zh-CN"/>
        </w:rPr>
        <w:t>2024年</w:t>
      </w:r>
      <w:r>
        <w:rPr>
          <w:rFonts w:hint="eastAsia" w:ascii="仿宋_GB2312" w:hAnsi="宋体" w:eastAsia="仿宋_GB2312" w:cs="宋体"/>
          <w:color w:val="000000"/>
          <w:kern w:val="0"/>
          <w:sz w:val="28"/>
          <w:szCs w:val="28"/>
        </w:rPr>
        <w:t>一般公共预算基本支出</w:t>
      </w:r>
      <w:r>
        <w:rPr>
          <w:rFonts w:hint="eastAsia" w:ascii="仿宋_GB2312" w:hAnsi="宋体" w:eastAsia="仿宋_GB2312" w:cs="宋体"/>
          <w:color w:val="000000"/>
          <w:kern w:val="0"/>
          <w:sz w:val="28"/>
          <w:szCs w:val="28"/>
          <w:lang w:val="en-US" w:eastAsia="zh-CN"/>
        </w:rPr>
        <w:t>131.28</w:t>
      </w:r>
      <w:r>
        <w:rPr>
          <w:rFonts w:hint="eastAsia" w:ascii="仿宋_GB2312" w:hAnsi="宋体" w:eastAsia="仿宋_GB2312" w:cs="宋体"/>
          <w:color w:val="000000"/>
          <w:kern w:val="0"/>
          <w:sz w:val="28"/>
          <w:szCs w:val="28"/>
        </w:rPr>
        <w:t>万元，其中：人员经费</w:t>
      </w:r>
      <w:r>
        <w:rPr>
          <w:rFonts w:hint="eastAsia" w:ascii="仿宋_GB2312" w:hAnsi="宋体" w:eastAsia="仿宋_GB2312" w:cs="宋体"/>
          <w:color w:val="000000"/>
          <w:kern w:val="0"/>
          <w:sz w:val="28"/>
          <w:szCs w:val="28"/>
          <w:lang w:val="en-US" w:eastAsia="zh-CN"/>
        </w:rPr>
        <w:t>121.19</w:t>
      </w:r>
      <w:r>
        <w:rPr>
          <w:rFonts w:hint="eastAsia" w:ascii="仿宋_GB2312" w:hAnsi="宋体" w:eastAsia="仿宋_GB2312" w:cs="宋体"/>
          <w:color w:val="000000"/>
          <w:kern w:val="0"/>
          <w:sz w:val="28"/>
          <w:szCs w:val="28"/>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_GB2312" w:hAnsi="宋体" w:eastAsia="仿宋_GB2312" w:cs="宋体"/>
          <w:color w:val="000000"/>
          <w:kern w:val="0"/>
          <w:sz w:val="28"/>
          <w:szCs w:val="28"/>
          <w:lang w:val="en-US" w:eastAsia="zh-CN"/>
        </w:rPr>
        <w:t>10.09</w:t>
      </w:r>
      <w:r>
        <w:rPr>
          <w:rFonts w:hint="eastAsia" w:ascii="仿宋_GB2312" w:hAnsi="宋体" w:eastAsia="仿宋_GB2312" w:cs="宋体"/>
          <w:color w:val="000000"/>
          <w:kern w:val="0"/>
          <w:sz w:val="28"/>
          <w:szCs w:val="28"/>
        </w:rPr>
        <w:t>万元，主要包括：办公费、印刷费、手续费、水费、电费、邮电费、差旅费、维修（护）费、会议费、培训费、劳务费、工会经费、福利费、其他交通费、其他商品和服务支出。</w:t>
      </w:r>
    </w:p>
    <w:p>
      <w:pPr>
        <w:rPr>
          <w:color w:val="000000" w:themeColor="text1"/>
          <w14:textFill>
            <w14:solidFill>
              <w14:schemeClr w14:val="tx1"/>
            </w14:solidFill>
          </w14:textFill>
        </w:rPr>
      </w:pPr>
      <w:r>
        <w:rPr>
          <w:rFonts w:hint="eastAsia" w:ascii="仿宋_GB2312" w:hAnsi="宋体" w:eastAsia="仿宋_GB2312" w:cs="宋体"/>
          <w:b/>
          <w:color w:val="000000" w:themeColor="text1"/>
          <w:kern w:val="0"/>
          <w:sz w:val="28"/>
          <w:szCs w:val="28"/>
          <w14:textFill>
            <w14:solidFill>
              <w14:schemeClr w14:val="tx1"/>
            </w14:solidFill>
          </w14:textFill>
        </w:rPr>
        <w:t>六</w:t>
      </w:r>
      <w:r>
        <w:rPr>
          <w:rFonts w:hint="eastAsia" w:ascii="黑体" w:hAnsi="黑体" w:eastAsia="黑体" w:cs="宋体"/>
          <w:color w:val="000000" w:themeColor="text1"/>
          <w:kern w:val="0"/>
          <w:sz w:val="28"/>
          <w:szCs w:val="28"/>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“三公”经费财政拨款预算数0万元，其中：因公出国（境）经费0万元，公务接待费0万元，公务用车购置及运行维护费0万元。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黑体" w:hAnsi="黑体" w:eastAsia="黑体"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14:textFill>
            <w14:solidFill>
              <w14:schemeClr w14:val="tx1"/>
            </w14:solidFill>
          </w14:textFill>
        </w:rPr>
        <w:t>水宁寺镇</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使用政府性基金预算拨款安排0万支出。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八、其他重要事项的情况说明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水宁寺镇公共事务服务中心运行经费财政拨款预算为</w:t>
      </w:r>
      <w:r>
        <w:rPr>
          <w:rFonts w:hint="eastAsia" w:ascii="仿宋_GB2312" w:hAnsi="宋体" w:eastAsia="仿宋_GB2312" w:cs="宋体"/>
          <w:color w:val="000000"/>
          <w:kern w:val="0"/>
          <w:sz w:val="28"/>
          <w:szCs w:val="28"/>
          <w:lang w:val="en-US" w:eastAsia="zh-CN"/>
        </w:rPr>
        <w:t>10.09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（二）国有资产占有使用情况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底，水宁寺镇人民政府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公共事务服务中心</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所属各预算单位共有车辆0辆，其中，定向保障用车0辆、执法执勤用车0辆。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财政厅部门通用项目和专用项目均按要求实行绩效目标管理，涉及项目一般公共预算当年拨款0万元。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p>
    <w:tbl>
      <w:tblPr>
        <w:tblStyle w:val="6"/>
        <w:tblW w:w="7926" w:type="dxa"/>
        <w:jc w:val="center"/>
        <w:tblCellSpacing w:w="0" w:type="dxa"/>
        <w:tblLayout w:type="autofit"/>
        <w:tblCellMar>
          <w:top w:w="0" w:type="dxa"/>
          <w:left w:w="0" w:type="dxa"/>
          <w:bottom w:w="0" w:type="dxa"/>
          <w:right w:w="0" w:type="dxa"/>
        </w:tblCellMar>
      </w:tblPr>
      <w:tblGrid>
        <w:gridCol w:w="7926"/>
      </w:tblGrid>
      <w:tr>
        <w:trPr>
          <w:trHeight w:val="7500" w:hRule="atLeast"/>
          <w:tblCellSpacing w:w="0" w:type="dxa"/>
          <w:jc w:val="center"/>
        </w:trPr>
        <w:tc>
          <w:tcPr>
            <w:tcW w:w="7926"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7926"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roman"/>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xNDRmNTUyZTZiOTM0YTc4YWY5MGM5OWI1OGQ0MzcifQ=="/>
  </w:docVars>
  <w:rsids>
    <w:rsidRoot w:val="006452C1"/>
    <w:rsid w:val="00023183"/>
    <w:rsid w:val="0005544E"/>
    <w:rsid w:val="00071B3D"/>
    <w:rsid w:val="00075740"/>
    <w:rsid w:val="0009310D"/>
    <w:rsid w:val="000D687C"/>
    <w:rsid w:val="0012133E"/>
    <w:rsid w:val="00123FEC"/>
    <w:rsid w:val="002705FF"/>
    <w:rsid w:val="002E6F3F"/>
    <w:rsid w:val="002F5B42"/>
    <w:rsid w:val="003276AE"/>
    <w:rsid w:val="003324C8"/>
    <w:rsid w:val="0034694A"/>
    <w:rsid w:val="003B2F94"/>
    <w:rsid w:val="003D121D"/>
    <w:rsid w:val="003E1F55"/>
    <w:rsid w:val="00430A67"/>
    <w:rsid w:val="00474DE5"/>
    <w:rsid w:val="0048218C"/>
    <w:rsid w:val="004B058D"/>
    <w:rsid w:val="004B38E9"/>
    <w:rsid w:val="004E51FF"/>
    <w:rsid w:val="00530EF8"/>
    <w:rsid w:val="00532C45"/>
    <w:rsid w:val="00580470"/>
    <w:rsid w:val="005A05E2"/>
    <w:rsid w:val="00607C3A"/>
    <w:rsid w:val="006452C1"/>
    <w:rsid w:val="00657E2D"/>
    <w:rsid w:val="00687D24"/>
    <w:rsid w:val="006A075D"/>
    <w:rsid w:val="006E7785"/>
    <w:rsid w:val="006F69EE"/>
    <w:rsid w:val="0071356F"/>
    <w:rsid w:val="00744A26"/>
    <w:rsid w:val="007B1EC6"/>
    <w:rsid w:val="007C35E2"/>
    <w:rsid w:val="00832D6A"/>
    <w:rsid w:val="00862BB8"/>
    <w:rsid w:val="008640E2"/>
    <w:rsid w:val="008A018D"/>
    <w:rsid w:val="008D5C37"/>
    <w:rsid w:val="008E6E46"/>
    <w:rsid w:val="009354DF"/>
    <w:rsid w:val="009363A1"/>
    <w:rsid w:val="009938B8"/>
    <w:rsid w:val="009C39F6"/>
    <w:rsid w:val="009F6826"/>
    <w:rsid w:val="00AA189A"/>
    <w:rsid w:val="00AD2F67"/>
    <w:rsid w:val="00AD416C"/>
    <w:rsid w:val="00AE4E65"/>
    <w:rsid w:val="00B04189"/>
    <w:rsid w:val="00B27BF4"/>
    <w:rsid w:val="00B40FDC"/>
    <w:rsid w:val="00B637FD"/>
    <w:rsid w:val="00BA09CE"/>
    <w:rsid w:val="00BF2F53"/>
    <w:rsid w:val="00C06764"/>
    <w:rsid w:val="00C40F78"/>
    <w:rsid w:val="00C672F3"/>
    <w:rsid w:val="00C67E0B"/>
    <w:rsid w:val="00C96B2A"/>
    <w:rsid w:val="00CA7783"/>
    <w:rsid w:val="00CB029D"/>
    <w:rsid w:val="00CB02A4"/>
    <w:rsid w:val="00CF3DB4"/>
    <w:rsid w:val="00CF5987"/>
    <w:rsid w:val="00D34013"/>
    <w:rsid w:val="00D63EB5"/>
    <w:rsid w:val="00E048D9"/>
    <w:rsid w:val="00E33106"/>
    <w:rsid w:val="00E45B5B"/>
    <w:rsid w:val="00E658D9"/>
    <w:rsid w:val="00E80036"/>
    <w:rsid w:val="00E802F4"/>
    <w:rsid w:val="00EA06D2"/>
    <w:rsid w:val="00EB0203"/>
    <w:rsid w:val="00EF16F2"/>
    <w:rsid w:val="00EF4D76"/>
    <w:rsid w:val="00F06A1A"/>
    <w:rsid w:val="00F56854"/>
    <w:rsid w:val="00FA1A3C"/>
    <w:rsid w:val="00FE50F2"/>
    <w:rsid w:val="04886A4F"/>
    <w:rsid w:val="06A314E1"/>
    <w:rsid w:val="079C1EB4"/>
    <w:rsid w:val="0B035026"/>
    <w:rsid w:val="104A15D5"/>
    <w:rsid w:val="121441DA"/>
    <w:rsid w:val="133371DD"/>
    <w:rsid w:val="160C3F81"/>
    <w:rsid w:val="161543E6"/>
    <w:rsid w:val="181E2C9A"/>
    <w:rsid w:val="1835200F"/>
    <w:rsid w:val="21F80D6F"/>
    <w:rsid w:val="24CE4FA9"/>
    <w:rsid w:val="296C6308"/>
    <w:rsid w:val="296E67C5"/>
    <w:rsid w:val="2BCD2038"/>
    <w:rsid w:val="2C11441D"/>
    <w:rsid w:val="2C242290"/>
    <w:rsid w:val="2CAB05AE"/>
    <w:rsid w:val="2F646BC2"/>
    <w:rsid w:val="31523975"/>
    <w:rsid w:val="3968219D"/>
    <w:rsid w:val="3A3F09D4"/>
    <w:rsid w:val="3D876751"/>
    <w:rsid w:val="40E56583"/>
    <w:rsid w:val="416C20BE"/>
    <w:rsid w:val="48FB4F4A"/>
    <w:rsid w:val="4A134709"/>
    <w:rsid w:val="4B602CB0"/>
    <w:rsid w:val="4F001651"/>
    <w:rsid w:val="4F075A92"/>
    <w:rsid w:val="50730E6C"/>
    <w:rsid w:val="537F1759"/>
    <w:rsid w:val="542D5792"/>
    <w:rsid w:val="59DD4894"/>
    <w:rsid w:val="5BDB1CCA"/>
    <w:rsid w:val="5DBB27D1"/>
    <w:rsid w:val="5ED24DAC"/>
    <w:rsid w:val="5FE8337B"/>
    <w:rsid w:val="61DB7D34"/>
    <w:rsid w:val="654734D9"/>
    <w:rsid w:val="67D40DD1"/>
    <w:rsid w:val="683D0C89"/>
    <w:rsid w:val="6DF338C4"/>
    <w:rsid w:val="6E7375D7"/>
    <w:rsid w:val="73BF0AC9"/>
    <w:rsid w:val="74D12367"/>
    <w:rsid w:val="75861500"/>
    <w:rsid w:val="797F4BAB"/>
    <w:rsid w:val="7FC84A9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2399</Words>
  <Characters>2575</Characters>
  <Lines>17</Lines>
  <Paragraphs>5</Paragraphs>
  <TotalTime>0</TotalTime>
  <ScaleCrop>false</ScaleCrop>
  <LinksUpToDate>false</LinksUpToDate>
  <CharactersWithSpaces>2668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人生若只如初见</cp:lastModifiedBy>
  <cp:lastPrinted>2021-07-20T03:32:00Z</cp:lastPrinted>
  <dcterms:modified xsi:type="dcterms:W3CDTF">2024-08-31T06:30:03Z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6F77CE0A62914C86A8F23715AC2C8A38_13</vt:lpwstr>
  </property>
</Properties>
</file>